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spacing w:before="205"/>
        <w:ind w:left="5035" w:right="0" w:hanging="2266"/>
        <w:jc w:val="left"/>
        <w:rPr>
          <w:b/>
          <w:sz w:val="32"/>
        </w:rPr>
      </w:pPr>
      <w:r>
        <w:rPr/>
        <w:drawing>
          <wp:anchor distT="0" distB="0" distL="0" distR="0" allowOverlap="1" layoutInCell="1" locked="0" behindDoc="0" simplePos="0" relativeHeight="0">
            <wp:simplePos x="0" y="0"/>
            <wp:positionH relativeFrom="page">
              <wp:posOffset>962660</wp:posOffset>
            </wp:positionH>
            <wp:positionV relativeFrom="paragraph">
              <wp:posOffset>-291492</wp:posOffset>
            </wp:positionV>
            <wp:extent cx="1569085" cy="141795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69085" cy="1417954"/>
                    </a:xfrm>
                    <a:prstGeom prst="rect">
                      <a:avLst/>
                    </a:prstGeom>
                  </pic:spPr>
                </pic:pic>
              </a:graphicData>
            </a:graphic>
          </wp:anchor>
        </w:drawing>
      </w:r>
      <w:r>
        <w:rPr>
          <w:b/>
          <w:sz w:val="32"/>
        </w:rPr>
        <w:t>UNIVERSIDAD AUTÓNOMA DEL ESTADO DE MÉXICO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86"/>
        <w:ind w:left="1233" w:right="771" w:firstLine="0"/>
        <w:jc w:val="center"/>
        <w:rPr>
          <w:b/>
          <w:sz w:val="32"/>
        </w:rPr>
      </w:pPr>
      <w:r>
        <w:rPr/>
        <w:pict>
          <v:line style="position:absolute;mso-position-horizontal-relative:page;mso-position-vertical-relative:paragraph;z-index:1048" from="79.699997pt,-1.722195pt" to="79.699997pt,498.230805pt" stroked="true" strokeweight="2.5pt" strokecolor="#000000">
            <w10:wrap type="none"/>
          </v:line>
        </w:pict>
      </w:r>
      <w:r>
        <w:rPr/>
        <w:pict>
          <v:line style="position:absolute;mso-position-horizontal-relative:page;mso-position-vertical-relative:paragraph;z-index:1072" from="86.199997pt,11.627805pt" to="86.199997pt,483.377805pt" stroked="true" strokeweight=".75pt" strokecolor="#000000">
            <w10:wrap type="none"/>
          </v:line>
        </w:pict>
      </w:r>
      <w:r>
        <w:rPr>
          <w:b/>
          <w:sz w:val="32"/>
        </w:rPr>
        <w:t>POSGRADO EN CIENCIAS AGROPECUARIAS Y RECURSOS NATURALES</w:t>
      </w:r>
    </w:p>
    <w:p>
      <w:pPr>
        <w:pStyle w:val="BodyText"/>
        <w:rPr>
          <w:b/>
          <w:sz w:val="32"/>
        </w:rPr>
      </w:pPr>
    </w:p>
    <w:p>
      <w:pPr>
        <w:pStyle w:val="BodyText"/>
        <w:spacing w:before="10"/>
        <w:rPr>
          <w:b/>
          <w:sz w:val="34"/>
        </w:rPr>
      </w:pPr>
    </w:p>
    <w:p>
      <w:pPr>
        <w:pStyle w:val="Heading1"/>
        <w:spacing w:before="0"/>
        <w:ind w:left="614" w:right="150" w:hanging="3"/>
        <w:jc w:val="center"/>
      </w:pPr>
      <w:r>
        <w:rPr/>
        <w:t>GENES QUE INTERVIENEN EN LA SUSCEPTIBILIDAD INDIVIDUAL A LA APOPTOSIS DE LAS CÉLULAS GERMINALES MASCULINAS</w:t>
      </w:r>
    </w:p>
    <w:p>
      <w:pPr>
        <w:pStyle w:val="BodyText"/>
        <w:rPr>
          <w:b/>
          <w:sz w:val="28"/>
        </w:rPr>
      </w:pPr>
    </w:p>
    <w:p>
      <w:pPr>
        <w:pStyle w:val="BodyText"/>
        <w:spacing w:before="7"/>
        <w:rPr>
          <w:b/>
          <w:sz w:val="30"/>
        </w:rPr>
      </w:pPr>
    </w:p>
    <w:p>
      <w:pPr>
        <w:spacing w:before="1"/>
        <w:ind w:left="1232" w:right="771" w:firstLine="0"/>
        <w:jc w:val="center"/>
        <w:rPr>
          <w:b/>
          <w:sz w:val="32"/>
        </w:rPr>
      </w:pPr>
      <w:r>
        <w:rPr>
          <w:b/>
          <w:sz w:val="32"/>
        </w:rPr>
        <w:t>TESIS</w:t>
      </w:r>
    </w:p>
    <w:p>
      <w:pPr>
        <w:pStyle w:val="BodyText"/>
        <w:spacing w:line="242" w:lineRule="auto" w:before="201"/>
        <w:ind w:left="1233" w:right="767"/>
        <w:jc w:val="center"/>
      </w:pPr>
      <w:r>
        <w:rPr/>
        <w:t>QUE PARA OBTENER EL GRADO DE DOCTOR EN CIENCIAS AGROPECUARIAS Y RECURSOS NATURALES.</w:t>
      </w:r>
    </w:p>
    <w:p>
      <w:pPr>
        <w:pStyle w:val="BodyText"/>
      </w:pPr>
    </w:p>
    <w:p>
      <w:pPr>
        <w:pStyle w:val="BodyText"/>
        <w:spacing w:before="5"/>
        <w:rPr>
          <w:sz w:val="34"/>
        </w:rPr>
      </w:pPr>
    </w:p>
    <w:p>
      <w:pPr>
        <w:pStyle w:val="Heading2"/>
        <w:ind w:left="1233" w:right="769" w:firstLine="0"/>
        <w:jc w:val="center"/>
      </w:pPr>
      <w:r>
        <w:rPr/>
        <w:t>PRESENTA</w:t>
      </w:r>
    </w:p>
    <w:p>
      <w:pPr>
        <w:pStyle w:val="BodyText"/>
        <w:spacing w:before="201"/>
        <w:ind w:left="1233" w:right="768"/>
        <w:jc w:val="center"/>
      </w:pPr>
      <w:r>
        <w:rPr/>
        <w:t>MC NÉSTOR MÉNDEZ PALACIOS</w:t>
      </w:r>
    </w:p>
    <w:p>
      <w:pPr>
        <w:pStyle w:val="BodyText"/>
      </w:pPr>
    </w:p>
    <w:p>
      <w:pPr>
        <w:pStyle w:val="BodyText"/>
        <w:spacing w:before="7"/>
        <w:rPr>
          <w:sz w:val="34"/>
        </w:rPr>
      </w:pPr>
    </w:p>
    <w:p>
      <w:pPr>
        <w:pStyle w:val="Heading2"/>
        <w:ind w:left="1233" w:right="770" w:firstLine="0"/>
        <w:jc w:val="center"/>
      </w:pPr>
      <w:r>
        <w:rPr/>
        <w:t>COMITÉ DE TUTORES</w:t>
      </w:r>
    </w:p>
    <w:p>
      <w:pPr>
        <w:pStyle w:val="BodyText"/>
        <w:spacing w:line="412" w:lineRule="auto" w:before="201"/>
        <w:ind w:left="2733" w:right="2269" w:firstLine="2"/>
        <w:jc w:val="center"/>
      </w:pPr>
      <w:r>
        <w:rPr/>
        <w:t>DR. ANDRÉS ARAGÓN MARTÍNEZ DR. NAZARIO PESCADOR SALAS DR. OCTAVIO GUERRERO</w:t>
      </w:r>
      <w:r>
        <w:rPr>
          <w:spacing w:val="-5"/>
        </w:rPr>
        <w:t> </w:t>
      </w:r>
      <w:r>
        <w:rPr/>
        <w:t>ANDRADE</w:t>
      </w:r>
    </w:p>
    <w:p>
      <w:pPr>
        <w:pStyle w:val="BodyText"/>
      </w:pPr>
    </w:p>
    <w:p>
      <w:pPr>
        <w:pStyle w:val="BodyText"/>
        <w:spacing w:before="10"/>
        <w:rPr>
          <w:sz w:val="20"/>
        </w:rPr>
      </w:pPr>
    </w:p>
    <w:p>
      <w:pPr>
        <w:spacing w:before="0"/>
        <w:ind w:left="5285" w:right="0" w:firstLine="0"/>
        <w:jc w:val="left"/>
        <w:rPr>
          <w:rFonts w:ascii="Calibri" w:hAnsi="Calibri"/>
          <w:sz w:val="22"/>
        </w:rPr>
      </w:pPr>
      <w:r>
        <w:rPr>
          <w:rFonts w:ascii="Calibri" w:hAnsi="Calibri"/>
          <w:sz w:val="22"/>
        </w:rPr>
        <w:t>Toluca, Estado de México, Febrero de 2013</w:t>
      </w:r>
    </w:p>
    <w:p>
      <w:pPr>
        <w:spacing w:after="0"/>
        <w:jc w:val="left"/>
        <w:rPr>
          <w:rFonts w:ascii="Calibri" w:hAnsi="Calibri"/>
          <w:sz w:val="22"/>
        </w:rPr>
        <w:sectPr>
          <w:type w:val="continuous"/>
          <w:pgSz w:w="12240" w:h="15840"/>
          <w:pgMar w:top="1500" w:bottom="280" w:left="1400" w:right="158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spacing w:before="5"/>
        <w:rPr>
          <w:rFonts w:ascii="Times New Roman"/>
          <w:sz w:val="16"/>
        </w:rPr>
      </w:pPr>
    </w:p>
    <w:p>
      <w:pPr>
        <w:pStyle w:val="Heading1"/>
        <w:ind w:right="36"/>
      </w:pPr>
      <w:r>
        <w:rPr/>
        <w:t>RESUMEN</w:t>
      </w:r>
    </w:p>
    <w:p>
      <w:pPr>
        <w:pStyle w:val="BodyText"/>
        <w:rPr>
          <w:b/>
          <w:sz w:val="28"/>
        </w:rPr>
      </w:pPr>
    </w:p>
    <w:p>
      <w:pPr>
        <w:pStyle w:val="BodyText"/>
        <w:rPr>
          <w:b/>
          <w:sz w:val="38"/>
        </w:rPr>
      </w:pPr>
    </w:p>
    <w:p>
      <w:pPr>
        <w:pStyle w:val="BodyText"/>
        <w:spacing w:line="276" w:lineRule="auto"/>
        <w:ind w:left="265" w:right="115" w:firstLine="427"/>
        <w:jc w:val="both"/>
      </w:pPr>
      <w:r>
        <w:rPr/>
        <w:t>El balance entre la proliferación y la muerte celular juega un papel fundamental en la producción de gametos. Al inicio de la espermatogénesis durante la pubertad se hace notoria la aparición de una ola de muerte por apoptosis de las células germinales en las que BAX promueve la muerte de las células germinales durante las etapas finales de diferenciación celular, sin embargo, la asociación de BAX con BCL-2 es clave para la supervivencia celular. Las hormonas esteroides también tienen un papel importante dentro de la espermatogénesis y la supervivencia celular. La pCA tiene un efecto de inhibición de la síntesis de serotonina, induciendo la apoptosis de las células germinales, sin embargo, la intensidad de la respuesta al fármaco, en términos de número de células muertas, varia de manera interindividual. En este trabajo, se identificaron aquellos genes cuya expresión pueda ser determinante de la susceptibilidad a la apoptosis de las células germinales, se utilizaron ratas machos de la cepa CII-ZV de 30 días de edad. Se formaron tres grupos: pCA, Vh y CA. Los animales se clasificaron conforme a la susceptibilidad a los eventos de muerte celular por apoptosis (baja o alta), posteriormente se identificó las diferencias en la expresión de los genes de interés. Las concentraciones de serotonina (ng/mg) fueron de 1.93±0.43 para el CA, 1.70±0.81 para el Vh y 0.86±0.05 para la pCA, esto comprueba la inhibición de la síntesis de la serotonina. La expresión de BAX y ABP fueron mayores en los individuos de alta susceptibilidad comparada con los individuos de baja susceptibilidad. La expresión de los genes AR, BCL-2, 3βHSD y CREM∆ fue similar entre los individuos con baja o alta susceptibilidad. No hubo cambios en las concentraciones de las hormonas gonadotropinas ni esteroides. El modelo de investigación propuesto sirvió para identificar a las ratas con alta o baja susceptibilidad a la apoptosis y ver la relación de los genes de apoptosis con esta susceptibilidad.</w:t>
      </w:r>
    </w:p>
    <w:p>
      <w:pPr>
        <w:spacing w:after="0" w:line="276" w:lineRule="auto"/>
        <w:jc w:val="both"/>
        <w:sectPr>
          <w:pgSz w:w="12240" w:h="15840"/>
          <w:pgMar w:top="1500" w:bottom="280" w:left="1720" w:right="1580"/>
        </w:sectPr>
      </w:pPr>
    </w:p>
    <w:p>
      <w:pPr>
        <w:pStyle w:val="BodyText"/>
        <w:rPr>
          <w:sz w:val="20"/>
        </w:rPr>
      </w:pPr>
    </w:p>
    <w:p>
      <w:pPr>
        <w:pStyle w:val="BodyText"/>
        <w:spacing w:before="5"/>
        <w:rPr>
          <w:sz w:val="16"/>
        </w:rPr>
      </w:pPr>
    </w:p>
    <w:p>
      <w:pPr>
        <w:pStyle w:val="Heading1"/>
        <w:ind w:right="36"/>
      </w:pPr>
      <w:r>
        <w:rPr/>
        <w:t>ABSTRACT</w:t>
      </w:r>
    </w:p>
    <w:p>
      <w:pPr>
        <w:pStyle w:val="BodyText"/>
        <w:rPr>
          <w:b/>
          <w:sz w:val="28"/>
        </w:rPr>
      </w:pPr>
    </w:p>
    <w:p>
      <w:pPr>
        <w:pStyle w:val="BodyText"/>
        <w:rPr>
          <w:b/>
          <w:sz w:val="28"/>
        </w:rPr>
      </w:pPr>
    </w:p>
    <w:p>
      <w:pPr>
        <w:pStyle w:val="BodyText"/>
        <w:spacing w:before="9"/>
        <w:rPr>
          <w:b/>
          <w:sz w:val="28"/>
        </w:rPr>
      </w:pPr>
    </w:p>
    <w:p>
      <w:pPr>
        <w:pStyle w:val="BodyText"/>
        <w:spacing w:line="360" w:lineRule="auto"/>
        <w:ind w:left="265" w:right="116" w:firstLine="427"/>
        <w:jc w:val="both"/>
      </w:pPr>
      <w:r>
        <w:rPr/>
        <w:t>The balance between proliferation and cell death plays an essential role in the production of gametes. At the onset of spermatogenesis during puberty appears a wave of death by apoptosis of germ cells in which promotes BAX germ cell death during the final stages of cell differentiation, however, the association of BAX with BCL-2 is essential for cell survival. Steroid hormones also play an important role in spermatogenesis and cell survival. PCA has an effect of inhibiting the synthesis of serotonin, inducing apoptosis of germ cells, but the intensity of the response to the drug varies by individual, in terms of number of dead cells. In this study, we identified those genes whose expression can be the determinant of susceptibility to apoptosis of germ cells, were used male rats of the strain CII-ZV of 30 days old. Three groups were formed: pCA,  Vh and CA. The animals were classified according to the events of susceptibility to apoptotic cell death (low or high), after we identified differences in the expression of interest genes. Serotonin concentrations (ng/mg) were 1.93 ± 0.43 for CA, 1.70 ± 0.81 for Vh and 0.05 ± 0.86 for pCA, it comfirms the inhibiting serotonin synthesis. The expression of BAX and ABP were higher in high susceptibility individuals compared with individuals with low susceptibility. The gene expression of AR, BCL-2, 3βHSD and CREMΔ was similar among individuals with low or high susceptibility. No changes in the concentrations of gonadotropin or steroids hormones. The proposed research model was used to identify the rats with high or low susceptibility to apoptosis and know the relation of apoptotic genes with this</w:t>
      </w:r>
      <w:r>
        <w:rPr>
          <w:spacing w:val="-16"/>
        </w:rPr>
        <w:t> </w:t>
      </w:r>
      <w:r>
        <w:rPr/>
        <w:t>susceptibility.</w:t>
      </w:r>
    </w:p>
    <w:p>
      <w:pPr>
        <w:spacing w:after="0" w:line="360" w:lineRule="auto"/>
        <w:jc w:val="both"/>
        <w:sectPr>
          <w:pgSz w:w="12240" w:h="15840"/>
          <w:pgMar w:top="1500" w:bottom="280" w:left="1720" w:right="1580"/>
        </w:sectPr>
      </w:pPr>
    </w:p>
    <w:p>
      <w:pPr>
        <w:pStyle w:val="BodyText"/>
        <w:rPr>
          <w:sz w:val="20"/>
        </w:rPr>
      </w:pPr>
    </w:p>
    <w:p>
      <w:pPr>
        <w:pStyle w:val="BodyText"/>
        <w:spacing w:before="5"/>
        <w:rPr>
          <w:sz w:val="16"/>
        </w:rPr>
      </w:pPr>
    </w:p>
    <w:p>
      <w:pPr>
        <w:pStyle w:val="Heading1"/>
        <w:jc w:val="both"/>
      </w:pPr>
      <w:r>
        <w:rPr/>
        <w:t>AGRADECIMIENTOS</w:t>
      </w:r>
    </w:p>
    <w:p>
      <w:pPr>
        <w:pStyle w:val="BodyText"/>
        <w:rPr>
          <w:b/>
          <w:sz w:val="28"/>
        </w:rPr>
      </w:pPr>
    </w:p>
    <w:p>
      <w:pPr>
        <w:pStyle w:val="BodyText"/>
        <w:rPr>
          <w:b/>
          <w:sz w:val="28"/>
        </w:rPr>
      </w:pPr>
    </w:p>
    <w:p>
      <w:pPr>
        <w:pStyle w:val="BodyText"/>
        <w:spacing w:line="276" w:lineRule="auto" w:before="175"/>
        <w:ind w:left="265" w:right="100"/>
        <w:jc w:val="both"/>
      </w:pPr>
      <w:r>
        <w:rPr>
          <w:w w:val="95"/>
        </w:rPr>
        <w:t>A mi papá Maximino y a mi mamá Eva por creer, financiar y estimular mi </w:t>
      </w:r>
      <w:r>
        <w:rPr>
          <w:spacing w:val="2"/>
          <w:w w:val="95"/>
        </w:rPr>
        <w:t>desarrollo </w:t>
      </w:r>
      <w:r>
        <w:rPr>
          <w:w w:val="95"/>
        </w:rPr>
        <w:t>personal</w:t>
      </w:r>
      <w:r>
        <w:rPr>
          <w:spacing w:val="-11"/>
          <w:w w:val="95"/>
        </w:rPr>
        <w:t> </w:t>
      </w:r>
      <w:r>
        <w:rPr>
          <w:w w:val="95"/>
        </w:rPr>
        <w:t>e</w:t>
      </w:r>
      <w:r>
        <w:rPr>
          <w:spacing w:val="-12"/>
          <w:w w:val="95"/>
        </w:rPr>
        <w:t> </w:t>
      </w:r>
      <w:r>
        <w:rPr>
          <w:w w:val="95"/>
        </w:rPr>
        <w:t>intelectual.</w:t>
      </w:r>
      <w:r>
        <w:rPr>
          <w:spacing w:val="-11"/>
          <w:w w:val="95"/>
        </w:rPr>
        <w:t> </w:t>
      </w:r>
      <w:r>
        <w:rPr>
          <w:w w:val="95"/>
        </w:rPr>
        <w:t>Son</w:t>
      </w:r>
      <w:r>
        <w:rPr>
          <w:spacing w:val="-11"/>
          <w:w w:val="95"/>
        </w:rPr>
        <w:t> </w:t>
      </w:r>
      <w:r>
        <w:rPr>
          <w:w w:val="95"/>
        </w:rPr>
        <w:t>el</w:t>
      </w:r>
      <w:r>
        <w:rPr>
          <w:spacing w:val="-11"/>
          <w:w w:val="95"/>
        </w:rPr>
        <w:t> </w:t>
      </w:r>
      <w:r>
        <w:rPr>
          <w:w w:val="95"/>
        </w:rPr>
        <w:t>ejemplo</w:t>
      </w:r>
      <w:r>
        <w:rPr>
          <w:spacing w:val="-12"/>
          <w:w w:val="95"/>
        </w:rPr>
        <w:t> </w:t>
      </w:r>
      <w:r>
        <w:rPr>
          <w:w w:val="95"/>
        </w:rPr>
        <w:t>de</w:t>
      </w:r>
      <w:r>
        <w:rPr>
          <w:spacing w:val="-11"/>
          <w:w w:val="95"/>
        </w:rPr>
        <w:t> </w:t>
      </w:r>
      <w:r>
        <w:rPr>
          <w:w w:val="95"/>
        </w:rPr>
        <w:t>perseverancia</w:t>
      </w:r>
      <w:r>
        <w:rPr>
          <w:spacing w:val="-12"/>
          <w:w w:val="95"/>
        </w:rPr>
        <w:t> </w:t>
      </w:r>
      <w:r>
        <w:rPr>
          <w:w w:val="95"/>
        </w:rPr>
        <w:t>y</w:t>
      </w:r>
      <w:r>
        <w:rPr>
          <w:spacing w:val="-11"/>
          <w:w w:val="95"/>
        </w:rPr>
        <w:t> </w:t>
      </w:r>
      <w:r>
        <w:rPr>
          <w:w w:val="95"/>
        </w:rPr>
        <w:t>superación</w:t>
      </w:r>
      <w:r>
        <w:rPr>
          <w:spacing w:val="-11"/>
          <w:w w:val="95"/>
        </w:rPr>
        <w:t> </w:t>
      </w:r>
      <w:r>
        <w:rPr>
          <w:w w:val="95"/>
        </w:rPr>
        <w:t>más</w:t>
      </w:r>
      <w:r>
        <w:rPr>
          <w:spacing w:val="-11"/>
          <w:w w:val="95"/>
        </w:rPr>
        <w:t> </w:t>
      </w:r>
      <w:r>
        <w:rPr>
          <w:w w:val="95"/>
        </w:rPr>
        <w:t>grande</w:t>
      </w:r>
      <w:r>
        <w:rPr>
          <w:spacing w:val="-12"/>
          <w:w w:val="95"/>
        </w:rPr>
        <w:t> </w:t>
      </w:r>
      <w:r>
        <w:rPr>
          <w:w w:val="95"/>
        </w:rPr>
        <w:t>que tengo.</w:t>
      </w:r>
    </w:p>
    <w:p>
      <w:pPr>
        <w:pStyle w:val="BodyText"/>
        <w:spacing w:line="278" w:lineRule="auto" w:before="200"/>
        <w:ind w:left="265" w:right="116"/>
        <w:jc w:val="both"/>
      </w:pPr>
      <w:r>
        <w:rPr>
          <w:w w:val="95"/>
        </w:rPr>
        <w:t>Te doy las gracias Feli por tu cariño, paciencia y ayuda durante este largo tiempo de </w:t>
      </w:r>
      <w:r>
        <w:rPr>
          <w:w w:val="90"/>
        </w:rPr>
        <w:t>ausencias y retrasos para poder finalizar el trabajo.</w:t>
      </w:r>
    </w:p>
    <w:p>
      <w:pPr>
        <w:pStyle w:val="BodyText"/>
        <w:spacing w:before="197"/>
        <w:ind w:left="265"/>
        <w:jc w:val="both"/>
      </w:pPr>
      <w:r>
        <w:rPr>
          <w:w w:val="90"/>
        </w:rPr>
        <w:t>A mis nenes, Valecita y Nestitor por siempre sonreír y hacer mis días más felices.</w:t>
      </w:r>
    </w:p>
    <w:p>
      <w:pPr>
        <w:pStyle w:val="BodyText"/>
        <w:rPr>
          <w:sz w:val="21"/>
        </w:rPr>
      </w:pPr>
    </w:p>
    <w:p>
      <w:pPr>
        <w:pStyle w:val="BodyText"/>
        <w:spacing w:line="276" w:lineRule="auto" w:before="1"/>
        <w:ind w:left="265" w:right="119"/>
        <w:jc w:val="both"/>
      </w:pPr>
      <w:r>
        <w:rPr>
          <w:w w:val="90"/>
        </w:rPr>
        <w:t>A</w:t>
      </w:r>
      <w:r>
        <w:rPr>
          <w:spacing w:val="-12"/>
          <w:w w:val="90"/>
        </w:rPr>
        <w:t> </w:t>
      </w:r>
      <w:r>
        <w:rPr>
          <w:w w:val="90"/>
        </w:rPr>
        <w:t>mis</w:t>
      </w:r>
      <w:r>
        <w:rPr>
          <w:spacing w:val="-11"/>
          <w:w w:val="90"/>
        </w:rPr>
        <w:t> </w:t>
      </w:r>
      <w:r>
        <w:rPr>
          <w:w w:val="90"/>
        </w:rPr>
        <w:t>hermanas</w:t>
      </w:r>
      <w:r>
        <w:rPr>
          <w:spacing w:val="-11"/>
          <w:w w:val="90"/>
        </w:rPr>
        <w:t> </w:t>
      </w:r>
      <w:r>
        <w:rPr>
          <w:w w:val="90"/>
        </w:rPr>
        <w:t>Nelly</w:t>
      </w:r>
      <w:r>
        <w:rPr>
          <w:spacing w:val="-11"/>
          <w:w w:val="90"/>
        </w:rPr>
        <w:t> </w:t>
      </w:r>
      <w:r>
        <w:rPr>
          <w:w w:val="90"/>
        </w:rPr>
        <w:t>y</w:t>
      </w:r>
      <w:r>
        <w:rPr>
          <w:spacing w:val="-13"/>
          <w:w w:val="90"/>
        </w:rPr>
        <w:t> </w:t>
      </w:r>
      <w:r>
        <w:rPr>
          <w:w w:val="90"/>
        </w:rPr>
        <w:t>Netzi</w:t>
      </w:r>
      <w:r>
        <w:rPr>
          <w:spacing w:val="-11"/>
          <w:w w:val="90"/>
        </w:rPr>
        <w:t> </w:t>
      </w:r>
      <w:r>
        <w:rPr>
          <w:w w:val="90"/>
        </w:rPr>
        <w:t>por</w:t>
      </w:r>
      <w:r>
        <w:rPr>
          <w:spacing w:val="-11"/>
          <w:w w:val="90"/>
        </w:rPr>
        <w:t> </w:t>
      </w:r>
      <w:r>
        <w:rPr>
          <w:w w:val="90"/>
        </w:rPr>
        <w:t>no</w:t>
      </w:r>
      <w:r>
        <w:rPr>
          <w:spacing w:val="-11"/>
          <w:w w:val="90"/>
        </w:rPr>
        <w:t> </w:t>
      </w:r>
      <w:r>
        <w:rPr>
          <w:w w:val="90"/>
        </w:rPr>
        <w:t>estorbar</w:t>
      </w:r>
      <w:r>
        <w:rPr>
          <w:spacing w:val="-11"/>
          <w:w w:val="90"/>
        </w:rPr>
        <w:t> </w:t>
      </w:r>
      <w:r>
        <w:rPr>
          <w:w w:val="90"/>
        </w:rPr>
        <w:t>cuando</w:t>
      </w:r>
      <w:r>
        <w:rPr>
          <w:spacing w:val="-11"/>
          <w:w w:val="90"/>
        </w:rPr>
        <w:t> </w:t>
      </w:r>
      <w:r>
        <w:rPr>
          <w:w w:val="90"/>
        </w:rPr>
        <w:t>estaba</w:t>
      </w:r>
      <w:r>
        <w:rPr>
          <w:spacing w:val="-11"/>
          <w:w w:val="90"/>
        </w:rPr>
        <w:t> </w:t>
      </w:r>
      <w:r>
        <w:rPr>
          <w:w w:val="90"/>
        </w:rPr>
        <w:t>ocupado</w:t>
      </w:r>
      <w:r>
        <w:rPr>
          <w:spacing w:val="-11"/>
          <w:w w:val="90"/>
        </w:rPr>
        <w:t> </w:t>
      </w:r>
      <w:r>
        <w:rPr>
          <w:w w:val="90"/>
        </w:rPr>
        <w:t>escribiendo</w:t>
      </w:r>
      <w:r>
        <w:rPr>
          <w:spacing w:val="-11"/>
          <w:w w:val="90"/>
        </w:rPr>
        <w:t> </w:t>
      </w:r>
      <w:r>
        <w:rPr>
          <w:w w:val="90"/>
        </w:rPr>
        <w:t>la</w:t>
      </w:r>
      <w:r>
        <w:rPr>
          <w:spacing w:val="-13"/>
          <w:w w:val="90"/>
        </w:rPr>
        <w:t> </w:t>
      </w:r>
      <w:r>
        <w:rPr>
          <w:w w:val="90"/>
        </w:rPr>
        <w:t>tesis. Gracias</w:t>
      </w:r>
      <w:r>
        <w:rPr>
          <w:spacing w:val="-21"/>
          <w:w w:val="90"/>
        </w:rPr>
        <w:t> </w:t>
      </w:r>
      <w:r>
        <w:rPr>
          <w:w w:val="90"/>
        </w:rPr>
        <w:t>por</w:t>
      </w:r>
      <w:r>
        <w:rPr>
          <w:spacing w:val="-20"/>
          <w:w w:val="90"/>
        </w:rPr>
        <w:t> </w:t>
      </w:r>
      <w:r>
        <w:rPr>
          <w:w w:val="90"/>
        </w:rPr>
        <w:t>su</w:t>
      </w:r>
      <w:r>
        <w:rPr>
          <w:spacing w:val="-20"/>
          <w:w w:val="90"/>
        </w:rPr>
        <w:t> </w:t>
      </w:r>
      <w:r>
        <w:rPr>
          <w:w w:val="90"/>
        </w:rPr>
        <w:t>camaradería</w:t>
      </w:r>
      <w:r>
        <w:rPr>
          <w:spacing w:val="-19"/>
          <w:w w:val="90"/>
        </w:rPr>
        <w:t> </w:t>
      </w:r>
      <w:r>
        <w:rPr>
          <w:w w:val="90"/>
        </w:rPr>
        <w:t>y</w:t>
      </w:r>
      <w:r>
        <w:rPr>
          <w:spacing w:val="-21"/>
          <w:w w:val="90"/>
        </w:rPr>
        <w:t> </w:t>
      </w:r>
      <w:r>
        <w:rPr>
          <w:w w:val="90"/>
        </w:rPr>
        <w:t>cariño.</w:t>
      </w:r>
    </w:p>
    <w:p>
      <w:pPr>
        <w:pStyle w:val="BodyText"/>
        <w:spacing w:line="278" w:lineRule="auto" w:before="200"/>
        <w:ind w:left="265" w:right="101"/>
        <w:jc w:val="both"/>
      </w:pPr>
      <w:r>
        <w:rPr>
          <w:w w:val="90"/>
        </w:rPr>
        <w:t>Al</w:t>
      </w:r>
      <w:r>
        <w:rPr>
          <w:spacing w:val="-7"/>
          <w:w w:val="90"/>
        </w:rPr>
        <w:t> </w:t>
      </w:r>
      <w:r>
        <w:rPr>
          <w:w w:val="90"/>
        </w:rPr>
        <w:t>Doctor</w:t>
      </w:r>
      <w:r>
        <w:rPr>
          <w:spacing w:val="-6"/>
          <w:w w:val="90"/>
        </w:rPr>
        <w:t> </w:t>
      </w:r>
      <w:r>
        <w:rPr>
          <w:w w:val="90"/>
        </w:rPr>
        <w:t>Andrés</w:t>
      </w:r>
      <w:r>
        <w:rPr>
          <w:spacing w:val="-7"/>
          <w:w w:val="90"/>
        </w:rPr>
        <w:t> </w:t>
      </w:r>
      <w:r>
        <w:rPr>
          <w:w w:val="90"/>
        </w:rPr>
        <w:t>Aragón</w:t>
      </w:r>
      <w:r>
        <w:rPr>
          <w:spacing w:val="-6"/>
          <w:w w:val="90"/>
        </w:rPr>
        <w:t> </w:t>
      </w:r>
      <w:r>
        <w:rPr>
          <w:w w:val="90"/>
        </w:rPr>
        <w:t>por</w:t>
      </w:r>
      <w:r>
        <w:rPr>
          <w:spacing w:val="-6"/>
          <w:w w:val="90"/>
        </w:rPr>
        <w:t> </w:t>
      </w:r>
      <w:r>
        <w:rPr>
          <w:w w:val="90"/>
        </w:rPr>
        <w:t>confiarme</w:t>
      </w:r>
      <w:r>
        <w:rPr>
          <w:spacing w:val="-6"/>
          <w:w w:val="90"/>
        </w:rPr>
        <w:t> </w:t>
      </w:r>
      <w:r>
        <w:rPr>
          <w:w w:val="90"/>
        </w:rPr>
        <w:t>su</w:t>
      </w:r>
      <w:r>
        <w:rPr>
          <w:spacing w:val="-8"/>
          <w:w w:val="90"/>
        </w:rPr>
        <w:t> </w:t>
      </w:r>
      <w:r>
        <w:rPr>
          <w:w w:val="90"/>
        </w:rPr>
        <w:t>proyecto</w:t>
      </w:r>
      <w:r>
        <w:rPr>
          <w:spacing w:val="-6"/>
          <w:w w:val="90"/>
        </w:rPr>
        <w:t> </w:t>
      </w:r>
      <w:r>
        <w:rPr>
          <w:w w:val="90"/>
        </w:rPr>
        <w:t>de</w:t>
      </w:r>
      <w:r>
        <w:rPr>
          <w:spacing w:val="-8"/>
          <w:w w:val="90"/>
        </w:rPr>
        <w:t> </w:t>
      </w:r>
      <w:r>
        <w:rPr>
          <w:w w:val="90"/>
        </w:rPr>
        <w:t>investigación,</w:t>
      </w:r>
      <w:r>
        <w:rPr>
          <w:spacing w:val="5"/>
          <w:w w:val="90"/>
        </w:rPr>
        <w:t> </w:t>
      </w:r>
      <w:r>
        <w:rPr>
          <w:w w:val="90"/>
        </w:rPr>
        <w:t>gracias</w:t>
      </w:r>
      <w:r>
        <w:rPr>
          <w:spacing w:val="-7"/>
          <w:w w:val="90"/>
        </w:rPr>
        <w:t> </w:t>
      </w:r>
      <w:r>
        <w:rPr>
          <w:w w:val="90"/>
        </w:rPr>
        <w:t>por</w:t>
      </w:r>
      <w:r>
        <w:rPr>
          <w:spacing w:val="-6"/>
          <w:w w:val="90"/>
        </w:rPr>
        <w:t> </w:t>
      </w:r>
      <w:r>
        <w:rPr>
          <w:w w:val="90"/>
        </w:rPr>
        <w:t>crearme nuevas</w:t>
      </w:r>
      <w:r>
        <w:rPr>
          <w:spacing w:val="-19"/>
          <w:w w:val="90"/>
        </w:rPr>
        <w:t> </w:t>
      </w:r>
      <w:r>
        <w:rPr>
          <w:w w:val="90"/>
        </w:rPr>
        <w:t>dudas</w:t>
      </w:r>
      <w:r>
        <w:rPr>
          <w:spacing w:val="-19"/>
          <w:w w:val="90"/>
        </w:rPr>
        <w:t> </w:t>
      </w:r>
      <w:r>
        <w:rPr>
          <w:w w:val="90"/>
        </w:rPr>
        <w:t>para</w:t>
      </w:r>
      <w:r>
        <w:rPr>
          <w:spacing w:val="-17"/>
          <w:w w:val="90"/>
        </w:rPr>
        <w:t> </w:t>
      </w:r>
      <w:r>
        <w:rPr>
          <w:w w:val="90"/>
        </w:rPr>
        <w:t>poder</w:t>
      </w:r>
      <w:r>
        <w:rPr>
          <w:spacing w:val="-19"/>
          <w:w w:val="90"/>
        </w:rPr>
        <w:t> </w:t>
      </w:r>
      <w:r>
        <w:rPr>
          <w:w w:val="90"/>
        </w:rPr>
        <w:t>seguir</w:t>
      </w:r>
      <w:r>
        <w:rPr>
          <w:spacing w:val="-19"/>
          <w:w w:val="90"/>
        </w:rPr>
        <w:t> </w:t>
      </w:r>
      <w:r>
        <w:rPr>
          <w:w w:val="90"/>
        </w:rPr>
        <w:t>en</w:t>
      </w:r>
      <w:r>
        <w:rPr>
          <w:spacing w:val="-19"/>
          <w:w w:val="90"/>
        </w:rPr>
        <w:t> </w:t>
      </w:r>
      <w:r>
        <w:rPr>
          <w:w w:val="90"/>
        </w:rPr>
        <w:t>este</w:t>
      </w:r>
      <w:r>
        <w:rPr>
          <w:spacing w:val="-19"/>
          <w:w w:val="90"/>
        </w:rPr>
        <w:t> </w:t>
      </w:r>
      <w:r>
        <w:rPr>
          <w:w w:val="90"/>
        </w:rPr>
        <w:t>mundo</w:t>
      </w:r>
      <w:r>
        <w:rPr>
          <w:spacing w:val="-19"/>
          <w:w w:val="90"/>
        </w:rPr>
        <w:t> </w:t>
      </w:r>
      <w:r>
        <w:rPr>
          <w:w w:val="90"/>
        </w:rPr>
        <w:t>de</w:t>
      </w:r>
      <w:r>
        <w:rPr>
          <w:spacing w:val="-19"/>
          <w:w w:val="90"/>
        </w:rPr>
        <w:t> </w:t>
      </w:r>
      <w:r>
        <w:rPr>
          <w:w w:val="90"/>
        </w:rPr>
        <w:t>la</w:t>
      </w:r>
      <w:r>
        <w:rPr>
          <w:spacing w:val="-19"/>
          <w:w w:val="90"/>
        </w:rPr>
        <w:t> </w:t>
      </w:r>
      <w:r>
        <w:rPr>
          <w:w w:val="90"/>
        </w:rPr>
        <w:t>generación</w:t>
      </w:r>
      <w:r>
        <w:rPr>
          <w:spacing w:val="-19"/>
          <w:w w:val="90"/>
        </w:rPr>
        <w:t> </w:t>
      </w:r>
      <w:r>
        <w:rPr>
          <w:w w:val="90"/>
        </w:rPr>
        <w:t>de</w:t>
      </w:r>
      <w:r>
        <w:rPr>
          <w:spacing w:val="-19"/>
          <w:w w:val="90"/>
        </w:rPr>
        <w:t> </w:t>
      </w:r>
      <w:r>
        <w:rPr>
          <w:w w:val="90"/>
        </w:rPr>
        <w:t>conocimientos.</w:t>
      </w:r>
    </w:p>
    <w:p>
      <w:pPr>
        <w:pStyle w:val="BodyText"/>
        <w:spacing w:line="276" w:lineRule="auto" w:before="197"/>
        <w:ind w:left="265" w:right="103"/>
        <w:jc w:val="both"/>
      </w:pPr>
      <w:r>
        <w:rPr>
          <w:w w:val="95"/>
        </w:rPr>
        <w:t>Gracias</w:t>
      </w:r>
      <w:r>
        <w:rPr>
          <w:spacing w:val="-16"/>
          <w:w w:val="95"/>
        </w:rPr>
        <w:t> </w:t>
      </w:r>
      <w:r>
        <w:rPr>
          <w:w w:val="95"/>
        </w:rPr>
        <w:t>a</w:t>
      </w:r>
      <w:r>
        <w:rPr>
          <w:spacing w:val="-17"/>
          <w:w w:val="95"/>
        </w:rPr>
        <w:t> </w:t>
      </w:r>
      <w:r>
        <w:rPr>
          <w:w w:val="95"/>
        </w:rPr>
        <w:t>los</w:t>
      </w:r>
      <w:r>
        <w:rPr>
          <w:spacing w:val="-16"/>
          <w:w w:val="95"/>
        </w:rPr>
        <w:t> </w:t>
      </w:r>
      <w:r>
        <w:rPr>
          <w:w w:val="95"/>
        </w:rPr>
        <w:t>chicos</w:t>
      </w:r>
      <w:r>
        <w:rPr>
          <w:spacing w:val="-16"/>
          <w:w w:val="95"/>
        </w:rPr>
        <w:t> </w:t>
      </w:r>
      <w:r>
        <w:rPr>
          <w:w w:val="95"/>
        </w:rPr>
        <w:t>del</w:t>
      </w:r>
      <w:r>
        <w:rPr>
          <w:spacing w:val="-16"/>
          <w:w w:val="95"/>
        </w:rPr>
        <w:t> </w:t>
      </w:r>
      <w:r>
        <w:rPr>
          <w:w w:val="95"/>
        </w:rPr>
        <w:t>laboratorio,</w:t>
      </w:r>
      <w:r>
        <w:rPr>
          <w:spacing w:val="-16"/>
          <w:w w:val="95"/>
        </w:rPr>
        <w:t> </w:t>
      </w:r>
      <w:r>
        <w:rPr>
          <w:w w:val="95"/>
        </w:rPr>
        <w:t>Susana,</w:t>
      </w:r>
      <w:r>
        <w:rPr>
          <w:spacing w:val="-17"/>
          <w:w w:val="95"/>
        </w:rPr>
        <w:t> </w:t>
      </w:r>
      <w:r>
        <w:rPr>
          <w:w w:val="95"/>
        </w:rPr>
        <w:t>hacías</w:t>
      </w:r>
      <w:r>
        <w:rPr>
          <w:spacing w:val="-16"/>
          <w:w w:val="95"/>
        </w:rPr>
        <w:t> </w:t>
      </w:r>
      <w:r>
        <w:rPr>
          <w:w w:val="95"/>
        </w:rPr>
        <w:t>más</w:t>
      </w:r>
      <w:r>
        <w:rPr>
          <w:spacing w:val="-17"/>
          <w:w w:val="95"/>
        </w:rPr>
        <w:t> </w:t>
      </w:r>
      <w:r>
        <w:rPr>
          <w:w w:val="95"/>
        </w:rPr>
        <w:t>ligera</w:t>
      </w:r>
      <w:r>
        <w:rPr>
          <w:spacing w:val="-17"/>
          <w:w w:val="95"/>
        </w:rPr>
        <w:t> </w:t>
      </w:r>
      <w:r>
        <w:rPr>
          <w:w w:val="95"/>
        </w:rPr>
        <w:t>la</w:t>
      </w:r>
      <w:r>
        <w:rPr>
          <w:spacing w:val="-17"/>
          <w:w w:val="95"/>
        </w:rPr>
        <w:t> </w:t>
      </w:r>
      <w:r>
        <w:rPr>
          <w:w w:val="95"/>
        </w:rPr>
        <w:t>estancia</w:t>
      </w:r>
      <w:r>
        <w:rPr>
          <w:spacing w:val="-16"/>
          <w:w w:val="95"/>
        </w:rPr>
        <w:t> </w:t>
      </w:r>
      <w:r>
        <w:rPr>
          <w:w w:val="95"/>
        </w:rPr>
        <w:t>y</w:t>
      </w:r>
      <w:r>
        <w:rPr>
          <w:spacing w:val="-17"/>
          <w:w w:val="95"/>
        </w:rPr>
        <w:t> </w:t>
      </w:r>
      <w:r>
        <w:rPr>
          <w:w w:val="95"/>
        </w:rPr>
        <w:t>el</w:t>
      </w:r>
      <w:r>
        <w:rPr>
          <w:spacing w:val="-17"/>
          <w:w w:val="95"/>
        </w:rPr>
        <w:t> </w:t>
      </w:r>
      <w:r>
        <w:rPr>
          <w:w w:val="95"/>
        </w:rPr>
        <w:t>trabajo. Claudia,</w:t>
      </w:r>
      <w:r>
        <w:rPr>
          <w:spacing w:val="-9"/>
          <w:w w:val="95"/>
        </w:rPr>
        <w:t> </w:t>
      </w:r>
      <w:r>
        <w:rPr>
          <w:w w:val="95"/>
        </w:rPr>
        <w:t>me</w:t>
      </w:r>
      <w:r>
        <w:rPr>
          <w:spacing w:val="-8"/>
          <w:w w:val="95"/>
        </w:rPr>
        <w:t> </w:t>
      </w:r>
      <w:r>
        <w:rPr>
          <w:w w:val="95"/>
        </w:rPr>
        <w:t>apoyaste</w:t>
      </w:r>
      <w:r>
        <w:rPr>
          <w:spacing w:val="-9"/>
          <w:w w:val="95"/>
        </w:rPr>
        <w:t> </w:t>
      </w:r>
      <w:r>
        <w:rPr>
          <w:w w:val="95"/>
        </w:rPr>
        <w:t>mucho</w:t>
      </w:r>
      <w:r>
        <w:rPr>
          <w:spacing w:val="-9"/>
          <w:w w:val="95"/>
        </w:rPr>
        <w:t> </w:t>
      </w:r>
      <w:r>
        <w:rPr>
          <w:w w:val="95"/>
        </w:rPr>
        <w:t>sobre</w:t>
      </w:r>
      <w:r>
        <w:rPr>
          <w:spacing w:val="-9"/>
          <w:w w:val="95"/>
        </w:rPr>
        <w:t> </w:t>
      </w:r>
      <w:r>
        <w:rPr>
          <w:w w:val="95"/>
        </w:rPr>
        <w:t>todo</w:t>
      </w:r>
      <w:r>
        <w:rPr>
          <w:spacing w:val="-9"/>
          <w:w w:val="95"/>
        </w:rPr>
        <w:t> </w:t>
      </w:r>
      <w:r>
        <w:rPr>
          <w:w w:val="95"/>
        </w:rPr>
        <w:t>con</w:t>
      </w:r>
      <w:r>
        <w:rPr>
          <w:spacing w:val="-9"/>
          <w:w w:val="95"/>
        </w:rPr>
        <w:t> </w:t>
      </w:r>
      <w:r>
        <w:rPr>
          <w:w w:val="95"/>
        </w:rPr>
        <w:t>los</w:t>
      </w:r>
      <w:r>
        <w:rPr>
          <w:spacing w:val="-10"/>
          <w:w w:val="95"/>
        </w:rPr>
        <w:t> </w:t>
      </w:r>
      <w:r>
        <w:rPr>
          <w:w w:val="95"/>
        </w:rPr>
        <w:t>trámites,</w:t>
      </w:r>
      <w:r>
        <w:rPr>
          <w:spacing w:val="-9"/>
          <w:w w:val="95"/>
        </w:rPr>
        <w:t> </w:t>
      </w:r>
      <w:r>
        <w:rPr>
          <w:w w:val="95"/>
        </w:rPr>
        <w:t>Luis,</w:t>
      </w:r>
      <w:r>
        <w:rPr>
          <w:spacing w:val="-9"/>
          <w:w w:val="95"/>
        </w:rPr>
        <w:t> </w:t>
      </w:r>
      <w:r>
        <w:rPr>
          <w:spacing w:val="3"/>
          <w:w w:val="95"/>
        </w:rPr>
        <w:t>ayudaste</w:t>
      </w:r>
      <w:r>
        <w:rPr>
          <w:spacing w:val="-8"/>
          <w:w w:val="95"/>
        </w:rPr>
        <w:t> </w:t>
      </w:r>
      <w:r>
        <w:rPr>
          <w:w w:val="95"/>
        </w:rPr>
        <w:t>mucho</w:t>
      </w:r>
      <w:r>
        <w:rPr>
          <w:spacing w:val="-8"/>
          <w:w w:val="95"/>
        </w:rPr>
        <w:t> </w:t>
      </w:r>
      <w:r>
        <w:rPr>
          <w:w w:val="95"/>
        </w:rPr>
        <w:t>para </w:t>
      </w:r>
      <w:r>
        <w:rPr>
          <w:w w:val="90"/>
        </w:rPr>
        <w:t>poder</w:t>
      </w:r>
      <w:r>
        <w:rPr>
          <w:spacing w:val="-18"/>
          <w:w w:val="90"/>
        </w:rPr>
        <w:t> </w:t>
      </w:r>
      <w:r>
        <w:rPr>
          <w:w w:val="90"/>
        </w:rPr>
        <w:t>moverme</w:t>
      </w:r>
      <w:r>
        <w:rPr>
          <w:spacing w:val="-18"/>
          <w:w w:val="90"/>
        </w:rPr>
        <w:t> </w:t>
      </w:r>
      <w:r>
        <w:rPr>
          <w:w w:val="90"/>
        </w:rPr>
        <w:t>por</w:t>
      </w:r>
      <w:r>
        <w:rPr>
          <w:spacing w:val="-18"/>
          <w:w w:val="90"/>
        </w:rPr>
        <w:t> </w:t>
      </w:r>
      <w:r>
        <w:rPr>
          <w:w w:val="90"/>
        </w:rPr>
        <w:t>aquellos</w:t>
      </w:r>
      <w:r>
        <w:rPr>
          <w:spacing w:val="-19"/>
          <w:w w:val="90"/>
        </w:rPr>
        <w:t> </w:t>
      </w:r>
      <w:r>
        <w:rPr>
          <w:w w:val="90"/>
        </w:rPr>
        <w:t>rumbos.</w:t>
      </w:r>
      <w:r>
        <w:rPr>
          <w:spacing w:val="-18"/>
          <w:w w:val="90"/>
        </w:rPr>
        <w:t> </w:t>
      </w:r>
      <w:r>
        <w:rPr>
          <w:w w:val="90"/>
        </w:rPr>
        <w:t>Valoro</w:t>
      </w:r>
      <w:r>
        <w:rPr>
          <w:spacing w:val="-16"/>
          <w:w w:val="90"/>
        </w:rPr>
        <w:t> </w:t>
      </w:r>
      <w:r>
        <w:rPr>
          <w:w w:val="90"/>
        </w:rPr>
        <w:t>mucho</w:t>
      </w:r>
      <w:r>
        <w:rPr>
          <w:spacing w:val="-18"/>
          <w:w w:val="90"/>
        </w:rPr>
        <w:t> </w:t>
      </w:r>
      <w:r>
        <w:rPr>
          <w:w w:val="90"/>
        </w:rPr>
        <w:t>su</w:t>
      </w:r>
      <w:r>
        <w:rPr>
          <w:spacing w:val="-16"/>
          <w:w w:val="90"/>
        </w:rPr>
        <w:t> </w:t>
      </w:r>
      <w:r>
        <w:rPr>
          <w:w w:val="90"/>
        </w:rPr>
        <w:t>ayuda</w:t>
      </w:r>
      <w:r>
        <w:rPr>
          <w:spacing w:val="-16"/>
          <w:w w:val="90"/>
        </w:rPr>
        <w:t> </w:t>
      </w:r>
      <w:r>
        <w:rPr>
          <w:w w:val="90"/>
        </w:rPr>
        <w:t>y</w:t>
      </w:r>
      <w:r>
        <w:rPr>
          <w:spacing w:val="-19"/>
          <w:w w:val="90"/>
        </w:rPr>
        <w:t> </w:t>
      </w:r>
      <w:r>
        <w:rPr>
          <w:w w:val="90"/>
        </w:rPr>
        <w:t>aún</w:t>
      </w:r>
      <w:r>
        <w:rPr>
          <w:spacing w:val="-16"/>
          <w:w w:val="90"/>
        </w:rPr>
        <w:t> </w:t>
      </w:r>
      <w:r>
        <w:rPr>
          <w:w w:val="90"/>
        </w:rPr>
        <w:t>más</w:t>
      </w:r>
      <w:r>
        <w:rPr>
          <w:spacing w:val="-19"/>
          <w:w w:val="90"/>
        </w:rPr>
        <w:t> </w:t>
      </w:r>
      <w:r>
        <w:rPr>
          <w:w w:val="90"/>
        </w:rPr>
        <w:t>su</w:t>
      </w:r>
      <w:r>
        <w:rPr>
          <w:spacing w:val="-18"/>
          <w:w w:val="90"/>
        </w:rPr>
        <w:t> </w:t>
      </w:r>
      <w:r>
        <w:rPr>
          <w:w w:val="90"/>
        </w:rPr>
        <w:t>amistad.</w:t>
      </w:r>
    </w:p>
    <w:p>
      <w:pPr>
        <w:pStyle w:val="BodyText"/>
        <w:spacing w:line="278" w:lineRule="auto" w:before="200"/>
        <w:ind w:left="265" w:right="116"/>
        <w:jc w:val="both"/>
      </w:pPr>
      <w:r>
        <w:rPr>
          <w:w w:val="95"/>
        </w:rPr>
        <w:t>Le</w:t>
      </w:r>
      <w:r>
        <w:rPr>
          <w:spacing w:val="-22"/>
          <w:w w:val="95"/>
        </w:rPr>
        <w:t> </w:t>
      </w:r>
      <w:r>
        <w:rPr>
          <w:w w:val="95"/>
        </w:rPr>
        <w:t>agradezco</w:t>
      </w:r>
      <w:r>
        <w:rPr>
          <w:spacing w:val="-21"/>
          <w:w w:val="95"/>
        </w:rPr>
        <w:t> </w:t>
      </w:r>
      <w:r>
        <w:rPr>
          <w:w w:val="95"/>
        </w:rPr>
        <w:t>mucho</w:t>
      </w:r>
      <w:r>
        <w:rPr>
          <w:spacing w:val="-22"/>
          <w:w w:val="95"/>
        </w:rPr>
        <w:t> </w:t>
      </w:r>
      <w:r>
        <w:rPr>
          <w:w w:val="95"/>
        </w:rPr>
        <w:t>a</w:t>
      </w:r>
      <w:r>
        <w:rPr>
          <w:spacing w:val="-23"/>
          <w:w w:val="95"/>
        </w:rPr>
        <w:t> </w:t>
      </w:r>
      <w:r>
        <w:rPr>
          <w:w w:val="95"/>
        </w:rPr>
        <w:t>la</w:t>
      </w:r>
      <w:r>
        <w:rPr>
          <w:spacing w:val="-22"/>
          <w:w w:val="95"/>
        </w:rPr>
        <w:t> </w:t>
      </w:r>
      <w:r>
        <w:rPr>
          <w:w w:val="95"/>
        </w:rPr>
        <w:t>Doctora</w:t>
      </w:r>
      <w:r>
        <w:rPr>
          <w:spacing w:val="-21"/>
          <w:w w:val="95"/>
        </w:rPr>
        <w:t> </w:t>
      </w:r>
      <w:r>
        <w:rPr>
          <w:w w:val="95"/>
        </w:rPr>
        <w:t>María</w:t>
      </w:r>
      <w:r>
        <w:rPr>
          <w:spacing w:val="-22"/>
          <w:w w:val="95"/>
        </w:rPr>
        <w:t> </w:t>
      </w:r>
      <w:r>
        <w:rPr>
          <w:w w:val="95"/>
        </w:rPr>
        <w:t>Elena</w:t>
      </w:r>
      <w:r>
        <w:rPr>
          <w:spacing w:val="-21"/>
          <w:w w:val="95"/>
        </w:rPr>
        <w:t> </w:t>
      </w:r>
      <w:r>
        <w:rPr>
          <w:w w:val="95"/>
        </w:rPr>
        <w:t>Ayala</w:t>
      </w:r>
      <w:r>
        <w:rPr>
          <w:spacing w:val="-21"/>
          <w:w w:val="95"/>
        </w:rPr>
        <w:t> </w:t>
      </w:r>
      <w:r>
        <w:rPr>
          <w:w w:val="95"/>
        </w:rPr>
        <w:t>por</w:t>
      </w:r>
      <w:r>
        <w:rPr>
          <w:spacing w:val="-22"/>
          <w:w w:val="95"/>
        </w:rPr>
        <w:t> </w:t>
      </w:r>
      <w:r>
        <w:rPr>
          <w:w w:val="95"/>
        </w:rPr>
        <w:t>facilitar</w:t>
      </w:r>
      <w:r>
        <w:rPr>
          <w:spacing w:val="-21"/>
          <w:w w:val="95"/>
        </w:rPr>
        <w:t> </w:t>
      </w:r>
      <w:r>
        <w:rPr>
          <w:w w:val="95"/>
        </w:rPr>
        <w:t>su</w:t>
      </w:r>
      <w:r>
        <w:rPr>
          <w:spacing w:val="-22"/>
          <w:w w:val="95"/>
        </w:rPr>
        <w:t> </w:t>
      </w:r>
      <w:r>
        <w:rPr>
          <w:w w:val="95"/>
        </w:rPr>
        <w:t>área</w:t>
      </w:r>
      <w:r>
        <w:rPr>
          <w:spacing w:val="-21"/>
          <w:w w:val="95"/>
        </w:rPr>
        <w:t> </w:t>
      </w:r>
      <w:r>
        <w:rPr>
          <w:w w:val="95"/>
        </w:rPr>
        <w:t>de</w:t>
      </w:r>
      <w:r>
        <w:rPr>
          <w:spacing w:val="-22"/>
          <w:w w:val="95"/>
        </w:rPr>
        <w:t> </w:t>
      </w:r>
      <w:r>
        <w:rPr>
          <w:w w:val="95"/>
        </w:rPr>
        <w:t>trabajo,</w:t>
      </w:r>
      <w:r>
        <w:rPr>
          <w:spacing w:val="-22"/>
          <w:w w:val="95"/>
        </w:rPr>
        <w:t> </w:t>
      </w:r>
      <w:r>
        <w:rPr>
          <w:w w:val="95"/>
        </w:rPr>
        <w:t>los </w:t>
      </w:r>
      <w:r>
        <w:rPr>
          <w:w w:val="90"/>
        </w:rPr>
        <w:t>animales</w:t>
      </w:r>
      <w:r>
        <w:rPr>
          <w:spacing w:val="-19"/>
          <w:w w:val="90"/>
        </w:rPr>
        <w:t> </w:t>
      </w:r>
      <w:r>
        <w:rPr>
          <w:w w:val="90"/>
        </w:rPr>
        <w:t>y</w:t>
      </w:r>
      <w:r>
        <w:rPr>
          <w:spacing w:val="-19"/>
          <w:w w:val="90"/>
        </w:rPr>
        <w:t> </w:t>
      </w:r>
      <w:r>
        <w:rPr>
          <w:w w:val="90"/>
        </w:rPr>
        <w:t>los</w:t>
      </w:r>
      <w:r>
        <w:rPr>
          <w:spacing w:val="-17"/>
          <w:w w:val="90"/>
        </w:rPr>
        <w:t> </w:t>
      </w:r>
      <w:r>
        <w:rPr>
          <w:w w:val="90"/>
        </w:rPr>
        <w:t>análisis</w:t>
      </w:r>
      <w:r>
        <w:rPr>
          <w:spacing w:val="-19"/>
          <w:w w:val="90"/>
        </w:rPr>
        <w:t> </w:t>
      </w:r>
      <w:r>
        <w:rPr>
          <w:w w:val="90"/>
        </w:rPr>
        <w:t>que</w:t>
      </w:r>
      <w:r>
        <w:rPr>
          <w:spacing w:val="-18"/>
          <w:w w:val="90"/>
        </w:rPr>
        <w:t> </w:t>
      </w:r>
      <w:r>
        <w:rPr>
          <w:w w:val="90"/>
        </w:rPr>
        <w:t>hizo.</w:t>
      </w:r>
    </w:p>
    <w:p>
      <w:pPr>
        <w:pStyle w:val="BodyText"/>
        <w:spacing w:line="276" w:lineRule="auto" w:before="197"/>
        <w:ind w:left="265" w:right="107"/>
        <w:jc w:val="both"/>
      </w:pPr>
      <w:r>
        <w:rPr>
          <w:w w:val="95"/>
        </w:rPr>
        <w:t>A</w:t>
      </w:r>
      <w:r>
        <w:rPr>
          <w:spacing w:val="-41"/>
          <w:w w:val="95"/>
        </w:rPr>
        <w:t> </w:t>
      </w:r>
      <w:r>
        <w:rPr>
          <w:w w:val="95"/>
        </w:rPr>
        <w:t>los</w:t>
      </w:r>
      <w:r>
        <w:rPr>
          <w:spacing w:val="-41"/>
          <w:w w:val="95"/>
        </w:rPr>
        <w:t> </w:t>
      </w:r>
      <w:r>
        <w:rPr>
          <w:w w:val="95"/>
        </w:rPr>
        <w:t>muchachos</w:t>
      </w:r>
      <w:r>
        <w:rPr>
          <w:spacing w:val="-41"/>
          <w:w w:val="95"/>
        </w:rPr>
        <w:t> </w:t>
      </w:r>
      <w:r>
        <w:rPr>
          <w:w w:val="95"/>
        </w:rPr>
        <w:t>de</w:t>
      </w:r>
      <w:r>
        <w:rPr>
          <w:spacing w:val="-40"/>
          <w:w w:val="95"/>
        </w:rPr>
        <w:t> </w:t>
      </w:r>
      <w:r>
        <w:rPr>
          <w:w w:val="95"/>
        </w:rPr>
        <w:t>la</w:t>
      </w:r>
      <w:r>
        <w:rPr>
          <w:spacing w:val="-41"/>
          <w:w w:val="95"/>
        </w:rPr>
        <w:t> </w:t>
      </w:r>
      <w:r>
        <w:rPr>
          <w:w w:val="95"/>
        </w:rPr>
        <w:t>FES-Z</w:t>
      </w:r>
      <w:r>
        <w:rPr>
          <w:spacing w:val="-40"/>
          <w:w w:val="95"/>
        </w:rPr>
        <w:t> </w:t>
      </w:r>
      <w:r>
        <w:rPr>
          <w:w w:val="95"/>
        </w:rPr>
        <w:t>por</w:t>
      </w:r>
      <w:r>
        <w:rPr>
          <w:spacing w:val="-40"/>
          <w:w w:val="95"/>
        </w:rPr>
        <w:t> </w:t>
      </w:r>
      <w:r>
        <w:rPr>
          <w:w w:val="95"/>
        </w:rPr>
        <w:t>su</w:t>
      </w:r>
      <w:r>
        <w:rPr>
          <w:spacing w:val="-41"/>
          <w:w w:val="95"/>
        </w:rPr>
        <w:t> </w:t>
      </w:r>
      <w:r>
        <w:rPr>
          <w:w w:val="95"/>
        </w:rPr>
        <w:t>ayuda</w:t>
      </w:r>
      <w:r>
        <w:rPr>
          <w:spacing w:val="-40"/>
          <w:w w:val="95"/>
        </w:rPr>
        <w:t> </w:t>
      </w:r>
      <w:r>
        <w:rPr>
          <w:w w:val="95"/>
        </w:rPr>
        <w:t>durante</w:t>
      </w:r>
      <w:r>
        <w:rPr>
          <w:spacing w:val="-40"/>
          <w:w w:val="95"/>
        </w:rPr>
        <w:t> </w:t>
      </w:r>
      <w:r>
        <w:rPr>
          <w:w w:val="95"/>
        </w:rPr>
        <w:t>la</w:t>
      </w:r>
      <w:r>
        <w:rPr>
          <w:spacing w:val="-41"/>
          <w:w w:val="95"/>
        </w:rPr>
        <w:t> </w:t>
      </w:r>
      <w:r>
        <w:rPr>
          <w:w w:val="95"/>
        </w:rPr>
        <w:t>fase</w:t>
      </w:r>
      <w:r>
        <w:rPr>
          <w:spacing w:val="-40"/>
          <w:w w:val="95"/>
        </w:rPr>
        <w:t> </w:t>
      </w:r>
      <w:r>
        <w:rPr>
          <w:w w:val="95"/>
        </w:rPr>
        <w:t>experimental</w:t>
      </w:r>
      <w:r>
        <w:rPr>
          <w:spacing w:val="-41"/>
          <w:w w:val="95"/>
        </w:rPr>
        <w:t> </w:t>
      </w:r>
      <w:r>
        <w:rPr>
          <w:w w:val="95"/>
        </w:rPr>
        <w:t>(Jessica,</w:t>
      </w:r>
      <w:r>
        <w:rPr>
          <w:spacing w:val="-40"/>
          <w:w w:val="95"/>
        </w:rPr>
        <w:t> </w:t>
      </w:r>
      <w:r>
        <w:rPr>
          <w:w w:val="95"/>
        </w:rPr>
        <w:t>Diana</w:t>
      </w:r>
      <w:r>
        <w:rPr>
          <w:spacing w:val="-40"/>
          <w:w w:val="95"/>
        </w:rPr>
        <w:t> </w:t>
      </w:r>
      <w:r>
        <w:rPr>
          <w:w w:val="95"/>
        </w:rPr>
        <w:t>y </w:t>
      </w:r>
      <w:r>
        <w:rPr>
          <w:w w:val="90"/>
        </w:rPr>
        <w:t>los</w:t>
      </w:r>
      <w:r>
        <w:rPr>
          <w:spacing w:val="-32"/>
          <w:w w:val="90"/>
        </w:rPr>
        <w:t> </w:t>
      </w:r>
      <w:r>
        <w:rPr>
          <w:w w:val="90"/>
        </w:rPr>
        <w:t>demás).</w:t>
      </w:r>
    </w:p>
    <w:p>
      <w:pPr>
        <w:pStyle w:val="BodyText"/>
        <w:spacing w:line="276" w:lineRule="auto" w:before="202"/>
        <w:ind w:left="265" w:right="114"/>
        <w:jc w:val="both"/>
      </w:pPr>
      <w:r>
        <w:rPr>
          <w:w w:val="95"/>
        </w:rPr>
        <w:t>Al</w:t>
      </w:r>
      <w:r>
        <w:rPr>
          <w:spacing w:val="-36"/>
          <w:w w:val="95"/>
        </w:rPr>
        <w:t> </w:t>
      </w:r>
      <w:r>
        <w:rPr>
          <w:w w:val="95"/>
        </w:rPr>
        <w:t>Doctor</w:t>
      </w:r>
      <w:r>
        <w:rPr>
          <w:spacing w:val="-36"/>
          <w:w w:val="95"/>
        </w:rPr>
        <w:t> </w:t>
      </w:r>
      <w:r>
        <w:rPr>
          <w:w w:val="95"/>
        </w:rPr>
        <w:t>Nazario</w:t>
      </w:r>
      <w:r>
        <w:rPr>
          <w:spacing w:val="-36"/>
          <w:w w:val="95"/>
        </w:rPr>
        <w:t> </w:t>
      </w:r>
      <w:r>
        <w:rPr>
          <w:w w:val="95"/>
        </w:rPr>
        <w:t>Pescador</w:t>
      </w:r>
      <w:r>
        <w:rPr>
          <w:spacing w:val="-36"/>
          <w:w w:val="95"/>
        </w:rPr>
        <w:t> </w:t>
      </w:r>
      <w:r>
        <w:rPr>
          <w:w w:val="95"/>
        </w:rPr>
        <w:t>por</w:t>
      </w:r>
      <w:r>
        <w:rPr>
          <w:spacing w:val="-36"/>
          <w:w w:val="95"/>
        </w:rPr>
        <w:t> </w:t>
      </w:r>
      <w:r>
        <w:rPr>
          <w:w w:val="95"/>
        </w:rPr>
        <w:t>los</w:t>
      </w:r>
      <w:r>
        <w:rPr>
          <w:spacing w:val="-37"/>
          <w:w w:val="95"/>
        </w:rPr>
        <w:t> </w:t>
      </w:r>
      <w:r>
        <w:rPr>
          <w:w w:val="95"/>
        </w:rPr>
        <w:t>tips</w:t>
      </w:r>
      <w:r>
        <w:rPr>
          <w:spacing w:val="-36"/>
          <w:w w:val="95"/>
        </w:rPr>
        <w:t> </w:t>
      </w:r>
      <w:r>
        <w:rPr>
          <w:w w:val="95"/>
        </w:rPr>
        <w:t>y</w:t>
      </w:r>
      <w:r>
        <w:rPr>
          <w:spacing w:val="-37"/>
          <w:w w:val="95"/>
        </w:rPr>
        <w:t> </w:t>
      </w:r>
      <w:r>
        <w:rPr>
          <w:w w:val="95"/>
        </w:rPr>
        <w:t>las</w:t>
      </w:r>
      <w:r>
        <w:rPr>
          <w:spacing w:val="-36"/>
          <w:w w:val="95"/>
        </w:rPr>
        <w:t> </w:t>
      </w:r>
      <w:r>
        <w:rPr>
          <w:w w:val="95"/>
        </w:rPr>
        <w:t>observaciones</w:t>
      </w:r>
      <w:r>
        <w:rPr>
          <w:spacing w:val="-36"/>
          <w:w w:val="95"/>
        </w:rPr>
        <w:t> </w:t>
      </w:r>
      <w:r>
        <w:rPr>
          <w:w w:val="95"/>
        </w:rPr>
        <w:t>que</w:t>
      </w:r>
      <w:r>
        <w:rPr>
          <w:spacing w:val="-36"/>
          <w:w w:val="95"/>
        </w:rPr>
        <w:t> </w:t>
      </w:r>
      <w:r>
        <w:rPr>
          <w:w w:val="95"/>
        </w:rPr>
        <w:t>hizo</w:t>
      </w:r>
      <w:r>
        <w:rPr>
          <w:spacing w:val="-36"/>
          <w:w w:val="95"/>
        </w:rPr>
        <w:t> </w:t>
      </w:r>
      <w:r>
        <w:rPr>
          <w:w w:val="95"/>
        </w:rPr>
        <w:t>para</w:t>
      </w:r>
      <w:r>
        <w:rPr>
          <w:spacing w:val="-36"/>
          <w:w w:val="95"/>
        </w:rPr>
        <w:t> </w:t>
      </w:r>
      <w:r>
        <w:rPr>
          <w:w w:val="95"/>
        </w:rPr>
        <w:t>la</w:t>
      </w:r>
      <w:r>
        <w:rPr>
          <w:spacing w:val="-36"/>
          <w:w w:val="95"/>
        </w:rPr>
        <w:t> </w:t>
      </w:r>
      <w:r>
        <w:rPr>
          <w:w w:val="95"/>
        </w:rPr>
        <w:t>realización</w:t>
      </w:r>
      <w:r>
        <w:rPr>
          <w:spacing w:val="-36"/>
          <w:w w:val="95"/>
        </w:rPr>
        <w:t> </w:t>
      </w:r>
      <w:r>
        <w:rPr>
          <w:w w:val="95"/>
        </w:rPr>
        <w:t>y </w:t>
      </w:r>
      <w:r>
        <w:rPr>
          <w:w w:val="90"/>
        </w:rPr>
        <w:t>mejora</w:t>
      </w:r>
      <w:r>
        <w:rPr>
          <w:spacing w:val="-26"/>
          <w:w w:val="90"/>
        </w:rPr>
        <w:t> </w:t>
      </w:r>
      <w:r>
        <w:rPr>
          <w:w w:val="90"/>
        </w:rPr>
        <w:t>del</w:t>
      </w:r>
      <w:r>
        <w:rPr>
          <w:spacing w:val="-26"/>
          <w:w w:val="90"/>
        </w:rPr>
        <w:t> </w:t>
      </w:r>
      <w:r>
        <w:rPr>
          <w:w w:val="90"/>
        </w:rPr>
        <w:t>trabajo.</w:t>
      </w:r>
    </w:p>
    <w:p>
      <w:pPr>
        <w:pStyle w:val="BodyText"/>
        <w:spacing w:line="276" w:lineRule="auto" w:before="202"/>
        <w:ind w:left="265" w:right="100"/>
        <w:jc w:val="both"/>
      </w:pPr>
      <w:r>
        <w:rPr>
          <w:w w:val="95"/>
        </w:rPr>
        <w:t>Al</w:t>
      </w:r>
      <w:r>
        <w:rPr>
          <w:spacing w:val="-13"/>
          <w:w w:val="95"/>
        </w:rPr>
        <w:t> </w:t>
      </w:r>
      <w:r>
        <w:rPr>
          <w:w w:val="95"/>
        </w:rPr>
        <w:t>Doctor</w:t>
      </w:r>
      <w:r>
        <w:rPr>
          <w:spacing w:val="-13"/>
          <w:w w:val="95"/>
        </w:rPr>
        <w:t> </w:t>
      </w:r>
      <w:r>
        <w:rPr>
          <w:w w:val="95"/>
        </w:rPr>
        <w:t>Octavio</w:t>
      </w:r>
      <w:r>
        <w:rPr>
          <w:spacing w:val="-13"/>
          <w:w w:val="95"/>
        </w:rPr>
        <w:t> </w:t>
      </w:r>
      <w:r>
        <w:rPr>
          <w:w w:val="95"/>
        </w:rPr>
        <w:t>Guerrero</w:t>
      </w:r>
      <w:r>
        <w:rPr>
          <w:spacing w:val="-13"/>
          <w:w w:val="95"/>
        </w:rPr>
        <w:t> </w:t>
      </w:r>
      <w:r>
        <w:rPr>
          <w:w w:val="95"/>
        </w:rPr>
        <w:t>por</w:t>
      </w:r>
      <w:r>
        <w:rPr>
          <w:spacing w:val="-13"/>
          <w:w w:val="95"/>
        </w:rPr>
        <w:t> </w:t>
      </w:r>
      <w:r>
        <w:rPr>
          <w:w w:val="95"/>
        </w:rPr>
        <w:t>confiar</w:t>
      </w:r>
      <w:r>
        <w:rPr>
          <w:spacing w:val="-13"/>
          <w:w w:val="95"/>
        </w:rPr>
        <w:t> </w:t>
      </w:r>
      <w:r>
        <w:rPr>
          <w:w w:val="95"/>
        </w:rPr>
        <w:t>en</w:t>
      </w:r>
      <w:r>
        <w:rPr>
          <w:spacing w:val="-13"/>
          <w:w w:val="95"/>
        </w:rPr>
        <w:t> </w:t>
      </w:r>
      <w:r>
        <w:rPr>
          <w:w w:val="95"/>
        </w:rPr>
        <w:t>el</w:t>
      </w:r>
      <w:r>
        <w:rPr>
          <w:spacing w:val="-13"/>
          <w:w w:val="95"/>
        </w:rPr>
        <w:t> </w:t>
      </w:r>
      <w:r>
        <w:rPr>
          <w:w w:val="95"/>
        </w:rPr>
        <w:t>proyecto</w:t>
      </w:r>
      <w:r>
        <w:rPr>
          <w:spacing w:val="-13"/>
          <w:w w:val="95"/>
        </w:rPr>
        <w:t> </w:t>
      </w:r>
      <w:r>
        <w:rPr>
          <w:w w:val="95"/>
        </w:rPr>
        <w:t>y</w:t>
      </w:r>
      <w:r>
        <w:rPr>
          <w:spacing w:val="-13"/>
          <w:w w:val="95"/>
        </w:rPr>
        <w:t> </w:t>
      </w:r>
      <w:r>
        <w:rPr>
          <w:w w:val="95"/>
        </w:rPr>
        <w:t>principalmente</w:t>
      </w:r>
      <w:r>
        <w:rPr>
          <w:spacing w:val="-13"/>
          <w:w w:val="95"/>
        </w:rPr>
        <w:t> </w:t>
      </w:r>
      <w:r>
        <w:rPr>
          <w:w w:val="95"/>
        </w:rPr>
        <w:t>por</w:t>
      </w:r>
      <w:r>
        <w:rPr>
          <w:spacing w:val="-13"/>
          <w:w w:val="95"/>
        </w:rPr>
        <w:t> </w:t>
      </w:r>
      <w:r>
        <w:rPr>
          <w:w w:val="95"/>
        </w:rPr>
        <w:t>la</w:t>
      </w:r>
      <w:r>
        <w:rPr>
          <w:spacing w:val="-13"/>
          <w:w w:val="95"/>
        </w:rPr>
        <w:t> </w:t>
      </w:r>
      <w:r>
        <w:rPr>
          <w:spacing w:val="3"/>
          <w:w w:val="95"/>
        </w:rPr>
        <w:t>asesoría </w:t>
      </w:r>
      <w:r>
        <w:rPr>
          <w:w w:val="95"/>
        </w:rPr>
        <w:t>técnica.</w:t>
      </w:r>
    </w:p>
    <w:p>
      <w:pPr>
        <w:pStyle w:val="BodyText"/>
        <w:spacing w:before="203"/>
        <w:ind w:left="265"/>
        <w:jc w:val="both"/>
      </w:pPr>
      <w:r>
        <w:rPr>
          <w:w w:val="90"/>
        </w:rPr>
        <w:t>Gracias a la FMVZ-UAEM y al CONACYT.</w:t>
      </w:r>
    </w:p>
    <w:p>
      <w:pPr>
        <w:spacing w:after="0"/>
        <w:jc w:val="both"/>
        <w:sectPr>
          <w:pgSz w:w="12240" w:h="15840"/>
          <w:pgMar w:top="1500" w:bottom="280" w:left="1720" w:right="1600"/>
        </w:sectPr>
      </w:pPr>
    </w:p>
    <w:p>
      <w:pPr>
        <w:pStyle w:val="BodyText"/>
        <w:rPr>
          <w:sz w:val="20"/>
        </w:rPr>
      </w:pPr>
    </w:p>
    <w:p>
      <w:pPr>
        <w:pStyle w:val="BodyText"/>
        <w:spacing w:before="5"/>
        <w:rPr>
          <w:sz w:val="16"/>
        </w:rPr>
      </w:pPr>
    </w:p>
    <w:p>
      <w:pPr>
        <w:pStyle w:val="Heading1"/>
        <w:ind w:left="305" w:right="176"/>
      </w:pPr>
      <w:r>
        <w:rPr/>
        <w:t>CONTENIDO</w:t>
      </w:r>
    </w:p>
    <w:p>
      <w:pPr>
        <w:pStyle w:val="BodyText"/>
        <w:rPr>
          <w:b/>
          <w:sz w:val="20"/>
        </w:rPr>
      </w:pPr>
    </w:p>
    <w:p>
      <w:pPr>
        <w:pStyle w:val="BodyText"/>
        <w:rPr>
          <w:b/>
          <w:sz w:val="20"/>
        </w:rPr>
      </w:pPr>
    </w:p>
    <w:p>
      <w:pPr>
        <w:pStyle w:val="BodyText"/>
        <w:rPr>
          <w:b/>
          <w:sz w:val="20"/>
        </w:rPr>
      </w:pPr>
    </w:p>
    <w:p>
      <w:pPr>
        <w:pStyle w:val="BodyText"/>
        <w:spacing w:before="5"/>
        <w:rPr>
          <w:b/>
          <w:sz w:val="27"/>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00"/>
        <w:gridCol w:w="1391"/>
      </w:tblGrid>
      <w:tr>
        <w:trPr>
          <w:trHeight w:val="379" w:hRule="exact"/>
        </w:trPr>
        <w:tc>
          <w:tcPr>
            <w:tcW w:w="7400" w:type="dxa"/>
          </w:tcPr>
          <w:p>
            <w:pPr/>
          </w:p>
        </w:tc>
        <w:tc>
          <w:tcPr>
            <w:tcW w:w="1391" w:type="dxa"/>
          </w:tcPr>
          <w:p>
            <w:pPr>
              <w:pStyle w:val="TableParagraph"/>
              <w:spacing w:line="245" w:lineRule="exact"/>
              <w:ind w:left="382" w:right="180"/>
              <w:rPr>
                <w:b/>
                <w:sz w:val="24"/>
              </w:rPr>
            </w:pPr>
            <w:r>
              <w:rPr>
                <w:b/>
                <w:sz w:val="24"/>
              </w:rPr>
              <w:t>Página</w:t>
            </w:r>
          </w:p>
        </w:tc>
      </w:tr>
      <w:tr>
        <w:trPr>
          <w:trHeight w:val="518" w:hRule="exact"/>
        </w:trPr>
        <w:tc>
          <w:tcPr>
            <w:tcW w:w="7400" w:type="dxa"/>
          </w:tcPr>
          <w:p>
            <w:pPr>
              <w:pStyle w:val="TableParagraph"/>
              <w:spacing w:before="108"/>
              <w:ind w:left="200"/>
              <w:jc w:val="left"/>
              <w:rPr>
                <w:b/>
                <w:sz w:val="24"/>
              </w:rPr>
            </w:pPr>
            <w:r>
              <w:rPr>
                <w:b/>
                <w:sz w:val="24"/>
              </w:rPr>
              <w:t>I. INTRODUCCION</w:t>
            </w:r>
          </w:p>
        </w:tc>
        <w:tc>
          <w:tcPr>
            <w:tcW w:w="1391" w:type="dxa"/>
          </w:tcPr>
          <w:p>
            <w:pPr>
              <w:pStyle w:val="TableParagraph"/>
              <w:spacing w:before="108"/>
              <w:ind w:left="200"/>
              <w:rPr>
                <w:sz w:val="24"/>
              </w:rPr>
            </w:pPr>
            <w:r>
              <w:rPr>
                <w:w w:val="99"/>
                <w:sz w:val="24"/>
              </w:rPr>
              <w:t>1</w:t>
            </w:r>
          </w:p>
        </w:tc>
      </w:tr>
      <w:tr>
        <w:trPr>
          <w:trHeight w:val="517" w:hRule="exact"/>
        </w:trPr>
        <w:tc>
          <w:tcPr>
            <w:tcW w:w="7400" w:type="dxa"/>
          </w:tcPr>
          <w:p>
            <w:pPr>
              <w:pStyle w:val="TableParagraph"/>
              <w:spacing w:before="108"/>
              <w:ind w:left="200"/>
              <w:jc w:val="left"/>
              <w:rPr>
                <w:b/>
                <w:sz w:val="24"/>
              </w:rPr>
            </w:pPr>
            <w:r>
              <w:rPr>
                <w:b/>
                <w:sz w:val="24"/>
              </w:rPr>
              <w:t>II. Revisión de Literatura</w:t>
            </w:r>
          </w:p>
        </w:tc>
        <w:tc>
          <w:tcPr>
            <w:tcW w:w="1391" w:type="dxa"/>
          </w:tcPr>
          <w:p>
            <w:pPr>
              <w:pStyle w:val="TableParagraph"/>
              <w:spacing w:before="108"/>
              <w:ind w:left="200"/>
              <w:rPr>
                <w:sz w:val="24"/>
              </w:rPr>
            </w:pPr>
            <w:r>
              <w:rPr>
                <w:w w:val="99"/>
                <w:sz w:val="24"/>
              </w:rPr>
              <w:t>4</w:t>
            </w:r>
          </w:p>
        </w:tc>
      </w:tr>
      <w:tr>
        <w:trPr>
          <w:trHeight w:val="518" w:hRule="exact"/>
        </w:trPr>
        <w:tc>
          <w:tcPr>
            <w:tcW w:w="7400" w:type="dxa"/>
          </w:tcPr>
          <w:p>
            <w:pPr>
              <w:pStyle w:val="TableParagraph"/>
              <w:spacing w:before="107"/>
              <w:ind w:left="444"/>
              <w:jc w:val="left"/>
              <w:rPr>
                <w:sz w:val="24"/>
              </w:rPr>
            </w:pPr>
            <w:r>
              <w:rPr>
                <w:sz w:val="24"/>
              </w:rPr>
              <w:t>2.1 Apoptosis</w:t>
            </w:r>
          </w:p>
        </w:tc>
        <w:tc>
          <w:tcPr>
            <w:tcW w:w="1391" w:type="dxa"/>
          </w:tcPr>
          <w:p>
            <w:pPr>
              <w:pStyle w:val="TableParagraph"/>
              <w:spacing w:before="107"/>
              <w:ind w:left="200"/>
              <w:rPr>
                <w:sz w:val="24"/>
              </w:rPr>
            </w:pPr>
            <w:r>
              <w:rPr>
                <w:w w:val="99"/>
                <w:sz w:val="24"/>
              </w:rPr>
              <w:t>4</w:t>
            </w:r>
          </w:p>
        </w:tc>
      </w:tr>
      <w:tr>
        <w:trPr>
          <w:trHeight w:val="518" w:hRule="exact"/>
        </w:trPr>
        <w:tc>
          <w:tcPr>
            <w:tcW w:w="7400" w:type="dxa"/>
          </w:tcPr>
          <w:p>
            <w:pPr>
              <w:pStyle w:val="TableParagraph"/>
              <w:spacing w:before="109"/>
              <w:ind w:left="444"/>
              <w:jc w:val="left"/>
              <w:rPr>
                <w:sz w:val="24"/>
              </w:rPr>
            </w:pPr>
            <w:r>
              <w:rPr>
                <w:sz w:val="24"/>
              </w:rPr>
              <w:t>2.2 Célula B del Linfoma 2 (BCL-2)</w:t>
            </w:r>
          </w:p>
        </w:tc>
        <w:tc>
          <w:tcPr>
            <w:tcW w:w="1391" w:type="dxa"/>
          </w:tcPr>
          <w:p>
            <w:pPr>
              <w:pStyle w:val="TableParagraph"/>
              <w:spacing w:before="109"/>
              <w:ind w:left="200"/>
              <w:rPr>
                <w:sz w:val="24"/>
              </w:rPr>
            </w:pPr>
            <w:r>
              <w:rPr>
                <w:w w:val="99"/>
                <w:sz w:val="24"/>
              </w:rPr>
              <w:t>6</w:t>
            </w:r>
          </w:p>
        </w:tc>
      </w:tr>
      <w:tr>
        <w:trPr>
          <w:trHeight w:val="517" w:hRule="exact"/>
        </w:trPr>
        <w:tc>
          <w:tcPr>
            <w:tcW w:w="7400" w:type="dxa"/>
          </w:tcPr>
          <w:p>
            <w:pPr>
              <w:pStyle w:val="TableParagraph"/>
              <w:spacing w:before="107"/>
              <w:ind w:left="444"/>
              <w:jc w:val="left"/>
              <w:rPr>
                <w:sz w:val="24"/>
              </w:rPr>
            </w:pPr>
            <w:r>
              <w:rPr>
                <w:sz w:val="24"/>
              </w:rPr>
              <w:t>2.3 Proteína X Asociada a BCL-2 (BAX)</w:t>
            </w:r>
          </w:p>
        </w:tc>
        <w:tc>
          <w:tcPr>
            <w:tcW w:w="1391" w:type="dxa"/>
          </w:tcPr>
          <w:p>
            <w:pPr>
              <w:pStyle w:val="TableParagraph"/>
              <w:spacing w:before="107"/>
              <w:ind w:left="200"/>
              <w:rPr>
                <w:sz w:val="24"/>
              </w:rPr>
            </w:pPr>
            <w:r>
              <w:rPr>
                <w:w w:val="99"/>
                <w:sz w:val="24"/>
              </w:rPr>
              <w:t>8</w:t>
            </w:r>
          </w:p>
        </w:tc>
      </w:tr>
      <w:tr>
        <w:trPr>
          <w:trHeight w:val="517" w:hRule="exact"/>
        </w:trPr>
        <w:tc>
          <w:tcPr>
            <w:tcW w:w="7400" w:type="dxa"/>
          </w:tcPr>
          <w:p>
            <w:pPr>
              <w:pStyle w:val="TableParagraph"/>
              <w:spacing w:before="108"/>
              <w:ind w:left="444"/>
              <w:jc w:val="left"/>
              <w:rPr>
                <w:sz w:val="24"/>
              </w:rPr>
            </w:pPr>
            <w:r>
              <w:rPr>
                <w:sz w:val="24"/>
              </w:rPr>
              <w:t>2.4 Serotonina</w:t>
            </w:r>
          </w:p>
        </w:tc>
        <w:tc>
          <w:tcPr>
            <w:tcW w:w="1391" w:type="dxa"/>
          </w:tcPr>
          <w:p>
            <w:pPr>
              <w:pStyle w:val="TableParagraph"/>
              <w:spacing w:before="108"/>
              <w:ind w:left="200"/>
              <w:rPr>
                <w:sz w:val="24"/>
              </w:rPr>
            </w:pPr>
            <w:r>
              <w:rPr>
                <w:w w:val="99"/>
                <w:sz w:val="24"/>
              </w:rPr>
              <w:t>9</w:t>
            </w:r>
          </w:p>
        </w:tc>
      </w:tr>
      <w:tr>
        <w:trPr>
          <w:trHeight w:val="517" w:hRule="exact"/>
        </w:trPr>
        <w:tc>
          <w:tcPr>
            <w:tcW w:w="7400" w:type="dxa"/>
          </w:tcPr>
          <w:p>
            <w:pPr>
              <w:pStyle w:val="TableParagraph"/>
              <w:spacing w:before="107"/>
              <w:ind w:left="444"/>
              <w:jc w:val="left"/>
              <w:rPr>
                <w:sz w:val="24"/>
              </w:rPr>
            </w:pPr>
            <w:r>
              <w:rPr>
                <w:sz w:val="24"/>
              </w:rPr>
              <w:t>2.5 P-cloroanfetamina</w:t>
            </w:r>
          </w:p>
        </w:tc>
        <w:tc>
          <w:tcPr>
            <w:tcW w:w="1391" w:type="dxa"/>
          </w:tcPr>
          <w:p>
            <w:pPr>
              <w:pStyle w:val="TableParagraph"/>
              <w:spacing w:before="107"/>
              <w:ind w:left="200"/>
              <w:rPr>
                <w:sz w:val="24"/>
              </w:rPr>
            </w:pPr>
            <w:r>
              <w:rPr>
                <w:w w:val="99"/>
                <w:sz w:val="24"/>
              </w:rPr>
              <w:t>9</w:t>
            </w:r>
          </w:p>
        </w:tc>
      </w:tr>
      <w:tr>
        <w:trPr>
          <w:trHeight w:val="518" w:hRule="exact"/>
        </w:trPr>
        <w:tc>
          <w:tcPr>
            <w:tcW w:w="7400" w:type="dxa"/>
          </w:tcPr>
          <w:p>
            <w:pPr>
              <w:pStyle w:val="TableParagraph"/>
              <w:spacing w:before="108"/>
              <w:ind w:left="444"/>
              <w:jc w:val="left"/>
              <w:rPr>
                <w:sz w:val="24"/>
              </w:rPr>
            </w:pPr>
            <w:r>
              <w:rPr>
                <w:sz w:val="24"/>
              </w:rPr>
              <w:t>2.6 Espermatogénesis</w:t>
            </w:r>
          </w:p>
        </w:tc>
        <w:tc>
          <w:tcPr>
            <w:tcW w:w="1391" w:type="dxa"/>
          </w:tcPr>
          <w:p>
            <w:pPr>
              <w:pStyle w:val="TableParagraph"/>
              <w:spacing w:before="108"/>
              <w:ind w:left="381" w:right="180"/>
              <w:rPr>
                <w:sz w:val="24"/>
              </w:rPr>
            </w:pPr>
            <w:r>
              <w:rPr>
                <w:sz w:val="24"/>
              </w:rPr>
              <w:t>10</w:t>
            </w:r>
          </w:p>
        </w:tc>
      </w:tr>
      <w:tr>
        <w:trPr>
          <w:trHeight w:val="517" w:hRule="exact"/>
        </w:trPr>
        <w:tc>
          <w:tcPr>
            <w:tcW w:w="7400" w:type="dxa"/>
          </w:tcPr>
          <w:p>
            <w:pPr>
              <w:pStyle w:val="TableParagraph"/>
              <w:spacing w:before="108"/>
              <w:ind w:left="444"/>
              <w:jc w:val="left"/>
              <w:rPr>
                <w:sz w:val="24"/>
              </w:rPr>
            </w:pPr>
            <w:r>
              <w:rPr>
                <w:sz w:val="24"/>
              </w:rPr>
              <w:t>2.7 Gonadotropinas</w:t>
            </w:r>
          </w:p>
        </w:tc>
        <w:tc>
          <w:tcPr>
            <w:tcW w:w="1391" w:type="dxa"/>
          </w:tcPr>
          <w:p>
            <w:pPr>
              <w:pStyle w:val="TableParagraph"/>
              <w:spacing w:before="108"/>
              <w:ind w:left="381" w:right="180"/>
              <w:rPr>
                <w:sz w:val="24"/>
              </w:rPr>
            </w:pPr>
            <w:r>
              <w:rPr>
                <w:sz w:val="24"/>
              </w:rPr>
              <w:t>13</w:t>
            </w:r>
          </w:p>
        </w:tc>
      </w:tr>
      <w:tr>
        <w:trPr>
          <w:trHeight w:val="517" w:hRule="exact"/>
        </w:trPr>
        <w:tc>
          <w:tcPr>
            <w:tcW w:w="7400" w:type="dxa"/>
          </w:tcPr>
          <w:p>
            <w:pPr>
              <w:pStyle w:val="TableParagraph"/>
              <w:spacing w:before="107"/>
              <w:ind w:left="444"/>
              <w:jc w:val="left"/>
              <w:rPr>
                <w:sz w:val="24"/>
              </w:rPr>
            </w:pPr>
            <w:r>
              <w:rPr>
                <w:sz w:val="24"/>
              </w:rPr>
              <w:t>2.8 Hormonas Esteroides</w:t>
            </w:r>
          </w:p>
        </w:tc>
        <w:tc>
          <w:tcPr>
            <w:tcW w:w="1391" w:type="dxa"/>
          </w:tcPr>
          <w:p>
            <w:pPr>
              <w:pStyle w:val="TableParagraph"/>
              <w:spacing w:before="107"/>
              <w:ind w:left="381" w:right="180"/>
              <w:rPr>
                <w:sz w:val="24"/>
              </w:rPr>
            </w:pPr>
            <w:r>
              <w:rPr>
                <w:sz w:val="24"/>
              </w:rPr>
              <w:t>13</w:t>
            </w:r>
          </w:p>
        </w:tc>
      </w:tr>
      <w:tr>
        <w:trPr>
          <w:trHeight w:val="517" w:hRule="exact"/>
        </w:trPr>
        <w:tc>
          <w:tcPr>
            <w:tcW w:w="7400" w:type="dxa"/>
          </w:tcPr>
          <w:p>
            <w:pPr>
              <w:pStyle w:val="TableParagraph"/>
              <w:spacing w:before="108"/>
              <w:ind w:left="444"/>
              <w:jc w:val="left"/>
              <w:rPr>
                <w:sz w:val="24"/>
              </w:rPr>
            </w:pPr>
            <w:r>
              <w:rPr>
                <w:sz w:val="24"/>
              </w:rPr>
              <w:t>2.9 3β-Hidroxiesteroide Deshidrogenasa (3βHSD)</w:t>
            </w:r>
          </w:p>
        </w:tc>
        <w:tc>
          <w:tcPr>
            <w:tcW w:w="1391" w:type="dxa"/>
          </w:tcPr>
          <w:p>
            <w:pPr>
              <w:pStyle w:val="TableParagraph"/>
              <w:spacing w:before="108"/>
              <w:ind w:left="381" w:right="180"/>
              <w:rPr>
                <w:sz w:val="24"/>
              </w:rPr>
            </w:pPr>
            <w:r>
              <w:rPr>
                <w:sz w:val="24"/>
              </w:rPr>
              <w:t>14</w:t>
            </w:r>
          </w:p>
        </w:tc>
      </w:tr>
      <w:tr>
        <w:trPr>
          <w:trHeight w:val="517" w:hRule="exact"/>
        </w:trPr>
        <w:tc>
          <w:tcPr>
            <w:tcW w:w="7400" w:type="dxa"/>
          </w:tcPr>
          <w:p>
            <w:pPr>
              <w:pStyle w:val="TableParagraph"/>
              <w:spacing w:before="107"/>
              <w:ind w:left="444"/>
              <w:jc w:val="left"/>
              <w:rPr>
                <w:sz w:val="24"/>
              </w:rPr>
            </w:pPr>
            <w:r>
              <w:rPr>
                <w:sz w:val="24"/>
              </w:rPr>
              <w:t>2.10 Receptor de Andrógenos (AR)</w:t>
            </w:r>
          </w:p>
        </w:tc>
        <w:tc>
          <w:tcPr>
            <w:tcW w:w="1391" w:type="dxa"/>
          </w:tcPr>
          <w:p>
            <w:pPr>
              <w:pStyle w:val="TableParagraph"/>
              <w:spacing w:before="107"/>
              <w:ind w:left="381" w:right="180"/>
              <w:rPr>
                <w:sz w:val="24"/>
              </w:rPr>
            </w:pPr>
            <w:r>
              <w:rPr>
                <w:sz w:val="24"/>
              </w:rPr>
              <w:t>15</w:t>
            </w:r>
          </w:p>
        </w:tc>
      </w:tr>
      <w:tr>
        <w:trPr>
          <w:trHeight w:val="517" w:hRule="exact"/>
        </w:trPr>
        <w:tc>
          <w:tcPr>
            <w:tcW w:w="7400" w:type="dxa"/>
          </w:tcPr>
          <w:p>
            <w:pPr>
              <w:pStyle w:val="TableParagraph"/>
              <w:spacing w:before="108"/>
              <w:ind w:left="444"/>
              <w:jc w:val="left"/>
              <w:rPr>
                <w:sz w:val="24"/>
              </w:rPr>
            </w:pPr>
            <w:r>
              <w:rPr>
                <w:sz w:val="24"/>
              </w:rPr>
              <w:t>2.11 Proteína Acarreadora de Andrógenos (ABP)</w:t>
            </w:r>
          </w:p>
        </w:tc>
        <w:tc>
          <w:tcPr>
            <w:tcW w:w="1391" w:type="dxa"/>
          </w:tcPr>
          <w:p>
            <w:pPr>
              <w:pStyle w:val="TableParagraph"/>
              <w:spacing w:before="108"/>
              <w:ind w:left="381" w:right="180"/>
              <w:rPr>
                <w:sz w:val="24"/>
              </w:rPr>
            </w:pPr>
            <w:r>
              <w:rPr>
                <w:sz w:val="24"/>
              </w:rPr>
              <w:t>16</w:t>
            </w:r>
          </w:p>
        </w:tc>
      </w:tr>
      <w:tr>
        <w:trPr>
          <w:trHeight w:val="517" w:hRule="exact"/>
        </w:trPr>
        <w:tc>
          <w:tcPr>
            <w:tcW w:w="7400" w:type="dxa"/>
          </w:tcPr>
          <w:p>
            <w:pPr>
              <w:pStyle w:val="TableParagraph"/>
              <w:spacing w:before="107"/>
              <w:ind w:left="444"/>
              <w:jc w:val="left"/>
              <w:rPr>
                <w:sz w:val="24"/>
              </w:rPr>
            </w:pPr>
            <w:r>
              <w:rPr>
                <w:sz w:val="24"/>
              </w:rPr>
              <w:t>2.12 Elemento Modulador de Respuesta a AMPc (CREMΔ)</w:t>
            </w:r>
          </w:p>
        </w:tc>
        <w:tc>
          <w:tcPr>
            <w:tcW w:w="1391" w:type="dxa"/>
          </w:tcPr>
          <w:p>
            <w:pPr>
              <w:pStyle w:val="TableParagraph"/>
              <w:spacing w:before="107"/>
              <w:ind w:left="381" w:right="180"/>
              <w:rPr>
                <w:sz w:val="24"/>
              </w:rPr>
            </w:pPr>
            <w:r>
              <w:rPr>
                <w:sz w:val="24"/>
              </w:rPr>
              <w:t>17</w:t>
            </w:r>
          </w:p>
        </w:tc>
      </w:tr>
      <w:tr>
        <w:trPr>
          <w:trHeight w:val="518" w:hRule="exact"/>
        </w:trPr>
        <w:tc>
          <w:tcPr>
            <w:tcW w:w="7400" w:type="dxa"/>
          </w:tcPr>
          <w:p>
            <w:pPr>
              <w:pStyle w:val="TableParagraph"/>
              <w:spacing w:before="108"/>
              <w:ind w:left="200"/>
              <w:jc w:val="left"/>
              <w:rPr>
                <w:b/>
                <w:sz w:val="24"/>
              </w:rPr>
            </w:pPr>
            <w:r>
              <w:rPr>
                <w:b/>
                <w:sz w:val="24"/>
              </w:rPr>
              <w:t>III. JUSTIFICACIÓN</w:t>
            </w:r>
          </w:p>
        </w:tc>
        <w:tc>
          <w:tcPr>
            <w:tcW w:w="1391" w:type="dxa"/>
          </w:tcPr>
          <w:p>
            <w:pPr>
              <w:pStyle w:val="TableParagraph"/>
              <w:spacing w:before="108"/>
              <w:ind w:left="381" w:right="180"/>
              <w:rPr>
                <w:sz w:val="24"/>
              </w:rPr>
            </w:pPr>
            <w:r>
              <w:rPr>
                <w:sz w:val="24"/>
              </w:rPr>
              <w:t>18</w:t>
            </w:r>
          </w:p>
        </w:tc>
      </w:tr>
      <w:tr>
        <w:trPr>
          <w:trHeight w:val="518" w:hRule="exact"/>
        </w:trPr>
        <w:tc>
          <w:tcPr>
            <w:tcW w:w="7400" w:type="dxa"/>
          </w:tcPr>
          <w:p>
            <w:pPr>
              <w:pStyle w:val="TableParagraph"/>
              <w:spacing w:before="108"/>
              <w:ind w:left="200"/>
              <w:jc w:val="left"/>
              <w:rPr>
                <w:b/>
                <w:sz w:val="24"/>
              </w:rPr>
            </w:pPr>
            <w:r>
              <w:rPr>
                <w:b/>
                <w:sz w:val="24"/>
              </w:rPr>
              <w:t>IV. HIPÓTESIS</w:t>
            </w:r>
          </w:p>
        </w:tc>
        <w:tc>
          <w:tcPr>
            <w:tcW w:w="1391" w:type="dxa"/>
          </w:tcPr>
          <w:p>
            <w:pPr>
              <w:pStyle w:val="TableParagraph"/>
              <w:spacing w:before="108"/>
              <w:ind w:left="381" w:right="180"/>
              <w:rPr>
                <w:sz w:val="24"/>
              </w:rPr>
            </w:pPr>
            <w:r>
              <w:rPr>
                <w:sz w:val="24"/>
              </w:rPr>
              <w:t>18</w:t>
            </w:r>
          </w:p>
        </w:tc>
      </w:tr>
      <w:tr>
        <w:trPr>
          <w:trHeight w:val="518" w:hRule="exact"/>
        </w:trPr>
        <w:tc>
          <w:tcPr>
            <w:tcW w:w="7400" w:type="dxa"/>
          </w:tcPr>
          <w:p>
            <w:pPr>
              <w:pStyle w:val="TableParagraph"/>
              <w:spacing w:before="107"/>
              <w:ind w:left="200"/>
              <w:jc w:val="left"/>
              <w:rPr>
                <w:b/>
                <w:sz w:val="24"/>
              </w:rPr>
            </w:pPr>
            <w:r>
              <w:rPr>
                <w:b/>
                <w:sz w:val="24"/>
              </w:rPr>
              <w:t>V. OBJETIVOS</w:t>
            </w:r>
          </w:p>
        </w:tc>
        <w:tc>
          <w:tcPr>
            <w:tcW w:w="1391" w:type="dxa"/>
          </w:tcPr>
          <w:p>
            <w:pPr>
              <w:pStyle w:val="TableParagraph"/>
              <w:spacing w:before="107"/>
              <w:ind w:left="381" w:right="180"/>
              <w:rPr>
                <w:sz w:val="24"/>
              </w:rPr>
            </w:pPr>
            <w:r>
              <w:rPr>
                <w:sz w:val="24"/>
              </w:rPr>
              <w:t>19</w:t>
            </w:r>
          </w:p>
        </w:tc>
      </w:tr>
      <w:tr>
        <w:trPr>
          <w:trHeight w:val="379" w:hRule="exact"/>
        </w:trPr>
        <w:tc>
          <w:tcPr>
            <w:tcW w:w="7400" w:type="dxa"/>
          </w:tcPr>
          <w:p>
            <w:pPr>
              <w:pStyle w:val="TableParagraph"/>
              <w:spacing w:before="108"/>
              <w:ind w:left="444"/>
              <w:jc w:val="left"/>
              <w:rPr>
                <w:sz w:val="24"/>
              </w:rPr>
            </w:pPr>
            <w:r>
              <w:rPr>
                <w:sz w:val="24"/>
              </w:rPr>
              <w:t>5.1 Objetivo General</w:t>
            </w:r>
          </w:p>
        </w:tc>
        <w:tc>
          <w:tcPr>
            <w:tcW w:w="1391" w:type="dxa"/>
          </w:tcPr>
          <w:p>
            <w:pPr>
              <w:pStyle w:val="TableParagraph"/>
              <w:spacing w:before="108"/>
              <w:ind w:left="381" w:right="180"/>
              <w:rPr>
                <w:sz w:val="24"/>
              </w:rPr>
            </w:pPr>
            <w:r>
              <w:rPr>
                <w:sz w:val="24"/>
              </w:rPr>
              <w:t>19</w:t>
            </w:r>
          </w:p>
        </w:tc>
      </w:tr>
    </w:tbl>
    <w:p>
      <w:pPr>
        <w:spacing w:after="0"/>
        <w:rPr>
          <w:sz w:val="24"/>
        </w:rPr>
        <w:sectPr>
          <w:pgSz w:w="12240" w:h="15840"/>
          <w:pgMar w:top="1500" w:bottom="280" w:left="1680" w:right="1560"/>
        </w:sectPr>
      </w:pPr>
    </w:p>
    <w:p>
      <w:pPr>
        <w:pStyle w:val="BodyText"/>
        <w:rPr>
          <w:rFonts w:ascii="Times New Roman"/>
          <w:sz w:val="20"/>
        </w:rPr>
      </w:pPr>
    </w:p>
    <w:p>
      <w:pPr>
        <w:pStyle w:val="BodyText"/>
        <w:spacing w:before="10"/>
        <w:rPr>
          <w:rFonts w:ascii="Times New Roman"/>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40"/>
        <w:gridCol w:w="790"/>
      </w:tblGrid>
      <w:tr>
        <w:trPr>
          <w:trHeight w:val="379" w:hRule="exact"/>
        </w:trPr>
        <w:tc>
          <w:tcPr>
            <w:tcW w:w="7740" w:type="dxa"/>
          </w:tcPr>
          <w:p>
            <w:pPr>
              <w:pStyle w:val="TableParagraph"/>
              <w:spacing w:line="245" w:lineRule="exact"/>
              <w:ind w:left="444" w:right="139"/>
              <w:jc w:val="left"/>
              <w:rPr>
                <w:sz w:val="24"/>
              </w:rPr>
            </w:pPr>
            <w:r>
              <w:rPr>
                <w:sz w:val="24"/>
              </w:rPr>
              <w:t>5.2 Objetivos particulares</w:t>
            </w:r>
          </w:p>
        </w:tc>
        <w:tc>
          <w:tcPr>
            <w:tcW w:w="790" w:type="dxa"/>
          </w:tcPr>
          <w:p>
            <w:pPr>
              <w:pStyle w:val="TableParagraph"/>
              <w:spacing w:line="245" w:lineRule="exact"/>
              <w:ind w:right="199"/>
              <w:jc w:val="right"/>
              <w:rPr>
                <w:sz w:val="24"/>
              </w:rPr>
            </w:pPr>
            <w:r>
              <w:rPr>
                <w:sz w:val="24"/>
              </w:rPr>
              <w:t>19</w:t>
            </w:r>
          </w:p>
        </w:tc>
      </w:tr>
      <w:tr>
        <w:trPr>
          <w:trHeight w:val="517" w:hRule="exact"/>
        </w:trPr>
        <w:tc>
          <w:tcPr>
            <w:tcW w:w="7740" w:type="dxa"/>
          </w:tcPr>
          <w:p>
            <w:pPr>
              <w:pStyle w:val="TableParagraph"/>
              <w:spacing w:before="108"/>
              <w:ind w:left="200" w:right="139"/>
              <w:jc w:val="left"/>
              <w:rPr>
                <w:b/>
                <w:sz w:val="24"/>
              </w:rPr>
            </w:pPr>
            <w:r>
              <w:rPr>
                <w:b/>
                <w:sz w:val="24"/>
              </w:rPr>
              <w:t>VI. MATERIAL Y MÉTODOS</w:t>
            </w:r>
          </w:p>
        </w:tc>
        <w:tc>
          <w:tcPr>
            <w:tcW w:w="790" w:type="dxa"/>
          </w:tcPr>
          <w:p>
            <w:pPr>
              <w:pStyle w:val="TableParagraph"/>
              <w:spacing w:before="108"/>
              <w:ind w:right="199"/>
              <w:jc w:val="right"/>
              <w:rPr>
                <w:sz w:val="24"/>
              </w:rPr>
            </w:pPr>
            <w:r>
              <w:rPr>
                <w:sz w:val="24"/>
              </w:rPr>
              <w:t>20</w:t>
            </w:r>
          </w:p>
        </w:tc>
      </w:tr>
      <w:tr>
        <w:trPr>
          <w:trHeight w:val="517" w:hRule="exact"/>
        </w:trPr>
        <w:tc>
          <w:tcPr>
            <w:tcW w:w="7740" w:type="dxa"/>
          </w:tcPr>
          <w:p>
            <w:pPr>
              <w:pStyle w:val="TableParagraph"/>
              <w:spacing w:before="107"/>
              <w:ind w:left="444" w:right="139"/>
              <w:jc w:val="left"/>
              <w:rPr>
                <w:sz w:val="24"/>
              </w:rPr>
            </w:pPr>
            <w:r>
              <w:rPr>
                <w:sz w:val="24"/>
              </w:rPr>
              <w:t>6.1 Animales</w:t>
            </w:r>
          </w:p>
        </w:tc>
        <w:tc>
          <w:tcPr>
            <w:tcW w:w="790" w:type="dxa"/>
          </w:tcPr>
          <w:p>
            <w:pPr>
              <w:pStyle w:val="TableParagraph"/>
              <w:spacing w:before="107"/>
              <w:ind w:right="199"/>
              <w:jc w:val="right"/>
              <w:rPr>
                <w:sz w:val="24"/>
              </w:rPr>
            </w:pPr>
            <w:r>
              <w:rPr>
                <w:sz w:val="24"/>
              </w:rPr>
              <w:t>20</w:t>
            </w:r>
          </w:p>
        </w:tc>
      </w:tr>
      <w:tr>
        <w:trPr>
          <w:trHeight w:val="517" w:hRule="exact"/>
        </w:trPr>
        <w:tc>
          <w:tcPr>
            <w:tcW w:w="7740" w:type="dxa"/>
          </w:tcPr>
          <w:p>
            <w:pPr>
              <w:pStyle w:val="TableParagraph"/>
              <w:spacing w:before="108"/>
              <w:ind w:left="444" w:right="139"/>
              <w:jc w:val="left"/>
              <w:rPr>
                <w:sz w:val="24"/>
              </w:rPr>
            </w:pPr>
            <w:r>
              <w:rPr>
                <w:sz w:val="24"/>
              </w:rPr>
              <w:t>6.2 Tratamientos</w:t>
            </w:r>
          </w:p>
        </w:tc>
        <w:tc>
          <w:tcPr>
            <w:tcW w:w="790" w:type="dxa"/>
          </w:tcPr>
          <w:p>
            <w:pPr>
              <w:pStyle w:val="TableParagraph"/>
              <w:spacing w:before="108"/>
              <w:ind w:right="199"/>
              <w:jc w:val="right"/>
              <w:rPr>
                <w:sz w:val="24"/>
              </w:rPr>
            </w:pPr>
            <w:r>
              <w:rPr>
                <w:sz w:val="24"/>
              </w:rPr>
              <w:t>20</w:t>
            </w:r>
          </w:p>
        </w:tc>
      </w:tr>
      <w:tr>
        <w:trPr>
          <w:trHeight w:val="1152" w:hRule="exact"/>
        </w:trPr>
        <w:tc>
          <w:tcPr>
            <w:tcW w:w="7740" w:type="dxa"/>
          </w:tcPr>
          <w:p>
            <w:pPr>
              <w:pStyle w:val="TableParagraph"/>
              <w:spacing w:line="276" w:lineRule="auto" w:before="107"/>
              <w:ind w:left="444" w:right="319"/>
              <w:jc w:val="both"/>
              <w:rPr>
                <w:sz w:val="24"/>
              </w:rPr>
            </w:pPr>
            <w:r>
              <w:rPr>
                <w:sz w:val="24"/>
              </w:rPr>
              <w:t>6.3 Marcación de la UTP final mediada por la transferasa desoxinucleotidil terminal (TUNEL, Terminal deoxinucleotidyl transferase mediate UTP end labelling)</w:t>
            </w:r>
          </w:p>
        </w:tc>
        <w:tc>
          <w:tcPr>
            <w:tcW w:w="790" w:type="dxa"/>
          </w:tcPr>
          <w:p>
            <w:pPr>
              <w:pStyle w:val="TableParagraph"/>
              <w:spacing w:before="107"/>
              <w:ind w:right="199"/>
              <w:jc w:val="right"/>
              <w:rPr>
                <w:sz w:val="24"/>
              </w:rPr>
            </w:pPr>
            <w:r>
              <w:rPr>
                <w:sz w:val="24"/>
              </w:rPr>
              <w:t>21</w:t>
            </w:r>
          </w:p>
        </w:tc>
      </w:tr>
      <w:tr>
        <w:trPr>
          <w:trHeight w:val="518" w:hRule="exact"/>
        </w:trPr>
        <w:tc>
          <w:tcPr>
            <w:tcW w:w="7740" w:type="dxa"/>
          </w:tcPr>
          <w:p>
            <w:pPr>
              <w:pStyle w:val="TableParagraph"/>
              <w:spacing w:before="107"/>
              <w:ind w:left="444" w:right="139"/>
              <w:jc w:val="left"/>
              <w:rPr>
                <w:sz w:val="24"/>
              </w:rPr>
            </w:pPr>
            <w:r>
              <w:rPr>
                <w:sz w:val="24"/>
              </w:rPr>
              <w:t>6.4 Extracción de ARN</w:t>
            </w:r>
          </w:p>
        </w:tc>
        <w:tc>
          <w:tcPr>
            <w:tcW w:w="790" w:type="dxa"/>
          </w:tcPr>
          <w:p>
            <w:pPr>
              <w:pStyle w:val="TableParagraph"/>
              <w:spacing w:before="107"/>
              <w:ind w:right="199"/>
              <w:jc w:val="right"/>
              <w:rPr>
                <w:sz w:val="24"/>
              </w:rPr>
            </w:pPr>
            <w:r>
              <w:rPr>
                <w:sz w:val="24"/>
              </w:rPr>
              <w:t>22</w:t>
            </w:r>
          </w:p>
        </w:tc>
      </w:tr>
      <w:tr>
        <w:trPr>
          <w:trHeight w:val="518" w:hRule="exact"/>
        </w:trPr>
        <w:tc>
          <w:tcPr>
            <w:tcW w:w="7740" w:type="dxa"/>
          </w:tcPr>
          <w:p>
            <w:pPr>
              <w:pStyle w:val="TableParagraph"/>
              <w:spacing w:before="108"/>
              <w:ind w:left="444" w:right="139"/>
              <w:jc w:val="left"/>
              <w:rPr>
                <w:sz w:val="24"/>
              </w:rPr>
            </w:pPr>
            <w:r>
              <w:rPr>
                <w:sz w:val="24"/>
              </w:rPr>
              <w:t>6.5 Diseño de Iniciadores</w:t>
            </w:r>
          </w:p>
        </w:tc>
        <w:tc>
          <w:tcPr>
            <w:tcW w:w="790" w:type="dxa"/>
          </w:tcPr>
          <w:p>
            <w:pPr>
              <w:pStyle w:val="TableParagraph"/>
              <w:spacing w:before="108"/>
              <w:ind w:right="199"/>
              <w:jc w:val="right"/>
              <w:rPr>
                <w:sz w:val="24"/>
              </w:rPr>
            </w:pPr>
            <w:r>
              <w:rPr>
                <w:sz w:val="24"/>
              </w:rPr>
              <w:t>23</w:t>
            </w:r>
          </w:p>
        </w:tc>
      </w:tr>
      <w:tr>
        <w:trPr>
          <w:trHeight w:val="834" w:hRule="exact"/>
        </w:trPr>
        <w:tc>
          <w:tcPr>
            <w:tcW w:w="7740" w:type="dxa"/>
          </w:tcPr>
          <w:p>
            <w:pPr>
              <w:pStyle w:val="TableParagraph"/>
              <w:spacing w:line="276" w:lineRule="auto" w:before="108"/>
              <w:ind w:left="444" w:right="139"/>
              <w:jc w:val="left"/>
              <w:rPr>
                <w:sz w:val="24"/>
              </w:rPr>
            </w:pPr>
            <w:r>
              <w:rPr>
                <w:sz w:val="24"/>
              </w:rPr>
              <w:t>6.6 Reacción en Cadena de la Polimerasa (PCR, Polymerase Chain Reaction)</w:t>
            </w:r>
          </w:p>
        </w:tc>
        <w:tc>
          <w:tcPr>
            <w:tcW w:w="790" w:type="dxa"/>
          </w:tcPr>
          <w:p>
            <w:pPr>
              <w:pStyle w:val="TableParagraph"/>
              <w:spacing w:before="108"/>
              <w:ind w:right="199"/>
              <w:jc w:val="right"/>
              <w:rPr>
                <w:sz w:val="24"/>
              </w:rPr>
            </w:pPr>
            <w:r>
              <w:rPr>
                <w:sz w:val="24"/>
              </w:rPr>
              <w:t>23</w:t>
            </w:r>
          </w:p>
        </w:tc>
      </w:tr>
      <w:tr>
        <w:trPr>
          <w:trHeight w:val="517" w:hRule="exact"/>
        </w:trPr>
        <w:tc>
          <w:tcPr>
            <w:tcW w:w="7740" w:type="dxa"/>
          </w:tcPr>
          <w:p>
            <w:pPr>
              <w:pStyle w:val="TableParagraph"/>
              <w:spacing w:before="107"/>
              <w:ind w:left="444" w:right="139"/>
              <w:jc w:val="left"/>
              <w:rPr>
                <w:sz w:val="24"/>
              </w:rPr>
            </w:pPr>
            <w:r>
              <w:rPr>
                <w:sz w:val="24"/>
              </w:rPr>
              <w:t>6.7 Secuenciación</w:t>
            </w:r>
          </w:p>
        </w:tc>
        <w:tc>
          <w:tcPr>
            <w:tcW w:w="790" w:type="dxa"/>
          </w:tcPr>
          <w:p>
            <w:pPr>
              <w:pStyle w:val="TableParagraph"/>
              <w:spacing w:before="107"/>
              <w:ind w:right="199"/>
              <w:jc w:val="right"/>
              <w:rPr>
                <w:sz w:val="24"/>
              </w:rPr>
            </w:pPr>
            <w:r>
              <w:rPr>
                <w:sz w:val="24"/>
              </w:rPr>
              <w:t>24</w:t>
            </w:r>
          </w:p>
        </w:tc>
      </w:tr>
      <w:tr>
        <w:trPr>
          <w:trHeight w:val="835" w:hRule="exact"/>
        </w:trPr>
        <w:tc>
          <w:tcPr>
            <w:tcW w:w="7740" w:type="dxa"/>
          </w:tcPr>
          <w:p>
            <w:pPr>
              <w:pStyle w:val="TableParagraph"/>
              <w:tabs>
                <w:tab w:pos="1023" w:val="left" w:leader="none"/>
                <w:tab w:pos="2797" w:val="left" w:leader="none"/>
                <w:tab w:pos="3730" w:val="left" w:leader="none"/>
                <w:tab w:pos="4238" w:val="left" w:leader="none"/>
                <w:tab w:pos="4866" w:val="left" w:leader="none"/>
                <w:tab w:pos="5895" w:val="left" w:leader="none"/>
                <w:tab w:pos="6924" w:val="left" w:leader="none"/>
              </w:tabs>
              <w:spacing w:line="276" w:lineRule="auto" w:before="108"/>
              <w:ind w:left="444" w:right="322"/>
              <w:jc w:val="left"/>
              <w:rPr>
                <w:sz w:val="24"/>
              </w:rPr>
            </w:pPr>
            <w:r>
              <w:rPr>
                <w:sz w:val="24"/>
              </w:rPr>
              <w:t>6.8</w:t>
              <w:tab/>
              <w:t>Cromatografía</w:t>
              <w:tab/>
              <w:t>liquida</w:t>
              <w:tab/>
              <w:t>de</w:t>
              <w:tab/>
              <w:t>alta</w:t>
              <w:tab/>
              <w:t>presión</w:t>
              <w:tab/>
              <w:t>(HPLC,</w:t>
              <w:tab/>
            </w:r>
            <w:r>
              <w:rPr>
                <w:spacing w:val="-1"/>
                <w:sz w:val="24"/>
              </w:rPr>
              <w:t>High </w:t>
            </w:r>
            <w:r>
              <w:rPr>
                <w:sz w:val="24"/>
              </w:rPr>
              <w:t>Performance Liquid</w:t>
            </w:r>
            <w:r>
              <w:rPr>
                <w:spacing w:val="-16"/>
                <w:sz w:val="24"/>
              </w:rPr>
              <w:t> </w:t>
            </w:r>
            <w:r>
              <w:rPr>
                <w:sz w:val="24"/>
              </w:rPr>
              <w:t>Chromatography)</w:t>
            </w:r>
          </w:p>
        </w:tc>
        <w:tc>
          <w:tcPr>
            <w:tcW w:w="790" w:type="dxa"/>
          </w:tcPr>
          <w:p>
            <w:pPr>
              <w:pStyle w:val="TableParagraph"/>
              <w:spacing w:before="108"/>
              <w:ind w:right="199"/>
              <w:jc w:val="right"/>
              <w:rPr>
                <w:sz w:val="24"/>
              </w:rPr>
            </w:pPr>
            <w:r>
              <w:rPr>
                <w:sz w:val="24"/>
              </w:rPr>
              <w:t>25</w:t>
            </w:r>
          </w:p>
        </w:tc>
      </w:tr>
      <w:tr>
        <w:trPr>
          <w:trHeight w:val="517" w:hRule="exact"/>
        </w:trPr>
        <w:tc>
          <w:tcPr>
            <w:tcW w:w="7740" w:type="dxa"/>
          </w:tcPr>
          <w:p>
            <w:pPr>
              <w:pStyle w:val="TableParagraph"/>
              <w:spacing w:before="108"/>
              <w:ind w:left="444" w:right="139"/>
              <w:jc w:val="left"/>
              <w:rPr>
                <w:sz w:val="24"/>
              </w:rPr>
            </w:pPr>
            <w:r>
              <w:rPr>
                <w:sz w:val="24"/>
              </w:rPr>
              <w:t>6.9 Radio Inmuno Análisis (RIA, Radioimmunoassay)</w:t>
            </w:r>
          </w:p>
        </w:tc>
        <w:tc>
          <w:tcPr>
            <w:tcW w:w="790" w:type="dxa"/>
          </w:tcPr>
          <w:p>
            <w:pPr>
              <w:pStyle w:val="TableParagraph"/>
              <w:spacing w:before="108"/>
              <w:ind w:right="199"/>
              <w:jc w:val="right"/>
              <w:rPr>
                <w:sz w:val="24"/>
              </w:rPr>
            </w:pPr>
            <w:r>
              <w:rPr>
                <w:sz w:val="24"/>
              </w:rPr>
              <w:t>25</w:t>
            </w:r>
          </w:p>
        </w:tc>
      </w:tr>
      <w:tr>
        <w:trPr>
          <w:trHeight w:val="517" w:hRule="exact"/>
        </w:trPr>
        <w:tc>
          <w:tcPr>
            <w:tcW w:w="7740" w:type="dxa"/>
          </w:tcPr>
          <w:p>
            <w:pPr>
              <w:pStyle w:val="TableParagraph"/>
              <w:spacing w:before="107"/>
              <w:ind w:left="444" w:right="139"/>
              <w:jc w:val="left"/>
              <w:rPr>
                <w:sz w:val="24"/>
              </w:rPr>
            </w:pPr>
            <w:r>
              <w:rPr>
                <w:sz w:val="24"/>
              </w:rPr>
              <w:t>6.10 Estadística</w:t>
            </w:r>
          </w:p>
        </w:tc>
        <w:tc>
          <w:tcPr>
            <w:tcW w:w="790" w:type="dxa"/>
          </w:tcPr>
          <w:p>
            <w:pPr>
              <w:pStyle w:val="TableParagraph"/>
              <w:spacing w:before="107"/>
              <w:ind w:right="199"/>
              <w:jc w:val="right"/>
              <w:rPr>
                <w:sz w:val="24"/>
              </w:rPr>
            </w:pPr>
            <w:r>
              <w:rPr>
                <w:sz w:val="24"/>
              </w:rPr>
              <w:t>26</w:t>
            </w:r>
          </w:p>
        </w:tc>
      </w:tr>
      <w:tr>
        <w:trPr>
          <w:trHeight w:val="517" w:hRule="exact"/>
        </w:trPr>
        <w:tc>
          <w:tcPr>
            <w:tcW w:w="7740" w:type="dxa"/>
          </w:tcPr>
          <w:p>
            <w:pPr>
              <w:pStyle w:val="TableParagraph"/>
              <w:spacing w:before="108"/>
              <w:ind w:left="200" w:right="139"/>
              <w:jc w:val="left"/>
              <w:rPr>
                <w:b/>
                <w:sz w:val="24"/>
              </w:rPr>
            </w:pPr>
            <w:r>
              <w:rPr>
                <w:b/>
                <w:sz w:val="24"/>
              </w:rPr>
              <w:t>VII. RESULTADOS</w:t>
            </w:r>
          </w:p>
        </w:tc>
        <w:tc>
          <w:tcPr>
            <w:tcW w:w="790" w:type="dxa"/>
          </w:tcPr>
          <w:p>
            <w:pPr>
              <w:pStyle w:val="TableParagraph"/>
              <w:spacing w:before="108"/>
              <w:ind w:right="199"/>
              <w:jc w:val="right"/>
              <w:rPr>
                <w:sz w:val="24"/>
              </w:rPr>
            </w:pPr>
            <w:r>
              <w:rPr>
                <w:sz w:val="24"/>
              </w:rPr>
              <w:t>28</w:t>
            </w:r>
          </w:p>
        </w:tc>
      </w:tr>
      <w:tr>
        <w:trPr>
          <w:trHeight w:val="517" w:hRule="exact"/>
        </w:trPr>
        <w:tc>
          <w:tcPr>
            <w:tcW w:w="7740" w:type="dxa"/>
          </w:tcPr>
          <w:p>
            <w:pPr>
              <w:pStyle w:val="TableParagraph"/>
              <w:spacing w:before="107"/>
              <w:ind w:left="461" w:right="139"/>
              <w:jc w:val="left"/>
              <w:rPr>
                <w:sz w:val="24"/>
              </w:rPr>
            </w:pPr>
            <w:r>
              <w:rPr>
                <w:sz w:val="24"/>
              </w:rPr>
              <w:t>7.1 Identificación de la susceptibilidad</w:t>
            </w:r>
          </w:p>
        </w:tc>
        <w:tc>
          <w:tcPr>
            <w:tcW w:w="790" w:type="dxa"/>
          </w:tcPr>
          <w:p>
            <w:pPr>
              <w:pStyle w:val="TableParagraph"/>
              <w:spacing w:before="107"/>
              <w:ind w:right="199"/>
              <w:jc w:val="right"/>
              <w:rPr>
                <w:sz w:val="24"/>
              </w:rPr>
            </w:pPr>
            <w:r>
              <w:rPr>
                <w:sz w:val="24"/>
              </w:rPr>
              <w:t>28</w:t>
            </w:r>
          </w:p>
        </w:tc>
      </w:tr>
      <w:tr>
        <w:trPr>
          <w:trHeight w:val="518" w:hRule="exact"/>
        </w:trPr>
        <w:tc>
          <w:tcPr>
            <w:tcW w:w="7740" w:type="dxa"/>
          </w:tcPr>
          <w:p>
            <w:pPr>
              <w:pStyle w:val="TableParagraph"/>
              <w:spacing w:before="108"/>
              <w:ind w:left="461" w:right="139"/>
              <w:jc w:val="left"/>
              <w:rPr>
                <w:sz w:val="24"/>
              </w:rPr>
            </w:pPr>
            <w:r>
              <w:rPr>
                <w:sz w:val="24"/>
              </w:rPr>
              <w:t>7.2 Inhibición de la síntesis de serotonina</w:t>
            </w:r>
          </w:p>
        </w:tc>
        <w:tc>
          <w:tcPr>
            <w:tcW w:w="790" w:type="dxa"/>
          </w:tcPr>
          <w:p>
            <w:pPr>
              <w:pStyle w:val="TableParagraph"/>
              <w:spacing w:before="108"/>
              <w:ind w:right="199"/>
              <w:jc w:val="right"/>
              <w:rPr>
                <w:sz w:val="24"/>
              </w:rPr>
            </w:pPr>
            <w:r>
              <w:rPr>
                <w:sz w:val="24"/>
              </w:rPr>
              <w:t>30</w:t>
            </w:r>
          </w:p>
        </w:tc>
      </w:tr>
      <w:tr>
        <w:trPr>
          <w:trHeight w:val="517" w:hRule="exact"/>
        </w:trPr>
        <w:tc>
          <w:tcPr>
            <w:tcW w:w="7740" w:type="dxa"/>
          </w:tcPr>
          <w:p>
            <w:pPr>
              <w:pStyle w:val="TableParagraph"/>
              <w:spacing w:before="108"/>
              <w:ind w:left="461" w:right="139"/>
              <w:jc w:val="left"/>
              <w:rPr>
                <w:sz w:val="24"/>
              </w:rPr>
            </w:pPr>
            <w:r>
              <w:rPr>
                <w:sz w:val="24"/>
              </w:rPr>
              <w:t>7.3 Mediciones hormonales</w:t>
            </w:r>
          </w:p>
        </w:tc>
        <w:tc>
          <w:tcPr>
            <w:tcW w:w="790" w:type="dxa"/>
          </w:tcPr>
          <w:p>
            <w:pPr>
              <w:pStyle w:val="TableParagraph"/>
              <w:spacing w:before="108"/>
              <w:ind w:right="199"/>
              <w:jc w:val="right"/>
              <w:rPr>
                <w:sz w:val="24"/>
              </w:rPr>
            </w:pPr>
            <w:r>
              <w:rPr>
                <w:sz w:val="24"/>
              </w:rPr>
              <w:t>31</w:t>
            </w:r>
          </w:p>
        </w:tc>
      </w:tr>
      <w:tr>
        <w:trPr>
          <w:trHeight w:val="518" w:hRule="exact"/>
        </w:trPr>
        <w:tc>
          <w:tcPr>
            <w:tcW w:w="7740" w:type="dxa"/>
          </w:tcPr>
          <w:p>
            <w:pPr>
              <w:pStyle w:val="TableParagraph"/>
              <w:spacing w:before="107"/>
              <w:ind w:left="461" w:right="139"/>
              <w:jc w:val="left"/>
              <w:rPr>
                <w:sz w:val="24"/>
              </w:rPr>
            </w:pPr>
            <w:r>
              <w:rPr>
                <w:sz w:val="24"/>
              </w:rPr>
              <w:t>7.4 Efecto de los tratamientos</w:t>
            </w:r>
          </w:p>
        </w:tc>
        <w:tc>
          <w:tcPr>
            <w:tcW w:w="790" w:type="dxa"/>
          </w:tcPr>
          <w:p>
            <w:pPr>
              <w:pStyle w:val="TableParagraph"/>
              <w:spacing w:before="107"/>
              <w:ind w:right="199"/>
              <w:jc w:val="right"/>
              <w:rPr>
                <w:sz w:val="24"/>
              </w:rPr>
            </w:pPr>
            <w:r>
              <w:rPr>
                <w:sz w:val="24"/>
              </w:rPr>
              <w:t>31</w:t>
            </w:r>
          </w:p>
        </w:tc>
      </w:tr>
      <w:tr>
        <w:trPr>
          <w:trHeight w:val="518" w:hRule="exact"/>
        </w:trPr>
        <w:tc>
          <w:tcPr>
            <w:tcW w:w="7740" w:type="dxa"/>
          </w:tcPr>
          <w:p>
            <w:pPr>
              <w:pStyle w:val="TableParagraph"/>
              <w:spacing w:before="109"/>
              <w:ind w:left="461" w:right="139"/>
              <w:jc w:val="left"/>
              <w:rPr>
                <w:sz w:val="24"/>
              </w:rPr>
            </w:pPr>
            <w:r>
              <w:rPr>
                <w:sz w:val="24"/>
              </w:rPr>
              <w:t>7.5 Expresión genética</w:t>
            </w:r>
          </w:p>
        </w:tc>
        <w:tc>
          <w:tcPr>
            <w:tcW w:w="790" w:type="dxa"/>
          </w:tcPr>
          <w:p>
            <w:pPr>
              <w:pStyle w:val="TableParagraph"/>
              <w:spacing w:before="109"/>
              <w:ind w:right="199"/>
              <w:jc w:val="right"/>
              <w:rPr>
                <w:sz w:val="24"/>
              </w:rPr>
            </w:pPr>
            <w:r>
              <w:rPr>
                <w:sz w:val="24"/>
              </w:rPr>
              <w:t>32</w:t>
            </w:r>
          </w:p>
        </w:tc>
      </w:tr>
      <w:tr>
        <w:trPr>
          <w:trHeight w:val="378" w:hRule="exact"/>
        </w:trPr>
        <w:tc>
          <w:tcPr>
            <w:tcW w:w="7740" w:type="dxa"/>
          </w:tcPr>
          <w:p>
            <w:pPr>
              <w:pStyle w:val="TableParagraph"/>
              <w:spacing w:before="107"/>
              <w:ind w:left="461" w:right="139"/>
              <w:jc w:val="left"/>
              <w:rPr>
                <w:sz w:val="24"/>
              </w:rPr>
            </w:pPr>
            <w:r>
              <w:rPr>
                <w:sz w:val="24"/>
              </w:rPr>
              <w:t>7.6 Articulo enviado</w:t>
            </w:r>
          </w:p>
        </w:tc>
        <w:tc>
          <w:tcPr>
            <w:tcW w:w="790" w:type="dxa"/>
          </w:tcPr>
          <w:p>
            <w:pPr>
              <w:pStyle w:val="TableParagraph"/>
              <w:spacing w:before="107"/>
              <w:ind w:right="199"/>
              <w:jc w:val="right"/>
              <w:rPr>
                <w:sz w:val="24"/>
              </w:rPr>
            </w:pPr>
            <w:r>
              <w:rPr>
                <w:sz w:val="24"/>
              </w:rPr>
              <w:t>40</w:t>
            </w:r>
          </w:p>
        </w:tc>
      </w:tr>
    </w:tbl>
    <w:p>
      <w:pPr>
        <w:spacing w:after="0"/>
        <w:jc w:val="right"/>
        <w:rPr>
          <w:sz w:val="24"/>
        </w:rPr>
        <w:sectPr>
          <w:pgSz w:w="12240" w:h="15840"/>
          <w:pgMar w:top="1500" w:bottom="280" w:left="1680" w:right="1720"/>
        </w:sectPr>
      </w:pPr>
    </w:p>
    <w:p>
      <w:pPr>
        <w:pStyle w:val="BodyText"/>
        <w:rPr>
          <w:rFonts w:ascii="Times New Roman"/>
          <w:sz w:val="20"/>
        </w:rPr>
      </w:pPr>
    </w:p>
    <w:p>
      <w:pPr>
        <w:pStyle w:val="BodyText"/>
        <w:spacing w:before="10"/>
        <w:rPr>
          <w:rFonts w:ascii="Times New Roman"/>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17"/>
        <w:gridCol w:w="3013"/>
      </w:tblGrid>
      <w:tr>
        <w:trPr>
          <w:trHeight w:val="379" w:hRule="exact"/>
        </w:trPr>
        <w:tc>
          <w:tcPr>
            <w:tcW w:w="5517" w:type="dxa"/>
          </w:tcPr>
          <w:p>
            <w:pPr>
              <w:pStyle w:val="TableParagraph"/>
              <w:spacing w:line="245" w:lineRule="exact"/>
              <w:ind w:left="461"/>
              <w:jc w:val="left"/>
              <w:rPr>
                <w:sz w:val="24"/>
              </w:rPr>
            </w:pPr>
            <w:r>
              <w:rPr>
                <w:sz w:val="24"/>
              </w:rPr>
              <w:t>7.7 Capitulo de libro</w:t>
            </w:r>
          </w:p>
        </w:tc>
        <w:tc>
          <w:tcPr>
            <w:tcW w:w="3013" w:type="dxa"/>
          </w:tcPr>
          <w:p>
            <w:pPr>
              <w:pStyle w:val="TableParagraph"/>
              <w:spacing w:line="245" w:lineRule="exact"/>
              <w:ind w:right="199"/>
              <w:jc w:val="right"/>
              <w:rPr>
                <w:sz w:val="24"/>
              </w:rPr>
            </w:pPr>
            <w:r>
              <w:rPr>
                <w:sz w:val="24"/>
              </w:rPr>
              <w:t>64</w:t>
            </w:r>
          </w:p>
        </w:tc>
      </w:tr>
      <w:tr>
        <w:trPr>
          <w:trHeight w:val="517" w:hRule="exact"/>
        </w:trPr>
        <w:tc>
          <w:tcPr>
            <w:tcW w:w="5517" w:type="dxa"/>
          </w:tcPr>
          <w:p>
            <w:pPr>
              <w:pStyle w:val="TableParagraph"/>
              <w:spacing w:before="108"/>
              <w:ind w:left="200"/>
              <w:jc w:val="left"/>
              <w:rPr>
                <w:b/>
                <w:sz w:val="24"/>
              </w:rPr>
            </w:pPr>
            <w:r>
              <w:rPr>
                <w:b/>
                <w:sz w:val="24"/>
              </w:rPr>
              <w:t>VIII. DISCUSIÓN</w:t>
            </w:r>
          </w:p>
        </w:tc>
        <w:tc>
          <w:tcPr>
            <w:tcW w:w="3013" w:type="dxa"/>
          </w:tcPr>
          <w:p>
            <w:pPr>
              <w:pStyle w:val="TableParagraph"/>
              <w:spacing w:before="108"/>
              <w:ind w:right="199"/>
              <w:jc w:val="right"/>
              <w:rPr>
                <w:sz w:val="24"/>
              </w:rPr>
            </w:pPr>
            <w:r>
              <w:rPr>
                <w:sz w:val="24"/>
              </w:rPr>
              <w:t>77</w:t>
            </w:r>
          </w:p>
        </w:tc>
      </w:tr>
      <w:tr>
        <w:trPr>
          <w:trHeight w:val="517" w:hRule="exact"/>
        </w:trPr>
        <w:tc>
          <w:tcPr>
            <w:tcW w:w="5517" w:type="dxa"/>
          </w:tcPr>
          <w:p>
            <w:pPr>
              <w:pStyle w:val="TableParagraph"/>
              <w:spacing w:before="107"/>
              <w:ind w:left="200"/>
              <w:jc w:val="left"/>
              <w:rPr>
                <w:b/>
                <w:sz w:val="24"/>
              </w:rPr>
            </w:pPr>
            <w:r>
              <w:rPr>
                <w:b/>
                <w:sz w:val="24"/>
              </w:rPr>
              <w:t>IX. CONCLUSIÓN</w:t>
            </w:r>
          </w:p>
        </w:tc>
        <w:tc>
          <w:tcPr>
            <w:tcW w:w="3013" w:type="dxa"/>
          </w:tcPr>
          <w:p>
            <w:pPr>
              <w:pStyle w:val="TableParagraph"/>
              <w:spacing w:before="107"/>
              <w:ind w:right="199"/>
              <w:jc w:val="right"/>
              <w:rPr>
                <w:sz w:val="24"/>
              </w:rPr>
            </w:pPr>
            <w:r>
              <w:rPr>
                <w:sz w:val="24"/>
              </w:rPr>
              <w:t>83</w:t>
            </w:r>
          </w:p>
        </w:tc>
      </w:tr>
      <w:tr>
        <w:trPr>
          <w:trHeight w:val="517" w:hRule="exact"/>
        </w:trPr>
        <w:tc>
          <w:tcPr>
            <w:tcW w:w="5517" w:type="dxa"/>
          </w:tcPr>
          <w:p>
            <w:pPr>
              <w:pStyle w:val="TableParagraph"/>
              <w:spacing w:before="108"/>
              <w:ind w:left="451"/>
              <w:jc w:val="left"/>
              <w:rPr>
                <w:sz w:val="24"/>
              </w:rPr>
            </w:pPr>
            <w:r>
              <w:rPr>
                <w:sz w:val="24"/>
              </w:rPr>
              <w:t>9.1 Comentarios finales</w:t>
            </w:r>
          </w:p>
        </w:tc>
        <w:tc>
          <w:tcPr>
            <w:tcW w:w="3013" w:type="dxa"/>
          </w:tcPr>
          <w:p>
            <w:pPr>
              <w:pStyle w:val="TableParagraph"/>
              <w:spacing w:before="108"/>
              <w:ind w:right="199"/>
              <w:jc w:val="right"/>
              <w:rPr>
                <w:sz w:val="24"/>
              </w:rPr>
            </w:pPr>
            <w:r>
              <w:rPr>
                <w:sz w:val="24"/>
              </w:rPr>
              <w:t>83</w:t>
            </w:r>
          </w:p>
        </w:tc>
      </w:tr>
      <w:tr>
        <w:trPr>
          <w:trHeight w:val="378" w:hRule="exact"/>
        </w:trPr>
        <w:tc>
          <w:tcPr>
            <w:tcW w:w="5517" w:type="dxa"/>
          </w:tcPr>
          <w:p>
            <w:pPr>
              <w:pStyle w:val="TableParagraph"/>
              <w:spacing w:before="107"/>
              <w:ind w:left="200"/>
              <w:jc w:val="left"/>
              <w:rPr>
                <w:b/>
                <w:sz w:val="24"/>
              </w:rPr>
            </w:pPr>
            <w:r>
              <w:rPr>
                <w:b/>
                <w:sz w:val="24"/>
              </w:rPr>
              <w:t>X. BIBLIOGRAFIA</w:t>
            </w:r>
          </w:p>
        </w:tc>
        <w:tc>
          <w:tcPr>
            <w:tcW w:w="3013" w:type="dxa"/>
          </w:tcPr>
          <w:p>
            <w:pPr>
              <w:pStyle w:val="TableParagraph"/>
              <w:spacing w:before="107"/>
              <w:ind w:right="199"/>
              <w:jc w:val="right"/>
              <w:rPr>
                <w:sz w:val="24"/>
              </w:rPr>
            </w:pPr>
            <w:r>
              <w:rPr>
                <w:sz w:val="24"/>
              </w:rPr>
              <w:t>84</w:t>
            </w:r>
          </w:p>
        </w:tc>
      </w:tr>
    </w:tbl>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spacing w:before="66"/>
        <w:ind w:left="305" w:right="0" w:firstLine="0"/>
        <w:jc w:val="left"/>
        <w:rPr>
          <w:b/>
          <w:sz w:val="28"/>
        </w:rPr>
      </w:pPr>
      <w:r>
        <w:rPr>
          <w:b/>
          <w:w w:val="90"/>
          <w:sz w:val="28"/>
        </w:rPr>
        <w:t>INDICE DE CUADROS Y FIGURAS</w:t>
      </w:r>
    </w:p>
    <w:p>
      <w:pPr>
        <w:pStyle w:val="BodyText"/>
        <w:rPr>
          <w:b/>
          <w:sz w:val="20"/>
        </w:rPr>
      </w:pPr>
    </w:p>
    <w:p>
      <w:pPr>
        <w:pStyle w:val="BodyText"/>
        <w:rPr>
          <w:b/>
          <w:sz w:val="20"/>
        </w:rPr>
      </w:pPr>
    </w:p>
    <w:p>
      <w:pPr>
        <w:pStyle w:val="BodyText"/>
        <w:rPr>
          <w:b/>
          <w:sz w:val="20"/>
        </w:rPr>
      </w:pPr>
    </w:p>
    <w:p>
      <w:pPr>
        <w:pStyle w:val="BodyText"/>
        <w:spacing w:before="10"/>
        <w:rPr>
          <w:b/>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51"/>
        <w:gridCol w:w="1044"/>
      </w:tblGrid>
      <w:tr>
        <w:trPr>
          <w:trHeight w:val="379" w:hRule="exact"/>
        </w:trPr>
        <w:tc>
          <w:tcPr>
            <w:tcW w:w="7751" w:type="dxa"/>
          </w:tcPr>
          <w:p>
            <w:pPr/>
          </w:p>
        </w:tc>
        <w:tc>
          <w:tcPr>
            <w:tcW w:w="1044" w:type="dxa"/>
          </w:tcPr>
          <w:p>
            <w:pPr>
              <w:pStyle w:val="TableParagraph"/>
              <w:spacing w:line="245" w:lineRule="exact"/>
              <w:ind w:left="38" w:right="179"/>
              <w:rPr>
                <w:b/>
                <w:sz w:val="24"/>
              </w:rPr>
            </w:pPr>
            <w:r>
              <w:rPr>
                <w:b/>
                <w:sz w:val="24"/>
              </w:rPr>
              <w:t>Página</w:t>
            </w:r>
          </w:p>
        </w:tc>
      </w:tr>
      <w:tr>
        <w:trPr>
          <w:trHeight w:val="834" w:hRule="exact"/>
        </w:trPr>
        <w:tc>
          <w:tcPr>
            <w:tcW w:w="7751" w:type="dxa"/>
          </w:tcPr>
          <w:p>
            <w:pPr>
              <w:pStyle w:val="TableParagraph"/>
              <w:spacing w:line="276" w:lineRule="auto" w:before="108"/>
              <w:ind w:left="200" w:right="322"/>
              <w:jc w:val="left"/>
              <w:rPr>
                <w:sz w:val="24"/>
              </w:rPr>
            </w:pPr>
            <w:r>
              <w:rPr>
                <w:sz w:val="24"/>
              </w:rPr>
              <w:t>Figura 2.6. Cambios que ocurren durante las divisiones meioticas de los espermatocitos primarios y secundarios.</w:t>
            </w:r>
          </w:p>
        </w:tc>
        <w:tc>
          <w:tcPr>
            <w:tcW w:w="1044" w:type="dxa"/>
          </w:tcPr>
          <w:p>
            <w:pPr>
              <w:pStyle w:val="TableParagraph"/>
              <w:spacing w:before="108"/>
              <w:ind w:left="38" w:right="175"/>
              <w:rPr>
                <w:sz w:val="24"/>
              </w:rPr>
            </w:pPr>
            <w:r>
              <w:rPr>
                <w:sz w:val="24"/>
              </w:rPr>
              <w:t>11</w:t>
            </w:r>
          </w:p>
        </w:tc>
      </w:tr>
      <w:tr>
        <w:trPr>
          <w:trHeight w:val="517" w:hRule="exact"/>
        </w:trPr>
        <w:tc>
          <w:tcPr>
            <w:tcW w:w="7751" w:type="dxa"/>
          </w:tcPr>
          <w:p>
            <w:pPr>
              <w:pStyle w:val="TableParagraph"/>
              <w:spacing w:before="107"/>
              <w:ind w:left="200" w:right="322"/>
              <w:jc w:val="left"/>
              <w:rPr>
                <w:sz w:val="24"/>
              </w:rPr>
            </w:pPr>
            <w:r>
              <w:rPr>
                <w:sz w:val="24"/>
              </w:rPr>
              <w:t>Cuadro 6.5. Diseño de iniciadores.</w:t>
            </w:r>
          </w:p>
        </w:tc>
        <w:tc>
          <w:tcPr>
            <w:tcW w:w="1044" w:type="dxa"/>
          </w:tcPr>
          <w:p>
            <w:pPr>
              <w:pStyle w:val="TableParagraph"/>
              <w:spacing w:before="107"/>
              <w:ind w:left="38" w:right="175"/>
              <w:rPr>
                <w:sz w:val="24"/>
              </w:rPr>
            </w:pPr>
            <w:r>
              <w:rPr>
                <w:sz w:val="24"/>
              </w:rPr>
              <w:t>23</w:t>
            </w:r>
          </w:p>
        </w:tc>
      </w:tr>
      <w:tr>
        <w:trPr>
          <w:trHeight w:val="1152" w:hRule="exact"/>
        </w:trPr>
        <w:tc>
          <w:tcPr>
            <w:tcW w:w="7751" w:type="dxa"/>
          </w:tcPr>
          <w:p>
            <w:pPr>
              <w:pStyle w:val="TableParagraph"/>
              <w:spacing w:line="276" w:lineRule="auto" w:before="108"/>
              <w:ind w:left="200" w:right="322"/>
              <w:jc w:val="both"/>
              <w:rPr>
                <w:sz w:val="24"/>
              </w:rPr>
            </w:pPr>
            <w:r>
              <w:rPr>
                <w:sz w:val="24"/>
              </w:rPr>
              <w:t>Figura 7.1.1. Fotografías con microscopía de fluorescencia de cortes de testículo de rata de 30 días de edad, procesados mediante la técnica de TUNEL.</w:t>
            </w:r>
          </w:p>
        </w:tc>
        <w:tc>
          <w:tcPr>
            <w:tcW w:w="1044" w:type="dxa"/>
          </w:tcPr>
          <w:p>
            <w:pPr>
              <w:pStyle w:val="TableParagraph"/>
              <w:spacing w:before="108"/>
              <w:ind w:left="38" w:right="175"/>
              <w:rPr>
                <w:sz w:val="24"/>
              </w:rPr>
            </w:pPr>
            <w:r>
              <w:rPr>
                <w:sz w:val="24"/>
              </w:rPr>
              <w:t>28</w:t>
            </w:r>
          </w:p>
        </w:tc>
      </w:tr>
      <w:tr>
        <w:trPr>
          <w:trHeight w:val="835" w:hRule="exact"/>
        </w:trPr>
        <w:tc>
          <w:tcPr>
            <w:tcW w:w="7751" w:type="dxa"/>
          </w:tcPr>
          <w:p>
            <w:pPr>
              <w:pStyle w:val="TableParagraph"/>
              <w:spacing w:line="276" w:lineRule="auto" w:before="108"/>
              <w:ind w:left="200" w:right="322"/>
              <w:jc w:val="left"/>
              <w:rPr>
                <w:sz w:val="24"/>
              </w:rPr>
            </w:pPr>
            <w:r>
              <w:rPr>
                <w:sz w:val="24"/>
              </w:rPr>
              <w:t>Cuadro 7.1. Promedio de las células en apoptosis en diez túbulos seminíferos y susceptibilidad para los 3 grupos.</w:t>
            </w:r>
          </w:p>
        </w:tc>
        <w:tc>
          <w:tcPr>
            <w:tcW w:w="1044" w:type="dxa"/>
          </w:tcPr>
          <w:p>
            <w:pPr>
              <w:pStyle w:val="TableParagraph"/>
              <w:spacing w:before="108"/>
              <w:ind w:left="38" w:right="175"/>
              <w:rPr>
                <w:sz w:val="24"/>
              </w:rPr>
            </w:pPr>
            <w:r>
              <w:rPr>
                <w:sz w:val="24"/>
              </w:rPr>
              <w:t>29</w:t>
            </w:r>
          </w:p>
        </w:tc>
      </w:tr>
      <w:tr>
        <w:trPr>
          <w:trHeight w:val="1152" w:hRule="exact"/>
        </w:trPr>
        <w:tc>
          <w:tcPr>
            <w:tcW w:w="7751" w:type="dxa"/>
          </w:tcPr>
          <w:p>
            <w:pPr>
              <w:pStyle w:val="TableParagraph"/>
              <w:spacing w:line="276" w:lineRule="auto" w:before="108"/>
              <w:ind w:left="200" w:right="321"/>
              <w:jc w:val="both"/>
              <w:rPr>
                <w:sz w:val="24"/>
              </w:rPr>
            </w:pPr>
            <w:r>
              <w:rPr>
                <w:sz w:val="24"/>
              </w:rPr>
              <w:t>Figura 7.1.2. Fotografía tomada con un microscopio de fluorescencia de cortes de testículo de rata de 45 días de edad, marcados mediante la técnica de TUNEL.</w:t>
            </w:r>
          </w:p>
        </w:tc>
        <w:tc>
          <w:tcPr>
            <w:tcW w:w="1044" w:type="dxa"/>
          </w:tcPr>
          <w:p>
            <w:pPr>
              <w:pStyle w:val="TableParagraph"/>
              <w:spacing w:before="108"/>
              <w:ind w:left="38" w:right="175"/>
              <w:rPr>
                <w:sz w:val="24"/>
              </w:rPr>
            </w:pPr>
            <w:r>
              <w:rPr>
                <w:sz w:val="24"/>
              </w:rPr>
              <w:t>29</w:t>
            </w:r>
          </w:p>
        </w:tc>
      </w:tr>
      <w:tr>
        <w:trPr>
          <w:trHeight w:val="836" w:hRule="exact"/>
        </w:trPr>
        <w:tc>
          <w:tcPr>
            <w:tcW w:w="7751" w:type="dxa"/>
          </w:tcPr>
          <w:p>
            <w:pPr>
              <w:pStyle w:val="TableParagraph"/>
              <w:spacing w:line="276" w:lineRule="auto" w:before="108"/>
              <w:ind w:left="200" w:right="322"/>
              <w:jc w:val="left"/>
              <w:rPr>
                <w:sz w:val="24"/>
              </w:rPr>
            </w:pPr>
            <w:r>
              <w:rPr>
                <w:sz w:val="24"/>
              </w:rPr>
              <w:t>Cuadro 7.2. Promedio de las concentraciones de serotonina y 5- HIAA en el hipotálamo de ratas macho tratadas o no con pCA.</w:t>
            </w:r>
          </w:p>
        </w:tc>
        <w:tc>
          <w:tcPr>
            <w:tcW w:w="1044" w:type="dxa"/>
          </w:tcPr>
          <w:p>
            <w:pPr>
              <w:pStyle w:val="TableParagraph"/>
              <w:spacing w:before="108"/>
              <w:ind w:left="38" w:right="175"/>
              <w:rPr>
                <w:sz w:val="24"/>
              </w:rPr>
            </w:pPr>
            <w:r>
              <w:rPr>
                <w:sz w:val="24"/>
              </w:rPr>
              <w:t>30</w:t>
            </w:r>
          </w:p>
        </w:tc>
      </w:tr>
      <w:tr>
        <w:trPr>
          <w:trHeight w:val="696" w:hRule="exact"/>
        </w:trPr>
        <w:tc>
          <w:tcPr>
            <w:tcW w:w="7751" w:type="dxa"/>
          </w:tcPr>
          <w:p>
            <w:pPr>
              <w:pStyle w:val="TableParagraph"/>
              <w:spacing w:line="276" w:lineRule="auto" w:before="109"/>
              <w:ind w:left="200" w:right="322"/>
              <w:jc w:val="left"/>
              <w:rPr>
                <w:sz w:val="24"/>
              </w:rPr>
            </w:pPr>
            <w:r>
              <w:rPr>
                <w:sz w:val="24"/>
              </w:rPr>
              <w:t>Cuadro 7.3.1. Promedio de las concentraciones de gonadotropinas y esteroides sexuales en los 3 grupos a los 45 días de edad.</w:t>
            </w:r>
          </w:p>
        </w:tc>
        <w:tc>
          <w:tcPr>
            <w:tcW w:w="1044" w:type="dxa"/>
          </w:tcPr>
          <w:p>
            <w:pPr>
              <w:pStyle w:val="TableParagraph"/>
              <w:spacing w:before="109"/>
              <w:ind w:left="38" w:right="175"/>
              <w:rPr>
                <w:sz w:val="24"/>
              </w:rPr>
            </w:pPr>
            <w:r>
              <w:rPr>
                <w:sz w:val="24"/>
              </w:rPr>
              <w:t>31</w:t>
            </w:r>
          </w:p>
        </w:tc>
      </w:tr>
    </w:tbl>
    <w:p>
      <w:pPr>
        <w:spacing w:after="0"/>
        <w:rPr>
          <w:sz w:val="24"/>
        </w:rPr>
        <w:sectPr>
          <w:pgSz w:w="12240" w:h="15840"/>
          <w:pgMar w:top="1500" w:bottom="280" w:left="1680" w:right="1540"/>
        </w:sectPr>
      </w:pPr>
    </w:p>
    <w:p>
      <w:pPr>
        <w:pStyle w:val="BodyText"/>
        <w:rPr>
          <w:rFonts w:ascii="Times New Roman"/>
          <w:sz w:val="20"/>
        </w:rPr>
      </w:pPr>
    </w:p>
    <w:p>
      <w:pPr>
        <w:pStyle w:val="BodyText"/>
        <w:spacing w:before="10"/>
        <w:rPr>
          <w:rFonts w:ascii="Times New Roman"/>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51"/>
        <w:gridCol w:w="787"/>
      </w:tblGrid>
      <w:tr>
        <w:trPr>
          <w:trHeight w:val="1331" w:hRule="exact"/>
        </w:trPr>
        <w:tc>
          <w:tcPr>
            <w:tcW w:w="7751" w:type="dxa"/>
          </w:tcPr>
          <w:p>
            <w:pPr>
              <w:pStyle w:val="TableParagraph"/>
              <w:spacing w:line="245" w:lineRule="exact"/>
              <w:ind w:left="200"/>
              <w:jc w:val="both"/>
              <w:rPr>
                <w:sz w:val="24"/>
              </w:rPr>
            </w:pPr>
            <w:r>
              <w:rPr>
                <w:sz w:val="24"/>
              </w:rPr>
              <w:t>Cuadro 7.4  Promedio de  las  concentraciones de  serotonina  y  5-</w:t>
            </w:r>
          </w:p>
          <w:p>
            <w:pPr>
              <w:pStyle w:val="TableParagraph"/>
              <w:spacing w:line="276" w:lineRule="auto" w:before="41"/>
              <w:ind w:left="200" w:right="321"/>
              <w:jc w:val="both"/>
              <w:rPr>
                <w:sz w:val="24"/>
              </w:rPr>
            </w:pPr>
            <w:r>
              <w:rPr>
                <w:sz w:val="24"/>
              </w:rPr>
              <w:t>HIAA, hormonas gonadotropinas y hormonas esteroides en ratas macho tratadas con pCA, Vh y CA con respecto a su susceptibilidad.</w:t>
            </w:r>
          </w:p>
        </w:tc>
        <w:tc>
          <w:tcPr>
            <w:tcW w:w="787" w:type="dxa"/>
          </w:tcPr>
          <w:p>
            <w:pPr>
              <w:pStyle w:val="TableParagraph"/>
              <w:spacing w:line="245" w:lineRule="exact"/>
              <w:ind w:right="198"/>
              <w:jc w:val="right"/>
              <w:rPr>
                <w:sz w:val="24"/>
              </w:rPr>
            </w:pPr>
            <w:r>
              <w:rPr>
                <w:sz w:val="24"/>
              </w:rPr>
              <w:t>32</w:t>
            </w:r>
          </w:p>
        </w:tc>
      </w:tr>
      <w:tr>
        <w:trPr>
          <w:trHeight w:val="1787" w:hRule="exact"/>
        </w:trPr>
        <w:tc>
          <w:tcPr>
            <w:tcW w:w="7751" w:type="dxa"/>
          </w:tcPr>
          <w:p>
            <w:pPr>
              <w:pStyle w:val="TableParagraph"/>
              <w:spacing w:line="276" w:lineRule="auto" w:before="107"/>
              <w:ind w:left="200" w:right="320"/>
              <w:jc w:val="both"/>
              <w:rPr>
                <w:sz w:val="24"/>
              </w:rPr>
            </w:pPr>
            <w:r>
              <w:rPr>
                <w:sz w:val="24"/>
              </w:rPr>
              <w:t>Figura 7.5.1. Fotografías de geles de agarosa al 1.5% TAE 0.5X. Expresión del ARNm de los genes CYC, BAX, BCL-2, 3βHSD,  ABP, AR y CREMΔ, a los 30 y 45 días de edad de los mismos individuos según su tratamiento, separados por tratamientos y por su</w:t>
            </w:r>
            <w:r>
              <w:rPr>
                <w:spacing w:val="-4"/>
                <w:sz w:val="24"/>
              </w:rPr>
              <w:t> </w:t>
            </w:r>
            <w:r>
              <w:rPr>
                <w:sz w:val="24"/>
              </w:rPr>
              <w:t>susceptibilidad.</w:t>
            </w:r>
          </w:p>
        </w:tc>
        <w:tc>
          <w:tcPr>
            <w:tcW w:w="787" w:type="dxa"/>
          </w:tcPr>
          <w:p>
            <w:pPr>
              <w:pStyle w:val="TableParagraph"/>
              <w:spacing w:before="107"/>
              <w:ind w:right="198"/>
              <w:jc w:val="right"/>
              <w:rPr>
                <w:sz w:val="24"/>
              </w:rPr>
            </w:pPr>
            <w:r>
              <w:rPr>
                <w:sz w:val="24"/>
              </w:rPr>
              <w:t>33</w:t>
            </w:r>
          </w:p>
        </w:tc>
      </w:tr>
      <w:tr>
        <w:trPr>
          <w:trHeight w:val="1152" w:hRule="exact"/>
        </w:trPr>
        <w:tc>
          <w:tcPr>
            <w:tcW w:w="7751" w:type="dxa"/>
          </w:tcPr>
          <w:p>
            <w:pPr>
              <w:pStyle w:val="TableParagraph"/>
              <w:spacing w:line="276" w:lineRule="auto" w:before="109"/>
              <w:ind w:left="200" w:right="315"/>
              <w:jc w:val="both"/>
              <w:rPr>
                <w:sz w:val="24"/>
              </w:rPr>
            </w:pPr>
            <w:r>
              <w:rPr>
                <w:sz w:val="24"/>
              </w:rPr>
              <w:t>Figura 7.5.2. Gráficas de dispersión de la expresión del gen de BAX a los 30 y 45 días de edad, se presenta la información de los individuos por tratamiento y por susceptibilidad.</w:t>
            </w:r>
          </w:p>
        </w:tc>
        <w:tc>
          <w:tcPr>
            <w:tcW w:w="787" w:type="dxa"/>
          </w:tcPr>
          <w:p>
            <w:pPr>
              <w:pStyle w:val="TableParagraph"/>
              <w:spacing w:before="109"/>
              <w:ind w:right="198"/>
              <w:jc w:val="right"/>
              <w:rPr>
                <w:sz w:val="24"/>
              </w:rPr>
            </w:pPr>
            <w:r>
              <w:rPr>
                <w:sz w:val="24"/>
              </w:rPr>
              <w:t>34</w:t>
            </w:r>
          </w:p>
        </w:tc>
      </w:tr>
      <w:tr>
        <w:trPr>
          <w:trHeight w:val="1152" w:hRule="exact"/>
        </w:trPr>
        <w:tc>
          <w:tcPr>
            <w:tcW w:w="7751" w:type="dxa"/>
          </w:tcPr>
          <w:p>
            <w:pPr>
              <w:pStyle w:val="TableParagraph"/>
              <w:spacing w:line="276" w:lineRule="auto" w:before="108"/>
              <w:ind w:left="200" w:right="317"/>
              <w:jc w:val="both"/>
              <w:rPr>
                <w:sz w:val="24"/>
              </w:rPr>
            </w:pPr>
            <w:r>
              <w:rPr>
                <w:sz w:val="24"/>
              </w:rPr>
              <w:t>Figura 7.5.3. Gráficas de dispersión del gen BCL-2 a los 30 y 45 días de edad, se presenta la información de los individuos por tratamiento y susceptibilidad.</w:t>
            </w:r>
          </w:p>
        </w:tc>
        <w:tc>
          <w:tcPr>
            <w:tcW w:w="787" w:type="dxa"/>
          </w:tcPr>
          <w:p>
            <w:pPr>
              <w:pStyle w:val="TableParagraph"/>
              <w:spacing w:before="108"/>
              <w:ind w:right="198"/>
              <w:jc w:val="right"/>
              <w:rPr>
                <w:sz w:val="24"/>
              </w:rPr>
            </w:pPr>
            <w:r>
              <w:rPr>
                <w:sz w:val="24"/>
              </w:rPr>
              <w:t>35</w:t>
            </w:r>
          </w:p>
        </w:tc>
      </w:tr>
      <w:tr>
        <w:trPr>
          <w:trHeight w:val="1152" w:hRule="exact"/>
        </w:trPr>
        <w:tc>
          <w:tcPr>
            <w:tcW w:w="7751" w:type="dxa"/>
          </w:tcPr>
          <w:p>
            <w:pPr>
              <w:pStyle w:val="TableParagraph"/>
              <w:spacing w:line="276" w:lineRule="auto" w:before="108"/>
              <w:ind w:left="200" w:right="322"/>
              <w:jc w:val="both"/>
              <w:rPr>
                <w:sz w:val="24"/>
              </w:rPr>
            </w:pPr>
            <w:r>
              <w:rPr>
                <w:sz w:val="24"/>
              </w:rPr>
              <w:t>Figura 7.5.4. Gráficas de dispersión de la expresión del gen 3βHSD a los 30 y 45 días de edad respectivamente, los datos están agrupados por tratamiento y por susceptibilidad.</w:t>
            </w:r>
          </w:p>
        </w:tc>
        <w:tc>
          <w:tcPr>
            <w:tcW w:w="787" w:type="dxa"/>
          </w:tcPr>
          <w:p>
            <w:pPr>
              <w:pStyle w:val="TableParagraph"/>
              <w:spacing w:before="108"/>
              <w:ind w:right="198"/>
              <w:jc w:val="right"/>
              <w:rPr>
                <w:sz w:val="24"/>
              </w:rPr>
            </w:pPr>
            <w:r>
              <w:rPr>
                <w:sz w:val="24"/>
              </w:rPr>
              <w:t>36</w:t>
            </w:r>
          </w:p>
        </w:tc>
      </w:tr>
      <w:tr>
        <w:trPr>
          <w:trHeight w:val="1152" w:hRule="exact"/>
        </w:trPr>
        <w:tc>
          <w:tcPr>
            <w:tcW w:w="7751" w:type="dxa"/>
          </w:tcPr>
          <w:p>
            <w:pPr>
              <w:pStyle w:val="TableParagraph"/>
              <w:spacing w:line="276" w:lineRule="auto" w:before="108"/>
              <w:ind w:left="200" w:right="320"/>
              <w:jc w:val="both"/>
              <w:rPr>
                <w:sz w:val="24"/>
              </w:rPr>
            </w:pPr>
            <w:r>
              <w:rPr>
                <w:sz w:val="24"/>
              </w:rPr>
              <w:t>Figura 7.5.5. Gráficas de dispersión de la expresión de los genes ABP a los 30 y 45 días de edad respectivamente, los datos están agrupados por tratamiento y por susceptibilidad.</w:t>
            </w:r>
          </w:p>
        </w:tc>
        <w:tc>
          <w:tcPr>
            <w:tcW w:w="787" w:type="dxa"/>
          </w:tcPr>
          <w:p>
            <w:pPr>
              <w:pStyle w:val="TableParagraph"/>
              <w:spacing w:before="108"/>
              <w:ind w:right="198"/>
              <w:jc w:val="right"/>
              <w:rPr>
                <w:sz w:val="24"/>
              </w:rPr>
            </w:pPr>
            <w:r>
              <w:rPr>
                <w:sz w:val="24"/>
              </w:rPr>
              <w:t>37</w:t>
            </w:r>
          </w:p>
        </w:tc>
      </w:tr>
      <w:tr>
        <w:trPr>
          <w:trHeight w:val="1153" w:hRule="exact"/>
        </w:trPr>
        <w:tc>
          <w:tcPr>
            <w:tcW w:w="7751" w:type="dxa"/>
          </w:tcPr>
          <w:p>
            <w:pPr>
              <w:pStyle w:val="TableParagraph"/>
              <w:spacing w:line="276" w:lineRule="auto" w:before="108"/>
              <w:ind w:left="200" w:right="325"/>
              <w:jc w:val="both"/>
              <w:rPr>
                <w:sz w:val="24"/>
              </w:rPr>
            </w:pPr>
            <w:r>
              <w:rPr>
                <w:sz w:val="24"/>
              </w:rPr>
              <w:t>Figura 7.5.6. Gráficas de dispersión de la expresión del gen AR a los 30 y 45 días de edad, los datos están agrupados por  tratamiento y por</w:t>
            </w:r>
            <w:r>
              <w:rPr>
                <w:spacing w:val="-8"/>
                <w:sz w:val="24"/>
              </w:rPr>
              <w:t> </w:t>
            </w:r>
            <w:r>
              <w:rPr>
                <w:sz w:val="24"/>
              </w:rPr>
              <w:t>susceptibilidad.</w:t>
            </w:r>
          </w:p>
        </w:tc>
        <w:tc>
          <w:tcPr>
            <w:tcW w:w="787" w:type="dxa"/>
          </w:tcPr>
          <w:p>
            <w:pPr>
              <w:pStyle w:val="TableParagraph"/>
              <w:spacing w:before="108"/>
              <w:ind w:right="198"/>
              <w:jc w:val="right"/>
              <w:rPr>
                <w:sz w:val="24"/>
              </w:rPr>
            </w:pPr>
            <w:r>
              <w:rPr>
                <w:sz w:val="24"/>
              </w:rPr>
              <w:t>38</w:t>
            </w:r>
          </w:p>
        </w:tc>
      </w:tr>
      <w:tr>
        <w:trPr>
          <w:trHeight w:val="1014" w:hRule="exact"/>
        </w:trPr>
        <w:tc>
          <w:tcPr>
            <w:tcW w:w="7751" w:type="dxa"/>
          </w:tcPr>
          <w:p>
            <w:pPr>
              <w:pStyle w:val="TableParagraph"/>
              <w:spacing w:line="276" w:lineRule="auto" w:before="107"/>
              <w:ind w:left="200" w:right="321"/>
              <w:jc w:val="both"/>
              <w:rPr>
                <w:sz w:val="24"/>
              </w:rPr>
            </w:pPr>
            <w:r>
              <w:rPr>
                <w:sz w:val="24"/>
              </w:rPr>
              <w:t>Figura 7.5.7. Gráficas de dispersión de la expresión del gen CREMΔ a los 45 días de edad, los datos están agrupados por tratamiento y por</w:t>
            </w:r>
            <w:r>
              <w:rPr>
                <w:spacing w:val="-8"/>
                <w:sz w:val="24"/>
              </w:rPr>
              <w:t> </w:t>
            </w:r>
            <w:r>
              <w:rPr>
                <w:sz w:val="24"/>
              </w:rPr>
              <w:t>susceptibilidad.</w:t>
            </w:r>
          </w:p>
        </w:tc>
        <w:tc>
          <w:tcPr>
            <w:tcW w:w="787" w:type="dxa"/>
          </w:tcPr>
          <w:p>
            <w:pPr>
              <w:pStyle w:val="TableParagraph"/>
              <w:spacing w:before="107"/>
              <w:ind w:right="198"/>
              <w:jc w:val="right"/>
              <w:rPr>
                <w:sz w:val="24"/>
              </w:rPr>
            </w:pPr>
            <w:r>
              <w:rPr>
                <w:sz w:val="24"/>
              </w:rPr>
              <w:t>39</w:t>
            </w:r>
          </w:p>
        </w:tc>
      </w:tr>
    </w:tbl>
    <w:p>
      <w:pPr>
        <w:spacing w:after="0"/>
        <w:jc w:val="right"/>
        <w:rPr>
          <w:sz w:val="24"/>
        </w:rPr>
        <w:sectPr>
          <w:pgSz w:w="12240" w:h="15840"/>
          <w:pgMar w:top="1500" w:bottom="280" w:left="1680" w:right="1720"/>
        </w:sectPr>
      </w:pPr>
    </w:p>
    <w:p>
      <w:pPr>
        <w:pStyle w:val="BodyText"/>
        <w:rPr>
          <w:rFonts w:ascii="Times New Roman"/>
          <w:sz w:val="20"/>
        </w:rPr>
      </w:pPr>
    </w:p>
    <w:p>
      <w:pPr>
        <w:pStyle w:val="BodyText"/>
        <w:spacing w:before="5"/>
        <w:rPr>
          <w:rFonts w:ascii="Times New Roman"/>
          <w:sz w:val="16"/>
        </w:rPr>
      </w:pPr>
    </w:p>
    <w:p>
      <w:pPr>
        <w:pStyle w:val="Heading1"/>
        <w:numPr>
          <w:ilvl w:val="0"/>
          <w:numId w:val="1"/>
        </w:numPr>
        <w:tabs>
          <w:tab w:pos="400" w:val="left" w:leader="none"/>
        </w:tabs>
        <w:spacing w:line="240" w:lineRule="auto" w:before="65" w:after="0"/>
        <w:ind w:left="399" w:right="0" w:hanging="134"/>
        <w:jc w:val="left"/>
      </w:pPr>
      <w:r>
        <w:rPr/>
        <w:t>INTRODUCCIÓN</w:t>
      </w:r>
    </w:p>
    <w:p>
      <w:pPr>
        <w:pStyle w:val="BodyText"/>
        <w:rPr>
          <w:b/>
          <w:sz w:val="28"/>
        </w:rPr>
      </w:pPr>
    </w:p>
    <w:p>
      <w:pPr>
        <w:pStyle w:val="BodyText"/>
        <w:spacing w:before="8"/>
        <w:rPr>
          <w:b/>
          <w:sz w:val="29"/>
        </w:rPr>
      </w:pPr>
    </w:p>
    <w:p>
      <w:pPr>
        <w:pStyle w:val="BodyText"/>
        <w:spacing w:line="360" w:lineRule="auto"/>
        <w:ind w:left="265" w:right="117" w:firstLine="427"/>
        <w:jc w:val="both"/>
      </w:pPr>
      <w:r>
        <w:rPr/>
        <w:t>La muerte celular por apoptosis es un proceso metódicamente ejecutado  por las células y que van a producir una perdida benéfica para el</w:t>
      </w:r>
      <w:r>
        <w:rPr>
          <w:spacing w:val="-26"/>
        </w:rPr>
        <w:t> </w:t>
      </w:r>
      <w:r>
        <w:rPr/>
        <w:t>organismo.</w:t>
      </w:r>
    </w:p>
    <w:p>
      <w:pPr>
        <w:pStyle w:val="BodyText"/>
        <w:spacing w:line="360" w:lineRule="auto" w:before="2"/>
        <w:ind w:left="265" w:right="112" w:firstLine="427"/>
        <w:jc w:val="both"/>
      </w:pPr>
      <w:r>
        <w:rPr/>
        <w:t>A lo largo del tiempo a la apoptosis se le confundió con la necrosis ocasionada por la agresión de agentes bioquímicos o físicos. Sin embargo, la diferencia radica en que en la apoptosis hay los cambios morfológicos y químicos perfectamente ejecutados que evitan el daño a las células vecinas, ya que existe una fragmentación de la célula que facilita la fagocitosis por macrófagos o células adyacentes, el mecanismo de la apoptosis depende de energía y es dirigido genéticamente, y en la necrosis se presenta una respuesta inflamatoria con exposición del contenido celular al espacio extracelular que afecta a otras células. La agresión por compuestos químicos, agentes físicos y el medio ambiente en su mayoría tienen efectos perjudiciales en el organismo, sin embargo, se ha visto que cada individuo responde de manera distinta.</w:t>
      </w:r>
    </w:p>
    <w:p>
      <w:pPr>
        <w:pStyle w:val="BodyText"/>
        <w:spacing w:line="360" w:lineRule="auto" w:before="3"/>
        <w:ind w:left="265" w:right="113" w:firstLine="427"/>
        <w:jc w:val="both"/>
      </w:pPr>
      <w:r>
        <w:rPr/>
        <w:t>La administración de xenobióticos (compuestos químicos que no son sintetizados de manera natural por el organismo) tiene efectos citológicos o tisulares nocivos, no obstante la genética de un organismo afecta el reconocimiento y la respuesta a estos compuestos, y como consecuencia la susceptibilidad relativa a los efectos adversos inducidos (Aldridge </w:t>
      </w:r>
      <w:r>
        <w:rPr>
          <w:i/>
        </w:rPr>
        <w:t>et al, </w:t>
      </w:r>
      <w:r>
        <w:rPr/>
        <w:t>2003; Orphanides y Kimber, 2003).</w:t>
      </w:r>
    </w:p>
    <w:p>
      <w:pPr>
        <w:pStyle w:val="BodyText"/>
        <w:spacing w:line="360" w:lineRule="auto"/>
        <w:ind w:left="265" w:right="114" w:firstLine="427"/>
        <w:jc w:val="both"/>
      </w:pPr>
      <w:r>
        <w:rPr/>
        <w:t>En un estudio previo realizado por Aragón </w:t>
      </w:r>
      <w:r>
        <w:rPr>
          <w:i/>
        </w:rPr>
        <w:t>et al, </w:t>
      </w:r>
      <w:r>
        <w:rPr/>
        <w:t>(2005) se vio que al inhibir la síntesis del neurotransmisor serotonina durante la espermatogénesis en ratas prepúberes mediante p-cloroanfetamina (pCA), causa la muerte de las células germinales testiculares por apoptosis de manera interindividual. Esta información nos da indicios de que en condiciones naturales existen organismos con</w:t>
      </w:r>
      <w:r>
        <w:rPr>
          <w:spacing w:val="57"/>
        </w:rPr>
        <w:t> </w:t>
      </w:r>
      <w:r>
        <w:rPr/>
        <w:t>mayor</w:t>
      </w:r>
      <w:r>
        <w:rPr>
          <w:spacing w:val="56"/>
        </w:rPr>
        <w:t> </w:t>
      </w:r>
      <w:r>
        <w:rPr/>
        <w:t>susceptibilidad</w:t>
      </w:r>
      <w:r>
        <w:rPr>
          <w:spacing w:val="59"/>
        </w:rPr>
        <w:t> </w:t>
      </w:r>
      <w:r>
        <w:rPr/>
        <w:t>a</w:t>
      </w:r>
      <w:r>
        <w:rPr>
          <w:spacing w:val="57"/>
        </w:rPr>
        <w:t> </w:t>
      </w:r>
      <w:r>
        <w:rPr/>
        <w:t>la</w:t>
      </w:r>
      <w:r>
        <w:rPr>
          <w:spacing w:val="55"/>
        </w:rPr>
        <w:t> </w:t>
      </w:r>
      <w:r>
        <w:rPr/>
        <w:t>muerte</w:t>
      </w:r>
      <w:r>
        <w:rPr>
          <w:spacing w:val="58"/>
        </w:rPr>
        <w:t> </w:t>
      </w:r>
      <w:r>
        <w:rPr/>
        <w:t>de</w:t>
      </w:r>
      <w:r>
        <w:rPr>
          <w:spacing w:val="55"/>
        </w:rPr>
        <w:t> </w:t>
      </w:r>
      <w:r>
        <w:rPr/>
        <w:t>las</w:t>
      </w:r>
      <w:r>
        <w:rPr>
          <w:spacing w:val="56"/>
        </w:rPr>
        <w:t> </w:t>
      </w:r>
      <w:r>
        <w:rPr/>
        <w:t>células</w:t>
      </w:r>
      <w:r>
        <w:rPr>
          <w:spacing w:val="56"/>
        </w:rPr>
        <w:t> </w:t>
      </w:r>
      <w:r>
        <w:rPr/>
        <w:t>germinales</w:t>
      </w:r>
      <w:r>
        <w:rPr>
          <w:spacing w:val="57"/>
        </w:rPr>
        <w:t> </w:t>
      </w:r>
      <w:r>
        <w:rPr/>
        <w:t>en</w:t>
      </w:r>
      <w:r>
        <w:rPr>
          <w:spacing w:val="57"/>
        </w:rPr>
        <w:t> </w:t>
      </w:r>
      <w:r>
        <w:rPr/>
        <w:t>etapas</w:t>
      </w:r>
    </w:p>
    <w:p>
      <w:pPr>
        <w:spacing w:after="0" w:line="360" w:lineRule="auto"/>
        <w:jc w:val="both"/>
        <w:sectPr>
          <w:footerReference w:type="default" r:id="rId6"/>
          <w:pgSz w:w="12240" w:h="15840"/>
          <w:pgMar w:footer="2188" w:header="0" w:top="1500" w:bottom="2380" w:left="1720" w:right="1580"/>
          <w:pgNumType w:start="1"/>
        </w:sectPr>
      </w:pPr>
    </w:p>
    <w:p>
      <w:pPr>
        <w:pStyle w:val="BodyText"/>
        <w:rPr>
          <w:sz w:val="20"/>
        </w:rPr>
      </w:pPr>
    </w:p>
    <w:p>
      <w:pPr>
        <w:pStyle w:val="BodyText"/>
        <w:spacing w:before="2"/>
        <w:rPr>
          <w:sz w:val="16"/>
        </w:rPr>
      </w:pPr>
    </w:p>
    <w:p>
      <w:pPr>
        <w:pStyle w:val="BodyText"/>
        <w:spacing w:line="360" w:lineRule="auto" w:before="69"/>
        <w:ind w:left="265" w:right="115"/>
        <w:jc w:val="both"/>
      </w:pPr>
      <w:r>
        <w:rPr/>
        <w:t>preespermáticas, aunque se desconocen qué factores genéticos propician estas condiciones. En condiciones experimentales controladas donde se tratan animales con baja y alta susceptibilidad a la muerte de las células germinales, se podría esperar que los animales que presentan una susceptibilidad mayor a la muerte de las células germinales sean los mismos que manifiesten una expresión alterada de algunos genes involucrados en apoptosis y espermatogénesis.</w:t>
      </w:r>
    </w:p>
    <w:p>
      <w:pPr>
        <w:pStyle w:val="BodyText"/>
        <w:spacing w:line="360" w:lineRule="auto" w:before="3"/>
        <w:ind w:left="265" w:right="115" w:firstLine="427"/>
        <w:jc w:val="both"/>
      </w:pPr>
      <w:r>
        <w:rPr/>
        <w:t>El inicio del ciclo en la espermatogénesis en la rata, ocurre de la primera a la sexta semana de vida posnatal, es un proceso fundamental para el desarrollo de la maduración sexual y de la capacidad testicular (Clermont y Perey, 1957), es regulado por la hormona luteinizante (LH) y la hormona folículo estimulante (FSH). La LH estimula a las células de Leydig para la producción de testosterona, que a su vez ejerce funciones endocrinas intratestículares (Louvet </w:t>
      </w:r>
      <w:r>
        <w:rPr>
          <w:i/>
        </w:rPr>
        <w:t>et al., </w:t>
      </w:r>
      <w:r>
        <w:rPr/>
        <w:t>1975), mientras la FSH estimula a las células de Sertoli para que las espermatogonias inicien su diferenciación (Hill </w:t>
      </w:r>
      <w:r>
        <w:rPr>
          <w:i/>
        </w:rPr>
        <w:t>et al,</w:t>
      </w:r>
      <w:r>
        <w:rPr>
          <w:i/>
          <w:spacing w:val="-16"/>
        </w:rPr>
        <w:t> </w:t>
      </w:r>
      <w:r>
        <w:rPr/>
        <w:t>2004).</w:t>
      </w:r>
    </w:p>
    <w:p>
      <w:pPr>
        <w:pStyle w:val="BodyText"/>
        <w:spacing w:line="360" w:lineRule="auto" w:before="5"/>
        <w:ind w:left="265" w:right="114" w:firstLine="427"/>
        <w:jc w:val="both"/>
      </w:pPr>
      <w:r>
        <w:rPr/>
        <w:t>El efecto de la testosterona en la espermatogénesis no ocurre directamente en las células germinales sino que es mediado por el receptor de andrógenos (AR) presentes en las células de Sertoli (Hill </w:t>
      </w:r>
      <w:r>
        <w:rPr>
          <w:i/>
        </w:rPr>
        <w:t>et al, </w:t>
      </w:r>
      <w:r>
        <w:rPr/>
        <w:t>2004). Las células de Sertoli producen a la proteína acarreadora de andrógenos (ABP), esta proteína tiene  un papel importante en el transporte extracelular de andrógenos y se ha demostrado que es un factor moderador del proceso espermático (Jeyaraj </w:t>
      </w:r>
      <w:r>
        <w:rPr>
          <w:i/>
        </w:rPr>
        <w:t>et al, </w:t>
      </w:r>
      <w:r>
        <w:rPr/>
        <w:t>2003). En etapas celulares específicas de la espermatogénesis, el elemento modulador de respuesta a AMPc (CREMΔ) es activado y promueve la diferenciación de las espermátidas hacia espermatozoides (Delmas </w:t>
      </w:r>
      <w:r>
        <w:rPr>
          <w:i/>
        </w:rPr>
        <w:t>et al., </w:t>
      </w:r>
      <w:r>
        <w:rPr/>
        <w:t>1993; Walker </w:t>
      </w:r>
      <w:r>
        <w:rPr>
          <w:i/>
        </w:rPr>
        <w:t>et al, </w:t>
      </w:r>
      <w:r>
        <w:rPr/>
        <w:t>1994). En el ciclo del colesterol el citocromo P450 (CYP11A1) de las mitocondrias, cataliza la reacción de la ruptura de la cadena lateral del colesterol  convirtiéndolo  a pregnenolona,  esta  es transportada  al </w:t>
      </w:r>
      <w:r>
        <w:rPr>
          <w:spacing w:val="33"/>
        </w:rPr>
        <w:t> </w:t>
      </w:r>
      <w:r>
        <w:rPr/>
        <w:t>citoplasma</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BodyText"/>
        <w:spacing w:line="360" w:lineRule="auto" w:before="69"/>
        <w:ind w:left="265" w:right="115"/>
        <w:jc w:val="both"/>
      </w:pPr>
      <w:r>
        <w:rPr/>
        <w:t>donde se metaboliza a progesterona por la 3β hidroxiesteroide deshidrogenasa (3βHSD) y posteriormente es transformada a testosterona por las células de Leydig. La testosterona junto con BCL-2 (célula B de linfoma 2) funcionan como un factor de sobrevivencia de las células germinales, mientras que otros factores como BAX (proteína X asociada a BCL-2) están relacionados con la propensión a la apoptosis (Woolveridge </w:t>
      </w:r>
      <w:r>
        <w:rPr>
          <w:i/>
        </w:rPr>
        <w:t>et al, </w:t>
      </w:r>
      <w:r>
        <w:rPr/>
        <w:t>1999; Sinha Hikim y Swerdloff, 1999).</w:t>
      </w:r>
    </w:p>
    <w:p>
      <w:pPr>
        <w:pStyle w:val="BodyText"/>
        <w:spacing w:line="360" w:lineRule="auto" w:before="3"/>
        <w:ind w:left="265" w:right="116" w:firstLine="427"/>
        <w:jc w:val="both"/>
      </w:pPr>
      <w:r>
        <w:rPr/>
        <w:t>En este trabajo, de entre un conjunto de genes candidatos, se buscó identificar cuales presentan una expresión determinante en la susceptibilidad a la apoptosis de las células germinales.</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5"/>
        <w:rPr>
          <w:sz w:val="16"/>
        </w:rPr>
      </w:pPr>
    </w:p>
    <w:p>
      <w:pPr>
        <w:pStyle w:val="Heading1"/>
        <w:numPr>
          <w:ilvl w:val="0"/>
          <w:numId w:val="1"/>
        </w:numPr>
        <w:tabs>
          <w:tab w:pos="470" w:val="left" w:leader="none"/>
        </w:tabs>
        <w:spacing w:line="240" w:lineRule="auto" w:before="65" w:after="0"/>
        <w:ind w:left="469" w:right="0" w:hanging="204"/>
        <w:jc w:val="left"/>
      </w:pPr>
      <w:r>
        <w:rPr>
          <w:w w:val="90"/>
        </w:rPr>
        <w:t>REVISIÓN</w:t>
      </w:r>
      <w:r>
        <w:rPr>
          <w:spacing w:val="-40"/>
          <w:w w:val="90"/>
        </w:rPr>
        <w:t> </w:t>
      </w:r>
      <w:r>
        <w:rPr>
          <w:w w:val="90"/>
        </w:rPr>
        <w:t>DE</w:t>
      </w:r>
      <w:r>
        <w:rPr>
          <w:spacing w:val="-41"/>
          <w:w w:val="90"/>
        </w:rPr>
        <w:t> </w:t>
      </w:r>
      <w:r>
        <w:rPr>
          <w:w w:val="90"/>
        </w:rPr>
        <w:t>LITERATURA</w:t>
      </w:r>
    </w:p>
    <w:p>
      <w:pPr>
        <w:pStyle w:val="BodyText"/>
        <w:rPr>
          <w:b/>
          <w:sz w:val="28"/>
        </w:rPr>
      </w:pPr>
    </w:p>
    <w:p>
      <w:pPr>
        <w:pStyle w:val="BodyText"/>
        <w:spacing w:before="5"/>
        <w:rPr>
          <w:b/>
          <w:sz w:val="39"/>
        </w:rPr>
      </w:pPr>
    </w:p>
    <w:p>
      <w:pPr>
        <w:pStyle w:val="Heading2"/>
        <w:numPr>
          <w:ilvl w:val="1"/>
          <w:numId w:val="2"/>
        </w:numPr>
        <w:tabs>
          <w:tab w:pos="671" w:val="left" w:leader="none"/>
        </w:tabs>
        <w:spacing w:line="240" w:lineRule="auto" w:before="1" w:after="0"/>
        <w:ind w:left="670" w:right="0" w:hanging="405"/>
        <w:jc w:val="left"/>
      </w:pPr>
      <w:r>
        <w:rPr/>
        <w:t>Apoptosis</w:t>
      </w:r>
    </w:p>
    <w:p>
      <w:pPr>
        <w:pStyle w:val="BodyText"/>
        <w:rPr>
          <w:b/>
        </w:rPr>
      </w:pPr>
    </w:p>
    <w:p>
      <w:pPr>
        <w:pStyle w:val="BodyText"/>
        <w:rPr>
          <w:b/>
        </w:rPr>
      </w:pPr>
    </w:p>
    <w:p>
      <w:pPr>
        <w:pStyle w:val="BodyText"/>
        <w:spacing w:line="360" w:lineRule="auto"/>
        <w:ind w:left="265" w:right="175" w:firstLine="427"/>
        <w:jc w:val="both"/>
      </w:pPr>
      <w:r>
        <w:rPr/>
        <w:t>La apoptosis es un mecanismo fisiológico regulado, ocasiona la muerte de las células, estas son señalizadas y preparadas para desensamblarse y ser fagocitadas, la muerte por apoptosis depende de un consumo energético para llevarse a cabo, en este tipo de muerte la membrana citoplasmática permanece intacta, por otro lado, la muerte celular ocasionada por la necrosis es debida a factores no fisiológicos o patológicos en donde la lisis de la membrana citoplasmática libera el contenido de la célula hacia el espacio extracelular dañando a otras células y provocando reacciones inflamatorias (Vermes </w:t>
      </w:r>
      <w:r>
        <w:rPr>
          <w:i/>
        </w:rPr>
        <w:t>et al</w:t>
      </w:r>
      <w:r>
        <w:rPr/>
        <w:t>, 1995). La liberación de las hidrolasas ácidas de los lisosomas aceleran la descomposición celular en la fase tardía de la necrosis (Alberts </w:t>
      </w:r>
      <w:r>
        <w:rPr>
          <w:i/>
        </w:rPr>
        <w:t>et al</w:t>
      </w:r>
      <w:r>
        <w:rPr/>
        <w:t>, 2002) lo que causa la desintegración de la célula de manera desordenada. En  las células en apoptosis la cromatina se condensa de manera irregular en el núcleo y se degrada en sitios al azar (Wyllie </w:t>
      </w:r>
      <w:r>
        <w:rPr>
          <w:i/>
        </w:rPr>
        <w:t>et al</w:t>
      </w:r>
      <w:r>
        <w:rPr/>
        <w:t>, 1980), permitiendo la fragmentación del ADN internucleosomal y manteniendo la integridad estructural de los orgánulos.</w:t>
      </w:r>
    </w:p>
    <w:p>
      <w:pPr>
        <w:pStyle w:val="BodyText"/>
        <w:spacing w:line="360" w:lineRule="auto" w:before="2"/>
        <w:ind w:left="265" w:right="108" w:firstLine="427"/>
        <w:jc w:val="both"/>
      </w:pPr>
      <w:r>
        <w:rPr/>
        <w:t>La apoptosis es fundamental en muchos eventos fisiológicos y se define como una forma de muerte celular perfectamente regulada por señales intrínsecas y extrínsecas de manera ordenada, y que son dirigidas genéticamente. Es un evento fisiológico que ocurre durante y después del desarrollo embrionario, se caracteriza principalmente por cambios los estructurales y bioquímicos celulares que ocasionan compactación de la cromatina, condensación del citoplasma, ruptura de la membrana nuclear, fragmentación del ADN y formación de los cuerpos apoptoticos (Kerr </w:t>
      </w:r>
      <w:r>
        <w:rPr>
          <w:i/>
        </w:rPr>
        <w:t>et al</w:t>
      </w:r>
      <w:r>
        <w:rPr/>
        <w:t>, 1972;</w:t>
      </w:r>
    </w:p>
    <w:p>
      <w:pPr>
        <w:spacing w:after="0" w:line="360" w:lineRule="auto"/>
        <w:jc w:val="both"/>
        <w:sectPr>
          <w:pgSz w:w="12240" w:h="15840"/>
          <w:pgMar w:header="0" w:footer="2188" w:top="1500" w:bottom="2380" w:left="1720" w:right="1520"/>
        </w:sectPr>
      </w:pPr>
    </w:p>
    <w:p>
      <w:pPr>
        <w:pStyle w:val="BodyText"/>
        <w:rPr>
          <w:sz w:val="20"/>
        </w:rPr>
      </w:pPr>
    </w:p>
    <w:p>
      <w:pPr>
        <w:pStyle w:val="BodyText"/>
        <w:spacing w:before="11"/>
        <w:rPr>
          <w:sz w:val="15"/>
        </w:rPr>
      </w:pPr>
    </w:p>
    <w:p>
      <w:pPr>
        <w:pStyle w:val="BodyText"/>
        <w:spacing w:line="360" w:lineRule="auto" w:before="70"/>
        <w:ind w:left="265" w:right="113"/>
        <w:jc w:val="both"/>
      </w:pPr>
      <w:r>
        <w:rPr/>
        <w:t>Wyllie </w:t>
      </w:r>
      <w:r>
        <w:rPr>
          <w:i/>
        </w:rPr>
        <w:t>et al</w:t>
      </w:r>
      <w:r>
        <w:rPr/>
        <w:t>, 1980; Williams y Smith, 1993; Anzar </w:t>
      </w:r>
      <w:r>
        <w:rPr>
          <w:i/>
        </w:rPr>
        <w:t>et al</w:t>
      </w:r>
      <w:r>
        <w:rPr/>
        <w:t>, 2002). El proceso de la apoptosis puede dividirse en tres fases: iniciación, en la cual la célula recibe el estímulo; ejecución, se dan la mayor parte de los cambios morfológicos y bioquímicos característicos, y eliminación, los restos celulares son fagocitados por los macrófagos y células adyacentes (Hengartner, 2000).</w:t>
      </w:r>
    </w:p>
    <w:p>
      <w:pPr>
        <w:pStyle w:val="BodyText"/>
        <w:spacing w:line="360" w:lineRule="auto" w:before="2"/>
        <w:ind w:left="265" w:right="114" w:firstLine="427"/>
        <w:jc w:val="both"/>
      </w:pPr>
      <w:r>
        <w:rPr/>
        <w:t>Casi todos los tipos celulares experimentan el mecanismo de la apoptosis, en los órganos sexuales se llevan a cabo ajustes del número de células germinales que pueden ser mantenidas o que en alguna etapa de su formación sufrieron alteraciones; pudiendo amenazar la supervivencia del organismo. En el macho durante el inicio de la espermatogénesis ocurre una ola espontánea  de muerte de las células germinales testiculares vía apoptosis (Blanco- Rodríguez y Martínez-García, 1998; Lee </w:t>
      </w:r>
      <w:r>
        <w:rPr>
          <w:i/>
        </w:rPr>
        <w:t>et al</w:t>
      </w:r>
      <w:r>
        <w:rPr/>
        <w:t>, 1999), este mecanismo provoca la muerte de las células germinales testiculares dentro del epitelio seminífero  sin afectar colateralmente a las células de Sertoli o a las células germinales adyacentes (Takagi </w:t>
      </w:r>
      <w:r>
        <w:rPr>
          <w:i/>
        </w:rPr>
        <w:t>et al., </w:t>
      </w:r>
      <w:r>
        <w:rPr/>
        <w:t>2001). Esta ola de muerte durante el inicio de la espermatogénesis se presenta en su punto máximo de los 10 a los 30 días de edad en la rata y es más marcada en los espermatocitos que en las espermatogonias (Billig </w:t>
      </w:r>
      <w:r>
        <w:rPr>
          <w:i/>
        </w:rPr>
        <w:t>et al</w:t>
      </w:r>
      <w:r>
        <w:rPr/>
        <w:t>., 1995; Yan </w:t>
      </w:r>
      <w:r>
        <w:rPr>
          <w:i/>
        </w:rPr>
        <w:t>et al</w:t>
      </w:r>
      <w:r>
        <w:rPr/>
        <w:t>., 2000; Jahnukainen </w:t>
      </w:r>
      <w:r>
        <w:rPr>
          <w:i/>
        </w:rPr>
        <w:t>et al</w:t>
      </w:r>
      <w:r>
        <w:rPr/>
        <w:t>, 2004). Sin embargo, se ha observado también la presencia de apoptosis en la edad adulta, en las etapas XII a la XIV y I de la espermatogénesis (Allan </w:t>
      </w:r>
      <w:r>
        <w:rPr>
          <w:i/>
        </w:rPr>
        <w:t>et al</w:t>
      </w:r>
      <w:r>
        <w:rPr/>
        <w:t>, 1992), principalmente en las espermatogonias (Russell </w:t>
      </w:r>
      <w:r>
        <w:rPr>
          <w:i/>
        </w:rPr>
        <w:t>et al</w:t>
      </w:r>
      <w:r>
        <w:rPr/>
        <w:t>,</w:t>
      </w:r>
      <w:r>
        <w:rPr>
          <w:spacing w:val="-21"/>
        </w:rPr>
        <w:t> </w:t>
      </w:r>
      <w:r>
        <w:rPr/>
        <w:t>2002).</w:t>
      </w:r>
    </w:p>
    <w:p>
      <w:pPr>
        <w:pStyle w:val="BodyText"/>
        <w:spacing w:line="360" w:lineRule="auto" w:before="5"/>
        <w:ind w:left="265" w:right="115" w:firstLine="427"/>
        <w:jc w:val="both"/>
      </w:pPr>
      <w:r>
        <w:rPr/>
        <w:t>Esta ola de apoptosis de las células germinales al inicio de </w:t>
      </w:r>
      <w:r>
        <w:rPr>
          <w:spacing w:val="-3"/>
        </w:rPr>
        <w:t>la </w:t>
      </w:r>
      <w:r>
        <w:rPr/>
        <w:t>espermatogénesis sirve para mantener la relación adecuada entre el número de células germinales en maduración y proliferación que pueden ser sostenidas  por las células de Sertoli (Rodríguez </w:t>
      </w:r>
      <w:r>
        <w:rPr>
          <w:i/>
        </w:rPr>
        <w:t>et al</w:t>
      </w:r>
      <w:r>
        <w:rPr/>
        <w:t>, 1997, Eddy, 2002; Jahnukainen </w:t>
      </w:r>
      <w:r>
        <w:rPr>
          <w:i/>
        </w:rPr>
        <w:t>et al</w:t>
      </w:r>
      <w:r>
        <w:rPr/>
        <w:t>, 2004).</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BodyText"/>
        <w:spacing w:line="360" w:lineRule="auto" w:before="69"/>
        <w:ind w:left="265" w:right="172" w:firstLine="427"/>
        <w:jc w:val="both"/>
      </w:pPr>
      <w:r>
        <w:rPr/>
        <w:t>Existen muchos factores genéticos que están involucrados directamente en la muerte de las células germinales vía apoptosis al inicio y durante la espermatogénesis, genes como los de la familia BCL-2, p53, p21, las caspasas y Fas, pero con diferentes rutas de inducción, son los más relacionados con </w:t>
      </w:r>
      <w:r>
        <w:rPr>
          <w:spacing w:val="-3"/>
        </w:rPr>
        <w:t>la </w:t>
      </w:r>
      <w:r>
        <w:rPr/>
        <w:t>muerte celular vía apoptosis (Sinha Hikim y Swerdloff, 1999; Print y Loveland, 2000; Martincic </w:t>
      </w:r>
      <w:r>
        <w:rPr>
          <w:i/>
        </w:rPr>
        <w:t>et al</w:t>
      </w:r>
      <w:r>
        <w:rPr/>
        <w:t>, 2001; Anzar </w:t>
      </w:r>
      <w:r>
        <w:rPr>
          <w:i/>
        </w:rPr>
        <w:t>et al</w:t>
      </w:r>
      <w:r>
        <w:rPr/>
        <w:t>, 2002; Said </w:t>
      </w:r>
      <w:r>
        <w:rPr>
          <w:i/>
        </w:rPr>
        <w:t>et al</w:t>
      </w:r>
      <w:r>
        <w:rPr/>
        <w:t>, 2004). Se ha observado que hay una relación mayor entre esta ola de muerte por apoptosis  al inicio de la espermatogénesis con los genes de la familia BCL-2 y que es simultánea con el aumento de la expresión de genes proapoptoticos como BAX (Rodríguez </w:t>
      </w:r>
      <w:r>
        <w:rPr>
          <w:i/>
        </w:rPr>
        <w:t>et al</w:t>
      </w:r>
      <w:r>
        <w:rPr/>
        <w:t>., 1997; Jahnukainen et al,</w:t>
      </w:r>
      <w:r>
        <w:rPr>
          <w:spacing w:val="-19"/>
        </w:rPr>
        <w:t> </w:t>
      </w:r>
      <w:r>
        <w:rPr/>
        <w:t>2004).</w:t>
      </w:r>
    </w:p>
    <w:p>
      <w:pPr>
        <w:pStyle w:val="BodyText"/>
      </w:pPr>
    </w:p>
    <w:p>
      <w:pPr>
        <w:pStyle w:val="Heading2"/>
        <w:numPr>
          <w:ilvl w:val="1"/>
          <w:numId w:val="2"/>
        </w:numPr>
        <w:tabs>
          <w:tab w:pos="669" w:val="left" w:leader="none"/>
        </w:tabs>
        <w:spacing w:line="240" w:lineRule="auto" w:before="144" w:after="0"/>
        <w:ind w:left="668" w:right="0" w:hanging="403"/>
        <w:jc w:val="left"/>
      </w:pPr>
      <w:r>
        <w:rPr/>
        <w:t>Célula B del Linfoma 2</w:t>
      </w:r>
      <w:r>
        <w:rPr>
          <w:spacing w:val="-8"/>
        </w:rPr>
        <w:t> </w:t>
      </w:r>
      <w:r>
        <w:rPr/>
        <w:t>(BCL-2)</w:t>
      </w:r>
    </w:p>
    <w:p>
      <w:pPr>
        <w:pStyle w:val="BodyText"/>
        <w:rPr>
          <w:b/>
        </w:rPr>
      </w:pPr>
    </w:p>
    <w:p>
      <w:pPr>
        <w:pStyle w:val="BodyText"/>
        <w:rPr>
          <w:b/>
        </w:rPr>
      </w:pPr>
    </w:p>
    <w:p>
      <w:pPr>
        <w:pStyle w:val="BodyText"/>
        <w:spacing w:line="360" w:lineRule="auto"/>
        <w:ind w:left="265" w:right="175" w:firstLine="427"/>
        <w:jc w:val="both"/>
      </w:pPr>
      <w:r>
        <w:rPr/>
        <w:t>La proteína BCL-2 pertenece a un grupo de proteínas formado </w:t>
      </w:r>
      <w:r>
        <w:rPr>
          <w:spacing w:val="-2"/>
        </w:rPr>
        <w:t>por</w:t>
      </w:r>
      <w:r>
        <w:rPr>
          <w:spacing w:val="62"/>
        </w:rPr>
        <w:t> </w:t>
      </w:r>
      <w:r>
        <w:rPr/>
        <w:t>alrededor de 25 miembros que regulan procesos de permeabilización mitocondrial y constituyen un punto clave en la vía intrínseca de la apoptosis (Stallock </w:t>
      </w:r>
      <w:r>
        <w:rPr>
          <w:i/>
        </w:rPr>
        <w:t>et al </w:t>
      </w:r>
      <w:r>
        <w:rPr/>
        <w:t>2003; Beere, 2004; Danial y Korsmeyer, 2004). Algunos  miembros de la familia</w:t>
      </w:r>
      <w:r>
        <w:rPr>
          <w:spacing w:val="-8"/>
        </w:rPr>
        <w:t> </w:t>
      </w:r>
      <w:r>
        <w:rPr/>
        <w:t>BCL-2:</w:t>
      </w:r>
    </w:p>
    <w:p>
      <w:pPr>
        <w:pStyle w:val="BodyText"/>
      </w:pPr>
    </w:p>
    <w:p>
      <w:pPr>
        <w:pStyle w:val="BodyText"/>
        <w:spacing w:line="360" w:lineRule="auto" w:before="142"/>
        <w:ind w:left="630" w:right="176"/>
      </w:pPr>
      <w:r>
        <w:rPr>
          <w:b/>
        </w:rPr>
        <w:t>Anti-apoptoticas: </w:t>
      </w:r>
      <w:r>
        <w:rPr/>
        <w:t>BCL-2, BCL-XL, BCL-W, MCL-1, A1/BFL-1, BOO/DIVA, NR-13, E1B-19K, BHRF1, KS-BCL-2, ORF16, LMW5-HL, CED-9.</w:t>
      </w:r>
    </w:p>
    <w:p>
      <w:pPr>
        <w:pStyle w:val="BodyText"/>
        <w:spacing w:line="360" w:lineRule="auto" w:before="2"/>
        <w:ind w:left="630" w:right="161"/>
      </w:pPr>
      <w:r>
        <w:rPr>
          <w:b/>
        </w:rPr>
        <w:t>Pro-apoptoticas: </w:t>
      </w:r>
      <w:r>
        <w:rPr/>
        <w:t>BAX, BAK, BOK/MTD, BCL-XS, BID, BAD, BIK/NBK, BLK, HRK, BIM/BOD, NIP3, NIX/BNIP3, EGL-1. (Gross </w:t>
      </w:r>
      <w:r>
        <w:rPr>
          <w:i/>
        </w:rPr>
        <w:t>et al</w:t>
      </w:r>
      <w:r>
        <w:rPr/>
        <w:t>, 1999).</w:t>
      </w:r>
    </w:p>
    <w:p>
      <w:pPr>
        <w:pStyle w:val="BodyText"/>
      </w:pPr>
    </w:p>
    <w:p>
      <w:pPr>
        <w:pStyle w:val="BodyText"/>
        <w:spacing w:line="360" w:lineRule="auto" w:before="145"/>
        <w:ind w:left="265" w:right="111" w:firstLine="427"/>
        <w:jc w:val="both"/>
      </w:pPr>
      <w:r>
        <w:rPr/>
        <w:t>Estas proteínas establecen un punto crítico en la supervivencia celular (Sinha Hikim y Swerdloff, 1999), funcionalmente es caracterizada  como  un factor supresor de apoptosis (Hockenbery </w:t>
      </w:r>
      <w:r>
        <w:rPr>
          <w:i/>
        </w:rPr>
        <w:t>et al, </w:t>
      </w:r>
      <w:r>
        <w:rPr/>
        <w:t>1990; Yang y Korsmeyer,</w:t>
      </w:r>
      <w:r>
        <w:rPr>
          <w:spacing w:val="25"/>
        </w:rPr>
        <w:t> </w:t>
      </w:r>
      <w:r>
        <w:rPr/>
        <w:t>1996).</w:t>
      </w:r>
    </w:p>
    <w:p>
      <w:pPr>
        <w:spacing w:after="0" w:line="360" w:lineRule="auto"/>
        <w:jc w:val="both"/>
        <w:sectPr>
          <w:pgSz w:w="12240" w:h="15840"/>
          <w:pgMar w:header="0" w:footer="2188" w:top="1500" w:bottom="2380" w:left="1720" w:right="1520"/>
        </w:sectPr>
      </w:pPr>
    </w:p>
    <w:p>
      <w:pPr>
        <w:pStyle w:val="BodyText"/>
        <w:rPr>
          <w:sz w:val="20"/>
        </w:rPr>
      </w:pPr>
    </w:p>
    <w:p>
      <w:pPr>
        <w:pStyle w:val="BodyText"/>
        <w:rPr>
          <w:sz w:val="20"/>
        </w:rPr>
      </w:pPr>
    </w:p>
    <w:p>
      <w:pPr>
        <w:pStyle w:val="BodyText"/>
        <w:rPr>
          <w:sz w:val="20"/>
        </w:rPr>
      </w:pPr>
    </w:p>
    <w:p>
      <w:pPr>
        <w:pStyle w:val="BodyText"/>
        <w:spacing w:line="360" w:lineRule="auto" w:before="211"/>
        <w:ind w:left="265" w:right="114" w:firstLine="427"/>
        <w:jc w:val="both"/>
      </w:pPr>
      <w:r>
        <w:rPr/>
        <w:t>La proteína de BCL-2 es codificada por un gen ubicado en el brazo corto (p13) del cromosoma 13 (Sato </w:t>
      </w:r>
      <w:r>
        <w:rPr>
          <w:i/>
        </w:rPr>
        <w:t>et al</w:t>
      </w:r>
      <w:r>
        <w:rPr/>
        <w:t>, 1994), esta proteína presenta 4 dominios conservados; BH1, BH2, BH3 y BH4 que son distintivos de las proteínas anti- apototicas, tiene un peso molecular de 26 kDa, se encuentra anclada a las membranas nuclear, del retículo endoplasmático y a la membrana externa de la mitocondria. El gen de BCL-2 no está implicado en el control de la proliferación celular sino en el bloqueo de la muerte celular, específicamente de los procesos de contracción citoplasmática, condensación nuclear, desorganización de </w:t>
      </w:r>
      <w:r>
        <w:rPr>
          <w:spacing w:val="-3"/>
        </w:rPr>
        <w:t>la </w:t>
      </w:r>
      <w:r>
        <w:rPr/>
        <w:t>membrana plasmática y fragmentación del ADN (Danial y Korsmeyer, 2004). Por su localización mitocondrial, fue un indicador primario de la importancia de este orgánulo en los procesos de apoptosis, por otro lado, BAX fue el primer homólogo identificado debido a su interacción con BCL-2; en ratones knockout deficientes para BAX se vio que hay una expresión selectiva en ciertas poblaciones celulares y que la asociación de BCL-2 con BAX resulta clave en </w:t>
      </w:r>
      <w:r>
        <w:rPr>
          <w:spacing w:val="-3"/>
        </w:rPr>
        <w:t>la </w:t>
      </w:r>
      <w:r>
        <w:rPr/>
        <w:t>susceptibilidad a apoptosis por la vía intrínseca (Stallock </w:t>
      </w:r>
      <w:r>
        <w:rPr>
          <w:i/>
        </w:rPr>
        <w:t>et al, </w:t>
      </w:r>
      <w:r>
        <w:rPr/>
        <w:t>2003; Danial y Korsmeyer, 2004). Sin embargo, existen evidencias de la participación de este gen en procesos de estrés oxidativo en cuanto a la supervivencia celular y su interacción con factores de transcripción como AP-1 y NF-κB, además de otros reguladores como CRE (elemento de respuesta a AMPc) que incrementan su expresión.</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Heading2"/>
        <w:numPr>
          <w:ilvl w:val="1"/>
          <w:numId w:val="2"/>
        </w:numPr>
        <w:tabs>
          <w:tab w:pos="669" w:val="left" w:leader="none"/>
        </w:tabs>
        <w:spacing w:line="240" w:lineRule="auto" w:before="69" w:after="0"/>
        <w:ind w:left="668" w:right="0" w:hanging="403"/>
        <w:jc w:val="left"/>
      </w:pPr>
      <w:r>
        <w:rPr/>
        <w:t>Proteína X Asociada a BCL-2</w:t>
      </w:r>
      <w:r>
        <w:rPr>
          <w:spacing w:val="-14"/>
        </w:rPr>
        <w:t> </w:t>
      </w:r>
      <w:r>
        <w:rPr/>
        <w:t>(BAX)</w:t>
      </w:r>
    </w:p>
    <w:p>
      <w:pPr>
        <w:pStyle w:val="BodyText"/>
        <w:rPr>
          <w:b/>
        </w:rPr>
      </w:pPr>
    </w:p>
    <w:p>
      <w:pPr>
        <w:pStyle w:val="BodyText"/>
        <w:rPr>
          <w:b/>
        </w:rPr>
      </w:pPr>
    </w:p>
    <w:p>
      <w:pPr>
        <w:pStyle w:val="BodyText"/>
        <w:spacing w:line="360" w:lineRule="auto"/>
        <w:ind w:left="265" w:right="175" w:firstLine="427"/>
        <w:jc w:val="both"/>
      </w:pPr>
      <w:r>
        <w:rPr/>
        <w:t>BAX pertenece a la familia de genes involucrados en la regulación de apoptosis (Perlman </w:t>
      </w:r>
      <w:r>
        <w:rPr>
          <w:i/>
        </w:rPr>
        <w:t>et al</w:t>
      </w:r>
      <w:r>
        <w:rPr/>
        <w:t>, 1999). Estos genes tienen una secuencia homologa parcial entre si y codifican polipéptidos que poseen secuencias de aminoácidos muy conservadas, los productos individuales de BAX y BCL-2 tienen funciones contrarias con respecto a la sensibilidad apoptótica de la célula (Craig, 1995). BAX es una proteína que promueve la muerte de las células, interviene durante estadios finales de diferenciación de las células germinales y se expresa  durante la migración de las células germinales al lumen de los túbulos seminíferos (Stallock </w:t>
      </w:r>
      <w:r>
        <w:rPr>
          <w:i/>
        </w:rPr>
        <w:t>et al</w:t>
      </w:r>
      <w:r>
        <w:rPr/>
        <w:t>,</w:t>
      </w:r>
      <w:r>
        <w:rPr>
          <w:spacing w:val="-9"/>
        </w:rPr>
        <w:t> </w:t>
      </w:r>
      <w:r>
        <w:rPr/>
        <w:t>2003).</w:t>
      </w:r>
    </w:p>
    <w:p>
      <w:pPr>
        <w:pStyle w:val="BodyText"/>
      </w:pPr>
    </w:p>
    <w:p>
      <w:pPr>
        <w:pStyle w:val="BodyText"/>
        <w:tabs>
          <w:tab w:pos="1193" w:val="left" w:leader="none"/>
          <w:tab w:pos="2265" w:val="left" w:leader="none"/>
          <w:tab w:pos="2663" w:val="left" w:leader="none"/>
          <w:tab w:pos="2783" w:val="left" w:leader="none"/>
          <w:tab w:pos="3176" w:val="left" w:leader="none"/>
          <w:tab w:pos="3222" w:val="left" w:leader="none"/>
          <w:tab w:pos="3610" w:val="left" w:leader="none"/>
          <w:tab w:pos="4255" w:val="left" w:leader="none"/>
          <w:tab w:pos="4648" w:val="left" w:leader="none"/>
          <w:tab w:pos="4765" w:val="left" w:leader="none"/>
          <w:tab w:pos="5164" w:val="left" w:leader="none"/>
          <w:tab w:pos="5490" w:val="left" w:leader="none"/>
          <w:tab w:pos="5603" w:val="left" w:leader="none"/>
          <w:tab w:pos="6005" w:val="left" w:leader="none"/>
          <w:tab w:pos="6802" w:val="left" w:leader="none"/>
          <w:tab w:pos="7048" w:val="left" w:leader="none"/>
          <w:tab w:pos="8413" w:val="left" w:leader="none"/>
          <w:tab w:pos="8506" w:val="left" w:leader="none"/>
        </w:tabs>
        <w:spacing w:line="360" w:lineRule="auto" w:before="144"/>
        <w:ind w:left="265" w:right="108" w:firstLine="427"/>
      </w:pPr>
      <w:r>
        <w:rPr/>
        <w:t>El gen que traduce a la proteína BAX se encuentra en el cromosoma 1 en el brazo largo (q31.2) (Han et al., 1996). Es una proteína de origen mitocondrial, al oligomerizarse permite la exteriorización del Citocromo C al citoplasma de la célula y la posterior activación de las caspasas (Oltval </w:t>
      </w:r>
      <w:r>
        <w:rPr>
          <w:i/>
        </w:rPr>
        <w:t>et al</w:t>
      </w:r>
      <w:r>
        <w:rPr/>
        <w:t>, 1993; Suzuki </w:t>
      </w:r>
      <w:r>
        <w:rPr>
          <w:i/>
        </w:rPr>
        <w:t>et al</w:t>
      </w:r>
      <w:r>
        <w:rPr/>
        <w:t>, 2000). Posee 4 isoformas; la </w:t>
      </w:r>
      <w:r>
        <w:rPr>
          <w:b/>
        </w:rPr>
        <w:t>α </w:t>
      </w:r>
      <w:r>
        <w:rPr/>
        <w:t>se encuentra en la membrana de la mitocondria  y es la encargada de salida del Citocromo C para la formación del apoptosoma (Apaf-1, Procaspasa 9 y Citocromo C) que se encarga de reclutar caspasas   para el inicio de la apoptosis celular (Zou </w:t>
      </w:r>
      <w:r>
        <w:rPr>
          <w:i/>
        </w:rPr>
        <w:t>et al</w:t>
      </w:r>
      <w:r>
        <w:rPr/>
        <w:t>, 1997; Danial y Korsmeyer, 2004), mientras que </w:t>
      </w:r>
      <w:r>
        <w:rPr>
          <w:b/>
        </w:rPr>
        <w:t>β, γ, δ </w:t>
      </w:r>
      <w:r>
        <w:rPr/>
        <w:t>se localizan en el citoplasma de la célula (Oltval </w:t>
      </w:r>
      <w:r>
        <w:rPr>
          <w:i/>
        </w:rPr>
        <w:t>et al</w:t>
      </w:r>
      <w:r>
        <w:rPr/>
        <w:t>,  1993).</w:t>
        <w:tab/>
        <w:t>Mutaciones</w:t>
        <w:tab/>
        <w:t>en</w:t>
        <w:tab/>
        <w:t>el</w:t>
        <w:tab/>
        <w:t>gen</w:t>
        <w:tab/>
        <w:t>de</w:t>
        <w:tab/>
        <w:tab/>
        <w:t>BAX</w:t>
        <w:tab/>
        <w:t>en</w:t>
        <w:tab/>
      </w:r>
      <w:r>
        <w:rPr>
          <w:spacing w:val="-1"/>
        </w:rPr>
        <w:t>ratones</w:t>
        <w:tab/>
      </w:r>
      <w:r>
        <w:rPr/>
        <w:t>disminuyen</w:t>
        <w:tab/>
        <w:tab/>
        <w:t>las concentraciones</w:t>
        <w:tab/>
        <w:t>de</w:t>
        <w:tab/>
        <w:tab/>
        <w:t>la</w:t>
        <w:tab/>
        <w:tab/>
        <w:t>producción</w:t>
        <w:tab/>
        <w:t>de</w:t>
        <w:tab/>
        <w:t>la</w:t>
        <w:tab/>
        <w:tab/>
        <w:t>proteína,</w:t>
        <w:tab/>
        <w:t>ocasionando</w:t>
        <w:tab/>
        <w:t>una sobreproducción de las espermatogonias, hiperplasia de los túbulos seminíferos y las células germinales (en especial los espermatocitos) no se diferenciaron, lo que ocasionaron atrofia testicular llegada la edad adulta (Knudson </w:t>
      </w:r>
      <w:r>
        <w:rPr>
          <w:i/>
        </w:rPr>
        <w:t>et al</w:t>
      </w:r>
      <w:r>
        <w:rPr/>
        <w:t>, 1995; Russell</w:t>
      </w:r>
      <w:r>
        <w:rPr>
          <w:spacing w:val="27"/>
        </w:rPr>
        <w:t> </w:t>
      </w:r>
      <w:r>
        <w:rPr/>
        <w:t>et</w:t>
      </w:r>
      <w:r>
        <w:rPr>
          <w:spacing w:val="28"/>
        </w:rPr>
        <w:t> </w:t>
      </w:r>
      <w:r>
        <w:rPr/>
        <w:t>al.,</w:t>
      </w:r>
      <w:r>
        <w:rPr>
          <w:spacing w:val="26"/>
        </w:rPr>
        <w:t> </w:t>
      </w:r>
      <w:r>
        <w:rPr/>
        <w:t>2002).</w:t>
      </w:r>
      <w:r>
        <w:rPr>
          <w:spacing w:val="25"/>
        </w:rPr>
        <w:t> </w:t>
      </w:r>
      <w:r>
        <w:rPr/>
        <w:t>p53</w:t>
      </w:r>
      <w:r>
        <w:rPr>
          <w:spacing w:val="26"/>
        </w:rPr>
        <w:t> </w:t>
      </w:r>
      <w:r>
        <w:rPr/>
        <w:t>es</w:t>
      </w:r>
      <w:r>
        <w:rPr>
          <w:spacing w:val="28"/>
        </w:rPr>
        <w:t> </w:t>
      </w:r>
      <w:r>
        <w:rPr/>
        <w:t>el</w:t>
      </w:r>
      <w:r>
        <w:rPr>
          <w:spacing w:val="27"/>
        </w:rPr>
        <w:t> </w:t>
      </w:r>
      <w:r>
        <w:rPr/>
        <w:t>principal</w:t>
      </w:r>
      <w:r>
        <w:rPr>
          <w:spacing w:val="25"/>
        </w:rPr>
        <w:t> </w:t>
      </w:r>
      <w:r>
        <w:rPr/>
        <w:t>factor</w:t>
      </w:r>
      <w:r>
        <w:rPr>
          <w:spacing w:val="27"/>
        </w:rPr>
        <w:t> </w:t>
      </w:r>
      <w:r>
        <w:rPr/>
        <w:t>de</w:t>
      </w:r>
      <w:r>
        <w:rPr>
          <w:spacing w:val="28"/>
        </w:rPr>
        <w:t> </w:t>
      </w:r>
      <w:r>
        <w:rPr/>
        <w:t>transcripción</w:t>
      </w:r>
      <w:r>
        <w:rPr>
          <w:spacing w:val="26"/>
        </w:rPr>
        <w:t> </w:t>
      </w:r>
      <w:r>
        <w:rPr/>
        <w:t>encargado</w:t>
      </w:r>
      <w:r>
        <w:rPr>
          <w:spacing w:val="28"/>
        </w:rPr>
        <w:t> </w:t>
      </w:r>
      <w:r>
        <w:rPr/>
        <w:t>del</w:t>
      </w:r>
    </w:p>
    <w:p>
      <w:pPr>
        <w:spacing w:after="0" w:line="360" w:lineRule="auto"/>
        <w:sectPr>
          <w:pgSz w:w="12240" w:h="15840"/>
          <w:pgMar w:header="0" w:footer="2188" w:top="1500" w:bottom="2380" w:left="1720" w:right="1520"/>
        </w:sectPr>
      </w:pPr>
    </w:p>
    <w:p>
      <w:pPr>
        <w:pStyle w:val="BodyText"/>
        <w:rPr>
          <w:sz w:val="20"/>
        </w:rPr>
      </w:pPr>
    </w:p>
    <w:p>
      <w:pPr>
        <w:pStyle w:val="BodyText"/>
        <w:spacing w:before="2"/>
        <w:rPr>
          <w:sz w:val="16"/>
        </w:rPr>
      </w:pPr>
    </w:p>
    <w:p>
      <w:pPr>
        <w:pStyle w:val="BodyText"/>
        <w:spacing w:before="69"/>
        <w:ind w:left="265" w:right="36"/>
      </w:pPr>
      <w:r>
        <w:rPr/>
        <w:t>incremento de la expresión de BAX para promover la muerte celular.</w:t>
      </w:r>
    </w:p>
    <w:p>
      <w:pPr>
        <w:pStyle w:val="BodyText"/>
      </w:pPr>
    </w:p>
    <w:p>
      <w:pPr>
        <w:pStyle w:val="BodyText"/>
      </w:pPr>
    </w:p>
    <w:p>
      <w:pPr>
        <w:pStyle w:val="Heading2"/>
        <w:numPr>
          <w:ilvl w:val="1"/>
          <w:numId w:val="2"/>
        </w:numPr>
        <w:tabs>
          <w:tab w:pos="669" w:val="left" w:leader="none"/>
        </w:tabs>
        <w:spacing w:line="240" w:lineRule="auto" w:before="0" w:after="0"/>
        <w:ind w:left="668" w:right="0" w:hanging="403"/>
        <w:jc w:val="left"/>
      </w:pPr>
      <w:r>
        <w:rPr/>
        <w:t>Serotonina</w:t>
      </w:r>
    </w:p>
    <w:p>
      <w:pPr>
        <w:pStyle w:val="BodyText"/>
        <w:rPr>
          <w:b/>
        </w:rPr>
      </w:pPr>
    </w:p>
    <w:p>
      <w:pPr>
        <w:pStyle w:val="BodyText"/>
        <w:rPr>
          <w:b/>
        </w:rPr>
      </w:pPr>
    </w:p>
    <w:p>
      <w:pPr>
        <w:pStyle w:val="BodyText"/>
        <w:spacing w:line="360" w:lineRule="auto"/>
        <w:ind w:left="265" w:right="115" w:firstLine="427"/>
        <w:jc w:val="both"/>
      </w:pPr>
      <w:r>
        <w:rPr/>
        <w:t>5-hidroxitriptamina (5-HT) es una monoamina neurotransmisora sintetizada en las neuronas serotoninérgicas en el sistema nervioso central y las células enterocromafines en el tracto gastrointestinal. La serotonina es sintetizada a partir del aminoácido triptófano en una vía metabólica corta que involucra dos enzimas: triptófano hidroxilasa (TPH) y una L-aminoácido aromático descarboxilasa (DDC). Está involucrada en la regulación de varias funciones fisiológicas, desde sensoriales y motoras, en la memoria, humor, secreciones hormonales, también se ha observado relación con desordenes psiquiátricos como ansiedad, depresión y trastornos alimenticios (Ayala, 2009). Alteraciones en las neuronas serotoninérgicas pueden ser causadas por drogas psicoestimulantes como las anfetaminas, aunque poco se sabe de las alteraciones que ocasionan a nivel reproductivo.</w:t>
      </w:r>
    </w:p>
    <w:p>
      <w:pPr>
        <w:pStyle w:val="BodyText"/>
      </w:pPr>
    </w:p>
    <w:p>
      <w:pPr>
        <w:pStyle w:val="Heading2"/>
        <w:numPr>
          <w:ilvl w:val="1"/>
          <w:numId w:val="2"/>
        </w:numPr>
        <w:tabs>
          <w:tab w:pos="669" w:val="left" w:leader="none"/>
        </w:tabs>
        <w:spacing w:line="240" w:lineRule="auto" w:before="142" w:after="0"/>
        <w:ind w:left="668" w:right="0" w:hanging="403"/>
        <w:jc w:val="left"/>
      </w:pPr>
      <w:r>
        <w:rPr/>
        <w:t>P-cloroanfetamina</w:t>
      </w:r>
    </w:p>
    <w:p>
      <w:pPr>
        <w:pStyle w:val="BodyText"/>
        <w:rPr>
          <w:b/>
        </w:rPr>
      </w:pPr>
    </w:p>
    <w:p>
      <w:pPr>
        <w:pStyle w:val="BodyText"/>
        <w:rPr>
          <w:b/>
        </w:rPr>
      </w:pPr>
    </w:p>
    <w:p>
      <w:pPr>
        <w:pStyle w:val="BodyText"/>
        <w:spacing w:line="360" w:lineRule="auto"/>
        <w:ind w:left="265" w:right="116" w:firstLine="427"/>
        <w:jc w:val="both"/>
      </w:pPr>
      <w:r>
        <w:rPr/>
        <w:t>Los xenobióticos son químicos que pueden encontrarse en el organismo pero que no son producidos por él o que no son obtenidos de la dieta y que pueden alterar las características físicas y químicas, además de las funciones del organismo.</w:t>
      </w:r>
    </w:p>
    <w:p>
      <w:pPr>
        <w:pStyle w:val="BodyText"/>
      </w:pPr>
    </w:p>
    <w:p>
      <w:pPr>
        <w:pStyle w:val="BodyText"/>
        <w:spacing w:line="360" w:lineRule="auto" w:before="142"/>
        <w:ind w:left="265" w:right="115" w:firstLine="427"/>
        <w:jc w:val="both"/>
      </w:pPr>
      <w:r>
        <w:rPr/>
        <w:t>La p-cloroanfetamina es un compuesto sintético neurotóxico que causa interrupción eventual de la síntesis de serotonina en el sistema nervioso central (Jayanthi </w:t>
      </w:r>
      <w:r>
        <w:rPr>
          <w:i/>
        </w:rPr>
        <w:t>et al</w:t>
      </w:r>
      <w:r>
        <w:rPr/>
        <w:t>, 2005) y se ha observado que induce la muerte de las células</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11"/>
        <w:rPr>
          <w:sz w:val="15"/>
        </w:rPr>
      </w:pPr>
    </w:p>
    <w:p>
      <w:pPr>
        <w:pStyle w:val="BodyText"/>
        <w:spacing w:line="360" w:lineRule="auto" w:before="70"/>
        <w:ind w:left="265" w:right="115"/>
        <w:jc w:val="both"/>
      </w:pPr>
      <w:r>
        <w:rPr/>
        <w:t>germinales vía apoptosis (Aragón </w:t>
      </w:r>
      <w:r>
        <w:rPr>
          <w:i/>
        </w:rPr>
        <w:t>et al, </w:t>
      </w:r>
      <w:r>
        <w:rPr/>
        <w:t>2005). Incrementa la liberación de serotonina, los efectos a largo plazo son; lesión neurotóxica de las terminaciones nerviosas serotoninérgicas e interrupción en la producción de serotonina y 5-HIAA (Nakagawa </w:t>
      </w:r>
      <w:r>
        <w:rPr>
          <w:i/>
        </w:rPr>
        <w:t>et al</w:t>
      </w:r>
      <w:r>
        <w:rPr/>
        <w:t>, 2008).</w:t>
      </w:r>
    </w:p>
    <w:p>
      <w:pPr>
        <w:pStyle w:val="BodyText"/>
      </w:pPr>
    </w:p>
    <w:p>
      <w:pPr>
        <w:pStyle w:val="Heading2"/>
        <w:numPr>
          <w:ilvl w:val="1"/>
          <w:numId w:val="2"/>
        </w:numPr>
        <w:tabs>
          <w:tab w:pos="669" w:val="left" w:leader="none"/>
        </w:tabs>
        <w:spacing w:line="240" w:lineRule="auto" w:before="144" w:after="0"/>
        <w:ind w:left="668" w:right="0" w:hanging="403"/>
        <w:jc w:val="both"/>
      </w:pPr>
      <w:r>
        <w:rPr/>
        <w:t>Espermatogénesis</w:t>
      </w:r>
    </w:p>
    <w:p>
      <w:pPr>
        <w:pStyle w:val="BodyText"/>
        <w:rPr>
          <w:b/>
        </w:rPr>
      </w:pPr>
    </w:p>
    <w:p>
      <w:pPr>
        <w:pStyle w:val="BodyText"/>
        <w:rPr>
          <w:b/>
        </w:rPr>
      </w:pPr>
    </w:p>
    <w:p>
      <w:pPr>
        <w:pStyle w:val="BodyText"/>
        <w:spacing w:line="360" w:lineRule="auto"/>
        <w:ind w:left="265" w:right="115" w:firstLine="427"/>
        <w:jc w:val="both"/>
      </w:pPr>
      <w:r>
        <w:rPr/>
        <w:t>La espermatogénesis se caracteriza por la maduración constante de células germinales hacia el centro de los túbulos seminíferos. Por otra parte, las gonadotropinas junto con la testosterona regulan la espermatogénesis. En el proceso de la espermatogénesis se pueden diferenciar tres etapas; la de proliferación, meiosis y la espermiogénesis (Geisinger, 2007).</w:t>
      </w:r>
    </w:p>
    <w:p>
      <w:pPr>
        <w:pStyle w:val="BodyText"/>
        <w:spacing w:line="360" w:lineRule="auto" w:before="5"/>
        <w:ind w:left="265" w:right="117" w:firstLine="427"/>
        <w:jc w:val="both"/>
      </w:pPr>
      <w:r>
        <w:rPr/>
        <w:t>La proliferación de las células germinales inicia durante la vida fetal, las espermatogonias tipo A1, sufren divisiones mitóticas para originar a las espermatogonias A2, A3, In, B1, B2 y finalmente las espermatogonias tipo B3, estas se convierten en espermatocitos primarios, se realiza la duplicación del material genético por mitosis y se transforman en espermatocitos secundarios por división meiotica (Geisinger, 2007; Amann, 2008).</w:t>
      </w:r>
    </w:p>
    <w:p>
      <w:pPr>
        <w:pStyle w:val="BodyText"/>
        <w:spacing w:line="360" w:lineRule="auto" w:before="5"/>
        <w:ind w:left="265" w:right="114" w:firstLine="427"/>
        <w:jc w:val="both"/>
      </w:pPr>
      <w:r>
        <w:rPr/>
        <w:t>La meiosis es un proceso de gran importancia para la variabilidad genética debido a que se da la combinación del material genético y se crean cuatro células haploides a partir de una diploide, que además poseen características genéticas diferentes, en esta etapa se divide el material genético de los espermatocitos primarios y se forman los espermatocitos secundarios, inmediatamente después estas células sufren otra división meiotica en la cual se producen las espermátidas (Figura</w:t>
      </w:r>
      <w:r>
        <w:rPr>
          <w:spacing w:val="-12"/>
        </w:rPr>
        <w:t> </w:t>
      </w:r>
      <w:r>
        <w:rPr/>
        <w:t>2.6).</w:t>
      </w:r>
    </w:p>
    <w:p>
      <w:pPr>
        <w:spacing w:after="0" w:line="360" w:lineRule="auto"/>
        <w:jc w:val="both"/>
        <w:sectPr>
          <w:footerReference w:type="default" r:id="rId7"/>
          <w:pgSz w:w="12240" w:h="15840"/>
          <w:pgMar w:footer="2188" w:header="0" w:top="1500" w:bottom="2380" w:left="1720" w:right="1580"/>
        </w:sectPr>
      </w:pPr>
    </w:p>
    <w:p>
      <w:pPr>
        <w:pStyle w:val="BodyText"/>
        <w:rPr>
          <w:sz w:val="20"/>
        </w:rPr>
      </w:pPr>
    </w:p>
    <w:p>
      <w:pPr>
        <w:pStyle w:val="BodyText"/>
        <w:spacing w:before="4"/>
        <w:rPr>
          <w:sz w:val="22"/>
        </w:rPr>
      </w:pPr>
    </w:p>
    <w:p>
      <w:pPr>
        <w:pStyle w:val="BodyText"/>
        <w:ind w:left="1814"/>
        <w:rPr>
          <w:sz w:val="20"/>
        </w:rPr>
      </w:pPr>
      <w:r>
        <w:rPr>
          <w:sz w:val="20"/>
        </w:rPr>
        <w:drawing>
          <wp:inline distT="0" distB="0" distL="0" distR="0">
            <wp:extent cx="3474392" cy="3724655"/>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9" cstate="print"/>
                    <a:stretch>
                      <a:fillRect/>
                    </a:stretch>
                  </pic:blipFill>
                  <pic:spPr>
                    <a:xfrm>
                      <a:off x="0" y="0"/>
                      <a:ext cx="3474392" cy="3724655"/>
                    </a:xfrm>
                    <a:prstGeom prst="rect">
                      <a:avLst/>
                    </a:prstGeom>
                  </pic:spPr>
                </pic:pic>
              </a:graphicData>
            </a:graphic>
          </wp:inline>
        </w:drawing>
      </w:r>
      <w:r>
        <w:rPr>
          <w:sz w:val="20"/>
        </w:rPr>
      </w:r>
    </w:p>
    <w:p>
      <w:pPr>
        <w:pStyle w:val="BodyText"/>
        <w:spacing w:before="8"/>
        <w:rPr>
          <w:sz w:val="23"/>
        </w:rPr>
      </w:pPr>
    </w:p>
    <w:p>
      <w:pPr>
        <w:pStyle w:val="BodyText"/>
        <w:spacing w:line="360" w:lineRule="auto" w:before="69"/>
        <w:ind w:left="265" w:right="125" w:firstLine="427"/>
        <w:jc w:val="both"/>
      </w:pPr>
      <w:r>
        <w:rPr/>
        <w:t>Figura 2.6. Cambios que ocurren durante las divisiones meioticas de los espermatocitos primarios y secundarios (Modificado de Kerr </w:t>
      </w:r>
      <w:r>
        <w:rPr>
          <w:i/>
        </w:rPr>
        <w:t>et al</w:t>
      </w:r>
      <w:r>
        <w:rPr/>
        <w:t>, 2006).</w:t>
      </w:r>
    </w:p>
    <w:p>
      <w:pPr>
        <w:pStyle w:val="BodyText"/>
      </w:pPr>
    </w:p>
    <w:p>
      <w:pPr>
        <w:pStyle w:val="BodyText"/>
        <w:spacing w:line="360" w:lineRule="auto" w:before="144"/>
        <w:ind w:left="265" w:right="118" w:firstLine="427"/>
        <w:jc w:val="both"/>
      </w:pPr>
      <w:r>
        <w:rPr/>
        <w:t>Durante la diferenciación de las espermátidas se da la mayor condensación del material genético, la formación del acrosoma por el aparato de Golgi, desarrollo del flagelo y su implantación al núcleo (Kerr </w:t>
      </w:r>
      <w:r>
        <w:rPr>
          <w:i/>
        </w:rPr>
        <w:t>et al</w:t>
      </w:r>
      <w:r>
        <w:rPr/>
        <w:t>, 2006) a este proceso se le conoce como espermiogénesis. En la espermiación se reduce la cantidad de citoplasma y se elongan las espermátidas para diferenciarse a espermatozoides y adquieren movilidad mediante el flagelo, y son liberados hacia el lumen de los túbulos seminíferos (Aitken </w:t>
      </w:r>
      <w:r>
        <w:rPr>
          <w:i/>
        </w:rPr>
        <w:t>et al</w:t>
      </w:r>
      <w:r>
        <w:rPr/>
        <w:t>, 2007).</w:t>
      </w:r>
    </w:p>
    <w:p>
      <w:pPr>
        <w:spacing w:after="0" w:line="360" w:lineRule="auto"/>
        <w:jc w:val="both"/>
        <w:sectPr>
          <w:footerReference w:type="default" r:id="rId8"/>
          <w:pgSz w:w="12240" w:h="15840"/>
          <w:pgMar w:footer="2188" w:header="0" w:top="1500" w:bottom="2380" w:left="1720" w:right="1580"/>
          <w:pgNumType w:start="11"/>
        </w:sectPr>
      </w:pPr>
    </w:p>
    <w:p>
      <w:pPr>
        <w:pStyle w:val="BodyText"/>
        <w:rPr>
          <w:sz w:val="20"/>
        </w:rPr>
      </w:pPr>
    </w:p>
    <w:p>
      <w:pPr>
        <w:pStyle w:val="BodyText"/>
        <w:spacing w:before="2"/>
        <w:rPr>
          <w:sz w:val="16"/>
        </w:rPr>
      </w:pPr>
    </w:p>
    <w:p>
      <w:pPr>
        <w:pStyle w:val="BodyText"/>
        <w:spacing w:line="360" w:lineRule="auto" w:before="69"/>
        <w:ind w:left="265" w:right="114" w:firstLine="427"/>
        <w:jc w:val="both"/>
      </w:pPr>
      <w:r>
        <w:rPr/>
        <w:t>El inicio de la espermatogénesis en la rata ocurre de la primera a la sexta semana de vida, es un proceso fundamental para el desarrollo de la maduración sexual y la capacidad testicular (Clermont y Perey, 1957). En la primera etapa de la espermatogénesis durante la vida de los mamíferos se produce un aumento de la muerte celular por apoptosis, probablemente por un ajuste del número de células germinales para que puedan ser mantenidas por las células de Sertoli (Roosen-Runge, 1973). En los testículos de los roedores, la apoptosis se detecta en el decimocuarto día de edad del embrión (Miething, 1992; Jeyaraj </w:t>
      </w:r>
      <w:r>
        <w:rPr>
          <w:i/>
        </w:rPr>
        <w:t>et al., </w:t>
      </w:r>
      <w:r>
        <w:rPr/>
        <w:t>2003). Los espermatocitos que no completan la meiosis son eliminados selectivamente por apoptosis, también son eliminadas las espermatogonias dañadas y las espermátidas haploides (Print y Loveland, 2000), las células germinales apoptóticas son transportadas al lumen del túbulo o disminuyen de tamaño y son fagocitadas por las células de Sertoli. Este reconocimiento de las células no viables se produce gracias a mecanismos de control (</w:t>
      </w:r>
      <w:r>
        <w:rPr>
          <w:i/>
        </w:rPr>
        <w:t>checkpoints</w:t>
      </w:r>
      <w:r>
        <w:rPr/>
        <w:t>) del ciclo celular que vigilan la calidad cromosómica de los gametos que se forman (Eaker </w:t>
      </w:r>
      <w:r>
        <w:rPr>
          <w:i/>
        </w:rPr>
        <w:t>et al</w:t>
      </w:r>
      <w:r>
        <w:rPr/>
        <w:t>, 2001) y así mantener la variabilidad</w:t>
      </w:r>
      <w:r>
        <w:rPr>
          <w:spacing w:val="-23"/>
        </w:rPr>
        <w:t> </w:t>
      </w:r>
      <w:r>
        <w:rPr/>
        <w:t>genética.</w:t>
      </w:r>
    </w:p>
    <w:p>
      <w:pPr>
        <w:pStyle w:val="BodyText"/>
        <w:spacing w:line="360" w:lineRule="auto" w:before="8"/>
        <w:ind w:left="265" w:right="113" w:firstLine="427"/>
        <w:jc w:val="both"/>
      </w:pPr>
      <w:r>
        <w:rPr/>
        <w:t>Las células de Sertoli juegan un papel importante tanto en el desarrollo del testículo como en su función, ya que secretan varias proteínas implicadas en la diferenciación, proliferación y metabolismo de las células germinales, y les proporcionan un entorno adecuado para su diferenciación hacia gametos  viables (Griswold, 1988; Skinner, 1991; Jégou, 1993). También determinan el tamaño del testículo y el número de los espermatozoides producidos (Orth </w:t>
      </w:r>
      <w:r>
        <w:rPr>
          <w:i/>
        </w:rPr>
        <w:t>et al</w:t>
      </w:r>
      <w:r>
        <w:rPr/>
        <w:t>, 1988; Russel </w:t>
      </w:r>
      <w:r>
        <w:rPr>
          <w:i/>
        </w:rPr>
        <w:t>et al</w:t>
      </w:r>
      <w:r>
        <w:rPr/>
        <w:t>, 1990). En los túbulos seminíferos las células espermatogénicas están en continuo contacto con las células de Sertoli, que ejercen funciones secretoras junto con las hormonas esteroidales para ayudar a la diferenciación de las células germinales (Jégou,</w:t>
      </w:r>
      <w:r>
        <w:rPr>
          <w:spacing w:val="-16"/>
        </w:rPr>
        <w:t> </w:t>
      </w:r>
      <w:r>
        <w:rPr/>
        <w:t>1993).</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Heading2"/>
        <w:numPr>
          <w:ilvl w:val="1"/>
          <w:numId w:val="2"/>
        </w:numPr>
        <w:tabs>
          <w:tab w:pos="669" w:val="left" w:leader="none"/>
        </w:tabs>
        <w:spacing w:line="240" w:lineRule="auto" w:before="69" w:after="0"/>
        <w:ind w:left="668" w:right="0" w:hanging="403"/>
        <w:jc w:val="left"/>
      </w:pPr>
      <w:r>
        <w:rPr/>
        <w:t>Gonadotropinas</w:t>
      </w:r>
    </w:p>
    <w:p>
      <w:pPr>
        <w:pStyle w:val="BodyText"/>
        <w:rPr>
          <w:b/>
        </w:rPr>
      </w:pPr>
    </w:p>
    <w:p>
      <w:pPr>
        <w:pStyle w:val="BodyText"/>
        <w:rPr>
          <w:b/>
        </w:rPr>
      </w:pPr>
    </w:p>
    <w:p>
      <w:pPr>
        <w:pStyle w:val="BodyText"/>
        <w:spacing w:line="360" w:lineRule="auto" w:before="199"/>
        <w:ind w:left="265" w:right="115" w:firstLine="427"/>
        <w:jc w:val="both"/>
      </w:pPr>
      <w:r>
        <w:rPr/>
        <w:t>Son las hormonas secretadas por la hipófisis, son liberadas por Gn-RH, están relacionadas con la regulación de la reproducción en los vertebrados. Existen tres tipos de gonadotropinas: la hormona luteinizante (LH), la hormona folículo estimulante (FSH) y la gonadotropina coriónica humana (HCG). La FSH y la LH son sintetizadas por adenohipófisis, regula el desarrollo, el crecimiento, la maduración sexual y la producción de espermatozoides.</w:t>
      </w:r>
    </w:p>
    <w:p>
      <w:pPr>
        <w:pStyle w:val="BodyText"/>
        <w:spacing w:line="360" w:lineRule="auto" w:before="204"/>
        <w:ind w:left="265" w:right="115" w:firstLine="427"/>
        <w:jc w:val="both"/>
      </w:pPr>
      <w:r>
        <w:rPr/>
        <w:t>La LH es una glucoproteína, con dos unidades polipeptídicas. En su estructura cada polipéptido recibe el nombre de alfa (α) y beta (β) y están conectadas una a la otra por enlaces disulfuro (Castellanos </w:t>
      </w:r>
      <w:r>
        <w:rPr>
          <w:i/>
        </w:rPr>
        <w:t>et al</w:t>
      </w:r>
      <w:r>
        <w:rPr/>
        <w:t>, 2002). La unidad alfa contiene 92 aminoácidos. La unidad beta posee 121 aminoácidos que le confiere su función biológica específica y es la responsable de la interacción con su receptor celular. La LH estimula a las células de Leydig regulando la producción y secreción de la testosterona (Louvet </w:t>
      </w:r>
      <w:r>
        <w:rPr>
          <w:i/>
        </w:rPr>
        <w:t>et al, </w:t>
      </w:r>
      <w:r>
        <w:rPr/>
        <w:t>1975) y la FSH actúa en las células de Sertoli estimulando a las espermatogonias para su diferenciación celular (Hill </w:t>
      </w:r>
      <w:r>
        <w:rPr>
          <w:i/>
        </w:rPr>
        <w:t>et al</w:t>
      </w:r>
      <w:r>
        <w:rPr/>
        <w:t>, 2004).</w:t>
      </w:r>
    </w:p>
    <w:p>
      <w:pPr>
        <w:pStyle w:val="BodyText"/>
      </w:pPr>
    </w:p>
    <w:p>
      <w:pPr>
        <w:pStyle w:val="BodyText"/>
        <w:spacing w:before="5"/>
        <w:rPr>
          <w:sz w:val="35"/>
        </w:rPr>
      </w:pPr>
    </w:p>
    <w:p>
      <w:pPr>
        <w:pStyle w:val="Heading2"/>
        <w:numPr>
          <w:ilvl w:val="1"/>
          <w:numId w:val="2"/>
        </w:numPr>
        <w:tabs>
          <w:tab w:pos="669" w:val="left" w:leader="none"/>
        </w:tabs>
        <w:spacing w:line="240" w:lineRule="auto" w:before="1" w:after="0"/>
        <w:ind w:left="668" w:right="0" w:hanging="403"/>
        <w:jc w:val="left"/>
      </w:pPr>
      <w:r>
        <w:rPr/>
        <w:t>Hormonas</w:t>
      </w:r>
      <w:r>
        <w:rPr>
          <w:spacing w:val="-8"/>
        </w:rPr>
        <w:t> </w:t>
      </w:r>
      <w:r>
        <w:rPr/>
        <w:t>Esteroides</w:t>
      </w:r>
    </w:p>
    <w:p>
      <w:pPr>
        <w:pStyle w:val="BodyText"/>
        <w:rPr>
          <w:b/>
        </w:rPr>
      </w:pPr>
    </w:p>
    <w:p>
      <w:pPr>
        <w:pStyle w:val="BodyText"/>
        <w:rPr>
          <w:b/>
        </w:rPr>
      </w:pPr>
    </w:p>
    <w:p>
      <w:pPr>
        <w:pStyle w:val="BodyText"/>
        <w:spacing w:before="8"/>
        <w:rPr>
          <w:b/>
          <w:sz w:val="22"/>
        </w:rPr>
      </w:pPr>
    </w:p>
    <w:p>
      <w:pPr>
        <w:pStyle w:val="BodyText"/>
        <w:spacing w:line="360" w:lineRule="auto"/>
        <w:ind w:left="265" w:right="115" w:firstLine="427"/>
        <w:jc w:val="both"/>
      </w:pPr>
      <w:r>
        <w:rPr/>
        <w:t>Las hormonas esteroides poseen cinco grupos debido al receptor al que se unen: glucocorticoides, mineralocorticoides, andrógenos, estrógenos, y progestágenos. Son sintetizadas a partir del colesterol en las gónadas y en las glándulas suprarrenales. Las hormonas esteroides son transportadas en la sangre  encontrándose  unidas  a  un  acarreador  específico  como  la globulina</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BodyText"/>
        <w:spacing w:line="360" w:lineRule="auto" w:before="69"/>
        <w:ind w:left="265" w:right="115"/>
        <w:jc w:val="both"/>
      </w:pPr>
      <w:r>
        <w:rPr/>
        <w:t>fijadora de hormonas sexuales o globulina fijadora de cortisol (Heffner y Schust, 2010). Las principales hormonas esteroides sintetizadas a partir del colesterol son: pregnenolona, progesterona, aldosterona, testosterona, estradiol y cortisol. La acción de estas hormonas se da por complejos de receptores esteroides que realizan su acción al unirse a una secuencia específica de nucleótidos en el ADN, a estas secuencias de ADN se les conoce como elementos de respuesta hormonal (HRE) y su interacción entre los complejos de receptores esteroides con el ADN modifica la transcripción de los genes asociados para producir una respuesta fisiológica específica (Lodish </w:t>
      </w:r>
      <w:r>
        <w:rPr>
          <w:i/>
        </w:rPr>
        <w:t>et al</w:t>
      </w:r>
      <w:r>
        <w:rPr/>
        <w:t>, 2012).</w:t>
      </w:r>
    </w:p>
    <w:p>
      <w:pPr>
        <w:pStyle w:val="BodyText"/>
      </w:pPr>
    </w:p>
    <w:p>
      <w:pPr>
        <w:pStyle w:val="BodyText"/>
        <w:spacing w:before="3"/>
        <w:rPr>
          <w:sz w:val="35"/>
        </w:rPr>
      </w:pPr>
    </w:p>
    <w:p>
      <w:pPr>
        <w:pStyle w:val="Heading2"/>
        <w:numPr>
          <w:ilvl w:val="1"/>
          <w:numId w:val="2"/>
        </w:numPr>
        <w:tabs>
          <w:tab w:pos="666" w:val="left" w:leader="none"/>
        </w:tabs>
        <w:spacing w:line="240" w:lineRule="auto" w:before="0" w:after="0"/>
        <w:ind w:left="666" w:right="0" w:hanging="401"/>
        <w:jc w:val="both"/>
      </w:pPr>
      <w:r>
        <w:rPr/>
        <w:t>3β-Hidroxiesteroide Deshidrogenasa</w:t>
      </w:r>
      <w:r>
        <w:rPr>
          <w:spacing w:val="-7"/>
        </w:rPr>
        <w:t> </w:t>
      </w:r>
      <w:r>
        <w:rPr/>
        <w:t>(3βHSD)</w:t>
      </w:r>
    </w:p>
    <w:p>
      <w:pPr>
        <w:pStyle w:val="BodyText"/>
        <w:rPr>
          <w:b/>
        </w:rPr>
      </w:pPr>
    </w:p>
    <w:p>
      <w:pPr>
        <w:pStyle w:val="BodyText"/>
        <w:spacing w:before="4"/>
        <w:rPr>
          <w:b/>
          <w:sz w:val="29"/>
        </w:rPr>
      </w:pPr>
    </w:p>
    <w:p>
      <w:pPr>
        <w:pStyle w:val="BodyText"/>
        <w:spacing w:line="360" w:lineRule="auto" w:before="1"/>
        <w:ind w:left="265" w:right="113" w:firstLine="427"/>
        <w:jc w:val="both"/>
      </w:pPr>
      <w:r>
        <w:rPr/>
        <w:t>La 3βHSD es la enzima responsable de la producción de progesterona como precursor de andrógenos, estrógenos, glucocorticoides y mineralocorticoides, estas hormonas esteroides son sintetizadas a partir de la pregnenolona (Labrie </w:t>
      </w:r>
      <w:r>
        <w:rPr>
          <w:i/>
        </w:rPr>
        <w:t>et al, </w:t>
      </w:r>
      <w:r>
        <w:rPr/>
        <w:t>2001). El citocromo P450 rompe la cadena lateral del colesterol convirtiéndolo a pregnenolona, y esta se oxida a progesterona </w:t>
      </w:r>
      <w:r>
        <w:rPr>
          <w:spacing w:val="-2"/>
        </w:rPr>
        <w:t>por </w:t>
      </w:r>
      <w:r>
        <w:rPr/>
        <w:t>medio de la enzima 3βHSD posteriormente es transformada a testosterona en las células de Leydig. La pregnenolona se convierte en progesterona por dos actividades de una sola enzima, la 3βHSD: primero se produce la oxidación del grupo hidroxilo en posición C3 de la pregnenolona y como consecuencia de la oxidación se produce la isomerización del doble enlace. Esta enzima cataliza la transformación, por deshidrogenación del grupo hidroxilo y su conversión en grupo cetónico, e isomerización del doble enlace del carbono 5 y carbono 6 a carbono 4 y carbono 5 (Gruber </w:t>
      </w:r>
      <w:r>
        <w:rPr>
          <w:i/>
        </w:rPr>
        <w:t>et al, </w:t>
      </w:r>
      <w:r>
        <w:rPr/>
        <w:t>2002). La 3βHSD se encuentra en el retículo endoplásmico, por lo que la pregnenolona debe salir de la</w:t>
      </w:r>
      <w:r>
        <w:rPr>
          <w:spacing w:val="-24"/>
        </w:rPr>
        <w:t> </w:t>
      </w:r>
      <w:r>
        <w:rPr/>
        <w:t>mitocondria.</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BodyText"/>
        <w:spacing w:line="360" w:lineRule="auto" w:before="69"/>
        <w:ind w:left="265" w:right="117" w:firstLine="427"/>
        <w:jc w:val="both"/>
      </w:pPr>
      <w:r>
        <w:rPr/>
        <w:t>El gen que codifica para esta proteína se encuentra en el cromosoma 2 en el brazo largo q34 (Lachance </w:t>
      </w:r>
      <w:r>
        <w:rPr>
          <w:i/>
        </w:rPr>
        <w:t>et al</w:t>
      </w:r>
      <w:r>
        <w:rPr/>
        <w:t>,</w:t>
      </w:r>
      <w:r>
        <w:rPr>
          <w:spacing w:val="-16"/>
        </w:rPr>
        <w:t> </w:t>
      </w:r>
      <w:r>
        <w:rPr/>
        <w:t>1990).</w:t>
      </w:r>
    </w:p>
    <w:p>
      <w:pPr>
        <w:pStyle w:val="BodyText"/>
      </w:pPr>
    </w:p>
    <w:p>
      <w:pPr>
        <w:pStyle w:val="BodyText"/>
        <w:spacing w:before="6"/>
        <w:rPr>
          <w:sz w:val="21"/>
        </w:rPr>
      </w:pPr>
    </w:p>
    <w:p>
      <w:pPr>
        <w:pStyle w:val="Heading2"/>
        <w:numPr>
          <w:ilvl w:val="1"/>
          <w:numId w:val="2"/>
        </w:numPr>
        <w:tabs>
          <w:tab w:pos="801" w:val="left" w:leader="none"/>
        </w:tabs>
        <w:spacing w:line="240" w:lineRule="auto" w:before="0" w:after="0"/>
        <w:ind w:left="800" w:right="0" w:hanging="535"/>
        <w:jc w:val="left"/>
      </w:pPr>
      <w:r>
        <w:rPr/>
        <w:t>Receptor de Andrógenos</w:t>
      </w:r>
      <w:r>
        <w:rPr>
          <w:spacing w:val="-8"/>
        </w:rPr>
        <w:t> </w:t>
      </w:r>
      <w:r>
        <w:rPr/>
        <w:t>(AR)</w:t>
      </w:r>
    </w:p>
    <w:p>
      <w:pPr>
        <w:pStyle w:val="BodyText"/>
        <w:rPr>
          <w:b/>
        </w:rPr>
      </w:pPr>
    </w:p>
    <w:p>
      <w:pPr>
        <w:pStyle w:val="BodyText"/>
        <w:rPr>
          <w:b/>
        </w:rPr>
      </w:pPr>
    </w:p>
    <w:p>
      <w:pPr>
        <w:pStyle w:val="BodyText"/>
        <w:spacing w:line="360" w:lineRule="auto"/>
        <w:ind w:left="265" w:right="114" w:firstLine="427"/>
        <w:jc w:val="both"/>
      </w:pPr>
      <w:r>
        <w:rPr/>
        <w:t>Las hormonas esteroides androgénicas tienen mecanismos de acción mediados por receptores, conocidos como receptores de andrógenos. Estos receptores son miembros de una superfamilia de receptores de localización nuclear (Beato </w:t>
      </w:r>
      <w:r>
        <w:rPr>
          <w:i/>
        </w:rPr>
        <w:t>et al</w:t>
      </w:r>
      <w:r>
        <w:rPr/>
        <w:t>, 1995), funcionan como factores de transcripción ligando- dependientes que regulan la expresión de genes diana uniéndose a elementos específicos del ADN.</w:t>
      </w:r>
    </w:p>
    <w:p>
      <w:pPr>
        <w:pStyle w:val="BodyText"/>
        <w:spacing w:line="360" w:lineRule="auto" w:before="2"/>
        <w:ind w:left="265" w:right="113" w:firstLine="427"/>
        <w:jc w:val="both"/>
      </w:pPr>
      <w:r>
        <w:rPr/>
        <w:t>El AR es una proteína de 919 aminoácidos de longitud y con un peso molecular de 98 kilodaltons (Trapman </w:t>
      </w:r>
      <w:r>
        <w:rPr>
          <w:i/>
        </w:rPr>
        <w:t>et al</w:t>
      </w:r>
      <w:r>
        <w:rPr/>
        <w:t>, 1988), tiene cuatro dominios funcionales. Es un receptor que se encuentra en el núcleo celular (Laudet </w:t>
      </w:r>
      <w:r>
        <w:rPr>
          <w:i/>
        </w:rPr>
        <w:t>et al</w:t>
      </w:r>
      <w:r>
        <w:rPr/>
        <w:t>, 1992) es activado por ligamiento con otras hormonas androgénicas, testosterona y dihidrotestosterona. Está estrechamente relacionado a los receptores de progesterona (Raudrant y Rabe, 2003). En ausencia de ligando, el AR se encuentra unido a proteínas celulares que estabilizan su estructura terciaria y previenen su activación. La unión del AR con los andrógenos provoca una disociación de estas proteínas, fosforilación del AR, interacción con los elementos de respuesta de los andrógenos y de forma final una activación de la trascripción de los genes regulados por los andrógenos. Uno de los pasos clave para el desarrollo de las funciones de estos receptores, es la interacción con el ADN. Los receptores nucleares modulan la transcripción reconociendo específicamente secuencias de nucleótidos denominados elementos de respuesta hormonal. El gen del receptor de andrógenos se ubica en el cromosoma X en la región q22-q32 (Bruchovsky y Van Doorn, 1976). La</w:t>
      </w:r>
      <w:r>
        <w:rPr>
          <w:spacing w:val="8"/>
        </w:rPr>
        <w:t> </w:t>
      </w:r>
      <w:r>
        <w:rPr/>
        <w:t>función</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BodyText"/>
        <w:spacing w:line="360" w:lineRule="auto" w:before="69"/>
        <w:ind w:left="265" w:right="36"/>
      </w:pPr>
      <w:r>
        <w:rPr/>
        <w:t>principal del receptor de andrógenos es como factor de transcripción en la regulación de la expresión genética (Mooradian </w:t>
      </w:r>
      <w:r>
        <w:rPr>
          <w:i/>
        </w:rPr>
        <w:t>et al</w:t>
      </w:r>
      <w:r>
        <w:rPr/>
        <w:t>, 1987).</w:t>
      </w:r>
    </w:p>
    <w:p>
      <w:pPr>
        <w:pStyle w:val="BodyText"/>
        <w:spacing w:line="360" w:lineRule="auto" w:before="5"/>
        <w:ind w:left="265" w:right="116" w:firstLine="427"/>
        <w:jc w:val="both"/>
      </w:pPr>
      <w:r>
        <w:rPr/>
        <w:t>La testosterona en la espermatogénesis es mediada por el receptor de andrógenos de las células de Sertoli (Hill </w:t>
      </w:r>
      <w:r>
        <w:rPr>
          <w:i/>
        </w:rPr>
        <w:t>et al, </w:t>
      </w:r>
      <w:r>
        <w:rPr/>
        <w:t>2004), tanto la testosterona  como el receptor de andrógenos son necesarios para el inicio de la meiosis y la diferenciación de las espermátidas a</w:t>
      </w:r>
      <w:r>
        <w:rPr>
          <w:spacing w:val="-18"/>
        </w:rPr>
        <w:t> </w:t>
      </w:r>
      <w:r>
        <w:rPr/>
        <w:t>espermatozoides.</w:t>
      </w:r>
    </w:p>
    <w:p>
      <w:pPr>
        <w:pStyle w:val="BodyText"/>
      </w:pPr>
    </w:p>
    <w:p>
      <w:pPr>
        <w:pStyle w:val="Heading2"/>
        <w:numPr>
          <w:ilvl w:val="1"/>
          <w:numId w:val="2"/>
        </w:numPr>
        <w:tabs>
          <w:tab w:pos="801" w:val="left" w:leader="none"/>
        </w:tabs>
        <w:spacing w:line="240" w:lineRule="auto" w:before="142" w:after="0"/>
        <w:ind w:left="800" w:right="0" w:hanging="535"/>
        <w:jc w:val="left"/>
      </w:pPr>
      <w:r>
        <w:rPr/>
        <w:t>Proteína Acarreadora de Andrógenos</w:t>
      </w:r>
      <w:r>
        <w:rPr>
          <w:spacing w:val="-11"/>
        </w:rPr>
        <w:t> </w:t>
      </w:r>
      <w:r>
        <w:rPr/>
        <w:t>(ABP)</w:t>
      </w:r>
    </w:p>
    <w:p>
      <w:pPr>
        <w:pStyle w:val="BodyText"/>
        <w:rPr>
          <w:b/>
        </w:rPr>
      </w:pPr>
    </w:p>
    <w:p>
      <w:pPr>
        <w:pStyle w:val="BodyText"/>
        <w:rPr>
          <w:b/>
        </w:rPr>
      </w:pPr>
    </w:p>
    <w:p>
      <w:pPr>
        <w:pStyle w:val="BodyText"/>
        <w:spacing w:line="360" w:lineRule="auto"/>
        <w:ind w:left="265" w:right="113" w:firstLine="427"/>
        <w:jc w:val="both"/>
      </w:pPr>
      <w:r>
        <w:rPr/>
        <w:t>También conocida como hormona sexual acarreadora de globulinas (Shbg), esta proteína tiene un rol importante en el transporte extracelular de andrógenos, el gen que la codifica se encuentra en el cromosoma 10, en el brazo largo q24 (Joseph </w:t>
      </w:r>
      <w:r>
        <w:rPr>
          <w:i/>
        </w:rPr>
        <w:t>et al</w:t>
      </w:r>
      <w:r>
        <w:rPr/>
        <w:t>., 1988). Las células de Sertoli producen </w:t>
      </w:r>
      <w:r>
        <w:rPr>
          <w:spacing w:val="-3"/>
        </w:rPr>
        <w:t>la  </w:t>
      </w:r>
      <w:r>
        <w:rPr/>
        <w:t>proteína acarreadora de andrógenos que es un factor moderador del proceso espermático actúa en la distribución de andrógenos testiculares (Jeyaraj </w:t>
      </w:r>
      <w:r>
        <w:rPr>
          <w:i/>
        </w:rPr>
        <w:t>et al, </w:t>
      </w:r>
      <w:r>
        <w:rPr/>
        <w:t>2003).</w:t>
      </w:r>
    </w:p>
    <w:p>
      <w:pPr>
        <w:pStyle w:val="BodyText"/>
        <w:spacing w:line="360" w:lineRule="auto" w:before="5"/>
        <w:ind w:left="265" w:right="115" w:firstLine="427"/>
        <w:jc w:val="both"/>
      </w:pPr>
      <w:r>
        <w:rPr/>
        <w:t>La ABP es una glucoproteína producida por las células de Sertoli en los túbulos seminíferos del testículo que se une específicamente a testosterona (Balbontin y Bustos-Obregón 1989), estas hormonas permiten que se lleve a cabo la espermatogénesis en los túbulos seminíferos y la maduración espermática en el epidídimo. La producción de esta proteína es regulada por influencia de la FSH en las células de Sertoli, aumenta por insulina, retinol y testosterona.</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2"/>
        <w:rPr>
          <w:sz w:val="16"/>
        </w:rPr>
      </w:pPr>
    </w:p>
    <w:p>
      <w:pPr>
        <w:pStyle w:val="Heading2"/>
        <w:numPr>
          <w:ilvl w:val="1"/>
          <w:numId w:val="2"/>
        </w:numPr>
        <w:tabs>
          <w:tab w:pos="801" w:val="left" w:leader="none"/>
        </w:tabs>
        <w:spacing w:line="240" w:lineRule="auto" w:before="69" w:after="0"/>
        <w:ind w:left="800" w:right="0" w:hanging="535"/>
        <w:jc w:val="left"/>
      </w:pPr>
      <w:r>
        <w:rPr/>
        <w:t>Elemento Modulador de Respuesta a AMPc</w:t>
      </w:r>
      <w:r>
        <w:rPr>
          <w:spacing w:val="-10"/>
        </w:rPr>
        <w:t> </w:t>
      </w:r>
      <w:r>
        <w:rPr/>
        <w:t>(CREMΔ)</w:t>
      </w:r>
    </w:p>
    <w:p>
      <w:pPr>
        <w:pStyle w:val="BodyText"/>
        <w:rPr>
          <w:b/>
        </w:rPr>
      </w:pPr>
    </w:p>
    <w:p>
      <w:pPr>
        <w:pStyle w:val="BodyText"/>
        <w:rPr>
          <w:b/>
        </w:rPr>
      </w:pPr>
    </w:p>
    <w:p>
      <w:pPr>
        <w:pStyle w:val="BodyText"/>
        <w:spacing w:line="360" w:lineRule="auto"/>
        <w:ind w:left="265" w:right="113" w:firstLine="427"/>
        <w:jc w:val="both"/>
      </w:pPr>
      <w:r>
        <w:rPr/>
        <w:t>CREMΔ es expresado en los túbulos seminíferos del testículo, interviene en etapas celulares específicas durante la espermatogénesis, se expresa en las espermátidas y ayuda a su diferenciación en espermatozoides (Delmas </w:t>
      </w:r>
      <w:r>
        <w:rPr>
          <w:i/>
        </w:rPr>
        <w:t>et al, </w:t>
      </w:r>
      <w:r>
        <w:rPr/>
        <w:t>1993; Walker </w:t>
      </w:r>
      <w:r>
        <w:rPr>
          <w:i/>
        </w:rPr>
        <w:t>et al, </w:t>
      </w:r>
      <w:r>
        <w:rPr/>
        <w:t>1994). El gen que codifica para CREMΔ se encuentra en el cromosoma 17 en el brazo q12.1 (Meyer y Habener, 1992). La proteína ligadora del elemento de respuesta a AMPc (CREB) y la proteína moduladora (CREM) regulan la transcripción del gen de respuesta a AMPc vía fosforilación para la proteína cinasa A dependiente de AMPc (Walker </w:t>
      </w:r>
      <w:r>
        <w:rPr>
          <w:i/>
        </w:rPr>
        <w:t>et al, </w:t>
      </w:r>
      <w:r>
        <w:rPr/>
        <w:t>1994).</w:t>
      </w:r>
    </w:p>
    <w:p>
      <w:pPr>
        <w:pStyle w:val="BodyText"/>
        <w:spacing w:line="360" w:lineRule="auto" w:before="7"/>
        <w:ind w:left="265" w:right="115" w:firstLine="427"/>
        <w:jc w:val="both"/>
      </w:pPr>
      <w:r>
        <w:rPr/>
        <w:t>En los testículos de rata y ratón se ha visto que CREB y CREM son expresados en fases celulares específicas durante la espermatogénesis, principalmente en la maduración de los espermatozoides. En el proceso de espermatogénesis, generan un aumento del número de las espermatogonias y promueven el desarrollo de los espermatocitos diploides primarios (Walker </w:t>
      </w:r>
      <w:r>
        <w:rPr>
          <w:i/>
        </w:rPr>
        <w:t>et al, </w:t>
      </w:r>
      <w:r>
        <w:rPr/>
        <w:t>1994). Después de que los espermatocitos cambian hacia espermátidas, estas pierden parte de su citoplasma y se alargan para formar al espermatozoide (Leblond y Clermont 1952).</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5"/>
        <w:rPr>
          <w:sz w:val="16"/>
        </w:rPr>
      </w:pPr>
    </w:p>
    <w:p>
      <w:pPr>
        <w:pStyle w:val="Heading1"/>
        <w:numPr>
          <w:ilvl w:val="0"/>
          <w:numId w:val="3"/>
        </w:numPr>
        <w:tabs>
          <w:tab w:pos="537" w:val="left" w:leader="none"/>
        </w:tabs>
        <w:spacing w:line="240" w:lineRule="auto" w:before="65" w:after="0"/>
        <w:ind w:left="536" w:right="0" w:hanging="271"/>
        <w:jc w:val="left"/>
      </w:pPr>
      <w:r>
        <w:rPr/>
        <w:t>JUSTIFICACIÓN</w:t>
      </w:r>
    </w:p>
    <w:p>
      <w:pPr>
        <w:pStyle w:val="BodyText"/>
        <w:rPr>
          <w:b/>
          <w:sz w:val="28"/>
        </w:rPr>
      </w:pPr>
    </w:p>
    <w:p>
      <w:pPr>
        <w:pStyle w:val="BodyText"/>
        <w:spacing w:before="2"/>
        <w:rPr>
          <w:b/>
          <w:sz w:val="22"/>
        </w:rPr>
      </w:pPr>
    </w:p>
    <w:p>
      <w:pPr>
        <w:pStyle w:val="BodyText"/>
        <w:spacing w:line="360" w:lineRule="auto"/>
        <w:ind w:left="265" w:right="115" w:firstLine="427"/>
        <w:jc w:val="both"/>
      </w:pPr>
      <w:r>
        <w:rPr/>
        <w:t>Factores como la naturaleza genética y el estado fisiológico del organismo determinan su respuesta a la administración de fármacos o a la exposición de agentes tóxicos. La identificación de factores genéticos que predisponen </w:t>
      </w:r>
      <w:r>
        <w:rPr>
          <w:spacing w:val="-3"/>
        </w:rPr>
        <w:t>la </w:t>
      </w:r>
      <w:r>
        <w:rPr/>
        <w:t>respuesta individual puede contribuir a la selección de fármacos y la creación  de esquemas de administración de estos en el individuo. Del mismo modo, este discernimiento puede ayudar a explicar los efectos tóxicos diferenciales observados con compuestos específicos a nivel</w:t>
      </w:r>
      <w:r>
        <w:rPr>
          <w:spacing w:val="-22"/>
        </w:rPr>
        <w:t> </w:t>
      </w:r>
      <w:r>
        <w:rPr/>
        <w:t>poblacional.</w:t>
      </w:r>
    </w:p>
    <w:p>
      <w:pPr>
        <w:pStyle w:val="BodyText"/>
      </w:pPr>
    </w:p>
    <w:p>
      <w:pPr>
        <w:pStyle w:val="BodyText"/>
      </w:pPr>
    </w:p>
    <w:p>
      <w:pPr>
        <w:pStyle w:val="BodyText"/>
      </w:pPr>
    </w:p>
    <w:p>
      <w:pPr>
        <w:pStyle w:val="BodyText"/>
      </w:pPr>
    </w:p>
    <w:p>
      <w:pPr>
        <w:pStyle w:val="Heading1"/>
        <w:numPr>
          <w:ilvl w:val="0"/>
          <w:numId w:val="3"/>
        </w:numPr>
        <w:tabs>
          <w:tab w:pos="566" w:val="left" w:leader="none"/>
        </w:tabs>
        <w:spacing w:line="240" w:lineRule="auto" w:before="140" w:after="0"/>
        <w:ind w:left="565" w:right="0" w:hanging="300"/>
        <w:jc w:val="left"/>
      </w:pPr>
      <w:r>
        <w:rPr/>
        <w:t>HIPÓTESIS</w:t>
      </w:r>
    </w:p>
    <w:p>
      <w:pPr>
        <w:pStyle w:val="BodyText"/>
        <w:rPr>
          <w:b/>
          <w:sz w:val="28"/>
        </w:rPr>
      </w:pPr>
    </w:p>
    <w:p>
      <w:pPr>
        <w:pStyle w:val="BodyText"/>
        <w:spacing w:before="11"/>
        <w:rPr>
          <w:b/>
          <w:sz w:val="21"/>
        </w:rPr>
      </w:pPr>
    </w:p>
    <w:p>
      <w:pPr>
        <w:pStyle w:val="BodyText"/>
        <w:spacing w:line="360" w:lineRule="auto"/>
        <w:ind w:left="265" w:right="103" w:firstLine="427"/>
        <w:jc w:val="both"/>
      </w:pPr>
      <w:r>
        <w:rPr/>
        <w:t>Al inhibir la síntesis de serotonina mediante la administración de pCA, se presentaran diferencias en la susceptibilidad a la apoptosis de las células germinales testiculares y cambios en las concentraciones de los neurotransmisores, las gonadotropinas y las hormonas esteroides. A los animales que sean clasificados por su susceptibilidad alta o baja, se les podrá relacionar con las variaciones en la expresión de los genes reguladores de la espermatogénesis o la apoptosis.</w:t>
      </w:r>
    </w:p>
    <w:p>
      <w:pPr>
        <w:spacing w:after="0" w:line="360" w:lineRule="auto"/>
        <w:jc w:val="both"/>
        <w:sectPr>
          <w:pgSz w:w="12240" w:h="15840"/>
          <w:pgMar w:header="0" w:footer="2188" w:top="1500" w:bottom="2380" w:left="1720" w:right="1580"/>
        </w:sectPr>
      </w:pPr>
    </w:p>
    <w:p>
      <w:pPr>
        <w:pStyle w:val="BodyText"/>
        <w:rPr>
          <w:sz w:val="20"/>
        </w:rPr>
      </w:pPr>
    </w:p>
    <w:p>
      <w:pPr>
        <w:pStyle w:val="BodyText"/>
        <w:spacing w:before="5"/>
        <w:rPr>
          <w:sz w:val="16"/>
        </w:rPr>
      </w:pPr>
    </w:p>
    <w:p>
      <w:pPr>
        <w:pStyle w:val="Heading1"/>
        <w:numPr>
          <w:ilvl w:val="0"/>
          <w:numId w:val="3"/>
        </w:numPr>
        <w:tabs>
          <w:tab w:pos="496" w:val="left" w:leader="none"/>
        </w:tabs>
        <w:spacing w:line="240" w:lineRule="auto" w:before="65" w:after="0"/>
        <w:ind w:left="495" w:right="0" w:hanging="230"/>
        <w:jc w:val="left"/>
      </w:pPr>
      <w:r>
        <w:rPr/>
        <w:t>OBJETIVOS</w:t>
      </w:r>
    </w:p>
    <w:p>
      <w:pPr>
        <w:pStyle w:val="BodyText"/>
        <w:rPr>
          <w:b/>
          <w:sz w:val="28"/>
        </w:rPr>
      </w:pPr>
    </w:p>
    <w:p>
      <w:pPr>
        <w:pStyle w:val="BodyText"/>
        <w:rPr>
          <w:b/>
          <w:sz w:val="28"/>
        </w:rPr>
      </w:pPr>
    </w:p>
    <w:p>
      <w:pPr>
        <w:pStyle w:val="BodyText"/>
        <w:spacing w:before="1"/>
        <w:rPr>
          <w:b/>
          <w:sz w:val="30"/>
        </w:rPr>
      </w:pPr>
    </w:p>
    <w:p>
      <w:pPr>
        <w:pStyle w:val="Heading2"/>
        <w:numPr>
          <w:ilvl w:val="1"/>
          <w:numId w:val="4"/>
        </w:numPr>
        <w:tabs>
          <w:tab w:pos="669" w:val="left" w:leader="none"/>
        </w:tabs>
        <w:spacing w:line="240" w:lineRule="auto" w:before="0" w:after="0"/>
        <w:ind w:left="668" w:right="0" w:hanging="403"/>
        <w:jc w:val="left"/>
      </w:pPr>
      <w:r>
        <w:rPr/>
        <w:t>Objetivo</w:t>
      </w:r>
      <w:r>
        <w:rPr>
          <w:spacing w:val="-7"/>
        </w:rPr>
        <w:t> </w:t>
      </w:r>
      <w:r>
        <w:rPr/>
        <w:t>General</w:t>
      </w:r>
    </w:p>
    <w:p>
      <w:pPr>
        <w:pStyle w:val="BodyText"/>
        <w:rPr>
          <w:b/>
        </w:rPr>
      </w:pPr>
    </w:p>
    <w:p>
      <w:pPr>
        <w:pStyle w:val="BodyText"/>
        <w:rPr>
          <w:b/>
        </w:rPr>
      </w:pPr>
    </w:p>
    <w:p>
      <w:pPr>
        <w:pStyle w:val="BodyText"/>
        <w:spacing w:line="360" w:lineRule="auto"/>
        <w:ind w:left="265" w:right="104" w:firstLine="427"/>
        <w:jc w:val="both"/>
      </w:pPr>
      <w:r>
        <w:rPr/>
        <w:t>Identificar a las ratas tratadas con pCA que presenten diferencias de susceptibilidad a la apoptosis de las células germinales testiculares, medir la expresión testicular de genes involucrados con la espermatogénesis o la apoptosis y relacionarlos con las concentraciones de los neurotransmisores o las gonadotropinas y las hormonas</w:t>
      </w:r>
      <w:r>
        <w:rPr>
          <w:spacing w:val="-17"/>
        </w:rPr>
        <w:t> </w:t>
      </w:r>
      <w:r>
        <w:rPr/>
        <w:t>esteroides.</w:t>
      </w:r>
    </w:p>
    <w:p>
      <w:pPr>
        <w:pStyle w:val="BodyText"/>
      </w:pPr>
    </w:p>
    <w:p>
      <w:pPr>
        <w:pStyle w:val="BodyText"/>
        <w:spacing w:before="7"/>
        <w:rPr>
          <w:sz w:val="29"/>
        </w:rPr>
      </w:pPr>
    </w:p>
    <w:p>
      <w:pPr>
        <w:pStyle w:val="Heading2"/>
        <w:numPr>
          <w:ilvl w:val="1"/>
          <w:numId w:val="4"/>
        </w:numPr>
        <w:tabs>
          <w:tab w:pos="669" w:val="left" w:leader="none"/>
        </w:tabs>
        <w:spacing w:line="240" w:lineRule="auto" w:before="0" w:after="0"/>
        <w:ind w:left="668" w:right="0" w:hanging="403"/>
        <w:jc w:val="left"/>
      </w:pPr>
      <w:r>
        <w:rPr/>
        <w:t>Objetivos</w:t>
      </w:r>
      <w:r>
        <w:rPr>
          <w:spacing w:val="-6"/>
        </w:rPr>
        <w:t> </w:t>
      </w:r>
      <w:r>
        <w:rPr/>
        <w:t>particulares</w:t>
      </w:r>
    </w:p>
    <w:p>
      <w:pPr>
        <w:pStyle w:val="BodyText"/>
        <w:rPr>
          <w:b/>
        </w:rPr>
      </w:pPr>
    </w:p>
    <w:p>
      <w:pPr>
        <w:pStyle w:val="BodyText"/>
        <w:rPr>
          <w:b/>
        </w:rPr>
      </w:pPr>
    </w:p>
    <w:p>
      <w:pPr>
        <w:pStyle w:val="BodyText"/>
        <w:spacing w:before="9"/>
        <w:rPr>
          <w:b/>
          <w:sz w:val="34"/>
        </w:rPr>
      </w:pPr>
    </w:p>
    <w:p>
      <w:pPr>
        <w:pStyle w:val="BodyText"/>
        <w:spacing w:line="362" w:lineRule="auto" w:before="1"/>
        <w:ind w:left="265" w:right="116" w:firstLine="427"/>
        <w:jc w:val="both"/>
      </w:pPr>
      <w:r>
        <w:rPr/>
        <w:t>Identificar por TUNEL a los animales que tratados con pCA presenten variación en el  número de células germinales testiculares en apoptosis.</w:t>
      </w:r>
    </w:p>
    <w:p>
      <w:pPr>
        <w:pStyle w:val="BodyText"/>
        <w:spacing w:line="360" w:lineRule="auto" w:before="199"/>
        <w:ind w:left="265" w:right="119" w:firstLine="427"/>
        <w:jc w:val="both"/>
      </w:pPr>
      <w:r>
        <w:rPr/>
        <w:t>Medir la expresión de los genes candidatos que se encargan de regular la espermatogénesis o la apoptosis.</w:t>
      </w:r>
    </w:p>
    <w:p>
      <w:pPr>
        <w:pStyle w:val="BodyText"/>
        <w:spacing w:line="360" w:lineRule="auto" w:before="204"/>
        <w:ind w:left="265" w:right="115" w:firstLine="427"/>
        <w:jc w:val="both"/>
      </w:pPr>
      <w:r>
        <w:rPr/>
        <w:t>Asociar las concentraciones de las gonadotropinas y las hormonas esteroides con la expresión de los genes de la espermatogénesis o la apoptosis e  identificar  si  esta  asociación  sirve  como  predictor  de  la    susceptibilidad.</w:t>
      </w:r>
    </w:p>
    <w:p>
      <w:pPr>
        <w:spacing w:after="0" w:line="360" w:lineRule="auto"/>
        <w:jc w:val="both"/>
        <w:sectPr>
          <w:pgSz w:w="12240" w:h="15840"/>
          <w:pgMar w:header="0" w:footer="2188" w:top="1500" w:bottom="2380" w:left="1720" w:right="1580"/>
        </w:sectPr>
      </w:pPr>
    </w:p>
    <w:p>
      <w:pPr>
        <w:pStyle w:val="Heading1"/>
        <w:spacing w:before="35"/>
        <w:ind w:right="176"/>
      </w:pPr>
      <w:r>
        <w:rPr>
          <w:w w:val="90"/>
        </w:rPr>
        <w:t>VI MATERIAL Y MÉTODOS</w:t>
      </w:r>
    </w:p>
    <w:p>
      <w:pPr>
        <w:pStyle w:val="BodyText"/>
        <w:rPr>
          <w:b/>
          <w:sz w:val="28"/>
        </w:rPr>
      </w:pPr>
    </w:p>
    <w:p>
      <w:pPr>
        <w:pStyle w:val="BodyText"/>
        <w:spacing w:before="2"/>
        <w:rPr>
          <w:b/>
          <w:sz w:val="22"/>
        </w:rPr>
      </w:pPr>
    </w:p>
    <w:p>
      <w:pPr>
        <w:pStyle w:val="Heading2"/>
        <w:numPr>
          <w:ilvl w:val="1"/>
          <w:numId w:val="5"/>
        </w:numPr>
        <w:tabs>
          <w:tab w:pos="671" w:val="left" w:leader="none"/>
        </w:tabs>
        <w:spacing w:line="240" w:lineRule="auto" w:before="0" w:after="0"/>
        <w:ind w:left="265" w:right="0" w:firstLine="0"/>
        <w:jc w:val="left"/>
      </w:pPr>
      <w:r>
        <w:rPr/>
        <w:t>Animales</w:t>
      </w:r>
    </w:p>
    <w:p>
      <w:pPr>
        <w:pStyle w:val="BodyText"/>
        <w:rPr>
          <w:b/>
        </w:rPr>
      </w:pPr>
    </w:p>
    <w:p>
      <w:pPr>
        <w:pStyle w:val="BodyText"/>
        <w:rPr>
          <w:b/>
        </w:rPr>
      </w:pPr>
    </w:p>
    <w:p>
      <w:pPr>
        <w:pStyle w:val="BodyText"/>
        <w:spacing w:line="360" w:lineRule="auto"/>
        <w:ind w:left="265" w:right="175" w:firstLine="427"/>
        <w:jc w:val="both"/>
      </w:pPr>
      <w:r>
        <w:rPr/>
        <w:t>Se utilizaron ratas macho de la cepa CII-ZV, de 30 días de edad de entre 70 y 90 g de peso corporal, mantenidos bajo condiciones de bioterio, agua y alimento (Purina chow) a libre acceso, se formaron tres grupos: pCA, Vh y CA.</w:t>
      </w:r>
    </w:p>
    <w:p>
      <w:pPr>
        <w:pStyle w:val="BodyText"/>
      </w:pPr>
    </w:p>
    <w:p>
      <w:pPr>
        <w:pStyle w:val="Heading2"/>
        <w:numPr>
          <w:ilvl w:val="1"/>
          <w:numId w:val="5"/>
        </w:numPr>
        <w:tabs>
          <w:tab w:pos="669" w:val="left" w:leader="none"/>
        </w:tabs>
        <w:spacing w:line="240" w:lineRule="auto" w:before="142" w:after="0"/>
        <w:ind w:left="668" w:right="0" w:hanging="403"/>
        <w:jc w:val="left"/>
      </w:pPr>
      <w:r>
        <w:rPr/>
        <w:t>Tratamientos</w:t>
      </w:r>
    </w:p>
    <w:p>
      <w:pPr>
        <w:pStyle w:val="BodyText"/>
        <w:rPr>
          <w:b/>
        </w:rPr>
      </w:pPr>
    </w:p>
    <w:p>
      <w:pPr>
        <w:pStyle w:val="BodyText"/>
        <w:rPr>
          <w:b/>
        </w:rPr>
      </w:pPr>
    </w:p>
    <w:p>
      <w:pPr>
        <w:pStyle w:val="BodyText"/>
        <w:spacing w:line="360" w:lineRule="auto"/>
        <w:ind w:left="265" w:right="111" w:firstLine="427"/>
        <w:jc w:val="both"/>
      </w:pPr>
      <w:r>
        <w:rPr/>
        <w:t>El inicio del experimento comenzó con la toma de biopsias del testículo izquierdo. Las ratas se anestesiaron con pentobarbital sódico vía intraperitoneal (Sedalpharma, Pet's Pharma), se afeito y limpio el escroto, se hizo una incisión de aproximadamente 3 mm en el escroto para tener acceso al testículo y poder obtener la biopsia. Se tuvo cuidado de no cortar los vasos sanguíneos y  linfáticos del testículo, se obtuvieron aproximadamente 10 mg de tejido testicular, la mitad de la biopsia se congeló inmediatamente en hielo seco y posteriormente se conservó en nitrógeno líquido para extraer ARN, la mitad restante se fijó en paraformaldehido y se procesó histológicamente para realizar la técnica de TUNEL. Se esperó a que se recuperaran los animales del anestésico (1-2 horas aproximadamente) y se les administraron los tratamientos. Los animales del control absoluto (CA) solamente se pesaron e</w:t>
      </w:r>
      <w:r>
        <w:rPr>
          <w:spacing w:val="-17"/>
        </w:rPr>
        <w:t> </w:t>
      </w:r>
      <w:r>
        <w:rPr/>
        <w:t>identificaron.</w:t>
      </w:r>
    </w:p>
    <w:p>
      <w:pPr>
        <w:pStyle w:val="BodyText"/>
        <w:spacing w:line="360" w:lineRule="auto" w:before="2"/>
        <w:ind w:left="265" w:right="175" w:firstLine="427"/>
        <w:jc w:val="both"/>
      </w:pPr>
      <w:r>
        <w:rPr/>
        <w:t>Para el grupo de pCA el tratamiento fue de 1 mg de para-cloroanfetamina por cada 100 g de peso corporal diluido en solución salina, al grupo Vh se </w:t>
      </w:r>
      <w:r>
        <w:rPr>
          <w:spacing w:val="-3"/>
        </w:rPr>
        <w:t>le </w:t>
      </w:r>
      <w:r>
        <w:rPr/>
        <w:t>inyectó un volumen de 1 ml de solución salina por cada 100 g de peso corporal y para el control absoluto no se le administró tratamiento. La administración de la pCA o el medio se dilución fue administrado vía intraperitoneal y se repitió a los 7 y 15 días posteriores al inicio del</w:t>
      </w:r>
      <w:r>
        <w:rPr>
          <w:spacing w:val="-15"/>
        </w:rPr>
        <w:t> </w:t>
      </w:r>
      <w:r>
        <w:rPr/>
        <w:t>experimento.</w:t>
      </w:r>
    </w:p>
    <w:p>
      <w:pPr>
        <w:pStyle w:val="BodyText"/>
        <w:spacing w:line="360" w:lineRule="auto" w:before="2"/>
        <w:ind w:left="265" w:right="176" w:firstLine="427"/>
        <w:jc w:val="both"/>
      </w:pPr>
      <w:r>
        <w:rPr/>
        <w:t>Los animales se sacrificaron por decapitación 15 días después de iniciado  el  tratamiento,  se  decapsularon  los  testículos  y  se  obtuvieron  biopsias  </w:t>
      </w:r>
      <w:r>
        <w:rPr>
          <w:spacing w:val="28"/>
        </w:rPr>
        <w:t> </w:t>
      </w:r>
      <w:r>
        <w:rPr/>
        <w:t>de</w:t>
      </w:r>
    </w:p>
    <w:p>
      <w:pPr>
        <w:spacing w:after="0" w:line="360" w:lineRule="auto"/>
        <w:jc w:val="both"/>
        <w:sectPr>
          <w:footerReference w:type="default" r:id="rId10"/>
          <w:pgSz w:w="12240" w:h="15840"/>
          <w:pgMar w:footer="1682" w:header="0" w:top="1380" w:bottom="1880" w:left="1720" w:right="1520"/>
          <w:pgNumType w:start="20"/>
        </w:sectPr>
      </w:pPr>
    </w:p>
    <w:p>
      <w:pPr>
        <w:pStyle w:val="BodyText"/>
        <w:spacing w:line="360" w:lineRule="auto" w:before="57"/>
        <w:ind w:left="265" w:right="115"/>
        <w:jc w:val="both"/>
      </w:pPr>
      <w:r>
        <w:rPr/>
        <w:t>ambos testículos para extraer ARN. El resto del tejido testicular se fijó en paraformaldehido para obtener cortes histológicos y realizar la técnica de TUNEL, se extirpó el hipotálamo para la medir la concentración de serotonina y su metabolito (5-HIAA) por HPLC y se recuperó el suero sanguíneo para cuantificar progesterona, testosterona, estradiol y gonadotropinas por RIA.</w:t>
      </w:r>
    </w:p>
    <w:p>
      <w:pPr>
        <w:pStyle w:val="BodyText"/>
      </w:pPr>
    </w:p>
    <w:p>
      <w:pPr>
        <w:pStyle w:val="Heading2"/>
        <w:numPr>
          <w:ilvl w:val="1"/>
          <w:numId w:val="5"/>
        </w:numPr>
        <w:tabs>
          <w:tab w:pos="669" w:val="left" w:leader="none"/>
        </w:tabs>
        <w:spacing w:line="360" w:lineRule="auto" w:before="142" w:after="0"/>
        <w:ind w:left="265" w:right="122" w:firstLine="0"/>
        <w:jc w:val="both"/>
      </w:pPr>
      <w:r>
        <w:rPr/>
        <w:t>Marcación de la UTP final mediada por la Transferasa</w:t>
      </w:r>
      <w:r>
        <w:rPr>
          <w:spacing w:val="-19"/>
        </w:rPr>
        <w:t> </w:t>
      </w:r>
      <w:r>
        <w:rPr/>
        <w:t>Desoxinucleotidil Terminal (TUNEL, Terminal Deoxinucleotidyl Transferase mediate UTP end labelling)</w:t>
      </w:r>
    </w:p>
    <w:p>
      <w:pPr>
        <w:pStyle w:val="BodyText"/>
        <w:rPr>
          <w:b/>
        </w:rPr>
      </w:pPr>
    </w:p>
    <w:p>
      <w:pPr>
        <w:pStyle w:val="BodyText"/>
        <w:spacing w:line="360" w:lineRule="auto" w:before="142"/>
        <w:ind w:left="265" w:right="113" w:firstLine="427"/>
        <w:jc w:val="both"/>
      </w:pPr>
      <w:r>
        <w:rPr/>
        <w:t>Las biopsias testiculares y las gónadas se procesaron mediante técnicas estándar de inclusión en parafina y se realizaron cortes de tejido de 5 µm, se montaron en laminillas tratadas con poli-L-lisina, los cortes se desparafinaron con xilol y alcohol a diferentes concentraciones por 5 y 10 minutos respectivamente, se lavaron dos veces con PBS durante 5 minutos y se procesaron con la técnica de marcaje </w:t>
      </w:r>
      <w:r>
        <w:rPr>
          <w:i/>
        </w:rPr>
        <w:t>in situ </w:t>
      </w:r>
      <w:r>
        <w:rPr/>
        <w:t>del ADN fragmentado (T.U.N.E.L.); se utilizó el kit In Situ Cell Death Detection Kit, POD (Roche®, Bohering Manheim), el cual detecta los extremos 3´-OH libres generados al romperse el ADN de las células muertas por apoptosis y adiciona nucleótidos (dUTP) marcados con fluoresceína mediante la acción de la enzima deoxinucleotidil terminal transferasa.</w:t>
      </w:r>
    </w:p>
    <w:p>
      <w:pPr>
        <w:pStyle w:val="BodyText"/>
        <w:spacing w:line="360" w:lineRule="auto" w:before="2"/>
        <w:ind w:left="265" w:right="115" w:firstLine="427"/>
        <w:jc w:val="both"/>
      </w:pPr>
      <w:r>
        <w:rPr/>
        <w:t>Después de la incubación los cortes se lavaron con PBS por 5 minutos y se trataron durante 2 minutos con disolución de permeabilización en hielo, se dio un lavado con PBS y finalmente fueron incubados en la cámara húmeda  durante 90 minutos a 37° C con la mezcla de marcaje (enzima Terminal Deoxinucleotidil Transferasa y biotina 16 dUTP). Al finalizar la incubación los cortes se lavaron dos veces con PBS durante 5 minutos. Las laminillas preparadas con TUNEL se analizaron una por una en un microscopio de fluorescencia (Marca Nikkon). Se evaluaron de forma aleatoria 10 túbulos seminíferos por laminilla y se contaron todas las células muertas por</w:t>
      </w:r>
      <w:r>
        <w:rPr>
          <w:spacing w:val="-19"/>
        </w:rPr>
        <w:t> </w:t>
      </w:r>
      <w:r>
        <w:rPr/>
        <w:t>apoptosis.</w:t>
      </w:r>
    </w:p>
    <w:p>
      <w:pPr>
        <w:spacing w:after="0" w:line="360" w:lineRule="auto"/>
        <w:jc w:val="both"/>
        <w:sectPr>
          <w:pgSz w:w="12240" w:h="15840"/>
          <w:pgMar w:header="0" w:footer="1682" w:top="1360" w:bottom="1880" w:left="1720" w:right="1580"/>
        </w:sectPr>
      </w:pPr>
    </w:p>
    <w:p>
      <w:pPr>
        <w:pStyle w:val="BodyText"/>
        <w:spacing w:before="7"/>
        <w:rPr>
          <w:sz w:val="22"/>
        </w:rPr>
      </w:pPr>
    </w:p>
    <w:p>
      <w:pPr>
        <w:pStyle w:val="BodyText"/>
        <w:spacing w:line="360" w:lineRule="auto" w:before="69"/>
        <w:ind w:left="265" w:right="116" w:firstLine="427"/>
        <w:jc w:val="both"/>
      </w:pPr>
      <w:r>
        <w:rPr/>
        <w:t>Tomamos como criterio de susceptibilidad a los individuos que presentaron menos de tres células en apoptosis por túbulo seminífero como de baja susceptibilidad y más de tres células en apoptosis por túbulo seminífero como de susceptibilidad alta, esta cuantificación se realizó al inicio del experimento con los animales de 30 días de edad.</w:t>
      </w:r>
    </w:p>
    <w:p>
      <w:pPr>
        <w:pStyle w:val="BodyText"/>
        <w:spacing w:line="360" w:lineRule="auto" w:before="5"/>
        <w:ind w:left="265" w:right="115" w:firstLine="427"/>
        <w:jc w:val="both"/>
      </w:pPr>
      <w:r>
        <w:rPr/>
        <w:t>El conteo de las células germinales en apoptosis se hizo para clasificar a  los animales según su susceptibilidad, la clasificación se realizó cuando a los animales tenían aún no se les administraba tratamiento. Se utilizaron 6 animales por grupo de los cuales tres eran de baja y tres de alta susceptibilidad a la apoptosis. Al finalizar el tratamiento se hizo nuevamente la cuantificación  de las células en apoptosis considerando el mismo criterio de</w:t>
      </w:r>
      <w:r>
        <w:rPr>
          <w:spacing w:val="-19"/>
        </w:rPr>
        <w:t> </w:t>
      </w:r>
      <w:r>
        <w:rPr/>
        <w:t>clasificación.</w:t>
      </w:r>
    </w:p>
    <w:p>
      <w:pPr>
        <w:pStyle w:val="BodyText"/>
      </w:pPr>
    </w:p>
    <w:p>
      <w:pPr>
        <w:pStyle w:val="Heading2"/>
        <w:numPr>
          <w:ilvl w:val="1"/>
          <w:numId w:val="5"/>
        </w:numPr>
        <w:tabs>
          <w:tab w:pos="669" w:val="left" w:leader="none"/>
        </w:tabs>
        <w:spacing w:line="240" w:lineRule="auto" w:before="142" w:after="0"/>
        <w:ind w:left="668" w:right="0" w:hanging="403"/>
        <w:jc w:val="left"/>
      </w:pPr>
      <w:r>
        <w:rPr/>
        <w:t>Extracción de</w:t>
      </w:r>
      <w:r>
        <w:rPr>
          <w:spacing w:val="-7"/>
        </w:rPr>
        <w:t> </w:t>
      </w:r>
      <w:r>
        <w:rPr/>
        <w:t>ARN</w:t>
      </w:r>
    </w:p>
    <w:p>
      <w:pPr>
        <w:pStyle w:val="BodyText"/>
        <w:rPr>
          <w:b/>
        </w:rPr>
      </w:pPr>
    </w:p>
    <w:p>
      <w:pPr>
        <w:pStyle w:val="BodyText"/>
        <w:rPr>
          <w:b/>
        </w:rPr>
      </w:pPr>
    </w:p>
    <w:p>
      <w:pPr>
        <w:pStyle w:val="BodyText"/>
        <w:spacing w:line="360" w:lineRule="auto"/>
        <w:ind w:left="265" w:right="113" w:firstLine="427"/>
        <w:jc w:val="both"/>
      </w:pPr>
      <w:r>
        <w:rPr/>
        <w:t>La extracción del ARN se hizo con el kit (Aurum Total RNA Mini Kit, Biorad®), se siguió el protocolo de extracción del fabricante, el ARN </w:t>
      </w:r>
      <w:r>
        <w:rPr>
          <w:spacing w:val="-3"/>
        </w:rPr>
        <w:t>se </w:t>
      </w:r>
      <w:r>
        <w:rPr/>
        <w:t>cuantificó con un espectrofotómetro (NanoDrop 1100 de Thermo® a 260 y 280 nm), inmediatamente después se hizo la retrotranscripción a ADNc con el kit SuperScript First-Strand Synthesis System for RT-PCR (Invitrogen®) siguiendo el protocolo del fabricante, todas las muestras se estandarizaron a 100 ng por microlitro de ARN antes y después de retrotranscribirlos a ADNc y así tener las muestras a la misma concentración para realizar la</w:t>
      </w:r>
      <w:r>
        <w:rPr>
          <w:spacing w:val="-19"/>
        </w:rPr>
        <w:t> </w:t>
      </w:r>
      <w:r>
        <w:rPr/>
        <w:t>PCR.</w:t>
      </w:r>
    </w:p>
    <w:p>
      <w:pPr>
        <w:spacing w:after="0" w:line="360" w:lineRule="auto"/>
        <w:jc w:val="both"/>
        <w:sectPr>
          <w:pgSz w:w="12240" w:h="15840"/>
          <w:pgMar w:header="0" w:footer="1682" w:top="1500" w:bottom="1880" w:left="1720" w:right="1580"/>
        </w:sectPr>
      </w:pPr>
    </w:p>
    <w:p>
      <w:pPr>
        <w:pStyle w:val="Heading2"/>
        <w:numPr>
          <w:ilvl w:val="1"/>
          <w:numId w:val="5"/>
        </w:numPr>
        <w:tabs>
          <w:tab w:pos="669" w:val="left" w:leader="none"/>
        </w:tabs>
        <w:spacing w:line="240" w:lineRule="auto" w:before="57" w:after="0"/>
        <w:ind w:left="668" w:right="0" w:hanging="403"/>
        <w:jc w:val="left"/>
      </w:pPr>
      <w:r>
        <w:rPr/>
        <w:t>Diseño de</w:t>
      </w:r>
      <w:r>
        <w:rPr>
          <w:spacing w:val="-10"/>
        </w:rPr>
        <w:t> </w:t>
      </w:r>
      <w:r>
        <w:rPr/>
        <w:t>Iniciadores</w:t>
      </w:r>
    </w:p>
    <w:p>
      <w:pPr>
        <w:pStyle w:val="BodyText"/>
        <w:rPr>
          <w:b/>
        </w:rPr>
      </w:pPr>
    </w:p>
    <w:p>
      <w:pPr>
        <w:pStyle w:val="BodyText"/>
        <w:rPr>
          <w:b/>
        </w:rPr>
      </w:pPr>
    </w:p>
    <w:p>
      <w:pPr>
        <w:pStyle w:val="BodyText"/>
        <w:spacing w:line="360" w:lineRule="auto"/>
        <w:ind w:left="265" w:right="213" w:firstLine="427"/>
        <w:jc w:val="both"/>
      </w:pPr>
      <w:r>
        <w:rPr/>
        <w:t>El diseño de iniciadores se realizó con el software PerlPrimer v1.1.19 considerando los porcentajes (&lt;50%) de C y G (citocinas y guaninas), las temperaturas de alineación, el número de bases adecuado para adherirse a </w:t>
      </w:r>
      <w:r>
        <w:rPr>
          <w:spacing w:val="-3"/>
        </w:rPr>
        <w:t>la </w:t>
      </w:r>
      <w:r>
        <w:rPr/>
        <w:t>secuencia blanco (20-25 bases) y la selección especifica del fragmento de interés, después de tener a los iniciadores candidatos se realizó una alineación con las secuencias del GenBank para comprobar la especificidad de nuestros iniciadores en rata y de los genes de interés (BLAST), las secuencias blanco que se usaron para el diseño de los iniciadores se encuentran reportadas en el GenBank y fueron para los genes; 3βHSD, AR, ABP, BCL-2, BAX, CREMΔ y CYC (Ciclofilina), en el cuadro 6.5 se muestran las secuencias de los  iniciadores diseñados, además del tamaño del</w:t>
      </w:r>
      <w:r>
        <w:rPr>
          <w:spacing w:val="-18"/>
        </w:rPr>
        <w:t> </w:t>
      </w:r>
      <w:r>
        <w:rPr/>
        <w:t>amplicón.</w:t>
      </w:r>
    </w:p>
    <w:p>
      <w:pPr>
        <w:pStyle w:val="BodyText"/>
      </w:pPr>
    </w:p>
    <w:p>
      <w:pPr>
        <w:pStyle w:val="BodyText"/>
        <w:spacing w:before="142"/>
        <w:ind w:left="265"/>
      </w:pPr>
      <w:r>
        <w:rPr/>
        <w:t>Cuadro 6.5. Diseño de iniciadores.</w:t>
      </w:r>
    </w:p>
    <w:p>
      <w:pPr>
        <w:pStyle w:val="BodyText"/>
        <w:spacing w:before="10"/>
        <w:rPr>
          <w:sz w:val="12"/>
        </w:rPr>
      </w:pPr>
    </w:p>
    <w:tbl>
      <w:tblPr>
        <w:tblW w:w="0" w:type="auto"/>
        <w:jc w:val="left"/>
        <w:tblInd w:w="1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07"/>
        <w:gridCol w:w="1749"/>
        <w:gridCol w:w="2799"/>
        <w:gridCol w:w="2708"/>
        <w:gridCol w:w="609"/>
      </w:tblGrid>
      <w:tr>
        <w:trPr>
          <w:trHeight w:val="295" w:hRule="exact"/>
        </w:trPr>
        <w:tc>
          <w:tcPr>
            <w:tcW w:w="907" w:type="dxa"/>
            <w:tcBorders>
              <w:left w:val="nil"/>
              <w:right w:val="nil"/>
            </w:tcBorders>
          </w:tcPr>
          <w:p>
            <w:pPr>
              <w:pStyle w:val="TableParagraph"/>
              <w:spacing w:line="272" w:lineRule="exact"/>
              <w:ind w:left="89" w:right="175"/>
              <w:rPr>
                <w:b/>
                <w:sz w:val="24"/>
              </w:rPr>
            </w:pPr>
            <w:r>
              <w:rPr>
                <w:b/>
                <w:sz w:val="24"/>
              </w:rPr>
              <w:t>GEN</w:t>
            </w:r>
          </w:p>
        </w:tc>
        <w:tc>
          <w:tcPr>
            <w:tcW w:w="1749" w:type="dxa"/>
            <w:tcBorders>
              <w:left w:val="nil"/>
              <w:right w:val="nil"/>
            </w:tcBorders>
          </w:tcPr>
          <w:p>
            <w:pPr>
              <w:pStyle w:val="TableParagraph"/>
              <w:spacing w:line="272" w:lineRule="exact"/>
              <w:ind w:left="178" w:right="208"/>
              <w:rPr>
                <w:b/>
                <w:sz w:val="24"/>
              </w:rPr>
            </w:pPr>
            <w:r>
              <w:rPr>
                <w:b/>
                <w:sz w:val="24"/>
              </w:rPr>
              <w:t>GENBANK</w:t>
            </w:r>
          </w:p>
        </w:tc>
        <w:tc>
          <w:tcPr>
            <w:tcW w:w="2799" w:type="dxa"/>
            <w:tcBorders>
              <w:left w:val="nil"/>
              <w:right w:val="nil"/>
            </w:tcBorders>
          </w:tcPr>
          <w:p>
            <w:pPr>
              <w:pStyle w:val="TableParagraph"/>
              <w:spacing w:line="272" w:lineRule="exact"/>
              <w:ind w:left="209" w:right="148"/>
              <w:rPr>
                <w:b/>
                <w:sz w:val="24"/>
              </w:rPr>
            </w:pPr>
            <w:r>
              <w:rPr>
                <w:b/>
                <w:sz w:val="24"/>
              </w:rPr>
              <w:t>SENTIDO</w:t>
            </w:r>
          </w:p>
        </w:tc>
        <w:tc>
          <w:tcPr>
            <w:tcW w:w="2708" w:type="dxa"/>
            <w:tcBorders>
              <w:left w:val="nil"/>
              <w:right w:val="nil"/>
            </w:tcBorders>
          </w:tcPr>
          <w:p>
            <w:pPr>
              <w:pStyle w:val="TableParagraph"/>
              <w:spacing w:line="272" w:lineRule="exact"/>
              <w:ind w:left="145" w:right="118"/>
              <w:rPr>
                <w:b/>
                <w:sz w:val="24"/>
              </w:rPr>
            </w:pPr>
            <w:r>
              <w:rPr>
                <w:b/>
                <w:sz w:val="24"/>
              </w:rPr>
              <w:t>ANTISENTIDO</w:t>
            </w:r>
          </w:p>
        </w:tc>
        <w:tc>
          <w:tcPr>
            <w:tcW w:w="609" w:type="dxa"/>
            <w:tcBorders>
              <w:left w:val="nil"/>
              <w:right w:val="nil"/>
            </w:tcBorders>
          </w:tcPr>
          <w:p>
            <w:pPr>
              <w:pStyle w:val="TableParagraph"/>
              <w:spacing w:line="272" w:lineRule="exact"/>
              <w:ind w:left="117" w:right="90"/>
              <w:rPr>
                <w:b/>
                <w:sz w:val="24"/>
              </w:rPr>
            </w:pPr>
            <w:r>
              <w:rPr>
                <w:b/>
                <w:sz w:val="24"/>
              </w:rPr>
              <w:t>pb</w:t>
            </w:r>
          </w:p>
        </w:tc>
      </w:tr>
      <w:tr>
        <w:trPr>
          <w:trHeight w:val="248" w:hRule="exact"/>
        </w:trPr>
        <w:tc>
          <w:tcPr>
            <w:tcW w:w="907" w:type="dxa"/>
            <w:tcBorders>
              <w:left w:val="nil"/>
              <w:bottom w:val="nil"/>
              <w:right w:val="nil"/>
            </w:tcBorders>
          </w:tcPr>
          <w:p>
            <w:pPr>
              <w:pStyle w:val="TableParagraph"/>
              <w:spacing w:before="6"/>
              <w:ind w:left="89" w:right="178"/>
              <w:rPr>
                <w:rFonts w:ascii="Courier New" w:hAnsi="Courier New"/>
                <w:sz w:val="20"/>
              </w:rPr>
            </w:pPr>
            <w:r>
              <w:rPr>
                <w:rFonts w:ascii="Courier New" w:hAnsi="Courier New"/>
                <w:sz w:val="20"/>
              </w:rPr>
              <w:t>3βHSD</w:t>
            </w:r>
          </w:p>
        </w:tc>
        <w:tc>
          <w:tcPr>
            <w:tcW w:w="1749" w:type="dxa"/>
            <w:tcBorders>
              <w:left w:val="nil"/>
              <w:bottom w:val="nil"/>
              <w:right w:val="nil"/>
            </w:tcBorders>
          </w:tcPr>
          <w:p>
            <w:pPr>
              <w:pStyle w:val="TableParagraph"/>
              <w:spacing w:before="6"/>
              <w:ind w:left="180" w:right="208"/>
              <w:rPr>
                <w:rFonts w:ascii="Courier New"/>
                <w:sz w:val="20"/>
              </w:rPr>
            </w:pPr>
            <w:r>
              <w:rPr>
                <w:rFonts w:ascii="Courier New"/>
                <w:sz w:val="20"/>
              </w:rPr>
              <w:t>NM_017265.4</w:t>
            </w:r>
          </w:p>
        </w:tc>
        <w:tc>
          <w:tcPr>
            <w:tcW w:w="2799" w:type="dxa"/>
            <w:tcBorders>
              <w:left w:val="nil"/>
              <w:bottom w:val="nil"/>
              <w:right w:val="nil"/>
            </w:tcBorders>
          </w:tcPr>
          <w:p>
            <w:pPr>
              <w:pStyle w:val="TableParagraph"/>
              <w:spacing w:before="6"/>
              <w:ind w:left="209" w:right="149"/>
              <w:rPr>
                <w:rFonts w:ascii="Courier New"/>
                <w:sz w:val="20"/>
              </w:rPr>
            </w:pPr>
            <w:r>
              <w:rPr>
                <w:rFonts w:ascii="Courier New"/>
                <w:sz w:val="20"/>
              </w:rPr>
              <w:t>AGGTCCTGATGCCCTCTTTT</w:t>
            </w:r>
          </w:p>
        </w:tc>
        <w:tc>
          <w:tcPr>
            <w:tcW w:w="2708" w:type="dxa"/>
            <w:tcBorders>
              <w:left w:val="nil"/>
              <w:bottom w:val="nil"/>
              <w:right w:val="nil"/>
            </w:tcBorders>
          </w:tcPr>
          <w:p>
            <w:pPr>
              <w:pStyle w:val="TableParagraph"/>
              <w:spacing w:before="6"/>
              <w:ind w:left="149" w:right="118"/>
              <w:rPr>
                <w:rFonts w:ascii="Courier New"/>
                <w:sz w:val="20"/>
              </w:rPr>
            </w:pPr>
            <w:r>
              <w:rPr>
                <w:rFonts w:ascii="Courier New"/>
                <w:sz w:val="20"/>
              </w:rPr>
              <w:t>TGTCATTGCTGAAGCCTTTG</w:t>
            </w:r>
          </w:p>
        </w:tc>
        <w:tc>
          <w:tcPr>
            <w:tcW w:w="609" w:type="dxa"/>
            <w:tcBorders>
              <w:left w:val="nil"/>
              <w:bottom w:val="nil"/>
              <w:right w:val="nil"/>
            </w:tcBorders>
          </w:tcPr>
          <w:p>
            <w:pPr>
              <w:pStyle w:val="TableParagraph"/>
              <w:spacing w:before="6"/>
              <w:ind w:left="117" w:right="90"/>
              <w:rPr>
                <w:rFonts w:ascii="Courier New"/>
                <w:sz w:val="20"/>
              </w:rPr>
            </w:pPr>
            <w:r>
              <w:rPr>
                <w:rFonts w:ascii="Courier New"/>
                <w:sz w:val="20"/>
              </w:rPr>
              <w:t>159</w:t>
            </w:r>
          </w:p>
        </w:tc>
      </w:tr>
      <w:tr>
        <w:trPr>
          <w:trHeight w:val="227" w:hRule="exact"/>
        </w:trPr>
        <w:tc>
          <w:tcPr>
            <w:tcW w:w="907" w:type="dxa"/>
            <w:tcBorders>
              <w:top w:val="nil"/>
              <w:left w:val="nil"/>
              <w:bottom w:val="nil"/>
              <w:right w:val="nil"/>
            </w:tcBorders>
          </w:tcPr>
          <w:p>
            <w:pPr>
              <w:pStyle w:val="TableParagraph"/>
              <w:spacing w:line="220" w:lineRule="exact"/>
              <w:ind w:left="89" w:right="178"/>
              <w:rPr>
                <w:rFonts w:ascii="Courier New"/>
                <w:sz w:val="20"/>
              </w:rPr>
            </w:pPr>
            <w:r>
              <w:rPr>
                <w:rFonts w:ascii="Courier New"/>
                <w:sz w:val="20"/>
              </w:rPr>
              <w:t>AR</w:t>
            </w:r>
          </w:p>
        </w:tc>
        <w:tc>
          <w:tcPr>
            <w:tcW w:w="1749" w:type="dxa"/>
            <w:tcBorders>
              <w:top w:val="nil"/>
              <w:left w:val="nil"/>
              <w:bottom w:val="nil"/>
              <w:right w:val="nil"/>
            </w:tcBorders>
          </w:tcPr>
          <w:p>
            <w:pPr>
              <w:pStyle w:val="TableParagraph"/>
              <w:spacing w:line="220" w:lineRule="exact"/>
              <w:ind w:left="180" w:right="208"/>
              <w:rPr>
                <w:rFonts w:ascii="Courier New"/>
                <w:sz w:val="20"/>
              </w:rPr>
            </w:pPr>
            <w:r>
              <w:rPr>
                <w:rFonts w:ascii="Courier New"/>
                <w:sz w:val="20"/>
              </w:rPr>
              <w:t>NM_012502.1</w:t>
            </w:r>
          </w:p>
        </w:tc>
        <w:tc>
          <w:tcPr>
            <w:tcW w:w="2799" w:type="dxa"/>
            <w:tcBorders>
              <w:top w:val="nil"/>
              <w:left w:val="nil"/>
              <w:bottom w:val="nil"/>
              <w:right w:val="nil"/>
            </w:tcBorders>
          </w:tcPr>
          <w:p>
            <w:pPr>
              <w:pStyle w:val="TableParagraph"/>
              <w:spacing w:line="220" w:lineRule="exact"/>
              <w:ind w:left="209" w:right="149"/>
              <w:rPr>
                <w:rFonts w:ascii="Courier New"/>
                <w:sz w:val="20"/>
              </w:rPr>
            </w:pPr>
            <w:r>
              <w:rPr>
                <w:rFonts w:ascii="Courier New"/>
                <w:sz w:val="20"/>
              </w:rPr>
              <w:t>CAGCAGAAATGATTGCACCA</w:t>
            </w:r>
          </w:p>
        </w:tc>
        <w:tc>
          <w:tcPr>
            <w:tcW w:w="2708" w:type="dxa"/>
            <w:tcBorders>
              <w:top w:val="nil"/>
              <w:left w:val="nil"/>
              <w:bottom w:val="nil"/>
              <w:right w:val="nil"/>
            </w:tcBorders>
          </w:tcPr>
          <w:p>
            <w:pPr>
              <w:pStyle w:val="TableParagraph"/>
              <w:spacing w:line="220" w:lineRule="exact"/>
              <w:ind w:left="149" w:right="118"/>
              <w:rPr>
                <w:rFonts w:ascii="Courier New"/>
                <w:sz w:val="20"/>
              </w:rPr>
            </w:pPr>
            <w:r>
              <w:rPr>
                <w:rFonts w:ascii="Courier New"/>
                <w:sz w:val="20"/>
              </w:rPr>
              <w:t>ATCTTCTGGGATGGGTCCTC</w:t>
            </w:r>
          </w:p>
        </w:tc>
        <w:tc>
          <w:tcPr>
            <w:tcW w:w="609" w:type="dxa"/>
            <w:tcBorders>
              <w:top w:val="nil"/>
              <w:left w:val="nil"/>
              <w:bottom w:val="nil"/>
              <w:right w:val="nil"/>
            </w:tcBorders>
          </w:tcPr>
          <w:p>
            <w:pPr>
              <w:pStyle w:val="TableParagraph"/>
              <w:spacing w:line="220" w:lineRule="exact"/>
              <w:ind w:left="117" w:right="90"/>
              <w:rPr>
                <w:rFonts w:ascii="Courier New"/>
                <w:sz w:val="20"/>
              </w:rPr>
            </w:pPr>
            <w:r>
              <w:rPr>
                <w:rFonts w:ascii="Courier New"/>
                <w:sz w:val="20"/>
              </w:rPr>
              <w:t>189</w:t>
            </w:r>
          </w:p>
        </w:tc>
      </w:tr>
      <w:tr>
        <w:trPr>
          <w:trHeight w:val="227" w:hRule="exact"/>
        </w:trPr>
        <w:tc>
          <w:tcPr>
            <w:tcW w:w="907" w:type="dxa"/>
            <w:tcBorders>
              <w:top w:val="nil"/>
              <w:left w:val="nil"/>
              <w:bottom w:val="nil"/>
              <w:right w:val="nil"/>
            </w:tcBorders>
          </w:tcPr>
          <w:p>
            <w:pPr>
              <w:pStyle w:val="TableParagraph"/>
              <w:spacing w:line="221" w:lineRule="exact"/>
              <w:ind w:left="89" w:right="178"/>
              <w:rPr>
                <w:rFonts w:ascii="Courier New" w:hAnsi="Courier New"/>
                <w:sz w:val="20"/>
              </w:rPr>
            </w:pPr>
            <w:r>
              <w:rPr>
                <w:rFonts w:ascii="Courier New" w:hAnsi="Courier New"/>
                <w:sz w:val="20"/>
              </w:rPr>
              <w:t>CREMΔ</w:t>
            </w:r>
          </w:p>
        </w:tc>
        <w:tc>
          <w:tcPr>
            <w:tcW w:w="1749" w:type="dxa"/>
            <w:tcBorders>
              <w:top w:val="nil"/>
              <w:left w:val="nil"/>
              <w:bottom w:val="nil"/>
              <w:right w:val="nil"/>
            </w:tcBorders>
          </w:tcPr>
          <w:p>
            <w:pPr>
              <w:pStyle w:val="TableParagraph"/>
              <w:spacing w:line="221" w:lineRule="exact"/>
              <w:ind w:left="180" w:right="208"/>
              <w:rPr>
                <w:rFonts w:ascii="Courier New"/>
                <w:sz w:val="20"/>
              </w:rPr>
            </w:pPr>
            <w:r>
              <w:rPr>
                <w:rFonts w:ascii="Courier New"/>
                <w:sz w:val="20"/>
              </w:rPr>
              <w:t>NM_017334.1</w:t>
            </w:r>
          </w:p>
        </w:tc>
        <w:tc>
          <w:tcPr>
            <w:tcW w:w="2799" w:type="dxa"/>
            <w:tcBorders>
              <w:top w:val="nil"/>
              <w:left w:val="nil"/>
              <w:bottom w:val="nil"/>
              <w:right w:val="nil"/>
            </w:tcBorders>
          </w:tcPr>
          <w:p>
            <w:pPr>
              <w:pStyle w:val="TableParagraph"/>
              <w:spacing w:line="221" w:lineRule="exact"/>
              <w:ind w:left="209" w:right="149"/>
              <w:rPr>
                <w:rFonts w:ascii="Courier New"/>
                <w:sz w:val="20"/>
              </w:rPr>
            </w:pPr>
            <w:r>
              <w:rPr>
                <w:rFonts w:ascii="Courier New"/>
                <w:sz w:val="20"/>
              </w:rPr>
              <w:t>AGCCCAACATGGCTGTAACT</w:t>
            </w:r>
          </w:p>
        </w:tc>
        <w:tc>
          <w:tcPr>
            <w:tcW w:w="2708" w:type="dxa"/>
            <w:tcBorders>
              <w:top w:val="nil"/>
              <w:left w:val="nil"/>
              <w:bottom w:val="nil"/>
              <w:right w:val="nil"/>
            </w:tcBorders>
          </w:tcPr>
          <w:p>
            <w:pPr>
              <w:pStyle w:val="TableParagraph"/>
              <w:spacing w:line="221" w:lineRule="exact"/>
              <w:ind w:left="149" w:right="118"/>
              <w:rPr>
                <w:rFonts w:ascii="Courier New"/>
                <w:sz w:val="20"/>
              </w:rPr>
            </w:pPr>
            <w:r>
              <w:rPr>
                <w:rFonts w:ascii="Courier New"/>
                <w:sz w:val="20"/>
              </w:rPr>
              <w:t>TCTGCTAGTTGCTGGGGACT</w:t>
            </w:r>
          </w:p>
        </w:tc>
        <w:tc>
          <w:tcPr>
            <w:tcW w:w="609" w:type="dxa"/>
            <w:tcBorders>
              <w:top w:val="nil"/>
              <w:left w:val="nil"/>
              <w:bottom w:val="nil"/>
              <w:right w:val="nil"/>
            </w:tcBorders>
          </w:tcPr>
          <w:p>
            <w:pPr>
              <w:pStyle w:val="TableParagraph"/>
              <w:spacing w:line="221" w:lineRule="exact"/>
              <w:ind w:left="117" w:right="90"/>
              <w:rPr>
                <w:rFonts w:ascii="Courier New"/>
                <w:sz w:val="20"/>
              </w:rPr>
            </w:pPr>
            <w:r>
              <w:rPr>
                <w:rFonts w:ascii="Courier New"/>
                <w:sz w:val="20"/>
              </w:rPr>
              <w:t>184</w:t>
            </w:r>
          </w:p>
        </w:tc>
      </w:tr>
      <w:tr>
        <w:trPr>
          <w:trHeight w:val="226" w:hRule="exact"/>
        </w:trPr>
        <w:tc>
          <w:tcPr>
            <w:tcW w:w="907" w:type="dxa"/>
            <w:tcBorders>
              <w:top w:val="nil"/>
              <w:left w:val="nil"/>
              <w:bottom w:val="nil"/>
              <w:right w:val="nil"/>
            </w:tcBorders>
          </w:tcPr>
          <w:p>
            <w:pPr>
              <w:pStyle w:val="TableParagraph"/>
              <w:spacing w:line="220" w:lineRule="exact"/>
              <w:ind w:left="89" w:right="178"/>
              <w:rPr>
                <w:rFonts w:ascii="Courier New"/>
                <w:sz w:val="20"/>
              </w:rPr>
            </w:pPr>
            <w:r>
              <w:rPr>
                <w:rFonts w:ascii="Courier New"/>
                <w:sz w:val="20"/>
              </w:rPr>
              <w:t>ABP</w:t>
            </w:r>
          </w:p>
        </w:tc>
        <w:tc>
          <w:tcPr>
            <w:tcW w:w="1749" w:type="dxa"/>
            <w:tcBorders>
              <w:top w:val="nil"/>
              <w:left w:val="nil"/>
              <w:bottom w:val="nil"/>
              <w:right w:val="nil"/>
            </w:tcBorders>
          </w:tcPr>
          <w:p>
            <w:pPr>
              <w:pStyle w:val="TableParagraph"/>
              <w:spacing w:line="220" w:lineRule="exact"/>
              <w:ind w:left="180" w:right="208"/>
              <w:rPr>
                <w:rFonts w:ascii="Courier New"/>
                <w:sz w:val="20"/>
              </w:rPr>
            </w:pPr>
            <w:r>
              <w:rPr>
                <w:rFonts w:ascii="Courier New"/>
                <w:sz w:val="20"/>
              </w:rPr>
              <w:t>M19993</w:t>
            </w:r>
          </w:p>
        </w:tc>
        <w:tc>
          <w:tcPr>
            <w:tcW w:w="2799" w:type="dxa"/>
            <w:tcBorders>
              <w:top w:val="nil"/>
              <w:left w:val="nil"/>
              <w:bottom w:val="nil"/>
              <w:right w:val="nil"/>
            </w:tcBorders>
          </w:tcPr>
          <w:p>
            <w:pPr>
              <w:pStyle w:val="TableParagraph"/>
              <w:spacing w:line="220" w:lineRule="exact"/>
              <w:ind w:left="209" w:right="149"/>
              <w:rPr>
                <w:rFonts w:ascii="Courier New"/>
                <w:sz w:val="20"/>
              </w:rPr>
            </w:pPr>
            <w:r>
              <w:rPr>
                <w:rFonts w:ascii="Courier New"/>
                <w:sz w:val="20"/>
              </w:rPr>
              <w:t>TGGTCCAGATTGGCCTTGAA</w:t>
            </w:r>
          </w:p>
        </w:tc>
        <w:tc>
          <w:tcPr>
            <w:tcW w:w="2708" w:type="dxa"/>
            <w:tcBorders>
              <w:top w:val="nil"/>
              <w:left w:val="nil"/>
              <w:bottom w:val="nil"/>
              <w:right w:val="nil"/>
            </w:tcBorders>
          </w:tcPr>
          <w:p>
            <w:pPr>
              <w:pStyle w:val="TableParagraph"/>
              <w:spacing w:line="220" w:lineRule="exact"/>
              <w:ind w:left="149" w:right="118"/>
              <w:rPr>
                <w:rFonts w:ascii="Courier New"/>
                <w:sz w:val="20"/>
              </w:rPr>
            </w:pPr>
            <w:r>
              <w:rPr>
                <w:rFonts w:ascii="Courier New"/>
                <w:sz w:val="20"/>
              </w:rPr>
              <w:t>TCGAGACAATGCAGGCAGAA</w:t>
            </w:r>
          </w:p>
        </w:tc>
        <w:tc>
          <w:tcPr>
            <w:tcW w:w="609" w:type="dxa"/>
            <w:tcBorders>
              <w:top w:val="nil"/>
              <w:left w:val="nil"/>
              <w:bottom w:val="nil"/>
              <w:right w:val="nil"/>
            </w:tcBorders>
          </w:tcPr>
          <w:p>
            <w:pPr>
              <w:pStyle w:val="TableParagraph"/>
              <w:spacing w:line="220" w:lineRule="exact"/>
              <w:ind w:left="117" w:right="90"/>
              <w:rPr>
                <w:rFonts w:ascii="Courier New"/>
                <w:sz w:val="20"/>
              </w:rPr>
            </w:pPr>
            <w:r>
              <w:rPr>
                <w:rFonts w:ascii="Courier New"/>
                <w:sz w:val="20"/>
              </w:rPr>
              <w:t>192</w:t>
            </w:r>
          </w:p>
        </w:tc>
      </w:tr>
      <w:tr>
        <w:trPr>
          <w:trHeight w:val="227" w:hRule="exact"/>
        </w:trPr>
        <w:tc>
          <w:tcPr>
            <w:tcW w:w="907" w:type="dxa"/>
            <w:tcBorders>
              <w:top w:val="nil"/>
              <w:left w:val="nil"/>
              <w:bottom w:val="nil"/>
              <w:right w:val="nil"/>
            </w:tcBorders>
          </w:tcPr>
          <w:p>
            <w:pPr>
              <w:pStyle w:val="TableParagraph"/>
              <w:spacing w:line="220" w:lineRule="exact"/>
              <w:ind w:left="89" w:right="178"/>
              <w:rPr>
                <w:rFonts w:ascii="Courier New"/>
                <w:sz w:val="20"/>
              </w:rPr>
            </w:pPr>
            <w:r>
              <w:rPr>
                <w:rFonts w:ascii="Courier New"/>
                <w:sz w:val="20"/>
              </w:rPr>
              <w:t>BAX</w:t>
            </w:r>
          </w:p>
        </w:tc>
        <w:tc>
          <w:tcPr>
            <w:tcW w:w="1749" w:type="dxa"/>
            <w:tcBorders>
              <w:top w:val="nil"/>
              <w:left w:val="nil"/>
              <w:bottom w:val="nil"/>
              <w:right w:val="nil"/>
            </w:tcBorders>
          </w:tcPr>
          <w:p>
            <w:pPr>
              <w:pStyle w:val="TableParagraph"/>
              <w:spacing w:line="220" w:lineRule="exact"/>
              <w:ind w:left="180" w:right="208"/>
              <w:rPr>
                <w:rFonts w:ascii="Courier New"/>
                <w:sz w:val="20"/>
              </w:rPr>
            </w:pPr>
            <w:r>
              <w:rPr>
                <w:rFonts w:ascii="Courier New"/>
                <w:sz w:val="20"/>
              </w:rPr>
              <w:t>U49729</w:t>
            </w:r>
          </w:p>
        </w:tc>
        <w:tc>
          <w:tcPr>
            <w:tcW w:w="2799" w:type="dxa"/>
            <w:tcBorders>
              <w:top w:val="nil"/>
              <w:left w:val="nil"/>
              <w:bottom w:val="nil"/>
              <w:right w:val="nil"/>
            </w:tcBorders>
          </w:tcPr>
          <w:p>
            <w:pPr>
              <w:pStyle w:val="TableParagraph"/>
              <w:spacing w:line="220" w:lineRule="exact"/>
              <w:ind w:left="209" w:right="149"/>
              <w:rPr>
                <w:rFonts w:ascii="Courier New"/>
                <w:sz w:val="20"/>
              </w:rPr>
            </w:pPr>
            <w:r>
              <w:rPr>
                <w:rFonts w:ascii="Courier New"/>
                <w:sz w:val="20"/>
              </w:rPr>
              <w:t>GAACAGATCATGAAGACAGG</w:t>
            </w:r>
          </w:p>
        </w:tc>
        <w:tc>
          <w:tcPr>
            <w:tcW w:w="2708" w:type="dxa"/>
            <w:tcBorders>
              <w:top w:val="nil"/>
              <w:left w:val="nil"/>
              <w:bottom w:val="nil"/>
              <w:right w:val="nil"/>
            </w:tcBorders>
          </w:tcPr>
          <w:p>
            <w:pPr>
              <w:pStyle w:val="TableParagraph"/>
              <w:spacing w:line="220" w:lineRule="exact"/>
              <w:ind w:left="149" w:right="118"/>
              <w:rPr>
                <w:rFonts w:ascii="Courier New"/>
                <w:sz w:val="20"/>
              </w:rPr>
            </w:pPr>
            <w:r>
              <w:rPr>
                <w:rFonts w:ascii="Courier New"/>
                <w:sz w:val="20"/>
              </w:rPr>
              <w:t>GCAAAGTAGAAGAGGGCAAC</w:t>
            </w:r>
          </w:p>
        </w:tc>
        <w:tc>
          <w:tcPr>
            <w:tcW w:w="609" w:type="dxa"/>
            <w:tcBorders>
              <w:top w:val="nil"/>
              <w:left w:val="nil"/>
              <w:bottom w:val="nil"/>
              <w:right w:val="nil"/>
            </w:tcBorders>
          </w:tcPr>
          <w:p>
            <w:pPr>
              <w:pStyle w:val="TableParagraph"/>
              <w:spacing w:line="220" w:lineRule="exact"/>
              <w:ind w:left="117" w:right="90"/>
              <w:rPr>
                <w:rFonts w:ascii="Courier New"/>
                <w:sz w:val="20"/>
              </w:rPr>
            </w:pPr>
            <w:r>
              <w:rPr>
                <w:rFonts w:ascii="Courier New"/>
                <w:sz w:val="20"/>
              </w:rPr>
              <w:t>413</w:t>
            </w:r>
          </w:p>
        </w:tc>
      </w:tr>
      <w:tr>
        <w:trPr>
          <w:trHeight w:val="214" w:hRule="exact"/>
        </w:trPr>
        <w:tc>
          <w:tcPr>
            <w:tcW w:w="907" w:type="dxa"/>
            <w:tcBorders>
              <w:top w:val="nil"/>
              <w:left w:val="nil"/>
              <w:bottom w:val="nil"/>
              <w:right w:val="nil"/>
            </w:tcBorders>
          </w:tcPr>
          <w:p>
            <w:pPr>
              <w:pStyle w:val="TableParagraph"/>
              <w:spacing w:line="221" w:lineRule="exact"/>
              <w:ind w:left="89" w:right="178"/>
              <w:rPr>
                <w:rFonts w:ascii="Courier New"/>
                <w:sz w:val="20"/>
              </w:rPr>
            </w:pPr>
            <w:r>
              <w:rPr>
                <w:rFonts w:ascii="Courier New"/>
                <w:sz w:val="20"/>
              </w:rPr>
              <w:t>BCL-2</w:t>
            </w:r>
          </w:p>
        </w:tc>
        <w:tc>
          <w:tcPr>
            <w:tcW w:w="1749" w:type="dxa"/>
            <w:tcBorders>
              <w:top w:val="nil"/>
              <w:left w:val="nil"/>
              <w:bottom w:val="nil"/>
              <w:right w:val="nil"/>
            </w:tcBorders>
          </w:tcPr>
          <w:p>
            <w:pPr>
              <w:pStyle w:val="TableParagraph"/>
              <w:spacing w:line="221" w:lineRule="exact"/>
              <w:ind w:left="180" w:right="208"/>
              <w:rPr>
                <w:rFonts w:ascii="Courier New"/>
                <w:sz w:val="20"/>
              </w:rPr>
            </w:pPr>
            <w:r>
              <w:rPr>
                <w:rFonts w:ascii="Courier New"/>
                <w:sz w:val="20"/>
              </w:rPr>
              <w:t>L14680</w:t>
            </w:r>
          </w:p>
        </w:tc>
        <w:tc>
          <w:tcPr>
            <w:tcW w:w="2799" w:type="dxa"/>
            <w:tcBorders>
              <w:top w:val="nil"/>
              <w:left w:val="nil"/>
              <w:bottom w:val="nil"/>
              <w:right w:val="nil"/>
            </w:tcBorders>
          </w:tcPr>
          <w:p>
            <w:pPr>
              <w:pStyle w:val="TableParagraph"/>
              <w:spacing w:line="221" w:lineRule="exact"/>
              <w:ind w:left="209" w:right="149"/>
              <w:rPr>
                <w:rFonts w:ascii="Courier New"/>
                <w:sz w:val="20"/>
              </w:rPr>
            </w:pPr>
            <w:r>
              <w:rPr>
                <w:rFonts w:ascii="Courier New"/>
                <w:sz w:val="20"/>
              </w:rPr>
              <w:t>ATGCCGGTTCAGGTACTCAG</w:t>
            </w:r>
          </w:p>
        </w:tc>
        <w:tc>
          <w:tcPr>
            <w:tcW w:w="2708" w:type="dxa"/>
            <w:tcBorders>
              <w:top w:val="nil"/>
              <w:left w:val="nil"/>
              <w:bottom w:val="nil"/>
              <w:right w:val="nil"/>
            </w:tcBorders>
          </w:tcPr>
          <w:p>
            <w:pPr>
              <w:pStyle w:val="TableParagraph"/>
              <w:spacing w:line="221" w:lineRule="exact"/>
              <w:ind w:left="149" w:right="118"/>
              <w:rPr>
                <w:rFonts w:ascii="Courier New"/>
                <w:sz w:val="20"/>
              </w:rPr>
            </w:pPr>
            <w:r>
              <w:rPr>
                <w:rFonts w:ascii="Courier New"/>
                <w:sz w:val="20"/>
              </w:rPr>
              <w:t>CGACTTTGCAGAGATGTCCA</w:t>
            </w:r>
          </w:p>
        </w:tc>
        <w:tc>
          <w:tcPr>
            <w:tcW w:w="609" w:type="dxa"/>
            <w:tcBorders>
              <w:top w:val="nil"/>
              <w:left w:val="nil"/>
              <w:bottom w:val="nil"/>
              <w:right w:val="nil"/>
            </w:tcBorders>
          </w:tcPr>
          <w:p>
            <w:pPr>
              <w:pStyle w:val="TableParagraph"/>
              <w:spacing w:line="221" w:lineRule="exact"/>
              <w:ind w:left="117" w:right="90"/>
              <w:rPr>
                <w:rFonts w:ascii="Courier New"/>
                <w:sz w:val="20"/>
              </w:rPr>
            </w:pPr>
            <w:r>
              <w:rPr>
                <w:rFonts w:ascii="Courier New"/>
                <w:sz w:val="20"/>
              </w:rPr>
              <w:t>222</w:t>
            </w:r>
          </w:p>
        </w:tc>
      </w:tr>
    </w:tbl>
    <w:p>
      <w:pPr>
        <w:tabs>
          <w:tab w:pos="1083" w:val="left" w:leader="none"/>
          <w:tab w:pos="2982" w:val="left" w:leader="none"/>
          <w:tab w:pos="5720" w:val="left" w:leader="none"/>
          <w:tab w:pos="8457" w:val="left" w:leader="none"/>
        </w:tabs>
        <w:spacing w:before="6"/>
        <w:ind w:left="142" w:right="0" w:firstLine="0"/>
        <w:jc w:val="left"/>
        <w:rPr>
          <w:rFonts w:ascii="Courier New"/>
          <w:sz w:val="20"/>
        </w:rPr>
      </w:pPr>
      <w:r>
        <w:rPr>
          <w:rFonts w:ascii="Courier New"/>
          <w:w w:val="99"/>
          <w:sz w:val="20"/>
          <w:u w:val="single"/>
        </w:rPr>
        <w:t> </w:t>
      </w:r>
      <w:r>
        <w:rPr>
          <w:rFonts w:ascii="Courier New"/>
          <w:spacing w:val="2"/>
          <w:sz w:val="20"/>
          <w:u w:val="single"/>
        </w:rPr>
        <w:t> </w:t>
      </w:r>
      <w:r>
        <w:rPr>
          <w:rFonts w:ascii="Courier New"/>
          <w:sz w:val="20"/>
          <w:u w:val="single"/>
        </w:rPr>
        <w:t>CYC</w:t>
        <w:tab/>
        <w:t>XM_002729447.1</w:t>
        <w:tab/>
        <w:t>CCCCACCGTGTTCTTCGACAT</w:t>
        <w:tab/>
        <w:t>GCTGGTCTTGCCATTCCTGGA</w:t>
        <w:tab/>
        <w:t>451</w:t>
      </w:r>
    </w:p>
    <w:p>
      <w:pPr>
        <w:pStyle w:val="BodyText"/>
        <w:rPr>
          <w:rFonts w:ascii="Courier New"/>
          <w:sz w:val="20"/>
        </w:rPr>
      </w:pPr>
    </w:p>
    <w:p>
      <w:pPr>
        <w:pStyle w:val="BodyText"/>
        <w:rPr>
          <w:rFonts w:ascii="Courier New"/>
          <w:sz w:val="20"/>
        </w:rPr>
      </w:pPr>
    </w:p>
    <w:p>
      <w:pPr>
        <w:pStyle w:val="BodyText"/>
        <w:spacing w:before="3"/>
        <w:rPr>
          <w:rFonts w:ascii="Courier New"/>
          <w:sz w:val="28"/>
        </w:rPr>
      </w:pPr>
    </w:p>
    <w:p>
      <w:pPr>
        <w:pStyle w:val="Heading2"/>
        <w:numPr>
          <w:ilvl w:val="1"/>
          <w:numId w:val="5"/>
        </w:numPr>
        <w:tabs>
          <w:tab w:pos="777" w:val="left" w:leader="none"/>
        </w:tabs>
        <w:spacing w:line="360" w:lineRule="auto" w:before="69" w:after="0"/>
        <w:ind w:left="265" w:right="215" w:firstLine="0"/>
        <w:jc w:val="left"/>
      </w:pPr>
      <w:r>
        <w:rPr/>
        <w:t>Reacción en Cadena de la Polimerasa (PCR, Polymerase Chain Reaction)</w:t>
      </w:r>
    </w:p>
    <w:p>
      <w:pPr>
        <w:pStyle w:val="BodyText"/>
        <w:rPr>
          <w:b/>
        </w:rPr>
      </w:pPr>
    </w:p>
    <w:p>
      <w:pPr>
        <w:pStyle w:val="BodyText"/>
        <w:spacing w:line="360" w:lineRule="auto" w:before="142"/>
        <w:ind w:left="265" w:right="213" w:firstLine="427"/>
        <w:jc w:val="both"/>
      </w:pPr>
      <w:r>
        <w:rPr/>
        <w:t>El ADNc se cuantificó y se llevó a una concentración final de 100ng por reacción, y tener las mismas concentraciones en todas las reacciones. Se utilizaron Taq Platinum y dNTPs de Invitrogen®, se realizaron reacciones para cada iniciador. Las condiciones de la PCR utilizadas fueron las siguientes:</w:t>
      </w:r>
    </w:p>
    <w:p>
      <w:pPr>
        <w:spacing w:after="0" w:line="360" w:lineRule="auto"/>
        <w:jc w:val="both"/>
        <w:sectPr>
          <w:pgSz w:w="12240" w:h="15840"/>
          <w:pgMar w:header="0" w:footer="1682" w:top="1360" w:bottom="1880" w:left="1720" w:right="1480"/>
        </w:sectPr>
      </w:pPr>
    </w:p>
    <w:p>
      <w:pPr>
        <w:pStyle w:val="BodyText"/>
        <w:spacing w:line="360" w:lineRule="auto" w:before="57"/>
        <w:ind w:left="265" w:right="114" w:firstLine="427"/>
        <w:jc w:val="both"/>
      </w:pPr>
      <w:r>
        <w:rPr/>
        <w:t>Desnaturalización inicial fue a 95° C por 5 minutos seguido por ciclaje, cada ciclo de 30 segundos de desnaturalización a 94° C, las temperaturas de alineación fueron a 55° C para 3ßHSD, ABP, BAX, BCL-2 y CREMΔ, y a 58° C para CYC y AR, la extensión fue a 72° C, por 30 ciclos y una extensión final a 72° C por 2 minutos.</w:t>
      </w:r>
    </w:p>
    <w:p>
      <w:pPr>
        <w:pStyle w:val="BodyText"/>
        <w:spacing w:line="360" w:lineRule="auto" w:before="2"/>
        <w:ind w:left="265" w:right="113" w:firstLine="427"/>
        <w:jc w:val="both"/>
      </w:pPr>
      <w:r>
        <w:rPr/>
        <w:t>Los productos de la PCR se cargaron en geles de agarosa al 1.5 % en TAE (Tris base, ácido acético glacial y EDTA) al 0.5X como buffer de corrimiento, los pesos moleculares de las bandas obtenidas se midieron con el marcador de peso molecular TrackIt 50bp DNA Ladder (Invitrogen®). Los geles se dejaron correr durante 46 minutos a 70 voltios, se tiñeron con Bromuro de Etidio por 10 minutos, se les dio un lavado con agua destilada para quitar el exceso de Bromuro de Etidio y se visualizaron con un transiluminador de luz ultravioleta a 302 nm (UVP®), las imágenes se capturaron utilizando una exposición a 100 segundos en un fotodocumentador (MultiDoc-it Digital Imagen System, UVP®), las imágenes digitales se guardaron en formato .tiff en escala de grises para su análisis digital. La intensidad de las bandas de las imágenes digitales se cuantificaron con el software ImageJ 1.46a, los datos se expresan como el valor total de los pixeles, con base en la intensidad y al número de pixeles de cada banda de la imagen del gel. Para tener un punto de comparación se utilizó el gen de la ciclofilina como control endógeno de expresión. Los valores numéricos se expresaron como el cociente del valor total de los pixeles de la banda de interés con respecto al valor total de los pixeles de la banda de ciclofilina.</w:t>
      </w:r>
    </w:p>
    <w:p>
      <w:pPr>
        <w:pStyle w:val="BodyText"/>
      </w:pPr>
    </w:p>
    <w:p>
      <w:pPr>
        <w:pStyle w:val="Heading2"/>
        <w:numPr>
          <w:ilvl w:val="1"/>
          <w:numId w:val="5"/>
        </w:numPr>
        <w:tabs>
          <w:tab w:pos="669" w:val="left" w:leader="none"/>
        </w:tabs>
        <w:spacing w:line="240" w:lineRule="auto" w:before="139" w:after="0"/>
        <w:ind w:left="668" w:right="0" w:hanging="403"/>
        <w:jc w:val="left"/>
      </w:pPr>
      <w:r>
        <w:rPr/>
        <w:t>Secuenciación</w:t>
      </w:r>
    </w:p>
    <w:p>
      <w:pPr>
        <w:pStyle w:val="BodyText"/>
        <w:rPr>
          <w:b/>
        </w:rPr>
      </w:pPr>
    </w:p>
    <w:p>
      <w:pPr>
        <w:pStyle w:val="BodyText"/>
        <w:rPr>
          <w:b/>
        </w:rPr>
      </w:pPr>
    </w:p>
    <w:p>
      <w:pPr>
        <w:pStyle w:val="BodyText"/>
        <w:spacing w:line="360" w:lineRule="auto"/>
        <w:ind w:left="265" w:right="120" w:firstLine="427"/>
        <w:jc w:val="both"/>
      </w:pPr>
      <w:r>
        <w:rPr/>
        <w:t>Todos los fragmentos amplificados por PCR, se confirmaron mediante secuenciación, se diluyeron directamente las alícuotas del producto de PCR y se pasaron directamente a la secuenciación automática, para la PCR se emplearon concentraciones bajas de dNTPs (100 μM) y 0.2 μM de primers.  </w:t>
      </w:r>
      <w:r>
        <w:rPr>
          <w:spacing w:val="42"/>
        </w:rPr>
        <w:t> </w:t>
      </w:r>
      <w:r>
        <w:rPr/>
        <w:t>La</w:t>
      </w:r>
    </w:p>
    <w:p>
      <w:pPr>
        <w:spacing w:after="0" w:line="360" w:lineRule="auto"/>
        <w:jc w:val="both"/>
        <w:sectPr>
          <w:pgSz w:w="12240" w:h="15840"/>
          <w:pgMar w:header="0" w:footer="1682" w:top="1360" w:bottom="1880" w:left="1720" w:right="1580"/>
        </w:sectPr>
      </w:pPr>
    </w:p>
    <w:p>
      <w:pPr>
        <w:pStyle w:val="BodyText"/>
        <w:tabs>
          <w:tab w:pos="1188" w:val="left" w:leader="none"/>
          <w:tab w:pos="2279" w:val="left" w:leader="none"/>
          <w:tab w:pos="3468" w:val="left" w:leader="none"/>
          <w:tab w:pos="5094" w:val="left" w:leader="none"/>
          <w:tab w:pos="7599" w:val="left" w:leader="none"/>
          <w:tab w:pos="8040" w:val="left" w:leader="none"/>
        </w:tabs>
        <w:spacing w:line="360" w:lineRule="auto" w:before="57"/>
        <w:ind w:left="265" w:right="187"/>
      </w:pPr>
      <w:r>
        <w:rPr/>
        <w:t>lectura</w:t>
        <w:tab/>
        <w:t>se </w:t>
      </w:r>
      <w:r>
        <w:rPr>
          <w:spacing w:val="62"/>
        </w:rPr>
        <w:t> </w:t>
      </w:r>
      <w:r>
        <w:rPr/>
        <w:t>hizo</w:t>
        <w:tab/>
        <w:t>mediante</w:t>
        <w:tab/>
        <w:t>electroforesis</w:t>
        <w:tab/>
        <w:t>capilar </w:t>
      </w:r>
      <w:r>
        <w:rPr>
          <w:spacing w:val="61"/>
        </w:rPr>
        <w:t> </w:t>
      </w:r>
      <w:r>
        <w:rPr/>
        <w:t>utilizando </w:t>
      </w:r>
      <w:r>
        <w:rPr>
          <w:spacing w:val="62"/>
        </w:rPr>
        <w:t> </w:t>
      </w:r>
      <w:r>
        <w:rPr/>
        <w:t>el</w:t>
        <w:tab/>
        <w:t>kit</w:t>
        <w:tab/>
      </w:r>
      <w:r>
        <w:rPr>
          <w:spacing w:val="-1"/>
        </w:rPr>
        <w:t>BigDye </w:t>
      </w:r>
      <w:r>
        <w:rPr/>
        <w:t>Terminator v3.1 de Applied Biosystems</w:t>
      </w:r>
      <w:r>
        <w:rPr>
          <w:spacing w:val="-14"/>
        </w:rPr>
        <w:t> </w:t>
      </w:r>
      <w:r>
        <w:rPr/>
        <w:t>®.</w:t>
      </w:r>
    </w:p>
    <w:p>
      <w:pPr>
        <w:pStyle w:val="BodyText"/>
      </w:pPr>
    </w:p>
    <w:p>
      <w:pPr>
        <w:pStyle w:val="Heading2"/>
        <w:numPr>
          <w:ilvl w:val="1"/>
          <w:numId w:val="5"/>
        </w:numPr>
        <w:tabs>
          <w:tab w:pos="683" w:val="left" w:leader="none"/>
        </w:tabs>
        <w:spacing w:line="360" w:lineRule="auto" w:before="142" w:after="0"/>
        <w:ind w:left="265" w:right="177" w:firstLine="0"/>
        <w:jc w:val="left"/>
      </w:pPr>
      <w:r>
        <w:rPr/>
        <w:t>Cromatografía liquida de alta presión (HPLC, High Performance Liquid Chromatography)</w:t>
      </w:r>
    </w:p>
    <w:p>
      <w:pPr>
        <w:pStyle w:val="BodyText"/>
        <w:rPr>
          <w:b/>
        </w:rPr>
      </w:pPr>
    </w:p>
    <w:p>
      <w:pPr>
        <w:pStyle w:val="BodyText"/>
        <w:spacing w:line="360" w:lineRule="auto" w:before="142"/>
        <w:ind w:left="265" w:right="108" w:firstLine="427"/>
        <w:jc w:val="both"/>
      </w:pPr>
      <w:r>
        <w:rPr/>
        <w:t>Después de la decapitación, se removió el cerebro rápidamente y posteriormente se separó el hipotálamo anterior y medio (el hipotálamo anterior más el núcleo pre-óptico lateral y medio, supraquiasmatico, paraventricular, periventricular y el área terminal pre-óptica, y el hipotálamo medio más la eminencia media y el núcleo arcuato). Ambas regiones del hipotálamo se conservaron a -70° C hasta obtener las concentraciones de serotonina y 5-HIAA, las concentraciones se midieron por HPLC.</w:t>
      </w:r>
    </w:p>
    <w:p>
      <w:pPr>
        <w:pStyle w:val="BodyText"/>
        <w:spacing w:line="360" w:lineRule="auto" w:before="2"/>
        <w:ind w:left="265" w:right="174" w:firstLine="427"/>
        <w:jc w:val="both"/>
      </w:pPr>
      <w:r>
        <w:rPr/>
        <w:t>Las muestras del hipotálamo se pesaron en una balanza analítica, </w:t>
      </w:r>
      <w:r>
        <w:rPr>
          <w:spacing w:val="-3"/>
        </w:rPr>
        <w:t>se </w:t>
      </w:r>
      <w:r>
        <w:rPr/>
        <w:t>homogenizaron en 300 ml de 0.1 M de ácido perclórico y se centrifugaron a 12000 g a 4° C por 30 minutos. El sobrenadante se filtró con un filtro de  celulosa de 0.2 mm; 20 ml del extracto se inyectaron en una columna cromatográfica mediante una válvula Rheodyne. Se calibro por medio de </w:t>
      </w:r>
      <w:r>
        <w:rPr>
          <w:spacing w:val="-2"/>
        </w:rPr>
        <w:t>una </w:t>
      </w:r>
      <w:r>
        <w:rPr/>
        <w:t>curva estándar con un rango de 0.1-2 ng/ml. La serotonina y 5-HIAA se identificaron por los tiempos de retención relativa comparados con el estándar. Los resultados se expresaron en nanogramos de neurotransmisor por miligramos de tejido, se estimó como fue descrito por Kerdelhue </w:t>
      </w:r>
      <w:r>
        <w:rPr>
          <w:i/>
        </w:rPr>
        <w:t>et al</w:t>
      </w:r>
      <w:r>
        <w:rPr/>
        <w:t>,</w:t>
      </w:r>
      <w:r>
        <w:rPr>
          <w:spacing w:val="-23"/>
        </w:rPr>
        <w:t> </w:t>
      </w:r>
      <w:r>
        <w:rPr/>
        <w:t>(1989).</w:t>
      </w:r>
    </w:p>
    <w:p>
      <w:pPr>
        <w:pStyle w:val="BodyText"/>
      </w:pPr>
    </w:p>
    <w:p>
      <w:pPr>
        <w:pStyle w:val="BodyText"/>
      </w:pPr>
    </w:p>
    <w:p>
      <w:pPr>
        <w:pStyle w:val="BodyText"/>
        <w:spacing w:before="5"/>
      </w:pPr>
    </w:p>
    <w:p>
      <w:pPr>
        <w:pStyle w:val="Heading2"/>
        <w:numPr>
          <w:ilvl w:val="1"/>
          <w:numId w:val="5"/>
        </w:numPr>
        <w:tabs>
          <w:tab w:pos="669" w:val="left" w:leader="none"/>
        </w:tabs>
        <w:spacing w:line="240" w:lineRule="auto" w:before="0" w:after="0"/>
        <w:ind w:left="668" w:right="0" w:hanging="403"/>
        <w:jc w:val="left"/>
      </w:pPr>
      <w:r>
        <w:rPr/>
        <w:t>Radioinmunoanálisis (RIA,</w:t>
      </w:r>
      <w:r>
        <w:rPr>
          <w:spacing w:val="-15"/>
        </w:rPr>
        <w:t> </w:t>
      </w:r>
      <w:r>
        <w:rPr/>
        <w:t>Radioimmunoassay)</w:t>
      </w:r>
    </w:p>
    <w:p>
      <w:pPr>
        <w:pStyle w:val="BodyText"/>
        <w:rPr>
          <w:b/>
        </w:rPr>
      </w:pPr>
    </w:p>
    <w:p>
      <w:pPr>
        <w:pStyle w:val="BodyText"/>
        <w:rPr>
          <w:b/>
        </w:rPr>
      </w:pPr>
    </w:p>
    <w:p>
      <w:pPr>
        <w:pStyle w:val="BodyText"/>
        <w:spacing w:line="360" w:lineRule="auto"/>
        <w:ind w:left="265" w:right="173" w:firstLine="427"/>
        <w:jc w:val="both"/>
      </w:pPr>
      <w:r>
        <w:rPr/>
        <w:t>Se recuperó la sangre de cada animal, se esperó hasta la retracción del coagulo a temperatura ambiente y se centrifugó a 1000 g por 15 minutos. El suero fue separado y se conservó a -20° C hasta la obtención de las concentraciones  de  las  hormonas.  Las  concentraciones  de  FSH  y  LH    se</w:t>
      </w:r>
    </w:p>
    <w:p>
      <w:pPr>
        <w:spacing w:after="0" w:line="360" w:lineRule="auto"/>
        <w:jc w:val="both"/>
        <w:sectPr>
          <w:pgSz w:w="12240" w:h="15840"/>
          <w:pgMar w:header="0" w:footer="1682" w:top="1360" w:bottom="1880" w:left="1720" w:right="1520"/>
        </w:sectPr>
      </w:pPr>
    </w:p>
    <w:p>
      <w:pPr>
        <w:pStyle w:val="BodyText"/>
        <w:spacing w:line="360" w:lineRule="auto" w:before="57"/>
        <w:ind w:left="265" w:right="114"/>
        <w:jc w:val="both"/>
      </w:pPr>
      <w:r>
        <w:rPr/>
        <w:t>midieron mediante RIA, usando la técnica de doble anticuerpo, con reactivos y protocolos proporcionados por el National Hormone and Pituitary Program (Baltimore, MD, USA). Los resultados se expresaron en ng/ml. Las concentraciones séricas de progesterona, testosterona y 17b-estradiol fueron medidas por RIA, con kits de Diagnostic Products (Los Angeles, CA, USA). Las concentraciones hormonales se expresaron para progesterona y testosterona  en ng/ml y para 17b-estradiol en</w:t>
      </w:r>
      <w:r>
        <w:rPr>
          <w:spacing w:val="-10"/>
        </w:rPr>
        <w:t> </w:t>
      </w:r>
      <w:r>
        <w:rPr/>
        <w:t>pg/ml.</w:t>
      </w:r>
    </w:p>
    <w:p>
      <w:pPr>
        <w:pStyle w:val="BodyText"/>
      </w:pPr>
    </w:p>
    <w:p>
      <w:pPr>
        <w:pStyle w:val="Heading2"/>
        <w:numPr>
          <w:ilvl w:val="1"/>
          <w:numId w:val="5"/>
        </w:numPr>
        <w:tabs>
          <w:tab w:pos="801" w:val="left" w:leader="none"/>
        </w:tabs>
        <w:spacing w:line="240" w:lineRule="auto" w:before="142" w:after="0"/>
        <w:ind w:left="800" w:right="0" w:hanging="535"/>
        <w:jc w:val="both"/>
      </w:pPr>
      <w:r>
        <w:rPr/>
        <w:t>Estadística</w:t>
      </w:r>
    </w:p>
    <w:p>
      <w:pPr>
        <w:pStyle w:val="BodyText"/>
        <w:rPr>
          <w:b/>
        </w:rPr>
      </w:pPr>
    </w:p>
    <w:p>
      <w:pPr>
        <w:pStyle w:val="BodyText"/>
        <w:rPr>
          <w:b/>
        </w:rPr>
      </w:pPr>
    </w:p>
    <w:p>
      <w:pPr>
        <w:pStyle w:val="BodyText"/>
        <w:spacing w:line="360" w:lineRule="auto"/>
        <w:ind w:left="265" w:right="114" w:firstLine="427"/>
        <w:jc w:val="both"/>
      </w:pPr>
      <w:r>
        <w:rPr/>
        <w:t>La expresión de los genes de cada tratamiento y su susceptibilidad </w:t>
      </w:r>
      <w:r>
        <w:rPr>
          <w:spacing w:val="-3"/>
        </w:rPr>
        <w:t>se </w:t>
      </w:r>
      <w:r>
        <w:rPr/>
        <w:t>analizaron mediante un modelo de análisis de varianza de dos vías con medidas repetidas, considerando como el primer factor al tratamiento (pCA, Vh y CA) y como segundo factor a la susceptibilidad por apoptosis. Las medidas repetidas se consideraron para la expresión de los genes a los 30 días de edad de los animales y a los 45 días de edad. Las concentraciones de serotonina, 5- HIAA, progesterona, testosterona, estradiol, LH y FSH se analizaron con un análisis de varianza de dos vías utilizando los mismos factores (tratamiento y susceptibilidad), para los animales de 45 días de edad. P&lt;0.05 se consideró significativo.</w:t>
      </w:r>
    </w:p>
    <w:p>
      <w:pPr>
        <w:pStyle w:val="BodyText"/>
      </w:pPr>
    </w:p>
    <w:p>
      <w:pPr>
        <w:pStyle w:val="BodyText"/>
        <w:spacing w:line="360" w:lineRule="auto" w:before="142"/>
        <w:ind w:left="265" w:right="115" w:firstLine="427"/>
        <w:jc w:val="both"/>
      </w:pPr>
      <w:r>
        <w:rPr/>
        <w:t>Se utilizó el siguiente modelo para la evaluación de la expresión de los genes:</w:t>
      </w:r>
    </w:p>
    <w:p>
      <w:pPr>
        <w:pStyle w:val="BodyText"/>
        <w:spacing w:before="2"/>
        <w:rPr>
          <w:sz w:val="35"/>
        </w:rPr>
      </w:pPr>
    </w:p>
    <w:p>
      <w:pPr>
        <w:spacing w:before="0"/>
        <w:ind w:left="2697" w:right="36" w:firstLine="0"/>
        <w:jc w:val="left"/>
        <w:rPr>
          <w:rFonts w:ascii="Cambria Math"/>
          <w:sz w:val="17"/>
        </w:rPr>
      </w:pPr>
      <w:r>
        <w:rPr>
          <w:rFonts w:ascii="Cambria Math"/>
          <w:w w:val="273"/>
          <w:sz w:val="24"/>
        </w:rPr>
        <w:t> </w:t>
      </w:r>
      <w:r>
        <w:rPr>
          <w:rFonts w:ascii="Cambria Math"/>
          <w:w w:val="186"/>
          <w:position w:val="-4"/>
          <w:sz w:val="17"/>
        </w:rPr>
        <w:t>  </w:t>
      </w:r>
      <w:r>
        <w:rPr>
          <w:rFonts w:ascii="Cambria Math"/>
          <w:w w:val="218"/>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48"/>
          <w:sz w:val="24"/>
        </w:rPr>
        <w:t> </w:t>
      </w:r>
      <w:r>
        <w:rPr>
          <w:rFonts w:ascii="Cambria Math"/>
          <w:sz w:val="24"/>
        </w:rPr>
        <w:t> </w:t>
      </w:r>
      <w:r>
        <w:rPr>
          <w:rFonts w:ascii="Cambria Math"/>
          <w:w w:val="339"/>
          <w:sz w:val="24"/>
        </w:rPr>
        <w:t> </w:t>
      </w:r>
      <w:r>
        <w:rPr>
          <w:rFonts w:ascii="Cambria Math"/>
          <w:sz w:val="24"/>
        </w:rPr>
        <w:t> </w:t>
      </w:r>
      <w:r>
        <w:rPr>
          <w:rFonts w:ascii="Cambria Math"/>
          <w:w w:val="272"/>
          <w:sz w:val="24"/>
        </w:rPr>
        <w:t> </w:t>
      </w:r>
      <w:r>
        <w:rPr>
          <w:rFonts w:ascii="Cambria Math"/>
          <w:w w:val="159"/>
          <w:position w:val="-4"/>
          <w:sz w:val="17"/>
        </w:rPr>
        <w:t> </w:t>
      </w:r>
      <w:r>
        <w:rPr>
          <w:rFonts w:ascii="Cambria Math"/>
          <w:w w:val="339"/>
          <w:sz w:val="24"/>
        </w:rPr>
        <w:t> </w:t>
      </w:r>
      <w:r>
        <w:rPr>
          <w:rFonts w:ascii="Cambria Math"/>
          <w:w w:val="275"/>
          <w:sz w:val="24"/>
        </w:rPr>
        <w:t> </w:t>
      </w:r>
      <w:r>
        <w:rPr>
          <w:rFonts w:ascii="Cambria Math"/>
          <w:w w:val="213"/>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position w:val="1"/>
          <w:sz w:val="24"/>
        </w:rPr>
        <w:t>(     )</w:t>
      </w:r>
      <w:r>
        <w:rPr>
          <w:rFonts w:ascii="Cambria Math"/>
          <w:w w:val="186"/>
          <w:position w:val="-4"/>
          <w:sz w:val="17"/>
        </w:rPr>
        <w:t>  </w:t>
      </w:r>
      <w:r>
        <w:rPr>
          <w:rFonts w:ascii="Cambria Math"/>
          <w:w w:val="339"/>
          <w:sz w:val="24"/>
        </w:rPr>
        <w:t> </w:t>
      </w:r>
      <w:r>
        <w:rPr>
          <w:rFonts w:ascii="Cambria Math"/>
          <w:w w:val="281"/>
          <w:sz w:val="24"/>
        </w:rPr>
        <w:t> </w:t>
      </w:r>
      <w:r>
        <w:rPr>
          <w:rFonts w:ascii="Cambria Math"/>
          <w:w w:val="160"/>
          <w:position w:val="-4"/>
          <w:sz w:val="17"/>
        </w:rPr>
        <w:t> </w:t>
      </w:r>
      <w:r>
        <w:rPr>
          <w:rFonts w:ascii="Cambria Math"/>
          <w:w w:val="339"/>
          <w:sz w:val="24"/>
        </w:rPr>
        <w:t> </w:t>
      </w:r>
      <w:r>
        <w:rPr>
          <w:rFonts w:ascii="Cambria Math"/>
          <w:w w:val="206"/>
          <w:sz w:val="24"/>
        </w:rPr>
        <w:t> </w:t>
      </w:r>
      <w:r>
        <w:rPr>
          <w:rFonts w:ascii="Cambria Math"/>
          <w:w w:val="186"/>
          <w:position w:val="-4"/>
          <w:sz w:val="17"/>
        </w:rPr>
        <w:t>  </w:t>
      </w:r>
      <w:r>
        <w:rPr>
          <w:rFonts w:ascii="Cambria Math"/>
          <w:w w:val="218"/>
          <w:position w:val="-4"/>
          <w:sz w:val="17"/>
        </w:rPr>
        <w:t>  </w:t>
      </w:r>
    </w:p>
    <w:p>
      <w:pPr>
        <w:pStyle w:val="BodyText"/>
        <w:spacing w:before="7"/>
        <w:rPr>
          <w:rFonts w:ascii="Cambria Math"/>
          <w:sz w:val="32"/>
        </w:rPr>
      </w:pPr>
    </w:p>
    <w:p>
      <w:pPr>
        <w:pStyle w:val="BodyText"/>
        <w:ind w:left="265"/>
        <w:jc w:val="both"/>
      </w:pPr>
      <w:r>
        <w:rPr/>
        <w:t>Dónde:</w:t>
      </w:r>
    </w:p>
    <w:p>
      <w:pPr>
        <w:pStyle w:val="BodyText"/>
        <w:spacing w:before="4"/>
        <w:rPr>
          <w:sz w:val="29"/>
        </w:rPr>
      </w:pPr>
    </w:p>
    <w:p>
      <w:pPr>
        <w:pStyle w:val="BodyText"/>
        <w:spacing w:before="1"/>
        <w:ind w:left="548" w:right="36"/>
      </w:pPr>
      <w:r>
        <w:rPr>
          <w:rFonts w:ascii="Cambria Math" w:hAnsi="Cambria Math"/>
          <w:w w:val="273"/>
        </w:rPr>
        <w:t> </w:t>
      </w:r>
      <w:r>
        <w:rPr>
          <w:rFonts w:ascii="Cambria Math" w:hAnsi="Cambria Math"/>
          <w:w w:val="186"/>
          <w:position w:val="-4"/>
          <w:sz w:val="17"/>
        </w:rPr>
        <w:t>  </w:t>
      </w:r>
      <w:r>
        <w:rPr>
          <w:rFonts w:ascii="Cambria Math" w:hAnsi="Cambria Math"/>
          <w:w w:val="218"/>
          <w:position w:val="-4"/>
          <w:sz w:val="17"/>
        </w:rPr>
        <w:t>  </w:t>
      </w:r>
      <w:r>
        <w:rPr>
          <w:rFonts w:ascii="Cambria Math" w:hAnsi="Cambria Math"/>
          <w:position w:val="-4"/>
          <w:sz w:val="17"/>
        </w:rPr>
        <w:t>  </w:t>
      </w:r>
      <w:r>
        <w:rPr/>
        <w:t>es la </w:t>
      </w:r>
      <w:r>
        <w:rPr>
          <w:i/>
        </w:rPr>
        <w:t>k</w:t>
      </w:r>
      <w:r>
        <w:rPr/>
        <w:t>-ésima observación de respuesta para el tratamiento</w:t>
      </w:r>
    </w:p>
    <w:p>
      <w:pPr>
        <w:pStyle w:val="BodyText"/>
        <w:spacing w:before="4"/>
      </w:pPr>
    </w:p>
    <w:p>
      <w:pPr>
        <w:pStyle w:val="BodyText"/>
        <w:spacing w:before="1"/>
        <w:ind w:left="548" w:right="36"/>
      </w:pPr>
      <w:r>
        <w:rPr>
          <w:rFonts w:ascii="Cambria Math"/>
          <w:w w:val="248"/>
        </w:rPr>
        <w:t> </w:t>
      </w:r>
      <w:r>
        <w:rPr>
          <w:rFonts w:ascii="Cambria Math"/>
        </w:rPr>
        <w:t> </w:t>
      </w:r>
      <w:r>
        <w:rPr/>
        <w:t>es la medida total</w:t>
      </w:r>
    </w:p>
    <w:p>
      <w:pPr>
        <w:spacing w:after="0"/>
        <w:sectPr>
          <w:pgSz w:w="12240" w:h="15840"/>
          <w:pgMar w:header="0" w:footer="1682" w:top="1360" w:bottom="1880" w:left="1720" w:right="1580"/>
        </w:sectPr>
      </w:pPr>
    </w:p>
    <w:p>
      <w:pPr>
        <w:pStyle w:val="BodyText"/>
        <w:spacing w:before="59"/>
        <w:ind w:left="548"/>
      </w:pPr>
      <w:r>
        <w:rPr>
          <w:rFonts w:ascii="Cambria Math" w:hAnsi="Cambria Math"/>
          <w:w w:val="272"/>
        </w:rPr>
        <w:t> </w:t>
      </w:r>
      <w:r>
        <w:rPr>
          <w:rFonts w:ascii="Cambria Math" w:hAnsi="Cambria Math"/>
          <w:w w:val="159"/>
          <w:position w:val="-4"/>
          <w:sz w:val="17"/>
        </w:rPr>
        <w:t> </w:t>
      </w:r>
      <w:r>
        <w:rPr>
          <w:rFonts w:ascii="Cambria Math" w:hAnsi="Cambria Math"/>
          <w:position w:val="-4"/>
          <w:sz w:val="17"/>
        </w:rPr>
        <w:t>  </w:t>
      </w:r>
      <w:r>
        <w:rPr/>
        <w:t>es el efecto principal causado por el </w:t>
      </w:r>
      <w:r>
        <w:rPr>
          <w:i/>
        </w:rPr>
        <w:t>i</w:t>
      </w:r>
      <w:r>
        <w:rPr/>
        <w:t>-ésimo nivel del tratamiento</w:t>
      </w:r>
    </w:p>
    <w:p>
      <w:pPr>
        <w:pStyle w:val="BodyText"/>
        <w:spacing w:before="5"/>
        <w:rPr>
          <w:sz w:val="21"/>
        </w:rPr>
      </w:pPr>
    </w:p>
    <w:p>
      <w:pPr>
        <w:pStyle w:val="BodyText"/>
        <w:ind w:left="548"/>
      </w:pPr>
      <w:r>
        <w:rPr>
          <w:rFonts w:ascii="Cambria Math" w:hAnsi="Cambria Math"/>
          <w:w w:val="275"/>
        </w:rPr>
        <w:t> </w:t>
      </w:r>
      <w:r>
        <w:rPr>
          <w:rFonts w:ascii="Cambria Math" w:hAnsi="Cambria Math"/>
          <w:w w:val="213"/>
          <w:position w:val="-4"/>
          <w:sz w:val="17"/>
        </w:rPr>
        <w:t> </w:t>
      </w:r>
      <w:r>
        <w:rPr>
          <w:rFonts w:ascii="Cambria Math" w:hAnsi="Cambria Math"/>
          <w:position w:val="-4"/>
          <w:sz w:val="17"/>
        </w:rPr>
        <w:t>    </w:t>
      </w:r>
      <w:r>
        <w:rPr/>
        <w:t>es el efecto principal causado por el </w:t>
      </w:r>
      <w:r>
        <w:rPr>
          <w:i/>
        </w:rPr>
        <w:t>j</w:t>
      </w:r>
      <w:r>
        <w:rPr/>
        <w:t>-ésimo nivel de la susceptibilidad</w:t>
      </w:r>
    </w:p>
    <w:p>
      <w:pPr>
        <w:pStyle w:val="BodyText"/>
        <w:spacing w:before="9"/>
        <w:rPr>
          <w:sz w:val="23"/>
        </w:rPr>
      </w:pPr>
    </w:p>
    <w:p>
      <w:pPr>
        <w:pStyle w:val="BodyText"/>
        <w:ind w:left="553"/>
      </w:pPr>
      <w:r>
        <w:rPr>
          <w:rFonts w:ascii="Cambria Math" w:hAnsi="Cambria Math"/>
          <w:w w:val="273"/>
        </w:rPr>
        <w:t>  </w:t>
      </w:r>
      <w:r>
        <w:rPr>
          <w:rFonts w:ascii="Cambria Math" w:hAnsi="Cambria Math"/>
          <w:w w:val="186"/>
          <w:position w:val="-4"/>
          <w:sz w:val="17"/>
        </w:rPr>
        <w:t>  </w:t>
      </w:r>
      <w:r>
        <w:rPr>
          <w:rFonts w:ascii="Cambria Math" w:hAnsi="Cambria Math"/>
          <w:position w:val="-4"/>
          <w:sz w:val="17"/>
        </w:rPr>
        <w:t>  </w:t>
      </w:r>
      <w:r>
        <w:rPr/>
        <w:t>es el efecto de la interacción para el </w:t>
      </w:r>
      <w:r>
        <w:rPr>
          <w:i/>
        </w:rPr>
        <w:t>i</w:t>
      </w:r>
      <w:r>
        <w:rPr/>
        <w:t>-ésimo nivel del tratamiento con   el</w:t>
      </w:r>
    </w:p>
    <w:p>
      <w:pPr>
        <w:pStyle w:val="BodyText"/>
        <w:spacing w:before="74"/>
        <w:ind w:left="553"/>
      </w:pPr>
      <w:r>
        <w:rPr>
          <w:i/>
        </w:rPr>
        <w:t>j</w:t>
      </w:r>
      <w:r>
        <w:rPr/>
        <w:t>-ésimo nivel de la susceptibilidad</w:t>
      </w:r>
    </w:p>
    <w:p>
      <w:pPr>
        <w:pStyle w:val="BodyText"/>
        <w:spacing w:before="8"/>
        <w:rPr>
          <w:sz w:val="21"/>
        </w:rPr>
      </w:pPr>
    </w:p>
    <w:p>
      <w:pPr>
        <w:pStyle w:val="BodyText"/>
        <w:ind w:left="553"/>
      </w:pPr>
      <w:r>
        <w:rPr>
          <w:rFonts w:ascii="Cambria Math"/>
          <w:w w:val="281"/>
        </w:rPr>
        <w:t> </w:t>
      </w:r>
      <w:r>
        <w:rPr>
          <w:rFonts w:ascii="Cambria Math"/>
          <w:w w:val="160"/>
          <w:position w:val="-4"/>
          <w:sz w:val="17"/>
        </w:rPr>
        <w:t> </w:t>
      </w:r>
      <w:r>
        <w:rPr>
          <w:rFonts w:ascii="Cambria Math"/>
          <w:position w:val="-4"/>
          <w:sz w:val="17"/>
        </w:rPr>
        <w:t>  </w:t>
      </w:r>
      <w:r>
        <w:rPr/>
        <w:t>es el efecto de la edad</w:t>
      </w:r>
    </w:p>
    <w:p>
      <w:pPr>
        <w:pStyle w:val="BodyText"/>
        <w:spacing w:before="3"/>
        <w:rPr>
          <w:sz w:val="21"/>
        </w:rPr>
      </w:pPr>
    </w:p>
    <w:p>
      <w:pPr>
        <w:pStyle w:val="BodyText"/>
        <w:ind w:left="548"/>
      </w:pPr>
      <w:r>
        <w:rPr>
          <w:rFonts w:ascii="Cambria Math"/>
          <w:w w:val="206"/>
        </w:rPr>
        <w:t> </w:t>
      </w:r>
      <w:r>
        <w:rPr>
          <w:rFonts w:ascii="Cambria Math"/>
          <w:w w:val="186"/>
          <w:position w:val="-4"/>
          <w:sz w:val="17"/>
        </w:rPr>
        <w:t>  </w:t>
      </w:r>
      <w:r>
        <w:rPr>
          <w:rFonts w:ascii="Cambria Math"/>
          <w:w w:val="218"/>
          <w:position w:val="-4"/>
          <w:sz w:val="17"/>
        </w:rPr>
        <w:t>  </w:t>
      </w:r>
      <w:r>
        <w:rPr>
          <w:rFonts w:ascii="Cambria Math"/>
          <w:position w:val="-4"/>
          <w:sz w:val="17"/>
        </w:rPr>
        <w:t>  </w:t>
      </w:r>
      <w:r>
        <w:rPr/>
        <w:t>es el efecto del error aleatorio</w:t>
      </w:r>
    </w:p>
    <w:p>
      <w:pPr>
        <w:pStyle w:val="BodyText"/>
        <w:rPr>
          <w:sz w:val="26"/>
        </w:rPr>
      </w:pPr>
    </w:p>
    <w:p>
      <w:pPr>
        <w:pStyle w:val="BodyText"/>
        <w:spacing w:before="8"/>
        <w:rPr>
          <w:sz w:val="33"/>
        </w:rPr>
      </w:pPr>
    </w:p>
    <w:p>
      <w:pPr>
        <w:pStyle w:val="BodyText"/>
        <w:spacing w:line="362" w:lineRule="auto"/>
        <w:ind w:left="265" w:right="276" w:firstLine="427"/>
      </w:pPr>
      <w:r>
        <w:rPr/>
        <w:t>Para los datos de serotonina, 5-HIAA, progesterona, testosterona, estradiol, LH y FSH su uso el siguiente modelo: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BodyText"/>
        <w:spacing w:before="70"/>
        <w:ind w:left="265"/>
      </w:pPr>
      <w:r>
        <w:rPr/>
        <w:t>Dónde:</w:t>
      </w:r>
    </w:p>
    <w:p>
      <w:pPr>
        <w:pStyle w:val="BodyText"/>
        <w:spacing w:before="141"/>
        <w:ind w:left="548"/>
      </w:pPr>
      <w:r>
        <w:rPr>
          <w:rFonts w:ascii="Cambria Math" w:hAnsi="Cambria Math"/>
          <w:w w:val="273"/>
        </w:rPr>
        <w:t> </w:t>
      </w:r>
      <w:r>
        <w:rPr>
          <w:rFonts w:ascii="Cambria Math" w:hAnsi="Cambria Math"/>
          <w:w w:val="186"/>
          <w:position w:val="-4"/>
          <w:sz w:val="17"/>
        </w:rPr>
        <w:t>  </w:t>
      </w:r>
      <w:r>
        <w:rPr>
          <w:rFonts w:ascii="Cambria Math" w:hAnsi="Cambria Math"/>
          <w:w w:val="275"/>
          <w:position w:val="-4"/>
          <w:sz w:val="17"/>
        </w:rPr>
        <w:t> </w:t>
      </w:r>
      <w:r>
        <w:rPr>
          <w:rFonts w:ascii="Cambria Math" w:hAnsi="Cambria Math"/>
          <w:position w:val="-4"/>
          <w:sz w:val="17"/>
        </w:rPr>
        <w:t>  </w:t>
      </w:r>
      <w:r>
        <w:rPr/>
        <w:t>es la </w:t>
      </w:r>
      <w:r>
        <w:rPr>
          <w:i/>
        </w:rPr>
        <w:t>k</w:t>
      </w:r>
      <w:r>
        <w:rPr/>
        <w:t>-ésima observación de respuesta para el tratamiento</w:t>
      </w:r>
    </w:p>
    <w:p>
      <w:pPr>
        <w:pStyle w:val="BodyText"/>
        <w:spacing w:before="2"/>
      </w:pPr>
    </w:p>
    <w:p>
      <w:pPr>
        <w:pStyle w:val="BodyText"/>
        <w:ind w:left="548"/>
      </w:pPr>
      <w:r>
        <w:rPr>
          <w:rFonts w:ascii="Cambria Math"/>
          <w:w w:val="248"/>
        </w:rPr>
        <w:t> </w:t>
      </w:r>
      <w:r>
        <w:rPr>
          <w:rFonts w:ascii="Cambria Math"/>
        </w:rPr>
        <w:t> </w:t>
      </w:r>
      <w:r>
        <w:rPr/>
        <w:t>es la medida total</w:t>
      </w:r>
    </w:p>
    <w:p>
      <w:pPr>
        <w:pStyle w:val="BodyText"/>
        <w:spacing w:before="3"/>
        <w:rPr>
          <w:sz w:val="21"/>
        </w:rPr>
      </w:pPr>
    </w:p>
    <w:p>
      <w:pPr>
        <w:pStyle w:val="BodyText"/>
        <w:ind w:left="548"/>
      </w:pPr>
      <w:r>
        <w:rPr>
          <w:rFonts w:ascii="Cambria Math" w:hAnsi="Cambria Math"/>
          <w:w w:val="272"/>
        </w:rPr>
        <w:t> </w:t>
      </w:r>
      <w:r>
        <w:rPr>
          <w:rFonts w:ascii="Cambria Math" w:hAnsi="Cambria Math"/>
          <w:w w:val="159"/>
          <w:position w:val="-4"/>
          <w:sz w:val="17"/>
        </w:rPr>
        <w:t> </w:t>
      </w:r>
      <w:r>
        <w:rPr>
          <w:rFonts w:ascii="Cambria Math" w:hAnsi="Cambria Math"/>
          <w:position w:val="-4"/>
          <w:sz w:val="17"/>
        </w:rPr>
        <w:t>  </w:t>
      </w:r>
      <w:r>
        <w:rPr/>
        <w:t>es el efecto principal causado por el </w:t>
      </w:r>
      <w:r>
        <w:rPr>
          <w:i/>
        </w:rPr>
        <w:t>i</w:t>
      </w:r>
      <w:r>
        <w:rPr/>
        <w:t>-ésimo nivel del tratamiento</w:t>
      </w:r>
    </w:p>
    <w:p>
      <w:pPr>
        <w:pStyle w:val="BodyText"/>
        <w:spacing w:before="5"/>
        <w:rPr>
          <w:sz w:val="21"/>
        </w:rPr>
      </w:pPr>
    </w:p>
    <w:p>
      <w:pPr>
        <w:pStyle w:val="BodyText"/>
        <w:ind w:left="548"/>
      </w:pPr>
      <w:r>
        <w:rPr>
          <w:rFonts w:ascii="Cambria Math" w:hAnsi="Cambria Math"/>
          <w:w w:val="275"/>
        </w:rPr>
        <w:t> </w:t>
      </w:r>
      <w:r>
        <w:rPr>
          <w:rFonts w:ascii="Cambria Math" w:hAnsi="Cambria Math"/>
          <w:w w:val="213"/>
          <w:position w:val="-4"/>
          <w:sz w:val="17"/>
        </w:rPr>
        <w:t> </w:t>
      </w:r>
      <w:r>
        <w:rPr>
          <w:rFonts w:ascii="Cambria Math" w:hAnsi="Cambria Math"/>
          <w:position w:val="-4"/>
          <w:sz w:val="17"/>
        </w:rPr>
        <w:t>    </w:t>
      </w:r>
      <w:r>
        <w:rPr/>
        <w:t>es el efecto principal causado por el </w:t>
      </w:r>
      <w:r>
        <w:rPr>
          <w:i/>
        </w:rPr>
        <w:t>j</w:t>
      </w:r>
      <w:r>
        <w:rPr/>
        <w:t>-ésimo nivel de la susceptibilidad</w:t>
      </w:r>
    </w:p>
    <w:p>
      <w:pPr>
        <w:pStyle w:val="BodyText"/>
        <w:spacing w:before="9"/>
        <w:rPr>
          <w:sz w:val="23"/>
        </w:rPr>
      </w:pPr>
    </w:p>
    <w:p>
      <w:pPr>
        <w:pStyle w:val="BodyText"/>
        <w:ind w:left="553"/>
      </w:pPr>
      <w:r>
        <w:rPr>
          <w:rFonts w:ascii="Cambria Math" w:hAnsi="Cambria Math"/>
          <w:w w:val="273"/>
        </w:rPr>
        <w:t>  </w:t>
      </w:r>
      <w:r>
        <w:rPr>
          <w:rFonts w:ascii="Cambria Math" w:hAnsi="Cambria Math"/>
          <w:w w:val="186"/>
          <w:position w:val="-4"/>
          <w:sz w:val="17"/>
        </w:rPr>
        <w:t>  </w:t>
      </w:r>
      <w:r>
        <w:rPr>
          <w:rFonts w:ascii="Cambria Math" w:hAnsi="Cambria Math"/>
          <w:position w:val="-4"/>
          <w:sz w:val="17"/>
        </w:rPr>
        <w:t>  </w:t>
      </w:r>
      <w:r>
        <w:rPr/>
        <w:t>es el efecto de la interacción para el </w:t>
      </w:r>
      <w:r>
        <w:rPr>
          <w:i/>
        </w:rPr>
        <w:t>i</w:t>
      </w:r>
      <w:r>
        <w:rPr/>
        <w:t>-ésimo nivel del tratamiento con   el</w:t>
      </w:r>
    </w:p>
    <w:p>
      <w:pPr>
        <w:pStyle w:val="BodyText"/>
        <w:spacing w:before="74"/>
        <w:ind w:left="553"/>
      </w:pPr>
      <w:r>
        <w:rPr>
          <w:i/>
        </w:rPr>
        <w:t>j</w:t>
      </w:r>
      <w:r>
        <w:rPr/>
        <w:t>-ésimo nivel de la susceptibilidad</w:t>
      </w:r>
    </w:p>
    <w:p>
      <w:pPr>
        <w:pStyle w:val="BodyText"/>
        <w:spacing w:before="3"/>
        <w:rPr>
          <w:sz w:val="21"/>
        </w:rPr>
      </w:pPr>
    </w:p>
    <w:p>
      <w:pPr>
        <w:pStyle w:val="BodyText"/>
        <w:ind w:left="548"/>
      </w:pPr>
      <w:r>
        <w:rPr>
          <w:rFonts w:ascii="Cambria Math"/>
          <w:w w:val="206"/>
        </w:rPr>
        <w:t> </w:t>
      </w:r>
      <w:r>
        <w:rPr>
          <w:rFonts w:ascii="Cambria Math"/>
          <w:w w:val="186"/>
          <w:position w:val="-4"/>
          <w:sz w:val="17"/>
        </w:rPr>
        <w:t>  </w:t>
      </w:r>
      <w:r>
        <w:rPr>
          <w:rFonts w:ascii="Cambria Math"/>
          <w:w w:val="275"/>
          <w:position w:val="-4"/>
          <w:sz w:val="17"/>
        </w:rPr>
        <w:t> </w:t>
      </w:r>
      <w:r>
        <w:rPr>
          <w:rFonts w:ascii="Cambria Math"/>
          <w:position w:val="-4"/>
          <w:sz w:val="17"/>
        </w:rPr>
        <w:t>  </w:t>
      </w:r>
      <w:r>
        <w:rPr/>
        <w:t>es el efecto del error aleatorio</w:t>
      </w:r>
    </w:p>
    <w:p>
      <w:pPr>
        <w:pStyle w:val="BodyText"/>
        <w:rPr>
          <w:sz w:val="26"/>
        </w:rPr>
      </w:pPr>
    </w:p>
    <w:p>
      <w:pPr>
        <w:pStyle w:val="BodyText"/>
        <w:rPr>
          <w:sz w:val="26"/>
        </w:rPr>
      </w:pPr>
    </w:p>
    <w:p>
      <w:pPr>
        <w:pStyle w:val="BodyText"/>
        <w:spacing w:before="5"/>
        <w:rPr>
          <w:sz w:val="26"/>
        </w:rPr>
      </w:pPr>
    </w:p>
    <w:p>
      <w:pPr>
        <w:pStyle w:val="BodyText"/>
        <w:spacing w:line="360" w:lineRule="auto"/>
        <w:ind w:left="265" w:right="116" w:firstLine="427"/>
        <w:jc w:val="both"/>
      </w:pPr>
      <w:r>
        <w:rPr/>
        <w:t>Los datos obtenidos se procesaron en un sistema operativo Linux con el paquete estadístico R Project for Statistical Computing v2.13.0  Development Core Team, (2010) y en Windows con el paquete estadístico SPSS v18.0.</w:t>
      </w:r>
    </w:p>
    <w:p>
      <w:pPr>
        <w:spacing w:after="0" w:line="360" w:lineRule="auto"/>
        <w:jc w:val="both"/>
        <w:sectPr>
          <w:pgSz w:w="12240" w:h="15840"/>
          <w:pgMar w:header="0" w:footer="1682" w:top="1360" w:bottom="1880" w:left="1720" w:right="1460"/>
        </w:sectPr>
      </w:pPr>
    </w:p>
    <w:p>
      <w:pPr>
        <w:pStyle w:val="Heading1"/>
        <w:spacing w:before="35"/>
        <w:jc w:val="both"/>
      </w:pPr>
      <w:r>
        <w:rPr>
          <w:w w:val="85"/>
        </w:rPr>
        <w:t>VII</w:t>
      </w:r>
      <w:r>
        <w:rPr>
          <w:spacing w:val="63"/>
          <w:w w:val="85"/>
        </w:rPr>
        <w:t> </w:t>
      </w:r>
      <w:r>
        <w:rPr>
          <w:w w:val="85"/>
        </w:rPr>
        <w:t>RESULTADOS</w:t>
      </w:r>
    </w:p>
    <w:p>
      <w:pPr>
        <w:pStyle w:val="BodyText"/>
        <w:rPr>
          <w:b/>
          <w:sz w:val="28"/>
        </w:rPr>
      </w:pPr>
    </w:p>
    <w:p>
      <w:pPr>
        <w:pStyle w:val="BodyText"/>
        <w:spacing w:before="2"/>
        <w:rPr>
          <w:b/>
          <w:sz w:val="22"/>
        </w:rPr>
      </w:pPr>
    </w:p>
    <w:p>
      <w:pPr>
        <w:pStyle w:val="Heading2"/>
        <w:numPr>
          <w:ilvl w:val="1"/>
          <w:numId w:val="6"/>
        </w:numPr>
        <w:tabs>
          <w:tab w:pos="669" w:val="left" w:leader="none"/>
        </w:tabs>
        <w:spacing w:line="240" w:lineRule="auto" w:before="0" w:after="0"/>
        <w:ind w:left="3801" w:right="0" w:hanging="3536"/>
        <w:jc w:val="both"/>
      </w:pPr>
      <w:r>
        <w:rPr/>
        <w:t>Identificación de la</w:t>
      </w:r>
      <w:r>
        <w:rPr>
          <w:spacing w:val="-13"/>
        </w:rPr>
        <w:t> </w:t>
      </w:r>
      <w:r>
        <w:rPr/>
        <w:t>susceptibilidad</w:t>
      </w:r>
    </w:p>
    <w:p>
      <w:pPr>
        <w:pStyle w:val="BodyText"/>
        <w:rPr>
          <w:b/>
        </w:rPr>
      </w:pPr>
    </w:p>
    <w:p>
      <w:pPr>
        <w:pStyle w:val="BodyText"/>
        <w:rPr>
          <w:b/>
        </w:rPr>
      </w:pPr>
    </w:p>
    <w:p>
      <w:pPr>
        <w:pStyle w:val="BodyText"/>
        <w:spacing w:line="360" w:lineRule="auto" w:after="5"/>
        <w:ind w:left="265" w:right="393" w:firstLine="427"/>
        <w:jc w:val="both"/>
      </w:pPr>
      <w:r>
        <w:rPr/>
        <w:t>El identificar individuos con diferentes grados de susceptibilidad fue la parte primordial de la investigación, ya que esto nos permitió identificar también las posibles variaciones en cuanto a la expresión de algunos genes. La técnica de TUNEL, nos permitió cuantificar el número de células germinales muertas por apoptosis y posteriormente separar en dos grupos a los animales de acuerdo a su susceptibilidad. La figura 7.1.1 muestra túbulos seminíferos de animales de 30 días de edad que presentaron distintos grados de apoptosis de las células germinales.</w:t>
      </w:r>
    </w:p>
    <w:p>
      <w:pPr>
        <w:pStyle w:val="BodyText"/>
        <w:ind w:left="265"/>
        <w:rPr>
          <w:sz w:val="20"/>
        </w:rPr>
      </w:pPr>
      <w:r>
        <w:rPr>
          <w:sz w:val="20"/>
        </w:rPr>
        <w:drawing>
          <wp:inline distT="0" distB="0" distL="0" distR="0">
            <wp:extent cx="5595749" cy="1995677"/>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1" cstate="print"/>
                    <a:stretch>
                      <a:fillRect/>
                    </a:stretch>
                  </pic:blipFill>
                  <pic:spPr>
                    <a:xfrm>
                      <a:off x="0" y="0"/>
                      <a:ext cx="5595749" cy="1995677"/>
                    </a:xfrm>
                    <a:prstGeom prst="rect">
                      <a:avLst/>
                    </a:prstGeom>
                  </pic:spPr>
                </pic:pic>
              </a:graphicData>
            </a:graphic>
          </wp:inline>
        </w:drawing>
      </w:r>
      <w:r>
        <w:rPr>
          <w:sz w:val="20"/>
        </w:rPr>
      </w:r>
    </w:p>
    <w:p>
      <w:pPr>
        <w:pStyle w:val="BodyText"/>
        <w:spacing w:before="2"/>
        <w:rPr>
          <w:sz w:val="30"/>
        </w:rPr>
      </w:pPr>
    </w:p>
    <w:p>
      <w:pPr>
        <w:pStyle w:val="BodyText"/>
        <w:spacing w:line="360" w:lineRule="auto"/>
        <w:ind w:left="265" w:right="340" w:firstLine="427"/>
        <w:jc w:val="both"/>
      </w:pPr>
      <w:r>
        <w:rPr/>
        <w:t>Figura 7.1.1. Fotografías con microscopía de fluorescencia de cortes de testículo de rata de 30 días de edad, procesados mediante la técnica de TUNEL.</w:t>
      </w:r>
    </w:p>
    <w:p>
      <w:pPr>
        <w:pStyle w:val="BodyText"/>
        <w:spacing w:line="360" w:lineRule="auto" w:before="5"/>
        <w:ind w:left="265" w:right="407"/>
        <w:jc w:val="both"/>
      </w:pPr>
      <w:r>
        <w:rPr>
          <w:b/>
        </w:rPr>
        <w:t>A. </w:t>
      </w:r>
      <w:r>
        <w:rPr/>
        <w:t>individuo con baja susceptibilidad y </w:t>
      </w:r>
      <w:r>
        <w:rPr>
          <w:b/>
        </w:rPr>
        <w:t>B. </w:t>
      </w:r>
      <w:r>
        <w:rPr/>
        <w:t>individuo con alta susceptibilidad a la muerte de las células germinales por apoptosis. Las flechas indican a  las células germinales muertas por apoptosis. 400X.</w:t>
      </w:r>
    </w:p>
    <w:p>
      <w:pPr>
        <w:pStyle w:val="BodyText"/>
      </w:pPr>
    </w:p>
    <w:p>
      <w:pPr>
        <w:pStyle w:val="BodyText"/>
        <w:spacing w:line="360" w:lineRule="auto" w:before="140"/>
        <w:ind w:left="265" w:right="397" w:firstLine="427"/>
        <w:jc w:val="both"/>
      </w:pPr>
      <w:r>
        <w:rPr/>
        <w:t>En el cuadro 7.1 se presentan los promedios de las células germinales en apoptosis a los 30 y 45 días de edad para los diferentes tratamientos.</w:t>
      </w:r>
    </w:p>
    <w:p>
      <w:pPr>
        <w:spacing w:after="0" w:line="360" w:lineRule="auto"/>
        <w:jc w:val="both"/>
        <w:sectPr>
          <w:pgSz w:w="12240" w:h="15840"/>
          <w:pgMar w:header="0" w:footer="1682" w:top="1380" w:bottom="1880" w:left="1720" w:right="1300"/>
        </w:sectPr>
      </w:pPr>
    </w:p>
    <w:p>
      <w:pPr>
        <w:pStyle w:val="BodyText"/>
        <w:spacing w:line="360" w:lineRule="auto" w:before="57"/>
        <w:ind w:left="265"/>
      </w:pPr>
      <w:r>
        <w:rPr/>
        <w:t>Cuadro 7.1. Promedio de las células en apoptosis en diez túbulos seminíferos y susceptibilidad para los 3 grupos.</w:t>
      </w:r>
    </w:p>
    <w:p>
      <w:pPr>
        <w:pStyle w:val="BodyText"/>
        <w:spacing w:before="10"/>
        <w:rPr>
          <w:sz w:val="17"/>
        </w:rPr>
      </w:pPr>
    </w:p>
    <w:tbl>
      <w:tblPr>
        <w:tblW w:w="0" w:type="auto"/>
        <w:jc w:val="left"/>
        <w:tblInd w:w="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39"/>
        <w:gridCol w:w="2138"/>
        <w:gridCol w:w="2139"/>
        <w:gridCol w:w="2139"/>
      </w:tblGrid>
      <w:tr>
        <w:trPr>
          <w:trHeight w:val="353" w:hRule="exact"/>
        </w:trPr>
        <w:tc>
          <w:tcPr>
            <w:tcW w:w="2139" w:type="dxa"/>
            <w:tcBorders>
              <w:left w:val="nil"/>
            </w:tcBorders>
          </w:tcPr>
          <w:p>
            <w:pPr>
              <w:pStyle w:val="TableParagraph"/>
              <w:spacing w:before="24"/>
              <w:ind w:left="684" w:right="685"/>
              <w:rPr>
                <w:b/>
                <w:sz w:val="24"/>
              </w:rPr>
            </w:pPr>
            <w:r>
              <w:rPr>
                <w:b/>
                <w:sz w:val="24"/>
              </w:rPr>
              <w:t>Grupo</w:t>
            </w:r>
          </w:p>
        </w:tc>
        <w:tc>
          <w:tcPr>
            <w:tcW w:w="2138" w:type="dxa"/>
          </w:tcPr>
          <w:p>
            <w:pPr>
              <w:pStyle w:val="TableParagraph"/>
              <w:spacing w:before="24"/>
              <w:ind w:left="170"/>
              <w:jc w:val="left"/>
              <w:rPr>
                <w:b/>
                <w:sz w:val="24"/>
              </w:rPr>
            </w:pPr>
            <w:r>
              <w:rPr>
                <w:b/>
                <w:sz w:val="24"/>
              </w:rPr>
              <w:t>Susceptibilidad</w:t>
            </w:r>
          </w:p>
        </w:tc>
        <w:tc>
          <w:tcPr>
            <w:tcW w:w="2139" w:type="dxa"/>
          </w:tcPr>
          <w:p>
            <w:pPr>
              <w:pStyle w:val="TableParagraph"/>
              <w:spacing w:before="24"/>
              <w:ind w:left="151"/>
              <w:jc w:val="left"/>
              <w:rPr>
                <w:b/>
                <w:sz w:val="24"/>
              </w:rPr>
            </w:pPr>
            <w:r>
              <w:rPr>
                <w:b/>
                <w:sz w:val="24"/>
              </w:rPr>
              <w:t>30 Días de edad</w:t>
            </w:r>
          </w:p>
        </w:tc>
        <w:tc>
          <w:tcPr>
            <w:tcW w:w="2139" w:type="dxa"/>
            <w:tcBorders>
              <w:right w:val="nil"/>
            </w:tcBorders>
          </w:tcPr>
          <w:p>
            <w:pPr>
              <w:pStyle w:val="TableParagraph"/>
              <w:spacing w:before="24"/>
              <w:ind w:left="156"/>
              <w:jc w:val="left"/>
              <w:rPr>
                <w:b/>
                <w:sz w:val="24"/>
              </w:rPr>
            </w:pPr>
            <w:r>
              <w:rPr>
                <w:b/>
                <w:sz w:val="24"/>
              </w:rPr>
              <w:t>45 Días de edad</w:t>
            </w:r>
          </w:p>
        </w:tc>
      </w:tr>
      <w:tr>
        <w:trPr>
          <w:trHeight w:val="571" w:hRule="exact"/>
        </w:trPr>
        <w:tc>
          <w:tcPr>
            <w:tcW w:w="2139" w:type="dxa"/>
            <w:tcBorders>
              <w:left w:val="nil"/>
            </w:tcBorders>
          </w:tcPr>
          <w:p>
            <w:pPr>
              <w:pStyle w:val="TableParagraph"/>
              <w:spacing w:before="135"/>
              <w:ind w:left="684" w:right="683"/>
              <w:rPr>
                <w:b/>
                <w:sz w:val="24"/>
              </w:rPr>
            </w:pPr>
            <w:r>
              <w:rPr>
                <w:b/>
                <w:sz w:val="24"/>
              </w:rPr>
              <w:t>CA</w:t>
            </w:r>
          </w:p>
        </w:tc>
        <w:tc>
          <w:tcPr>
            <w:tcW w:w="2138" w:type="dxa"/>
          </w:tcPr>
          <w:p>
            <w:pPr>
              <w:pStyle w:val="TableParagraph"/>
              <w:ind w:left="818" w:right="817" w:hanging="1"/>
              <w:rPr>
                <w:sz w:val="24"/>
              </w:rPr>
            </w:pPr>
            <w:r>
              <w:rPr>
                <w:sz w:val="24"/>
              </w:rPr>
              <w:t>Alta Baja</w:t>
            </w:r>
          </w:p>
        </w:tc>
        <w:tc>
          <w:tcPr>
            <w:tcW w:w="2139" w:type="dxa"/>
          </w:tcPr>
          <w:p>
            <w:pPr>
              <w:pStyle w:val="TableParagraph"/>
              <w:spacing w:line="272" w:lineRule="exact"/>
              <w:ind w:left="1"/>
              <w:rPr>
                <w:sz w:val="24"/>
              </w:rPr>
            </w:pPr>
            <w:r>
              <w:rPr>
                <w:w w:val="99"/>
                <w:sz w:val="24"/>
              </w:rPr>
              <w:t>-</w:t>
            </w:r>
          </w:p>
          <w:p>
            <w:pPr>
              <w:pStyle w:val="TableParagraph"/>
              <w:ind w:left="1"/>
              <w:rPr>
                <w:sz w:val="24"/>
              </w:rPr>
            </w:pPr>
            <w:r>
              <w:rPr>
                <w:w w:val="99"/>
                <w:sz w:val="24"/>
              </w:rPr>
              <w:t>-</w:t>
            </w:r>
          </w:p>
        </w:tc>
        <w:tc>
          <w:tcPr>
            <w:tcW w:w="2139" w:type="dxa"/>
            <w:tcBorders>
              <w:right w:val="nil"/>
            </w:tcBorders>
          </w:tcPr>
          <w:p>
            <w:pPr>
              <w:pStyle w:val="TableParagraph"/>
              <w:spacing w:line="272" w:lineRule="exact"/>
              <w:ind w:left="808" w:right="807"/>
              <w:rPr>
                <w:sz w:val="24"/>
              </w:rPr>
            </w:pPr>
            <w:r>
              <w:rPr>
                <w:sz w:val="24"/>
              </w:rPr>
              <w:t>&gt;5.1</w:t>
            </w:r>
          </w:p>
          <w:p>
            <w:pPr>
              <w:pStyle w:val="TableParagraph"/>
              <w:ind w:left="808" w:right="807"/>
              <w:rPr>
                <w:sz w:val="24"/>
              </w:rPr>
            </w:pPr>
            <w:r>
              <w:rPr>
                <w:sz w:val="24"/>
              </w:rPr>
              <w:t>2.3</w:t>
            </w:r>
          </w:p>
        </w:tc>
      </w:tr>
      <w:tr>
        <w:trPr>
          <w:trHeight w:val="593" w:hRule="exact"/>
        </w:trPr>
        <w:tc>
          <w:tcPr>
            <w:tcW w:w="2139" w:type="dxa"/>
            <w:tcBorders>
              <w:left w:val="nil"/>
            </w:tcBorders>
          </w:tcPr>
          <w:p>
            <w:pPr>
              <w:pStyle w:val="TableParagraph"/>
              <w:spacing w:before="144"/>
              <w:ind w:left="684" w:right="684"/>
              <w:rPr>
                <w:b/>
                <w:sz w:val="24"/>
              </w:rPr>
            </w:pPr>
            <w:r>
              <w:rPr>
                <w:b/>
                <w:sz w:val="24"/>
              </w:rPr>
              <w:t>Vh</w:t>
            </w:r>
          </w:p>
        </w:tc>
        <w:tc>
          <w:tcPr>
            <w:tcW w:w="2138" w:type="dxa"/>
          </w:tcPr>
          <w:p>
            <w:pPr>
              <w:pStyle w:val="TableParagraph"/>
              <w:spacing w:line="259" w:lineRule="auto"/>
              <w:ind w:left="818" w:right="817" w:hanging="1"/>
              <w:rPr>
                <w:sz w:val="24"/>
              </w:rPr>
            </w:pPr>
            <w:r>
              <w:rPr>
                <w:sz w:val="24"/>
              </w:rPr>
              <w:t>Alta Baja</w:t>
            </w:r>
          </w:p>
        </w:tc>
        <w:tc>
          <w:tcPr>
            <w:tcW w:w="2139" w:type="dxa"/>
          </w:tcPr>
          <w:p>
            <w:pPr>
              <w:pStyle w:val="TableParagraph"/>
              <w:spacing w:line="272" w:lineRule="exact"/>
              <w:ind w:left="660"/>
              <w:jc w:val="left"/>
              <w:rPr>
                <w:sz w:val="24"/>
              </w:rPr>
            </w:pPr>
            <w:r>
              <w:rPr>
                <w:sz w:val="24"/>
              </w:rPr>
              <w:t>7.8±3.0</w:t>
            </w:r>
          </w:p>
          <w:p>
            <w:pPr>
              <w:pStyle w:val="TableParagraph"/>
              <w:spacing w:before="21"/>
              <w:ind w:left="660"/>
              <w:jc w:val="left"/>
              <w:rPr>
                <w:sz w:val="24"/>
              </w:rPr>
            </w:pPr>
            <w:r>
              <w:rPr>
                <w:sz w:val="24"/>
              </w:rPr>
              <w:t>0.7±0.4</w:t>
            </w:r>
          </w:p>
        </w:tc>
        <w:tc>
          <w:tcPr>
            <w:tcW w:w="2139" w:type="dxa"/>
            <w:tcBorders>
              <w:right w:val="nil"/>
            </w:tcBorders>
          </w:tcPr>
          <w:p>
            <w:pPr>
              <w:pStyle w:val="TableParagraph"/>
              <w:spacing w:line="272" w:lineRule="exact"/>
              <w:ind w:left="808" w:right="807"/>
              <w:rPr>
                <w:sz w:val="24"/>
              </w:rPr>
            </w:pPr>
            <w:r>
              <w:rPr>
                <w:sz w:val="24"/>
              </w:rPr>
              <w:t>&gt;7.5</w:t>
            </w:r>
          </w:p>
          <w:p>
            <w:pPr>
              <w:pStyle w:val="TableParagraph"/>
              <w:spacing w:before="21"/>
              <w:ind w:left="808" w:right="807"/>
              <w:rPr>
                <w:sz w:val="24"/>
              </w:rPr>
            </w:pPr>
            <w:r>
              <w:rPr>
                <w:sz w:val="24"/>
              </w:rPr>
              <w:t>1.3</w:t>
            </w:r>
          </w:p>
        </w:tc>
      </w:tr>
      <w:tr>
        <w:trPr>
          <w:trHeight w:val="590" w:hRule="exact"/>
        </w:trPr>
        <w:tc>
          <w:tcPr>
            <w:tcW w:w="2139" w:type="dxa"/>
            <w:tcBorders>
              <w:left w:val="nil"/>
            </w:tcBorders>
          </w:tcPr>
          <w:p>
            <w:pPr>
              <w:pStyle w:val="TableParagraph"/>
              <w:spacing w:before="144"/>
              <w:ind w:left="684" w:right="684"/>
              <w:rPr>
                <w:b/>
                <w:sz w:val="24"/>
              </w:rPr>
            </w:pPr>
            <w:r>
              <w:rPr>
                <w:b/>
                <w:sz w:val="24"/>
              </w:rPr>
              <w:t>pCA</w:t>
            </w:r>
          </w:p>
        </w:tc>
        <w:tc>
          <w:tcPr>
            <w:tcW w:w="2138" w:type="dxa"/>
          </w:tcPr>
          <w:p>
            <w:pPr>
              <w:pStyle w:val="TableParagraph"/>
              <w:spacing w:line="256" w:lineRule="auto"/>
              <w:ind w:left="818" w:right="817" w:hanging="1"/>
              <w:rPr>
                <w:sz w:val="24"/>
              </w:rPr>
            </w:pPr>
            <w:r>
              <w:rPr>
                <w:sz w:val="24"/>
              </w:rPr>
              <w:t>Alta Baja</w:t>
            </w:r>
          </w:p>
        </w:tc>
        <w:tc>
          <w:tcPr>
            <w:tcW w:w="2139" w:type="dxa"/>
          </w:tcPr>
          <w:p>
            <w:pPr>
              <w:pStyle w:val="TableParagraph"/>
              <w:spacing w:line="272" w:lineRule="exact"/>
              <w:ind w:left="660"/>
              <w:jc w:val="left"/>
              <w:rPr>
                <w:sz w:val="24"/>
              </w:rPr>
            </w:pPr>
            <w:r>
              <w:rPr>
                <w:sz w:val="24"/>
              </w:rPr>
              <w:t>6.2±2.3</w:t>
            </w:r>
          </w:p>
          <w:p>
            <w:pPr>
              <w:pStyle w:val="TableParagraph"/>
              <w:spacing w:before="19"/>
              <w:ind w:left="660"/>
              <w:jc w:val="left"/>
              <w:rPr>
                <w:sz w:val="24"/>
              </w:rPr>
            </w:pPr>
            <w:r>
              <w:rPr>
                <w:sz w:val="24"/>
              </w:rPr>
              <w:t>1.4±0.8</w:t>
            </w:r>
          </w:p>
        </w:tc>
        <w:tc>
          <w:tcPr>
            <w:tcW w:w="2139" w:type="dxa"/>
            <w:tcBorders>
              <w:right w:val="nil"/>
            </w:tcBorders>
          </w:tcPr>
          <w:p>
            <w:pPr>
              <w:pStyle w:val="TableParagraph"/>
              <w:spacing w:line="256" w:lineRule="auto"/>
              <w:ind w:left="148" w:right="133" w:firstLine="108"/>
              <w:jc w:val="left"/>
              <w:rPr>
                <w:sz w:val="24"/>
              </w:rPr>
            </w:pPr>
            <w:r>
              <w:rPr>
                <w:sz w:val="24"/>
              </w:rPr>
              <w:t>Túbulos vacíos No cuantificables</w:t>
            </w:r>
          </w:p>
        </w:tc>
      </w:tr>
    </w:tbl>
    <w:p>
      <w:pPr>
        <w:spacing w:before="2"/>
        <w:ind w:left="265" w:right="0" w:firstLine="0"/>
        <w:jc w:val="left"/>
        <w:rPr>
          <w:sz w:val="20"/>
        </w:rPr>
      </w:pPr>
      <w:r>
        <w:rPr/>
        <w:pict>
          <v:line style="position:absolute;mso-position-horizontal-relative:page;mso-position-vertical-relative:paragraph;z-index:1096;mso-wrap-distance-left:0;mso-wrap-distance-right:0" from="98.543999pt,14.039912pt" to="527.013999pt,14.039912pt" stroked="true" strokeweight=".95999pt" strokecolor="#000000">
            <w10:wrap type="topAndBottom"/>
          </v:line>
        </w:pict>
      </w:r>
      <w:r>
        <w:rPr>
          <w:sz w:val="20"/>
        </w:rPr>
        <w:t>CA, control absoluto, Vh, vehículo, pCA, para-cloroanfetamina.</w:t>
      </w:r>
    </w:p>
    <w:p>
      <w:pPr>
        <w:pStyle w:val="BodyText"/>
        <w:rPr>
          <w:sz w:val="20"/>
        </w:rPr>
      </w:pPr>
    </w:p>
    <w:p>
      <w:pPr>
        <w:pStyle w:val="BodyText"/>
        <w:spacing w:before="8"/>
      </w:pPr>
    </w:p>
    <w:p>
      <w:pPr>
        <w:pStyle w:val="BodyText"/>
        <w:spacing w:line="360" w:lineRule="auto" w:before="69"/>
        <w:ind w:left="265" w:right="395" w:firstLine="427"/>
        <w:jc w:val="both"/>
      </w:pPr>
      <w:r>
        <w:rPr/>
        <w:t>Al finalizar con los tratamientos se realizó nuevamente la técnica de TUNEL para observar el comportamiento de los animales que habían sido clasificados por su susceptibilidad y el comportamiento después de la administración de los tratamientos. A los 45 días de edad los animales presentaron un número mayor de células en apoptosis, los grupos controles (CA y Vh) se pudieron cuantificar, mientras que los tratados con pCA fue imposible obtener un valor numérico, debido a que algunos individuos presentaron túbulos seminíferos atrofiados o vacíos y otros presentaron túbulos con la mayoría de las células germinales muertas por apoptosis. En la figura 7.1.2 se observan de manera notoria los cambios sucedidos en los túbulos seminíferos de los animales que fueron tratados con pCA en comparación con los grupos CA y Vh.</w:t>
      </w:r>
    </w:p>
    <w:p>
      <w:pPr>
        <w:pStyle w:val="BodyText"/>
        <w:spacing w:before="4"/>
        <w:rPr>
          <w:sz w:val="14"/>
        </w:rPr>
      </w:pPr>
      <w:r>
        <w:rPr/>
        <w:drawing>
          <wp:anchor distT="0" distB="0" distL="0" distR="0" allowOverlap="1" layoutInCell="1" locked="0" behindDoc="0" simplePos="0" relativeHeight="1120">
            <wp:simplePos x="0" y="0"/>
            <wp:positionH relativeFrom="page">
              <wp:posOffset>1260475</wp:posOffset>
            </wp:positionH>
            <wp:positionV relativeFrom="paragraph">
              <wp:posOffset>130097</wp:posOffset>
            </wp:positionV>
            <wp:extent cx="5589970" cy="1629918"/>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5589970" cy="1629918"/>
                    </a:xfrm>
                    <a:prstGeom prst="rect">
                      <a:avLst/>
                    </a:prstGeom>
                  </pic:spPr>
                </pic:pic>
              </a:graphicData>
            </a:graphic>
          </wp:anchor>
        </w:drawing>
      </w:r>
    </w:p>
    <w:p>
      <w:pPr>
        <w:pStyle w:val="BodyText"/>
        <w:spacing w:before="5"/>
        <w:rPr>
          <w:sz w:val="19"/>
        </w:rPr>
      </w:pPr>
    </w:p>
    <w:p>
      <w:pPr>
        <w:pStyle w:val="BodyText"/>
        <w:spacing w:line="360" w:lineRule="auto" w:before="1"/>
        <w:ind w:left="265" w:right="404" w:firstLine="427"/>
        <w:jc w:val="both"/>
      </w:pPr>
      <w:r>
        <w:rPr/>
        <w:t>Figura 7.1.2. Fotografía tomada con un microscopio de fluorescencia de cortes de testículo de rata de 45 días de edad, marcados mediante la técnica de</w:t>
      </w:r>
    </w:p>
    <w:p>
      <w:pPr>
        <w:spacing w:after="0" w:line="360" w:lineRule="auto"/>
        <w:jc w:val="both"/>
        <w:sectPr>
          <w:pgSz w:w="12240" w:h="15840"/>
          <w:pgMar w:header="0" w:footer="1682" w:top="1360" w:bottom="1880" w:left="1720" w:right="1300"/>
        </w:sectPr>
      </w:pPr>
    </w:p>
    <w:p>
      <w:pPr>
        <w:pStyle w:val="BodyText"/>
        <w:spacing w:before="57"/>
        <w:ind w:left="265" w:right="36"/>
      </w:pPr>
      <w:r>
        <w:rPr/>
        <w:t>TUNEL, </w:t>
      </w:r>
      <w:r>
        <w:rPr>
          <w:b/>
        </w:rPr>
        <w:t>A</w:t>
      </w:r>
      <w:r>
        <w:rPr/>
        <w:t>. tratados con pCA, </w:t>
      </w:r>
      <w:r>
        <w:rPr>
          <w:b/>
        </w:rPr>
        <w:t>B. </w:t>
      </w:r>
      <w:r>
        <w:rPr/>
        <w:t>vehículo (Vh) y </w:t>
      </w:r>
      <w:r>
        <w:rPr>
          <w:b/>
        </w:rPr>
        <w:t>C. </w:t>
      </w:r>
      <w:r>
        <w:rPr/>
        <w:t>control absoluto (CA). 400X.</w:t>
      </w:r>
    </w:p>
    <w:p>
      <w:pPr>
        <w:pStyle w:val="BodyText"/>
      </w:pPr>
    </w:p>
    <w:p>
      <w:pPr>
        <w:pStyle w:val="BodyText"/>
      </w:pPr>
    </w:p>
    <w:p>
      <w:pPr>
        <w:pStyle w:val="Heading2"/>
        <w:numPr>
          <w:ilvl w:val="1"/>
          <w:numId w:val="6"/>
        </w:numPr>
        <w:tabs>
          <w:tab w:pos="669" w:val="left" w:leader="none"/>
        </w:tabs>
        <w:spacing w:line="240" w:lineRule="auto" w:before="0" w:after="0"/>
        <w:ind w:left="668" w:right="0" w:hanging="403"/>
        <w:jc w:val="left"/>
      </w:pPr>
      <w:r>
        <w:rPr/>
        <w:t>Inhibición de la síntesis de</w:t>
      </w:r>
      <w:r>
        <w:rPr>
          <w:spacing w:val="-11"/>
        </w:rPr>
        <w:t> </w:t>
      </w:r>
      <w:r>
        <w:rPr/>
        <w:t>serotonina</w:t>
      </w:r>
    </w:p>
    <w:p>
      <w:pPr>
        <w:pStyle w:val="BodyText"/>
        <w:rPr>
          <w:b/>
        </w:rPr>
      </w:pPr>
    </w:p>
    <w:p>
      <w:pPr>
        <w:pStyle w:val="BodyText"/>
        <w:rPr>
          <w:b/>
        </w:rPr>
      </w:pPr>
    </w:p>
    <w:p>
      <w:pPr>
        <w:pStyle w:val="BodyText"/>
        <w:spacing w:line="360" w:lineRule="auto"/>
        <w:ind w:left="265" w:right="123" w:firstLine="427"/>
        <w:jc w:val="both"/>
      </w:pPr>
      <w:r>
        <w:rPr/>
        <w:t>Se midieron las concentraciones hipotalámicas de serotonina y 5-HIAA para constatar que la inhibición de la síntesis de este neurotransmisor es debida a la administración de la pCA y no a la administración del vehículo o a las condiciones fisiológicas (grupo CA), en el cuadro 7.2 se presentan los datos de las concentraciones de serotonina y 5-HIAA a partir de la cuantificación por medio de HPLC.</w:t>
      </w:r>
    </w:p>
    <w:p>
      <w:pPr>
        <w:pStyle w:val="BodyText"/>
      </w:pPr>
    </w:p>
    <w:p>
      <w:pPr>
        <w:pStyle w:val="BodyText"/>
        <w:spacing w:before="10"/>
        <w:rPr>
          <w:sz w:val="29"/>
        </w:rPr>
      </w:pPr>
    </w:p>
    <w:p>
      <w:pPr>
        <w:pStyle w:val="BodyText"/>
        <w:spacing w:line="360" w:lineRule="auto"/>
        <w:ind w:left="265" w:right="36"/>
      </w:pPr>
      <w:r>
        <w:rPr/>
        <w:t>Cuadro 7.2. Promedio de las concentraciones de serotonina y 5-HIAA en el hipotálamo de ratas macho tratadas o no con pCA.</w:t>
      </w:r>
    </w:p>
    <w:p>
      <w:pPr>
        <w:pStyle w:val="BodyText"/>
        <w:rPr>
          <w:sz w:val="20"/>
        </w:rPr>
      </w:pPr>
    </w:p>
    <w:p>
      <w:pPr>
        <w:pStyle w:val="BodyText"/>
        <w:rPr>
          <w:sz w:val="20"/>
        </w:rPr>
      </w:pPr>
    </w:p>
    <w:p>
      <w:pPr>
        <w:pStyle w:val="BodyText"/>
        <w:rPr>
          <w:sz w:val="20"/>
        </w:rPr>
      </w:pPr>
    </w:p>
    <w:p>
      <w:pPr>
        <w:pStyle w:val="BodyText"/>
        <w:spacing w:before="3"/>
        <w:rPr>
          <w:sz w:val="26"/>
        </w:rPr>
      </w:pPr>
    </w:p>
    <w:p>
      <w:pPr>
        <w:spacing w:before="84"/>
        <w:ind w:left="1016" w:right="36" w:firstLine="0"/>
        <w:jc w:val="left"/>
        <w:rPr>
          <w:sz w:val="20"/>
        </w:rPr>
      </w:pPr>
      <w:r>
        <w:rPr/>
        <w:pict>
          <v:shape style="position:absolute;margin-left:132.860001pt;margin-top:-39.303059pt;width:361.05pt;height:45.4pt;mso-position-horizontal-relative:page;mso-position-vertical-relative:paragraph;z-index:1144"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09"/>
                    <w:gridCol w:w="1404"/>
                    <w:gridCol w:w="1414"/>
                    <w:gridCol w:w="1865"/>
                  </w:tblGrid>
                  <w:tr>
                    <w:trPr>
                      <w:trHeight w:val="295" w:hRule="exact"/>
                    </w:trPr>
                    <w:tc>
                      <w:tcPr>
                        <w:tcW w:w="2509" w:type="dxa"/>
                        <w:tcBorders>
                          <w:left w:val="nil"/>
                        </w:tcBorders>
                      </w:tcPr>
                      <w:p>
                        <w:pPr>
                          <w:pStyle w:val="TableParagraph"/>
                          <w:spacing w:line="272" w:lineRule="exact"/>
                          <w:ind w:left="132" w:right="126"/>
                          <w:rPr>
                            <w:b/>
                            <w:sz w:val="24"/>
                          </w:rPr>
                        </w:pPr>
                        <w:r>
                          <w:rPr>
                            <w:b/>
                            <w:sz w:val="24"/>
                          </w:rPr>
                          <w:t>Grupo</w:t>
                        </w:r>
                      </w:p>
                    </w:tc>
                    <w:tc>
                      <w:tcPr>
                        <w:tcW w:w="1404" w:type="dxa"/>
                      </w:tcPr>
                      <w:p>
                        <w:pPr>
                          <w:pStyle w:val="TableParagraph"/>
                          <w:spacing w:line="272" w:lineRule="exact"/>
                          <w:ind w:left="139" w:right="138"/>
                          <w:rPr>
                            <w:b/>
                            <w:sz w:val="24"/>
                          </w:rPr>
                        </w:pPr>
                        <w:r>
                          <w:rPr>
                            <w:b/>
                            <w:sz w:val="24"/>
                          </w:rPr>
                          <w:t>CA</w:t>
                        </w:r>
                      </w:p>
                    </w:tc>
                    <w:tc>
                      <w:tcPr>
                        <w:tcW w:w="1414" w:type="dxa"/>
                      </w:tcPr>
                      <w:p>
                        <w:pPr>
                          <w:pStyle w:val="TableParagraph"/>
                          <w:spacing w:line="272" w:lineRule="exact"/>
                          <w:ind w:left="143" w:right="144"/>
                          <w:rPr>
                            <w:b/>
                            <w:sz w:val="24"/>
                          </w:rPr>
                        </w:pPr>
                        <w:r>
                          <w:rPr>
                            <w:b/>
                            <w:sz w:val="24"/>
                          </w:rPr>
                          <w:t>Vh</w:t>
                        </w:r>
                      </w:p>
                    </w:tc>
                    <w:tc>
                      <w:tcPr>
                        <w:tcW w:w="1865" w:type="dxa"/>
                        <w:tcBorders>
                          <w:right w:val="nil"/>
                        </w:tcBorders>
                      </w:tcPr>
                      <w:p>
                        <w:pPr>
                          <w:pStyle w:val="TableParagraph"/>
                          <w:spacing w:line="272" w:lineRule="exact"/>
                          <w:ind w:left="236" w:right="243"/>
                          <w:rPr>
                            <w:b/>
                            <w:sz w:val="24"/>
                          </w:rPr>
                        </w:pPr>
                        <w:r>
                          <w:rPr>
                            <w:b/>
                            <w:sz w:val="24"/>
                          </w:rPr>
                          <w:t>pCA</w:t>
                        </w:r>
                      </w:p>
                    </w:tc>
                  </w:tr>
                  <w:tr>
                    <w:trPr>
                      <w:trHeight w:val="295" w:hRule="exact"/>
                    </w:trPr>
                    <w:tc>
                      <w:tcPr>
                        <w:tcW w:w="2509" w:type="dxa"/>
                        <w:tcBorders>
                          <w:left w:val="nil"/>
                        </w:tcBorders>
                      </w:tcPr>
                      <w:p>
                        <w:pPr>
                          <w:pStyle w:val="TableParagraph"/>
                          <w:spacing w:line="272" w:lineRule="exact"/>
                          <w:ind w:left="132" w:right="127"/>
                          <w:rPr>
                            <w:b/>
                            <w:sz w:val="24"/>
                          </w:rPr>
                        </w:pPr>
                        <w:r>
                          <w:rPr>
                            <w:b/>
                            <w:sz w:val="24"/>
                          </w:rPr>
                          <w:t>Serotonina (ng/mg)</w:t>
                        </w:r>
                      </w:p>
                    </w:tc>
                    <w:tc>
                      <w:tcPr>
                        <w:tcW w:w="1404" w:type="dxa"/>
                      </w:tcPr>
                      <w:p>
                        <w:pPr>
                          <w:pStyle w:val="TableParagraph"/>
                          <w:spacing w:line="272" w:lineRule="exact"/>
                          <w:ind w:left="139" w:right="139"/>
                          <w:rPr>
                            <w:sz w:val="24"/>
                          </w:rPr>
                        </w:pPr>
                        <w:r>
                          <w:rPr>
                            <w:sz w:val="24"/>
                          </w:rPr>
                          <w:t>1.93±0.43</w:t>
                        </w:r>
                      </w:p>
                    </w:tc>
                    <w:tc>
                      <w:tcPr>
                        <w:tcW w:w="1414" w:type="dxa"/>
                      </w:tcPr>
                      <w:p>
                        <w:pPr>
                          <w:pStyle w:val="TableParagraph"/>
                          <w:spacing w:line="272" w:lineRule="exact"/>
                          <w:ind w:left="143" w:right="144"/>
                          <w:rPr>
                            <w:sz w:val="24"/>
                          </w:rPr>
                        </w:pPr>
                        <w:r>
                          <w:rPr>
                            <w:sz w:val="24"/>
                          </w:rPr>
                          <w:t>1.70±0.81</w:t>
                        </w:r>
                      </w:p>
                    </w:tc>
                    <w:tc>
                      <w:tcPr>
                        <w:tcW w:w="1865" w:type="dxa"/>
                        <w:tcBorders>
                          <w:right w:val="nil"/>
                        </w:tcBorders>
                      </w:tcPr>
                      <w:p>
                        <w:pPr>
                          <w:pStyle w:val="TableParagraph"/>
                          <w:spacing w:line="272" w:lineRule="exact"/>
                          <w:ind w:left="236" w:right="245"/>
                          <w:rPr>
                            <w:sz w:val="16"/>
                          </w:rPr>
                        </w:pPr>
                        <w:r>
                          <w:rPr>
                            <w:sz w:val="24"/>
                          </w:rPr>
                          <w:t>0.86±0.05</w:t>
                        </w:r>
                        <w:r>
                          <w:rPr>
                            <w:position w:val="11"/>
                            <w:sz w:val="16"/>
                          </w:rPr>
                          <w:t>a, b</w:t>
                        </w:r>
                      </w:p>
                    </w:tc>
                  </w:tr>
                  <w:tr>
                    <w:trPr>
                      <w:trHeight w:val="298" w:hRule="exact"/>
                    </w:trPr>
                    <w:tc>
                      <w:tcPr>
                        <w:tcW w:w="2509" w:type="dxa"/>
                        <w:tcBorders>
                          <w:left w:val="nil"/>
                        </w:tcBorders>
                      </w:tcPr>
                      <w:p>
                        <w:pPr>
                          <w:pStyle w:val="TableParagraph"/>
                          <w:spacing w:line="274" w:lineRule="exact"/>
                          <w:ind w:left="131" w:right="127"/>
                          <w:rPr>
                            <w:b/>
                            <w:sz w:val="24"/>
                          </w:rPr>
                        </w:pPr>
                        <w:r>
                          <w:rPr>
                            <w:b/>
                            <w:sz w:val="24"/>
                          </w:rPr>
                          <w:t>5-HIAA(ng/mg)</w:t>
                        </w:r>
                      </w:p>
                    </w:tc>
                    <w:tc>
                      <w:tcPr>
                        <w:tcW w:w="1404" w:type="dxa"/>
                      </w:tcPr>
                      <w:p>
                        <w:pPr>
                          <w:pStyle w:val="TableParagraph"/>
                          <w:spacing w:line="274" w:lineRule="exact"/>
                          <w:ind w:left="139" w:right="139"/>
                          <w:rPr>
                            <w:sz w:val="24"/>
                          </w:rPr>
                        </w:pPr>
                        <w:r>
                          <w:rPr>
                            <w:sz w:val="24"/>
                          </w:rPr>
                          <w:t>0.49±0.18</w:t>
                        </w:r>
                      </w:p>
                    </w:tc>
                    <w:tc>
                      <w:tcPr>
                        <w:tcW w:w="1414" w:type="dxa"/>
                      </w:tcPr>
                      <w:p>
                        <w:pPr>
                          <w:pStyle w:val="TableParagraph"/>
                          <w:spacing w:line="274" w:lineRule="exact"/>
                          <w:ind w:left="143" w:right="144"/>
                          <w:rPr>
                            <w:sz w:val="24"/>
                          </w:rPr>
                        </w:pPr>
                        <w:r>
                          <w:rPr>
                            <w:sz w:val="24"/>
                          </w:rPr>
                          <w:t>0.50±0.22</w:t>
                        </w:r>
                      </w:p>
                    </w:tc>
                    <w:tc>
                      <w:tcPr>
                        <w:tcW w:w="1865" w:type="dxa"/>
                        <w:tcBorders>
                          <w:right w:val="nil"/>
                        </w:tcBorders>
                      </w:tcPr>
                      <w:p>
                        <w:pPr>
                          <w:pStyle w:val="TableParagraph"/>
                          <w:spacing w:line="274" w:lineRule="exact"/>
                          <w:ind w:left="236" w:right="245"/>
                          <w:rPr>
                            <w:sz w:val="16"/>
                          </w:rPr>
                        </w:pPr>
                        <w:r>
                          <w:rPr>
                            <w:sz w:val="24"/>
                          </w:rPr>
                          <w:t>0.21±0.06</w:t>
                        </w:r>
                        <w:r>
                          <w:rPr>
                            <w:position w:val="11"/>
                            <w:sz w:val="16"/>
                          </w:rPr>
                          <w:t>a, b</w:t>
                        </w:r>
                      </w:p>
                    </w:tc>
                  </w:tr>
                </w:tbl>
                <w:p>
                  <w:pPr>
                    <w:pStyle w:val="BodyText"/>
                  </w:pPr>
                </w:p>
              </w:txbxContent>
            </v:textbox>
            <w10:wrap type="none"/>
          </v:shape>
        </w:pict>
      </w:r>
      <w:r>
        <w:rPr>
          <w:position w:val="10"/>
          <w:sz w:val="13"/>
        </w:rPr>
        <w:t>a</w:t>
      </w:r>
      <w:r>
        <w:rPr>
          <w:sz w:val="20"/>
        </w:rPr>
        <w:t>P&lt;0.05 con respecto al CA, </w:t>
      </w:r>
      <w:r>
        <w:rPr>
          <w:position w:val="10"/>
          <w:sz w:val="13"/>
        </w:rPr>
        <w:t>b</w:t>
      </w:r>
      <w:r>
        <w:rPr>
          <w:sz w:val="20"/>
        </w:rPr>
        <w:t>P&lt;0.05 con respecto al Vh.</w:t>
      </w:r>
    </w:p>
    <w:p>
      <w:pPr>
        <w:tabs>
          <w:tab w:pos="8138" w:val="left" w:leader="none"/>
        </w:tabs>
        <w:spacing w:before="0"/>
        <w:ind w:left="932" w:right="36" w:firstLine="0"/>
        <w:jc w:val="left"/>
        <w:rPr>
          <w:sz w:val="20"/>
        </w:rPr>
      </w:pPr>
      <w:r>
        <w:rPr>
          <w:w w:val="99"/>
          <w:sz w:val="20"/>
          <w:u w:val="single"/>
        </w:rPr>
        <w:t> </w:t>
      </w:r>
      <w:r>
        <w:rPr>
          <w:spacing w:val="-27"/>
          <w:sz w:val="20"/>
          <w:u w:val="single"/>
        </w:rPr>
        <w:t> </w:t>
      </w:r>
      <w:r>
        <w:rPr>
          <w:sz w:val="20"/>
          <w:u w:val="single"/>
        </w:rPr>
        <w:t>CA, control absoluto, Vh, vehículo, pCA,</w:t>
      </w:r>
      <w:r>
        <w:rPr>
          <w:spacing w:val="-12"/>
          <w:sz w:val="20"/>
          <w:u w:val="single"/>
        </w:rPr>
        <w:t> </w:t>
      </w:r>
      <w:r>
        <w:rPr>
          <w:sz w:val="20"/>
          <w:u w:val="single"/>
        </w:rPr>
        <w:t>para-cloroanfetamina.</w:t>
        <w:tab/>
      </w:r>
    </w:p>
    <w:p>
      <w:pPr>
        <w:pStyle w:val="BodyText"/>
        <w:rPr>
          <w:sz w:val="20"/>
        </w:rPr>
      </w:pPr>
    </w:p>
    <w:p>
      <w:pPr>
        <w:pStyle w:val="BodyText"/>
        <w:spacing w:before="2"/>
        <w:rPr>
          <w:sz w:val="29"/>
        </w:rPr>
      </w:pPr>
    </w:p>
    <w:p>
      <w:pPr>
        <w:pStyle w:val="BodyText"/>
        <w:spacing w:line="360" w:lineRule="auto" w:before="70"/>
        <w:ind w:left="265" w:right="114" w:firstLine="427"/>
        <w:jc w:val="both"/>
      </w:pPr>
      <w:r>
        <w:rPr/>
        <w:t>Encontramos diferencias estadísticamente significativas para las concentraciones de serotonina y 5-HIAA, estas fueron afectadas por la administración de la pCA disminuyendo casi un 50% en comparación a los grupos vehículo y control absoluto. Comprobamos que el modelo de la  inhibición de la síntesis de serotonina funcionó adecuadamente y que además pueden observarse variaciones en cuanto a los eventos de apoptosis (susceptibilidad) debidas a causas ajenas al tratamiento, por ello se indagó si esta susceptibilidad es debida a la expresión de los genes de apoptosis o de espermatogénesis y si se relaciona con los cambios en las concentraciones de hormonas relacionadas con la espermatogénesis o que estas hormonas fueran afectadas por cambios en la expresión de los</w:t>
      </w:r>
      <w:r>
        <w:rPr>
          <w:spacing w:val="-20"/>
        </w:rPr>
        <w:t> </w:t>
      </w:r>
      <w:r>
        <w:rPr/>
        <w:t>genes.</w:t>
      </w:r>
    </w:p>
    <w:p>
      <w:pPr>
        <w:spacing w:after="0" w:line="360" w:lineRule="auto"/>
        <w:jc w:val="both"/>
        <w:sectPr>
          <w:footerReference w:type="default" r:id="rId13"/>
          <w:pgSz w:w="12240" w:h="15840"/>
          <w:pgMar w:footer="1682" w:header="0" w:top="1360" w:bottom="1880" w:left="1720" w:right="1580"/>
        </w:sectPr>
      </w:pPr>
    </w:p>
    <w:p>
      <w:pPr>
        <w:pStyle w:val="Heading2"/>
        <w:numPr>
          <w:ilvl w:val="1"/>
          <w:numId w:val="6"/>
        </w:numPr>
        <w:tabs>
          <w:tab w:pos="668" w:val="left" w:leader="none"/>
        </w:tabs>
        <w:spacing w:line="240" w:lineRule="auto" w:before="57" w:after="0"/>
        <w:ind w:left="667" w:right="0" w:hanging="402"/>
        <w:jc w:val="left"/>
      </w:pPr>
      <w:r>
        <w:rPr/>
        <w:t>Mediciones</w:t>
      </w:r>
      <w:r>
        <w:rPr>
          <w:spacing w:val="-8"/>
        </w:rPr>
        <w:t> </w:t>
      </w:r>
      <w:r>
        <w:rPr/>
        <w:t>hormonales</w:t>
      </w:r>
    </w:p>
    <w:p>
      <w:pPr>
        <w:pStyle w:val="BodyText"/>
        <w:rPr>
          <w:b/>
        </w:rPr>
      </w:pPr>
    </w:p>
    <w:p>
      <w:pPr>
        <w:pStyle w:val="BodyText"/>
        <w:rPr>
          <w:b/>
        </w:rPr>
      </w:pPr>
    </w:p>
    <w:p>
      <w:pPr>
        <w:pStyle w:val="BodyText"/>
        <w:spacing w:before="7"/>
        <w:rPr>
          <w:b/>
          <w:sz w:val="34"/>
        </w:rPr>
      </w:pPr>
    </w:p>
    <w:p>
      <w:pPr>
        <w:pStyle w:val="BodyText"/>
        <w:spacing w:line="360" w:lineRule="auto"/>
        <w:ind w:left="265" w:right="36" w:firstLine="427"/>
      </w:pPr>
      <w:r>
        <w:rPr/>
        <w:t>Se midieron las concentraciones de gonadotropinas y de esteroides sexuales. El cuadro 7.3.1 muestra las concentraciones para estas hormonas.</w:t>
      </w:r>
    </w:p>
    <w:p>
      <w:pPr>
        <w:pStyle w:val="BodyText"/>
      </w:pPr>
    </w:p>
    <w:p>
      <w:pPr>
        <w:pStyle w:val="BodyText"/>
      </w:pPr>
    </w:p>
    <w:p>
      <w:pPr>
        <w:pStyle w:val="BodyText"/>
        <w:spacing w:before="2"/>
        <w:rPr>
          <w:sz w:val="23"/>
        </w:rPr>
      </w:pPr>
    </w:p>
    <w:p>
      <w:pPr>
        <w:pStyle w:val="BodyText"/>
        <w:spacing w:line="360" w:lineRule="auto"/>
        <w:ind w:left="265" w:right="36"/>
      </w:pPr>
      <w:r>
        <w:rPr/>
        <w:t>Cuadro 7.3.1. Promedio de las concentraciones de gonadotropinas y esteroides sexuales en los 3 grupos a los 45 días de edad.</w:t>
      </w:r>
    </w:p>
    <w:p>
      <w:pPr>
        <w:pStyle w:val="BodyText"/>
        <w:spacing w:before="11"/>
        <w:rPr>
          <w:sz w:val="17"/>
        </w:rPr>
      </w:pPr>
    </w:p>
    <w:tbl>
      <w:tblPr>
        <w:tblW w:w="0" w:type="auto"/>
        <w:jc w:val="left"/>
        <w:tblInd w:w="7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01"/>
        <w:gridCol w:w="1491"/>
        <w:gridCol w:w="1510"/>
        <w:gridCol w:w="1536"/>
      </w:tblGrid>
      <w:tr>
        <w:trPr>
          <w:trHeight w:val="406" w:hRule="exact"/>
        </w:trPr>
        <w:tc>
          <w:tcPr>
            <w:tcW w:w="3001" w:type="dxa"/>
            <w:tcBorders>
              <w:left w:val="nil"/>
            </w:tcBorders>
          </w:tcPr>
          <w:p>
            <w:pPr>
              <w:pStyle w:val="TableParagraph"/>
              <w:spacing w:before="51"/>
              <w:ind w:left="305" w:right="297"/>
              <w:rPr>
                <w:b/>
                <w:sz w:val="24"/>
              </w:rPr>
            </w:pPr>
            <w:r>
              <w:rPr>
                <w:b/>
                <w:sz w:val="24"/>
              </w:rPr>
              <w:t>Grupo</w:t>
            </w:r>
          </w:p>
        </w:tc>
        <w:tc>
          <w:tcPr>
            <w:tcW w:w="1491" w:type="dxa"/>
          </w:tcPr>
          <w:p>
            <w:pPr>
              <w:pStyle w:val="TableParagraph"/>
              <w:spacing w:before="51"/>
              <w:ind w:left="543" w:right="541"/>
              <w:rPr>
                <w:b/>
                <w:sz w:val="24"/>
              </w:rPr>
            </w:pPr>
            <w:r>
              <w:rPr>
                <w:b/>
                <w:sz w:val="24"/>
              </w:rPr>
              <w:t>CA</w:t>
            </w:r>
          </w:p>
        </w:tc>
        <w:tc>
          <w:tcPr>
            <w:tcW w:w="1510" w:type="dxa"/>
          </w:tcPr>
          <w:p>
            <w:pPr>
              <w:pStyle w:val="TableParagraph"/>
              <w:spacing w:before="51"/>
              <w:ind w:left="124" w:right="125"/>
              <w:rPr>
                <w:b/>
                <w:sz w:val="24"/>
              </w:rPr>
            </w:pPr>
            <w:r>
              <w:rPr>
                <w:b/>
                <w:sz w:val="24"/>
              </w:rPr>
              <w:t>Vh</w:t>
            </w:r>
          </w:p>
        </w:tc>
        <w:tc>
          <w:tcPr>
            <w:tcW w:w="1536" w:type="dxa"/>
            <w:tcBorders>
              <w:right w:val="nil"/>
            </w:tcBorders>
          </w:tcPr>
          <w:p>
            <w:pPr>
              <w:pStyle w:val="TableParagraph"/>
              <w:spacing w:before="51"/>
              <w:ind w:left="140" w:right="145"/>
              <w:rPr>
                <w:b/>
                <w:sz w:val="24"/>
              </w:rPr>
            </w:pPr>
            <w:r>
              <w:rPr>
                <w:b/>
                <w:sz w:val="24"/>
              </w:rPr>
              <w:t>pCA</w:t>
            </w:r>
          </w:p>
        </w:tc>
      </w:tr>
      <w:tr>
        <w:trPr>
          <w:trHeight w:val="412" w:hRule="exact"/>
        </w:trPr>
        <w:tc>
          <w:tcPr>
            <w:tcW w:w="3001" w:type="dxa"/>
            <w:tcBorders>
              <w:left w:val="nil"/>
              <w:bottom w:val="nil"/>
            </w:tcBorders>
          </w:tcPr>
          <w:p>
            <w:pPr>
              <w:pStyle w:val="TableParagraph"/>
              <w:spacing w:before="48"/>
              <w:ind w:left="306" w:right="297"/>
              <w:rPr>
                <w:b/>
                <w:sz w:val="24"/>
              </w:rPr>
            </w:pPr>
            <w:r>
              <w:rPr>
                <w:b/>
                <w:sz w:val="24"/>
              </w:rPr>
              <w:t>LH (ng/ml)</w:t>
            </w:r>
          </w:p>
        </w:tc>
        <w:tc>
          <w:tcPr>
            <w:tcW w:w="1491" w:type="dxa"/>
            <w:tcBorders>
              <w:bottom w:val="nil"/>
            </w:tcBorders>
          </w:tcPr>
          <w:p>
            <w:pPr>
              <w:pStyle w:val="TableParagraph"/>
              <w:spacing w:before="48"/>
              <w:ind w:right="201"/>
              <w:jc w:val="right"/>
              <w:rPr>
                <w:sz w:val="24"/>
              </w:rPr>
            </w:pPr>
            <w:r>
              <w:rPr>
                <w:sz w:val="24"/>
              </w:rPr>
              <w:t>0.38±0.38</w:t>
            </w:r>
          </w:p>
        </w:tc>
        <w:tc>
          <w:tcPr>
            <w:tcW w:w="1510" w:type="dxa"/>
            <w:tcBorders>
              <w:bottom w:val="nil"/>
            </w:tcBorders>
          </w:tcPr>
          <w:p>
            <w:pPr>
              <w:pStyle w:val="TableParagraph"/>
              <w:spacing w:before="48"/>
              <w:ind w:left="124" w:right="125"/>
              <w:rPr>
                <w:sz w:val="24"/>
              </w:rPr>
            </w:pPr>
            <w:r>
              <w:rPr>
                <w:sz w:val="24"/>
              </w:rPr>
              <w:t>0.30±0.22</w:t>
            </w:r>
          </w:p>
        </w:tc>
        <w:tc>
          <w:tcPr>
            <w:tcW w:w="1536" w:type="dxa"/>
            <w:tcBorders>
              <w:bottom w:val="nil"/>
              <w:right w:val="nil"/>
            </w:tcBorders>
          </w:tcPr>
          <w:p>
            <w:pPr>
              <w:pStyle w:val="TableParagraph"/>
              <w:spacing w:before="48"/>
              <w:ind w:left="140" w:right="147"/>
              <w:rPr>
                <w:sz w:val="24"/>
              </w:rPr>
            </w:pPr>
            <w:r>
              <w:rPr>
                <w:sz w:val="24"/>
              </w:rPr>
              <w:t>0.26±0.26</w:t>
            </w:r>
          </w:p>
        </w:tc>
      </w:tr>
      <w:tr>
        <w:trPr>
          <w:trHeight w:val="396" w:hRule="exact"/>
        </w:trPr>
        <w:tc>
          <w:tcPr>
            <w:tcW w:w="3001" w:type="dxa"/>
            <w:tcBorders>
              <w:top w:val="nil"/>
              <w:left w:val="nil"/>
              <w:bottom w:val="nil"/>
            </w:tcBorders>
          </w:tcPr>
          <w:p>
            <w:pPr>
              <w:pStyle w:val="TableParagraph"/>
              <w:spacing w:before="52"/>
              <w:ind w:left="304" w:right="297"/>
              <w:rPr>
                <w:b/>
                <w:sz w:val="24"/>
              </w:rPr>
            </w:pPr>
            <w:r>
              <w:rPr>
                <w:b/>
                <w:sz w:val="24"/>
              </w:rPr>
              <w:t>FSH (ng/ml)</w:t>
            </w:r>
          </w:p>
        </w:tc>
        <w:tc>
          <w:tcPr>
            <w:tcW w:w="1491" w:type="dxa"/>
            <w:tcBorders>
              <w:top w:val="nil"/>
              <w:bottom w:val="nil"/>
            </w:tcBorders>
          </w:tcPr>
          <w:p>
            <w:pPr>
              <w:pStyle w:val="TableParagraph"/>
              <w:spacing w:before="52"/>
              <w:ind w:right="134"/>
              <w:jc w:val="right"/>
              <w:rPr>
                <w:sz w:val="24"/>
              </w:rPr>
            </w:pPr>
            <w:r>
              <w:rPr>
                <w:sz w:val="24"/>
              </w:rPr>
              <w:t>10.32±3.82</w:t>
            </w:r>
          </w:p>
        </w:tc>
        <w:tc>
          <w:tcPr>
            <w:tcW w:w="1510" w:type="dxa"/>
            <w:tcBorders>
              <w:top w:val="nil"/>
              <w:bottom w:val="nil"/>
            </w:tcBorders>
          </w:tcPr>
          <w:p>
            <w:pPr>
              <w:pStyle w:val="TableParagraph"/>
              <w:spacing w:before="52"/>
              <w:ind w:left="125" w:right="125"/>
              <w:rPr>
                <w:sz w:val="24"/>
              </w:rPr>
            </w:pPr>
            <w:r>
              <w:rPr>
                <w:sz w:val="24"/>
              </w:rPr>
              <w:t>14.39±2.72</w:t>
            </w:r>
          </w:p>
        </w:tc>
        <w:tc>
          <w:tcPr>
            <w:tcW w:w="1536" w:type="dxa"/>
            <w:tcBorders>
              <w:top w:val="nil"/>
              <w:bottom w:val="nil"/>
              <w:right w:val="nil"/>
            </w:tcBorders>
          </w:tcPr>
          <w:p>
            <w:pPr>
              <w:pStyle w:val="TableParagraph"/>
              <w:spacing w:before="52"/>
              <w:ind w:left="140" w:right="147"/>
              <w:rPr>
                <w:sz w:val="24"/>
              </w:rPr>
            </w:pPr>
            <w:r>
              <w:rPr>
                <w:sz w:val="24"/>
              </w:rPr>
              <w:t>12.44±5.00</w:t>
            </w:r>
          </w:p>
        </w:tc>
      </w:tr>
      <w:tr>
        <w:trPr>
          <w:trHeight w:val="385" w:hRule="exact"/>
        </w:trPr>
        <w:tc>
          <w:tcPr>
            <w:tcW w:w="3001" w:type="dxa"/>
            <w:tcBorders>
              <w:top w:val="nil"/>
              <w:left w:val="nil"/>
              <w:bottom w:val="nil"/>
            </w:tcBorders>
          </w:tcPr>
          <w:p>
            <w:pPr>
              <w:pStyle w:val="TableParagraph"/>
              <w:spacing w:before="42"/>
              <w:ind w:left="305" w:right="297"/>
              <w:rPr>
                <w:b/>
                <w:sz w:val="24"/>
              </w:rPr>
            </w:pPr>
            <w:r>
              <w:rPr>
                <w:b/>
                <w:sz w:val="24"/>
              </w:rPr>
              <w:t>Testosterona(ng/ml)</w:t>
            </w:r>
          </w:p>
        </w:tc>
        <w:tc>
          <w:tcPr>
            <w:tcW w:w="1491" w:type="dxa"/>
            <w:tcBorders>
              <w:top w:val="nil"/>
              <w:bottom w:val="nil"/>
            </w:tcBorders>
          </w:tcPr>
          <w:p>
            <w:pPr>
              <w:pStyle w:val="TableParagraph"/>
              <w:spacing w:before="42"/>
              <w:ind w:right="201"/>
              <w:jc w:val="right"/>
              <w:rPr>
                <w:sz w:val="24"/>
              </w:rPr>
            </w:pPr>
            <w:r>
              <w:rPr>
                <w:sz w:val="24"/>
              </w:rPr>
              <w:t>0.99±0.55</w:t>
            </w:r>
          </w:p>
        </w:tc>
        <w:tc>
          <w:tcPr>
            <w:tcW w:w="1510" w:type="dxa"/>
            <w:tcBorders>
              <w:top w:val="nil"/>
              <w:bottom w:val="nil"/>
            </w:tcBorders>
          </w:tcPr>
          <w:p>
            <w:pPr>
              <w:pStyle w:val="TableParagraph"/>
              <w:spacing w:before="42"/>
              <w:ind w:left="124" w:right="125"/>
              <w:rPr>
                <w:sz w:val="24"/>
              </w:rPr>
            </w:pPr>
            <w:r>
              <w:rPr>
                <w:sz w:val="24"/>
              </w:rPr>
              <w:t>0.47±0.42</w:t>
            </w:r>
          </w:p>
        </w:tc>
        <w:tc>
          <w:tcPr>
            <w:tcW w:w="1536" w:type="dxa"/>
            <w:tcBorders>
              <w:top w:val="nil"/>
              <w:bottom w:val="nil"/>
              <w:right w:val="nil"/>
            </w:tcBorders>
          </w:tcPr>
          <w:p>
            <w:pPr>
              <w:pStyle w:val="TableParagraph"/>
              <w:spacing w:before="42"/>
              <w:ind w:left="140" w:right="147"/>
              <w:rPr>
                <w:sz w:val="24"/>
              </w:rPr>
            </w:pPr>
            <w:r>
              <w:rPr>
                <w:sz w:val="24"/>
              </w:rPr>
              <w:t>0.37±0.45</w:t>
            </w:r>
          </w:p>
        </w:tc>
      </w:tr>
      <w:tr>
        <w:trPr>
          <w:trHeight w:val="385" w:hRule="exact"/>
        </w:trPr>
        <w:tc>
          <w:tcPr>
            <w:tcW w:w="3001" w:type="dxa"/>
            <w:tcBorders>
              <w:top w:val="nil"/>
              <w:left w:val="nil"/>
              <w:bottom w:val="nil"/>
            </w:tcBorders>
          </w:tcPr>
          <w:p>
            <w:pPr>
              <w:pStyle w:val="TableParagraph"/>
              <w:spacing w:before="41"/>
              <w:ind w:left="307" w:right="297"/>
              <w:rPr>
                <w:b/>
                <w:sz w:val="24"/>
              </w:rPr>
            </w:pPr>
            <w:r>
              <w:rPr>
                <w:b/>
                <w:sz w:val="24"/>
              </w:rPr>
              <w:t>Progesterona(ng/ml)</w:t>
            </w:r>
          </w:p>
        </w:tc>
        <w:tc>
          <w:tcPr>
            <w:tcW w:w="1491" w:type="dxa"/>
            <w:tcBorders>
              <w:top w:val="nil"/>
              <w:bottom w:val="nil"/>
            </w:tcBorders>
          </w:tcPr>
          <w:p>
            <w:pPr>
              <w:pStyle w:val="TableParagraph"/>
              <w:spacing w:before="41"/>
              <w:ind w:right="134"/>
              <w:jc w:val="right"/>
              <w:rPr>
                <w:sz w:val="24"/>
              </w:rPr>
            </w:pPr>
            <w:r>
              <w:rPr>
                <w:sz w:val="24"/>
              </w:rPr>
              <w:t>15.09±4.31</w:t>
            </w:r>
          </w:p>
        </w:tc>
        <w:tc>
          <w:tcPr>
            <w:tcW w:w="1510" w:type="dxa"/>
            <w:tcBorders>
              <w:top w:val="nil"/>
              <w:bottom w:val="nil"/>
            </w:tcBorders>
          </w:tcPr>
          <w:p>
            <w:pPr>
              <w:pStyle w:val="TableParagraph"/>
              <w:spacing w:before="41"/>
              <w:ind w:left="125" w:right="125"/>
              <w:rPr>
                <w:sz w:val="24"/>
              </w:rPr>
            </w:pPr>
            <w:r>
              <w:rPr>
                <w:sz w:val="24"/>
              </w:rPr>
              <w:t>16.58±2.03</w:t>
            </w:r>
          </w:p>
        </w:tc>
        <w:tc>
          <w:tcPr>
            <w:tcW w:w="1536" w:type="dxa"/>
            <w:tcBorders>
              <w:top w:val="nil"/>
              <w:bottom w:val="nil"/>
              <w:right w:val="nil"/>
            </w:tcBorders>
          </w:tcPr>
          <w:p>
            <w:pPr>
              <w:pStyle w:val="TableParagraph"/>
              <w:spacing w:before="41"/>
              <w:ind w:left="140" w:right="147"/>
              <w:rPr>
                <w:sz w:val="24"/>
              </w:rPr>
            </w:pPr>
            <w:r>
              <w:rPr>
                <w:sz w:val="24"/>
              </w:rPr>
              <w:t>14.61±3.25</w:t>
            </w:r>
          </w:p>
        </w:tc>
      </w:tr>
      <w:tr>
        <w:trPr>
          <w:trHeight w:val="388" w:hRule="exact"/>
        </w:trPr>
        <w:tc>
          <w:tcPr>
            <w:tcW w:w="3001" w:type="dxa"/>
            <w:tcBorders>
              <w:top w:val="nil"/>
              <w:left w:val="nil"/>
            </w:tcBorders>
          </w:tcPr>
          <w:p>
            <w:pPr>
              <w:pStyle w:val="TableParagraph"/>
              <w:spacing w:before="42"/>
              <w:ind w:left="305" w:right="297"/>
              <w:rPr>
                <w:b/>
                <w:sz w:val="24"/>
              </w:rPr>
            </w:pPr>
            <w:r>
              <w:rPr>
                <w:b/>
                <w:sz w:val="24"/>
              </w:rPr>
              <w:t>Estradiol(pg/ml)</w:t>
            </w:r>
          </w:p>
        </w:tc>
        <w:tc>
          <w:tcPr>
            <w:tcW w:w="1491" w:type="dxa"/>
            <w:tcBorders>
              <w:top w:val="nil"/>
            </w:tcBorders>
          </w:tcPr>
          <w:p>
            <w:pPr>
              <w:pStyle w:val="TableParagraph"/>
              <w:spacing w:before="42"/>
              <w:ind w:right="201"/>
              <w:jc w:val="right"/>
              <w:rPr>
                <w:sz w:val="24"/>
              </w:rPr>
            </w:pPr>
            <w:r>
              <w:rPr>
                <w:sz w:val="24"/>
              </w:rPr>
              <w:t>1.75±0.69</w:t>
            </w:r>
          </w:p>
        </w:tc>
        <w:tc>
          <w:tcPr>
            <w:tcW w:w="1510" w:type="dxa"/>
            <w:tcBorders>
              <w:top w:val="nil"/>
            </w:tcBorders>
          </w:tcPr>
          <w:p>
            <w:pPr>
              <w:pStyle w:val="TableParagraph"/>
              <w:spacing w:before="42"/>
              <w:ind w:left="124" w:right="125"/>
              <w:rPr>
                <w:sz w:val="24"/>
              </w:rPr>
            </w:pPr>
            <w:r>
              <w:rPr>
                <w:sz w:val="24"/>
              </w:rPr>
              <w:t>2.83±1.55</w:t>
            </w:r>
          </w:p>
        </w:tc>
        <w:tc>
          <w:tcPr>
            <w:tcW w:w="1536" w:type="dxa"/>
            <w:tcBorders>
              <w:top w:val="nil"/>
              <w:right w:val="nil"/>
            </w:tcBorders>
          </w:tcPr>
          <w:p>
            <w:pPr>
              <w:pStyle w:val="TableParagraph"/>
              <w:spacing w:before="42"/>
              <w:ind w:left="140" w:right="147"/>
              <w:rPr>
                <w:sz w:val="24"/>
              </w:rPr>
            </w:pPr>
            <w:r>
              <w:rPr>
                <w:sz w:val="24"/>
              </w:rPr>
              <w:t>2.88±1.17</w:t>
            </w:r>
          </w:p>
        </w:tc>
      </w:tr>
    </w:tbl>
    <w:p>
      <w:pPr>
        <w:spacing w:before="33"/>
        <w:ind w:left="829" w:right="36" w:firstLine="0"/>
        <w:jc w:val="left"/>
        <w:rPr>
          <w:sz w:val="20"/>
        </w:rPr>
      </w:pPr>
      <w:r>
        <w:rPr/>
        <w:pict>
          <v:line style="position:absolute;mso-position-horizontal-relative:page;mso-position-vertical-relative:paragraph;z-index:1168;mso-wrap-distance-left:0;mso-wrap-distance-right:0" from="123.980003pt,16.549885pt" to="501.570003pt,16.549885pt" stroked="true" strokeweight=".95999pt" strokecolor="#000000">
            <w10:wrap type="topAndBottom"/>
          </v:line>
        </w:pict>
      </w:r>
      <w:r>
        <w:rPr>
          <w:sz w:val="20"/>
        </w:rPr>
        <w:t>CA, control absoluto, Vh, vehículo, pCA, para-cloroanfetamina.</w:t>
      </w:r>
    </w:p>
    <w:p>
      <w:pPr>
        <w:pStyle w:val="BodyText"/>
        <w:rPr>
          <w:sz w:val="20"/>
        </w:rPr>
      </w:pPr>
    </w:p>
    <w:p>
      <w:pPr>
        <w:pStyle w:val="BodyText"/>
        <w:spacing w:before="8"/>
      </w:pPr>
    </w:p>
    <w:p>
      <w:pPr>
        <w:pStyle w:val="BodyText"/>
        <w:spacing w:line="360" w:lineRule="auto" w:before="69"/>
        <w:ind w:left="265" w:right="116" w:firstLine="427"/>
        <w:jc w:val="both"/>
      </w:pPr>
      <w:r>
        <w:rPr/>
        <w:t>No se encontraron diferencias significativas para las concentraciones circulantes de LH, FSH, testosterona, progesterona o estradiol en los animales tratados o no con pCA.</w:t>
      </w:r>
    </w:p>
    <w:p>
      <w:pPr>
        <w:pStyle w:val="BodyText"/>
      </w:pPr>
    </w:p>
    <w:p>
      <w:pPr>
        <w:pStyle w:val="BodyText"/>
      </w:pPr>
    </w:p>
    <w:p>
      <w:pPr>
        <w:pStyle w:val="BodyText"/>
        <w:spacing w:before="2"/>
        <w:rPr>
          <w:sz w:val="23"/>
        </w:rPr>
      </w:pPr>
    </w:p>
    <w:p>
      <w:pPr>
        <w:pStyle w:val="Heading2"/>
        <w:numPr>
          <w:ilvl w:val="1"/>
          <w:numId w:val="6"/>
        </w:numPr>
        <w:tabs>
          <w:tab w:pos="668" w:val="left" w:leader="none"/>
        </w:tabs>
        <w:spacing w:line="240" w:lineRule="auto" w:before="0" w:after="0"/>
        <w:ind w:left="667" w:right="0" w:hanging="402"/>
        <w:jc w:val="left"/>
      </w:pPr>
      <w:r>
        <w:rPr/>
        <w:t>Efecto de los</w:t>
      </w:r>
      <w:r>
        <w:rPr>
          <w:spacing w:val="-12"/>
        </w:rPr>
        <w:t> </w:t>
      </w:r>
      <w:r>
        <w:rPr/>
        <w:t>tratamientos</w:t>
      </w:r>
    </w:p>
    <w:p>
      <w:pPr>
        <w:pStyle w:val="BodyText"/>
        <w:spacing w:before="2"/>
        <w:rPr>
          <w:b/>
          <w:sz w:val="29"/>
        </w:rPr>
      </w:pPr>
    </w:p>
    <w:p>
      <w:pPr>
        <w:pStyle w:val="BodyText"/>
        <w:spacing w:line="360" w:lineRule="auto"/>
        <w:ind w:left="265" w:right="112" w:firstLine="427"/>
        <w:jc w:val="both"/>
      </w:pPr>
      <w:r>
        <w:rPr/>
        <w:t>En el cuadro 7.4 se presenta el efecto del tratamiento con pCA sobre las concentraciones de serotonina y 5-HIAA, hormonas gonadotropinas y esteroides de acuerdo al nivel de susceptibilidad que presentaron los</w:t>
      </w:r>
      <w:r>
        <w:rPr>
          <w:spacing w:val="-20"/>
        </w:rPr>
        <w:t> </w:t>
      </w:r>
      <w:r>
        <w:rPr/>
        <w:t>individuos.</w:t>
      </w:r>
    </w:p>
    <w:p>
      <w:pPr>
        <w:spacing w:after="0" w:line="360" w:lineRule="auto"/>
        <w:jc w:val="both"/>
        <w:sectPr>
          <w:footerReference w:type="default" r:id="rId14"/>
          <w:pgSz w:w="12240" w:h="15840"/>
          <w:pgMar w:footer="1682" w:header="0" w:top="1360" w:bottom="1880" w:left="1720" w:right="1580"/>
          <w:pgNumType w:start="31"/>
        </w:sectPr>
      </w:pPr>
    </w:p>
    <w:p>
      <w:pPr>
        <w:pStyle w:val="BodyText"/>
        <w:spacing w:line="360" w:lineRule="auto" w:before="57"/>
        <w:ind w:left="285" w:right="275"/>
        <w:jc w:val="both"/>
      </w:pPr>
      <w:r>
        <w:rPr/>
        <w:t>Cuadro 7.4 Promedio de las concentraciones de serotonina y 5-HIAA, hormonas gonadotropinas y hormonas esteroides en ratas macho tratadas con pCA, Vh y CA con respecto a su susceptibilidad.</w:t>
      </w:r>
    </w:p>
    <w:p>
      <w:pPr>
        <w:pStyle w:val="BodyText"/>
        <w:spacing w:before="10"/>
        <w:rPr>
          <w:sz w:val="17"/>
        </w:rPr>
      </w:pP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77"/>
        <w:gridCol w:w="1128"/>
        <w:gridCol w:w="1133"/>
        <w:gridCol w:w="1129"/>
        <w:gridCol w:w="1134"/>
        <w:gridCol w:w="1128"/>
        <w:gridCol w:w="1133"/>
      </w:tblGrid>
      <w:tr>
        <w:trPr>
          <w:trHeight w:val="792" w:hRule="exact"/>
        </w:trPr>
        <w:tc>
          <w:tcPr>
            <w:tcW w:w="2077" w:type="dxa"/>
            <w:tcBorders>
              <w:left w:val="nil"/>
            </w:tcBorders>
          </w:tcPr>
          <w:p>
            <w:pPr>
              <w:pStyle w:val="TableParagraph"/>
              <w:spacing w:before="1"/>
              <w:jc w:val="left"/>
              <w:rPr>
                <w:sz w:val="21"/>
              </w:rPr>
            </w:pPr>
          </w:p>
          <w:p>
            <w:pPr>
              <w:pStyle w:val="TableParagraph"/>
              <w:ind w:left="37" w:right="24"/>
              <w:rPr>
                <w:b/>
                <w:sz w:val="24"/>
              </w:rPr>
            </w:pPr>
            <w:r>
              <w:rPr>
                <w:b/>
                <w:sz w:val="24"/>
              </w:rPr>
              <w:t>Tratamiento</w:t>
            </w:r>
          </w:p>
        </w:tc>
        <w:tc>
          <w:tcPr>
            <w:tcW w:w="2261" w:type="dxa"/>
            <w:gridSpan w:val="2"/>
          </w:tcPr>
          <w:p>
            <w:pPr>
              <w:pStyle w:val="TableParagraph"/>
              <w:spacing w:before="51"/>
              <w:ind w:left="4"/>
              <w:rPr>
                <w:b/>
                <w:sz w:val="24"/>
              </w:rPr>
            </w:pPr>
            <w:r>
              <w:rPr>
                <w:b/>
                <w:sz w:val="24"/>
              </w:rPr>
              <w:t>CA</w:t>
            </w:r>
          </w:p>
          <w:p>
            <w:pPr>
              <w:pStyle w:val="TableParagraph"/>
              <w:tabs>
                <w:tab w:pos="1129" w:val="left" w:leader="none"/>
              </w:tabs>
              <w:spacing w:before="110"/>
              <w:ind w:left="25"/>
              <w:rPr>
                <w:b/>
                <w:sz w:val="24"/>
              </w:rPr>
            </w:pPr>
            <w:r>
              <w:rPr>
                <w:b/>
                <w:sz w:val="24"/>
              </w:rPr>
              <w:t>Alta</w:t>
              <w:tab/>
              <w:t>Baja</w:t>
            </w:r>
          </w:p>
        </w:tc>
        <w:tc>
          <w:tcPr>
            <w:tcW w:w="2264" w:type="dxa"/>
            <w:gridSpan w:val="2"/>
          </w:tcPr>
          <w:p>
            <w:pPr>
              <w:pStyle w:val="TableParagraph"/>
              <w:spacing w:before="51"/>
              <w:ind w:left="25" w:right="26"/>
              <w:rPr>
                <w:b/>
                <w:sz w:val="24"/>
              </w:rPr>
            </w:pPr>
            <w:r>
              <w:rPr>
                <w:b/>
                <w:sz w:val="24"/>
              </w:rPr>
              <w:t>Vh</w:t>
            </w:r>
          </w:p>
          <w:p>
            <w:pPr>
              <w:pStyle w:val="TableParagraph"/>
              <w:tabs>
                <w:tab w:pos="1132" w:val="left" w:leader="none"/>
              </w:tabs>
              <w:spacing w:before="110"/>
              <w:ind w:left="25"/>
              <w:rPr>
                <w:b/>
                <w:sz w:val="24"/>
              </w:rPr>
            </w:pPr>
            <w:r>
              <w:rPr>
                <w:b/>
                <w:sz w:val="24"/>
              </w:rPr>
              <w:t>Alta</w:t>
              <w:tab/>
              <w:t>Baja</w:t>
            </w:r>
          </w:p>
        </w:tc>
        <w:tc>
          <w:tcPr>
            <w:tcW w:w="2261" w:type="dxa"/>
            <w:gridSpan w:val="2"/>
            <w:tcBorders>
              <w:right w:val="nil"/>
            </w:tcBorders>
          </w:tcPr>
          <w:p>
            <w:pPr>
              <w:pStyle w:val="TableParagraph"/>
              <w:spacing w:before="51"/>
              <w:ind w:left="15" w:right="17"/>
              <w:rPr>
                <w:b/>
                <w:sz w:val="24"/>
              </w:rPr>
            </w:pPr>
            <w:r>
              <w:rPr>
                <w:b/>
                <w:sz w:val="24"/>
              </w:rPr>
              <w:t>PCA</w:t>
            </w:r>
          </w:p>
          <w:p>
            <w:pPr>
              <w:pStyle w:val="TableParagraph"/>
              <w:tabs>
                <w:tab w:pos="1120" w:val="left" w:leader="none"/>
              </w:tabs>
              <w:spacing w:before="110"/>
              <w:ind w:left="15"/>
              <w:rPr>
                <w:b/>
                <w:sz w:val="24"/>
              </w:rPr>
            </w:pPr>
            <w:r>
              <w:rPr>
                <w:b/>
                <w:sz w:val="24"/>
              </w:rPr>
              <w:t>Alta</w:t>
              <w:tab/>
              <w:t>Baja</w:t>
            </w:r>
          </w:p>
        </w:tc>
      </w:tr>
      <w:tr>
        <w:trPr>
          <w:trHeight w:val="337" w:hRule="exact"/>
        </w:trPr>
        <w:tc>
          <w:tcPr>
            <w:tcW w:w="2077" w:type="dxa"/>
            <w:tcBorders>
              <w:left w:val="nil"/>
              <w:bottom w:val="nil"/>
            </w:tcBorders>
          </w:tcPr>
          <w:p>
            <w:pPr>
              <w:pStyle w:val="TableParagraph"/>
              <w:spacing w:before="31"/>
              <w:ind w:left="36" w:right="33"/>
              <w:rPr>
                <w:b/>
                <w:sz w:val="20"/>
              </w:rPr>
            </w:pPr>
            <w:r>
              <w:rPr>
                <w:b/>
                <w:sz w:val="20"/>
              </w:rPr>
              <w:t>Serotonina(ng/mg)</w:t>
            </w:r>
          </w:p>
        </w:tc>
        <w:tc>
          <w:tcPr>
            <w:tcW w:w="1128" w:type="dxa"/>
            <w:tcBorders>
              <w:bottom w:val="nil"/>
              <w:right w:val="nil"/>
            </w:tcBorders>
          </w:tcPr>
          <w:p>
            <w:pPr>
              <w:pStyle w:val="TableParagraph"/>
              <w:spacing w:before="33"/>
              <w:ind w:left="34" w:right="43"/>
              <w:rPr>
                <w:sz w:val="20"/>
              </w:rPr>
            </w:pPr>
            <w:r>
              <w:rPr>
                <w:sz w:val="20"/>
              </w:rPr>
              <w:t>2.05±0.62</w:t>
            </w:r>
          </w:p>
        </w:tc>
        <w:tc>
          <w:tcPr>
            <w:tcW w:w="1133" w:type="dxa"/>
            <w:tcBorders>
              <w:left w:val="nil"/>
              <w:bottom w:val="nil"/>
            </w:tcBorders>
          </w:tcPr>
          <w:p>
            <w:pPr>
              <w:pStyle w:val="TableParagraph"/>
              <w:spacing w:before="33"/>
              <w:ind w:left="45" w:right="38"/>
              <w:rPr>
                <w:sz w:val="20"/>
              </w:rPr>
            </w:pPr>
            <w:r>
              <w:rPr>
                <w:sz w:val="20"/>
              </w:rPr>
              <w:t>1.81±0.18</w:t>
            </w:r>
          </w:p>
        </w:tc>
        <w:tc>
          <w:tcPr>
            <w:tcW w:w="1129" w:type="dxa"/>
            <w:tcBorders>
              <w:bottom w:val="nil"/>
              <w:right w:val="nil"/>
            </w:tcBorders>
          </w:tcPr>
          <w:p>
            <w:pPr>
              <w:pStyle w:val="TableParagraph"/>
              <w:spacing w:before="33"/>
              <w:ind w:left="34" w:right="45"/>
              <w:rPr>
                <w:sz w:val="20"/>
              </w:rPr>
            </w:pPr>
            <w:r>
              <w:rPr>
                <w:sz w:val="20"/>
              </w:rPr>
              <w:t>1.91±0.11</w:t>
            </w:r>
          </w:p>
        </w:tc>
        <w:tc>
          <w:tcPr>
            <w:tcW w:w="1134" w:type="dxa"/>
            <w:tcBorders>
              <w:left w:val="nil"/>
              <w:bottom w:val="nil"/>
            </w:tcBorders>
          </w:tcPr>
          <w:p>
            <w:pPr>
              <w:pStyle w:val="TableParagraph"/>
              <w:spacing w:before="33"/>
              <w:ind w:left="123"/>
              <w:jc w:val="left"/>
              <w:rPr>
                <w:sz w:val="20"/>
              </w:rPr>
            </w:pPr>
            <w:r>
              <w:rPr>
                <w:sz w:val="20"/>
              </w:rPr>
              <w:t>1.49±1.23</w:t>
            </w:r>
          </w:p>
        </w:tc>
        <w:tc>
          <w:tcPr>
            <w:tcW w:w="1128" w:type="dxa"/>
            <w:tcBorders>
              <w:bottom w:val="nil"/>
              <w:right w:val="nil"/>
            </w:tcBorders>
          </w:tcPr>
          <w:p>
            <w:pPr>
              <w:pStyle w:val="TableParagraph"/>
              <w:spacing w:before="33"/>
              <w:ind w:left="34" w:right="43"/>
              <w:rPr>
                <w:sz w:val="20"/>
              </w:rPr>
            </w:pPr>
            <w:r>
              <w:rPr>
                <w:sz w:val="20"/>
              </w:rPr>
              <w:t>0.89±0.07</w:t>
            </w:r>
          </w:p>
        </w:tc>
        <w:tc>
          <w:tcPr>
            <w:tcW w:w="1133" w:type="dxa"/>
            <w:tcBorders>
              <w:left w:val="nil"/>
              <w:bottom w:val="nil"/>
              <w:right w:val="nil"/>
            </w:tcBorders>
          </w:tcPr>
          <w:p>
            <w:pPr>
              <w:pStyle w:val="TableParagraph"/>
              <w:spacing w:before="33"/>
              <w:ind w:right="122"/>
              <w:jc w:val="right"/>
              <w:rPr>
                <w:sz w:val="20"/>
              </w:rPr>
            </w:pPr>
            <w:r>
              <w:rPr>
                <w:sz w:val="20"/>
              </w:rPr>
              <w:t>0.84±0.03</w:t>
            </w:r>
          </w:p>
        </w:tc>
      </w:tr>
      <w:tr>
        <w:trPr>
          <w:trHeight w:val="340" w:hRule="exact"/>
        </w:trPr>
        <w:tc>
          <w:tcPr>
            <w:tcW w:w="2077" w:type="dxa"/>
            <w:tcBorders>
              <w:top w:val="nil"/>
              <w:left w:val="nil"/>
              <w:bottom w:val="nil"/>
            </w:tcBorders>
          </w:tcPr>
          <w:p>
            <w:pPr>
              <w:pStyle w:val="TableParagraph"/>
              <w:spacing w:before="42"/>
              <w:ind w:left="37" w:right="30"/>
              <w:rPr>
                <w:b/>
                <w:sz w:val="20"/>
              </w:rPr>
            </w:pPr>
            <w:r>
              <w:rPr>
                <w:b/>
                <w:sz w:val="20"/>
              </w:rPr>
              <w:t>5-HIAA(ng/mg)</w:t>
            </w:r>
          </w:p>
        </w:tc>
        <w:tc>
          <w:tcPr>
            <w:tcW w:w="1128" w:type="dxa"/>
            <w:tcBorders>
              <w:top w:val="nil"/>
              <w:bottom w:val="nil"/>
              <w:right w:val="nil"/>
            </w:tcBorders>
          </w:tcPr>
          <w:p>
            <w:pPr>
              <w:pStyle w:val="TableParagraph"/>
              <w:spacing w:before="44"/>
              <w:ind w:left="34" w:right="43"/>
              <w:rPr>
                <w:sz w:val="20"/>
              </w:rPr>
            </w:pPr>
            <w:r>
              <w:rPr>
                <w:sz w:val="20"/>
              </w:rPr>
              <w:t>0.48±0.28</w:t>
            </w:r>
          </w:p>
        </w:tc>
        <w:tc>
          <w:tcPr>
            <w:tcW w:w="1133" w:type="dxa"/>
            <w:tcBorders>
              <w:top w:val="nil"/>
              <w:left w:val="nil"/>
              <w:bottom w:val="nil"/>
            </w:tcBorders>
          </w:tcPr>
          <w:p>
            <w:pPr>
              <w:pStyle w:val="TableParagraph"/>
              <w:spacing w:before="44"/>
              <w:ind w:left="45" w:right="38"/>
              <w:rPr>
                <w:sz w:val="20"/>
              </w:rPr>
            </w:pPr>
            <w:r>
              <w:rPr>
                <w:sz w:val="20"/>
              </w:rPr>
              <w:t>0.51±0.05</w:t>
            </w:r>
          </w:p>
        </w:tc>
        <w:tc>
          <w:tcPr>
            <w:tcW w:w="1129" w:type="dxa"/>
            <w:tcBorders>
              <w:top w:val="nil"/>
              <w:bottom w:val="nil"/>
              <w:right w:val="nil"/>
            </w:tcBorders>
          </w:tcPr>
          <w:p>
            <w:pPr>
              <w:pStyle w:val="TableParagraph"/>
              <w:spacing w:before="44"/>
              <w:ind w:left="34" w:right="45"/>
              <w:rPr>
                <w:sz w:val="20"/>
              </w:rPr>
            </w:pPr>
            <w:r>
              <w:rPr>
                <w:sz w:val="20"/>
              </w:rPr>
              <w:t>0.55±0.03</w:t>
            </w:r>
          </w:p>
        </w:tc>
        <w:tc>
          <w:tcPr>
            <w:tcW w:w="1134" w:type="dxa"/>
            <w:tcBorders>
              <w:top w:val="nil"/>
              <w:left w:val="nil"/>
              <w:bottom w:val="nil"/>
            </w:tcBorders>
          </w:tcPr>
          <w:p>
            <w:pPr>
              <w:pStyle w:val="TableParagraph"/>
              <w:spacing w:before="44"/>
              <w:ind w:left="123"/>
              <w:jc w:val="left"/>
              <w:rPr>
                <w:sz w:val="20"/>
              </w:rPr>
            </w:pPr>
            <w:r>
              <w:rPr>
                <w:sz w:val="20"/>
              </w:rPr>
              <w:t>0.45±0.34</w:t>
            </w:r>
          </w:p>
        </w:tc>
        <w:tc>
          <w:tcPr>
            <w:tcW w:w="1128" w:type="dxa"/>
            <w:tcBorders>
              <w:top w:val="nil"/>
              <w:bottom w:val="nil"/>
              <w:right w:val="nil"/>
            </w:tcBorders>
          </w:tcPr>
          <w:p>
            <w:pPr>
              <w:pStyle w:val="TableParagraph"/>
              <w:spacing w:before="44"/>
              <w:ind w:left="34" w:right="43"/>
              <w:rPr>
                <w:sz w:val="20"/>
              </w:rPr>
            </w:pPr>
            <w:r>
              <w:rPr>
                <w:sz w:val="20"/>
              </w:rPr>
              <w:t>0.20±0.05</w:t>
            </w:r>
          </w:p>
        </w:tc>
        <w:tc>
          <w:tcPr>
            <w:tcW w:w="1133" w:type="dxa"/>
            <w:tcBorders>
              <w:top w:val="nil"/>
              <w:left w:val="nil"/>
              <w:bottom w:val="nil"/>
              <w:right w:val="nil"/>
            </w:tcBorders>
          </w:tcPr>
          <w:p>
            <w:pPr>
              <w:pStyle w:val="TableParagraph"/>
              <w:spacing w:before="44"/>
              <w:ind w:right="122"/>
              <w:jc w:val="right"/>
              <w:rPr>
                <w:sz w:val="20"/>
              </w:rPr>
            </w:pPr>
            <w:r>
              <w:rPr>
                <w:sz w:val="20"/>
              </w:rPr>
              <w:t>0.23±0.07</w:t>
            </w:r>
          </w:p>
        </w:tc>
      </w:tr>
      <w:tr>
        <w:trPr>
          <w:trHeight w:val="340" w:hRule="exact"/>
        </w:trPr>
        <w:tc>
          <w:tcPr>
            <w:tcW w:w="2077" w:type="dxa"/>
            <w:tcBorders>
              <w:top w:val="nil"/>
              <w:left w:val="nil"/>
              <w:bottom w:val="nil"/>
            </w:tcBorders>
          </w:tcPr>
          <w:p>
            <w:pPr>
              <w:pStyle w:val="TableParagraph"/>
              <w:spacing w:before="43"/>
              <w:ind w:left="37" w:right="31"/>
              <w:rPr>
                <w:b/>
                <w:sz w:val="20"/>
              </w:rPr>
            </w:pPr>
            <w:r>
              <w:rPr>
                <w:b/>
                <w:sz w:val="20"/>
              </w:rPr>
              <w:t>LH(ng/ml)</w:t>
            </w:r>
          </w:p>
        </w:tc>
        <w:tc>
          <w:tcPr>
            <w:tcW w:w="1128" w:type="dxa"/>
            <w:tcBorders>
              <w:top w:val="nil"/>
              <w:bottom w:val="nil"/>
              <w:right w:val="nil"/>
            </w:tcBorders>
          </w:tcPr>
          <w:p>
            <w:pPr>
              <w:pStyle w:val="TableParagraph"/>
              <w:spacing w:before="46"/>
              <w:ind w:left="34" w:right="43"/>
              <w:rPr>
                <w:sz w:val="20"/>
              </w:rPr>
            </w:pPr>
            <w:r>
              <w:rPr>
                <w:sz w:val="20"/>
              </w:rPr>
              <w:t>0.24±0.19</w:t>
            </w:r>
          </w:p>
        </w:tc>
        <w:tc>
          <w:tcPr>
            <w:tcW w:w="1133" w:type="dxa"/>
            <w:tcBorders>
              <w:top w:val="nil"/>
              <w:left w:val="nil"/>
              <w:bottom w:val="nil"/>
            </w:tcBorders>
          </w:tcPr>
          <w:p>
            <w:pPr>
              <w:pStyle w:val="TableParagraph"/>
              <w:spacing w:before="46"/>
              <w:ind w:left="45" w:right="38"/>
              <w:rPr>
                <w:sz w:val="20"/>
              </w:rPr>
            </w:pPr>
            <w:r>
              <w:rPr>
                <w:sz w:val="20"/>
              </w:rPr>
              <w:t>0.52±0.52</w:t>
            </w:r>
          </w:p>
        </w:tc>
        <w:tc>
          <w:tcPr>
            <w:tcW w:w="1129" w:type="dxa"/>
            <w:tcBorders>
              <w:top w:val="nil"/>
              <w:bottom w:val="nil"/>
              <w:right w:val="nil"/>
            </w:tcBorders>
          </w:tcPr>
          <w:p>
            <w:pPr>
              <w:pStyle w:val="TableParagraph"/>
              <w:spacing w:before="46"/>
              <w:ind w:left="34" w:right="45"/>
              <w:rPr>
                <w:sz w:val="20"/>
              </w:rPr>
            </w:pPr>
            <w:r>
              <w:rPr>
                <w:sz w:val="20"/>
              </w:rPr>
              <w:t>0.38±0.30</w:t>
            </w:r>
          </w:p>
        </w:tc>
        <w:tc>
          <w:tcPr>
            <w:tcW w:w="1134" w:type="dxa"/>
            <w:tcBorders>
              <w:top w:val="nil"/>
              <w:left w:val="nil"/>
              <w:bottom w:val="nil"/>
            </w:tcBorders>
          </w:tcPr>
          <w:p>
            <w:pPr>
              <w:pStyle w:val="TableParagraph"/>
              <w:spacing w:before="46"/>
              <w:ind w:left="123"/>
              <w:jc w:val="left"/>
              <w:rPr>
                <w:sz w:val="20"/>
              </w:rPr>
            </w:pPr>
            <w:r>
              <w:rPr>
                <w:sz w:val="20"/>
              </w:rPr>
              <w:t>0.22±0.12</w:t>
            </w:r>
          </w:p>
        </w:tc>
        <w:tc>
          <w:tcPr>
            <w:tcW w:w="1128" w:type="dxa"/>
            <w:tcBorders>
              <w:top w:val="nil"/>
              <w:bottom w:val="nil"/>
              <w:right w:val="nil"/>
            </w:tcBorders>
          </w:tcPr>
          <w:p>
            <w:pPr>
              <w:pStyle w:val="TableParagraph"/>
              <w:spacing w:before="46"/>
              <w:ind w:left="34" w:right="43"/>
              <w:rPr>
                <w:sz w:val="20"/>
              </w:rPr>
            </w:pPr>
            <w:r>
              <w:rPr>
                <w:sz w:val="20"/>
              </w:rPr>
              <w:t>0.09±0.01</w:t>
            </w:r>
          </w:p>
        </w:tc>
        <w:tc>
          <w:tcPr>
            <w:tcW w:w="1133" w:type="dxa"/>
            <w:tcBorders>
              <w:top w:val="nil"/>
              <w:left w:val="nil"/>
              <w:bottom w:val="nil"/>
              <w:right w:val="nil"/>
            </w:tcBorders>
          </w:tcPr>
          <w:p>
            <w:pPr>
              <w:pStyle w:val="TableParagraph"/>
              <w:spacing w:before="46"/>
              <w:ind w:right="122"/>
              <w:jc w:val="right"/>
              <w:rPr>
                <w:sz w:val="20"/>
              </w:rPr>
            </w:pPr>
            <w:r>
              <w:rPr>
                <w:sz w:val="20"/>
              </w:rPr>
              <w:t>0.43±0.28</w:t>
            </w:r>
          </w:p>
        </w:tc>
      </w:tr>
      <w:tr>
        <w:trPr>
          <w:trHeight w:val="340" w:hRule="exact"/>
        </w:trPr>
        <w:tc>
          <w:tcPr>
            <w:tcW w:w="2077" w:type="dxa"/>
            <w:tcBorders>
              <w:top w:val="nil"/>
              <w:left w:val="nil"/>
              <w:bottom w:val="nil"/>
            </w:tcBorders>
          </w:tcPr>
          <w:p>
            <w:pPr>
              <w:pStyle w:val="TableParagraph"/>
              <w:spacing w:before="42"/>
              <w:ind w:left="37" w:right="28"/>
              <w:rPr>
                <w:b/>
                <w:sz w:val="20"/>
              </w:rPr>
            </w:pPr>
            <w:r>
              <w:rPr>
                <w:b/>
                <w:sz w:val="20"/>
              </w:rPr>
              <w:t>FSH(ng/ml)</w:t>
            </w:r>
          </w:p>
        </w:tc>
        <w:tc>
          <w:tcPr>
            <w:tcW w:w="1128" w:type="dxa"/>
            <w:tcBorders>
              <w:top w:val="nil"/>
              <w:bottom w:val="nil"/>
              <w:right w:val="nil"/>
            </w:tcBorders>
          </w:tcPr>
          <w:p>
            <w:pPr>
              <w:pStyle w:val="TableParagraph"/>
              <w:spacing w:before="44"/>
              <w:ind w:left="34" w:right="44"/>
              <w:rPr>
                <w:sz w:val="20"/>
              </w:rPr>
            </w:pPr>
            <w:r>
              <w:rPr>
                <w:sz w:val="20"/>
              </w:rPr>
              <w:t>11.18±3.92</w:t>
            </w:r>
          </w:p>
        </w:tc>
        <w:tc>
          <w:tcPr>
            <w:tcW w:w="1133" w:type="dxa"/>
            <w:tcBorders>
              <w:top w:val="nil"/>
              <w:left w:val="nil"/>
              <w:bottom w:val="nil"/>
            </w:tcBorders>
          </w:tcPr>
          <w:p>
            <w:pPr>
              <w:pStyle w:val="TableParagraph"/>
              <w:spacing w:before="44"/>
              <w:ind w:left="45" w:right="38"/>
              <w:rPr>
                <w:sz w:val="20"/>
              </w:rPr>
            </w:pPr>
            <w:r>
              <w:rPr>
                <w:sz w:val="20"/>
              </w:rPr>
              <w:t>9.46±4.35</w:t>
            </w:r>
          </w:p>
        </w:tc>
        <w:tc>
          <w:tcPr>
            <w:tcW w:w="1129" w:type="dxa"/>
            <w:tcBorders>
              <w:top w:val="nil"/>
              <w:bottom w:val="nil"/>
              <w:right w:val="nil"/>
            </w:tcBorders>
          </w:tcPr>
          <w:p>
            <w:pPr>
              <w:pStyle w:val="TableParagraph"/>
              <w:spacing w:before="44"/>
              <w:ind w:left="34" w:right="45"/>
              <w:rPr>
                <w:sz w:val="20"/>
              </w:rPr>
            </w:pPr>
            <w:r>
              <w:rPr>
                <w:sz w:val="20"/>
              </w:rPr>
              <w:t>13.16±2.91</w:t>
            </w:r>
          </w:p>
        </w:tc>
        <w:tc>
          <w:tcPr>
            <w:tcW w:w="1134" w:type="dxa"/>
            <w:tcBorders>
              <w:top w:val="nil"/>
              <w:left w:val="nil"/>
              <w:bottom w:val="nil"/>
            </w:tcBorders>
          </w:tcPr>
          <w:p>
            <w:pPr>
              <w:pStyle w:val="TableParagraph"/>
              <w:spacing w:before="44"/>
              <w:ind w:left="68"/>
              <w:jc w:val="left"/>
              <w:rPr>
                <w:sz w:val="20"/>
              </w:rPr>
            </w:pPr>
            <w:r>
              <w:rPr>
                <w:sz w:val="20"/>
              </w:rPr>
              <w:t>15.62±2.34</w:t>
            </w:r>
          </w:p>
        </w:tc>
        <w:tc>
          <w:tcPr>
            <w:tcW w:w="1128" w:type="dxa"/>
            <w:tcBorders>
              <w:top w:val="nil"/>
              <w:bottom w:val="nil"/>
              <w:right w:val="nil"/>
            </w:tcBorders>
          </w:tcPr>
          <w:p>
            <w:pPr>
              <w:pStyle w:val="TableParagraph"/>
              <w:spacing w:before="44"/>
              <w:ind w:left="34" w:right="44"/>
              <w:rPr>
                <w:sz w:val="20"/>
              </w:rPr>
            </w:pPr>
            <w:r>
              <w:rPr>
                <w:sz w:val="20"/>
              </w:rPr>
              <w:t>14.14±7.13</w:t>
            </w:r>
          </w:p>
        </w:tc>
        <w:tc>
          <w:tcPr>
            <w:tcW w:w="1133" w:type="dxa"/>
            <w:tcBorders>
              <w:top w:val="nil"/>
              <w:left w:val="nil"/>
              <w:bottom w:val="nil"/>
              <w:right w:val="nil"/>
            </w:tcBorders>
          </w:tcPr>
          <w:p>
            <w:pPr>
              <w:pStyle w:val="TableParagraph"/>
              <w:spacing w:before="44"/>
              <w:ind w:right="67"/>
              <w:jc w:val="right"/>
              <w:rPr>
                <w:sz w:val="20"/>
              </w:rPr>
            </w:pPr>
            <w:r>
              <w:rPr>
                <w:sz w:val="20"/>
              </w:rPr>
              <w:t>10.74±1.70</w:t>
            </w:r>
          </w:p>
        </w:tc>
      </w:tr>
      <w:tr>
        <w:trPr>
          <w:trHeight w:val="341" w:hRule="exact"/>
        </w:trPr>
        <w:tc>
          <w:tcPr>
            <w:tcW w:w="2077" w:type="dxa"/>
            <w:tcBorders>
              <w:top w:val="nil"/>
              <w:left w:val="nil"/>
              <w:bottom w:val="nil"/>
            </w:tcBorders>
          </w:tcPr>
          <w:p>
            <w:pPr>
              <w:pStyle w:val="TableParagraph"/>
              <w:spacing w:before="43"/>
              <w:ind w:left="37" w:right="31"/>
              <w:rPr>
                <w:b/>
                <w:sz w:val="20"/>
              </w:rPr>
            </w:pPr>
            <w:r>
              <w:rPr>
                <w:b/>
                <w:sz w:val="20"/>
              </w:rPr>
              <w:t>Testosterona(ng/ml)</w:t>
            </w:r>
          </w:p>
        </w:tc>
        <w:tc>
          <w:tcPr>
            <w:tcW w:w="1128" w:type="dxa"/>
            <w:tcBorders>
              <w:top w:val="nil"/>
              <w:bottom w:val="nil"/>
              <w:right w:val="nil"/>
            </w:tcBorders>
          </w:tcPr>
          <w:p>
            <w:pPr>
              <w:pStyle w:val="TableParagraph"/>
              <w:spacing w:before="46"/>
              <w:ind w:left="34" w:right="43"/>
              <w:rPr>
                <w:sz w:val="20"/>
              </w:rPr>
            </w:pPr>
            <w:r>
              <w:rPr>
                <w:sz w:val="20"/>
              </w:rPr>
              <w:t>0.98±0.39</w:t>
            </w:r>
          </w:p>
        </w:tc>
        <w:tc>
          <w:tcPr>
            <w:tcW w:w="1133" w:type="dxa"/>
            <w:tcBorders>
              <w:top w:val="nil"/>
              <w:left w:val="nil"/>
              <w:bottom w:val="nil"/>
            </w:tcBorders>
          </w:tcPr>
          <w:p>
            <w:pPr>
              <w:pStyle w:val="TableParagraph"/>
              <w:spacing w:before="46"/>
              <w:ind w:left="45" w:right="38"/>
              <w:rPr>
                <w:sz w:val="20"/>
              </w:rPr>
            </w:pPr>
            <w:r>
              <w:rPr>
                <w:sz w:val="20"/>
              </w:rPr>
              <w:t>1.00±0.78</w:t>
            </w:r>
          </w:p>
        </w:tc>
        <w:tc>
          <w:tcPr>
            <w:tcW w:w="1129" w:type="dxa"/>
            <w:tcBorders>
              <w:top w:val="nil"/>
              <w:bottom w:val="nil"/>
              <w:right w:val="nil"/>
            </w:tcBorders>
          </w:tcPr>
          <w:p>
            <w:pPr>
              <w:pStyle w:val="TableParagraph"/>
              <w:spacing w:before="46"/>
              <w:ind w:left="34" w:right="45"/>
              <w:rPr>
                <w:sz w:val="20"/>
              </w:rPr>
            </w:pPr>
            <w:r>
              <w:rPr>
                <w:sz w:val="20"/>
              </w:rPr>
              <w:t>0.47±0.25</w:t>
            </w:r>
          </w:p>
        </w:tc>
        <w:tc>
          <w:tcPr>
            <w:tcW w:w="1134" w:type="dxa"/>
            <w:tcBorders>
              <w:top w:val="nil"/>
              <w:left w:val="nil"/>
              <w:bottom w:val="nil"/>
            </w:tcBorders>
          </w:tcPr>
          <w:p>
            <w:pPr>
              <w:pStyle w:val="TableParagraph"/>
              <w:spacing w:before="46"/>
              <w:ind w:left="123"/>
              <w:jc w:val="left"/>
              <w:rPr>
                <w:sz w:val="20"/>
              </w:rPr>
            </w:pPr>
            <w:r>
              <w:rPr>
                <w:sz w:val="20"/>
              </w:rPr>
              <w:t>0.47±0.62</w:t>
            </w:r>
          </w:p>
        </w:tc>
        <w:tc>
          <w:tcPr>
            <w:tcW w:w="1128" w:type="dxa"/>
            <w:tcBorders>
              <w:top w:val="nil"/>
              <w:bottom w:val="nil"/>
              <w:right w:val="nil"/>
            </w:tcBorders>
          </w:tcPr>
          <w:p>
            <w:pPr>
              <w:pStyle w:val="TableParagraph"/>
              <w:spacing w:before="46"/>
              <w:ind w:left="34" w:right="43"/>
              <w:rPr>
                <w:sz w:val="20"/>
              </w:rPr>
            </w:pPr>
            <w:r>
              <w:rPr>
                <w:sz w:val="20"/>
              </w:rPr>
              <w:t>0.51±0.66</w:t>
            </w:r>
          </w:p>
        </w:tc>
        <w:tc>
          <w:tcPr>
            <w:tcW w:w="1133" w:type="dxa"/>
            <w:tcBorders>
              <w:top w:val="nil"/>
              <w:left w:val="nil"/>
              <w:bottom w:val="nil"/>
              <w:right w:val="nil"/>
            </w:tcBorders>
          </w:tcPr>
          <w:p>
            <w:pPr>
              <w:pStyle w:val="TableParagraph"/>
              <w:spacing w:before="46"/>
              <w:ind w:right="122"/>
              <w:jc w:val="right"/>
              <w:rPr>
                <w:sz w:val="20"/>
              </w:rPr>
            </w:pPr>
            <w:r>
              <w:rPr>
                <w:sz w:val="20"/>
              </w:rPr>
              <w:t>0.22±0.11</w:t>
            </w:r>
          </w:p>
        </w:tc>
      </w:tr>
      <w:tr>
        <w:trPr>
          <w:trHeight w:val="340" w:hRule="exact"/>
        </w:trPr>
        <w:tc>
          <w:tcPr>
            <w:tcW w:w="2077" w:type="dxa"/>
            <w:tcBorders>
              <w:top w:val="nil"/>
              <w:left w:val="nil"/>
              <w:bottom w:val="nil"/>
            </w:tcBorders>
          </w:tcPr>
          <w:p>
            <w:pPr>
              <w:pStyle w:val="TableParagraph"/>
              <w:spacing w:before="43"/>
              <w:ind w:left="37" w:right="33"/>
              <w:rPr>
                <w:b/>
                <w:sz w:val="20"/>
              </w:rPr>
            </w:pPr>
            <w:r>
              <w:rPr>
                <w:b/>
                <w:sz w:val="20"/>
              </w:rPr>
              <w:t>Progesterona(ng/ml)</w:t>
            </w:r>
          </w:p>
        </w:tc>
        <w:tc>
          <w:tcPr>
            <w:tcW w:w="1128" w:type="dxa"/>
            <w:tcBorders>
              <w:top w:val="nil"/>
              <w:bottom w:val="nil"/>
              <w:right w:val="nil"/>
            </w:tcBorders>
          </w:tcPr>
          <w:p>
            <w:pPr>
              <w:pStyle w:val="TableParagraph"/>
              <w:spacing w:before="46"/>
              <w:ind w:left="34" w:right="44"/>
              <w:rPr>
                <w:sz w:val="20"/>
              </w:rPr>
            </w:pPr>
            <w:r>
              <w:rPr>
                <w:sz w:val="20"/>
              </w:rPr>
              <w:t>14.09±5.38</w:t>
            </w:r>
          </w:p>
        </w:tc>
        <w:tc>
          <w:tcPr>
            <w:tcW w:w="1133" w:type="dxa"/>
            <w:tcBorders>
              <w:top w:val="nil"/>
              <w:left w:val="nil"/>
              <w:bottom w:val="nil"/>
            </w:tcBorders>
          </w:tcPr>
          <w:p>
            <w:pPr>
              <w:pStyle w:val="TableParagraph"/>
              <w:spacing w:before="46"/>
              <w:ind w:left="45" w:right="38"/>
              <w:rPr>
                <w:sz w:val="20"/>
              </w:rPr>
            </w:pPr>
            <w:r>
              <w:rPr>
                <w:sz w:val="20"/>
              </w:rPr>
              <w:t>16.09±3.81</w:t>
            </w:r>
          </w:p>
        </w:tc>
        <w:tc>
          <w:tcPr>
            <w:tcW w:w="1129" w:type="dxa"/>
            <w:tcBorders>
              <w:top w:val="nil"/>
              <w:bottom w:val="nil"/>
              <w:right w:val="nil"/>
            </w:tcBorders>
          </w:tcPr>
          <w:p>
            <w:pPr>
              <w:pStyle w:val="TableParagraph"/>
              <w:spacing w:before="46"/>
              <w:ind w:left="34" w:right="45"/>
              <w:rPr>
                <w:sz w:val="20"/>
              </w:rPr>
            </w:pPr>
            <w:r>
              <w:rPr>
                <w:sz w:val="20"/>
              </w:rPr>
              <w:t>16.62±1.15</w:t>
            </w:r>
          </w:p>
        </w:tc>
        <w:tc>
          <w:tcPr>
            <w:tcW w:w="1134" w:type="dxa"/>
            <w:tcBorders>
              <w:top w:val="nil"/>
              <w:left w:val="nil"/>
              <w:bottom w:val="nil"/>
            </w:tcBorders>
          </w:tcPr>
          <w:p>
            <w:pPr>
              <w:pStyle w:val="TableParagraph"/>
              <w:spacing w:before="46"/>
              <w:ind w:left="68"/>
              <w:jc w:val="left"/>
              <w:rPr>
                <w:sz w:val="20"/>
              </w:rPr>
            </w:pPr>
            <w:r>
              <w:rPr>
                <w:sz w:val="20"/>
              </w:rPr>
              <w:t>16.54±3.00</w:t>
            </w:r>
          </w:p>
        </w:tc>
        <w:tc>
          <w:tcPr>
            <w:tcW w:w="1128" w:type="dxa"/>
            <w:tcBorders>
              <w:top w:val="nil"/>
              <w:bottom w:val="nil"/>
              <w:right w:val="nil"/>
            </w:tcBorders>
          </w:tcPr>
          <w:p>
            <w:pPr>
              <w:pStyle w:val="TableParagraph"/>
              <w:spacing w:before="46"/>
              <w:ind w:left="34" w:right="44"/>
              <w:rPr>
                <w:sz w:val="20"/>
              </w:rPr>
            </w:pPr>
            <w:r>
              <w:rPr>
                <w:sz w:val="20"/>
              </w:rPr>
              <w:t>14.10±3.62</w:t>
            </w:r>
          </w:p>
        </w:tc>
        <w:tc>
          <w:tcPr>
            <w:tcW w:w="1133" w:type="dxa"/>
            <w:tcBorders>
              <w:top w:val="nil"/>
              <w:left w:val="nil"/>
              <w:bottom w:val="nil"/>
              <w:right w:val="nil"/>
            </w:tcBorders>
          </w:tcPr>
          <w:p>
            <w:pPr>
              <w:pStyle w:val="TableParagraph"/>
              <w:spacing w:before="46"/>
              <w:ind w:right="67"/>
              <w:jc w:val="right"/>
              <w:rPr>
                <w:sz w:val="20"/>
              </w:rPr>
            </w:pPr>
            <w:r>
              <w:rPr>
                <w:sz w:val="20"/>
              </w:rPr>
              <w:t>15.11±3.53</w:t>
            </w:r>
          </w:p>
        </w:tc>
      </w:tr>
      <w:tr>
        <w:trPr>
          <w:trHeight w:val="338" w:hRule="exact"/>
        </w:trPr>
        <w:tc>
          <w:tcPr>
            <w:tcW w:w="2077" w:type="dxa"/>
            <w:tcBorders>
              <w:top w:val="nil"/>
              <w:left w:val="nil"/>
              <w:bottom w:val="single" w:sz="4" w:space="0" w:color="000000"/>
            </w:tcBorders>
          </w:tcPr>
          <w:p>
            <w:pPr>
              <w:pStyle w:val="TableParagraph"/>
              <w:spacing w:before="42"/>
              <w:ind w:left="37" w:right="28"/>
              <w:rPr>
                <w:b/>
                <w:sz w:val="20"/>
              </w:rPr>
            </w:pPr>
            <w:r>
              <w:rPr>
                <w:b/>
                <w:sz w:val="20"/>
              </w:rPr>
              <w:t>Estradiol(pg/ml)</w:t>
            </w:r>
          </w:p>
        </w:tc>
        <w:tc>
          <w:tcPr>
            <w:tcW w:w="1128" w:type="dxa"/>
            <w:tcBorders>
              <w:top w:val="nil"/>
              <w:bottom w:val="single" w:sz="4" w:space="0" w:color="000000"/>
              <w:right w:val="nil"/>
            </w:tcBorders>
          </w:tcPr>
          <w:p>
            <w:pPr>
              <w:pStyle w:val="TableParagraph"/>
              <w:spacing w:before="44"/>
              <w:ind w:left="34" w:right="43"/>
              <w:rPr>
                <w:sz w:val="20"/>
              </w:rPr>
            </w:pPr>
            <w:r>
              <w:rPr>
                <w:sz w:val="20"/>
              </w:rPr>
              <w:t>1.76±0.52</w:t>
            </w:r>
          </w:p>
        </w:tc>
        <w:tc>
          <w:tcPr>
            <w:tcW w:w="1133" w:type="dxa"/>
            <w:tcBorders>
              <w:top w:val="nil"/>
              <w:left w:val="nil"/>
              <w:bottom w:val="single" w:sz="4" w:space="0" w:color="000000"/>
            </w:tcBorders>
          </w:tcPr>
          <w:p>
            <w:pPr>
              <w:pStyle w:val="TableParagraph"/>
              <w:spacing w:before="44"/>
              <w:ind w:left="45" w:right="38"/>
              <w:rPr>
                <w:sz w:val="20"/>
              </w:rPr>
            </w:pPr>
            <w:r>
              <w:rPr>
                <w:sz w:val="20"/>
              </w:rPr>
              <w:t>1.74±0.96</w:t>
            </w:r>
          </w:p>
        </w:tc>
        <w:tc>
          <w:tcPr>
            <w:tcW w:w="1129" w:type="dxa"/>
            <w:tcBorders>
              <w:top w:val="nil"/>
              <w:bottom w:val="single" w:sz="4" w:space="0" w:color="000000"/>
              <w:right w:val="nil"/>
            </w:tcBorders>
          </w:tcPr>
          <w:p>
            <w:pPr>
              <w:pStyle w:val="TableParagraph"/>
              <w:spacing w:before="44"/>
              <w:ind w:left="34" w:right="45"/>
              <w:rPr>
                <w:sz w:val="20"/>
              </w:rPr>
            </w:pPr>
            <w:r>
              <w:rPr>
                <w:sz w:val="20"/>
              </w:rPr>
              <w:t>2.63±1.54</w:t>
            </w:r>
          </w:p>
        </w:tc>
        <w:tc>
          <w:tcPr>
            <w:tcW w:w="1134" w:type="dxa"/>
            <w:tcBorders>
              <w:top w:val="nil"/>
              <w:left w:val="nil"/>
              <w:bottom w:val="single" w:sz="4" w:space="0" w:color="000000"/>
            </w:tcBorders>
          </w:tcPr>
          <w:p>
            <w:pPr>
              <w:pStyle w:val="TableParagraph"/>
              <w:spacing w:before="44"/>
              <w:ind w:left="123"/>
              <w:jc w:val="left"/>
              <w:rPr>
                <w:sz w:val="20"/>
              </w:rPr>
            </w:pPr>
            <w:r>
              <w:rPr>
                <w:sz w:val="20"/>
              </w:rPr>
              <w:t>3.04±1.87</w:t>
            </w:r>
          </w:p>
        </w:tc>
        <w:tc>
          <w:tcPr>
            <w:tcW w:w="1128" w:type="dxa"/>
            <w:tcBorders>
              <w:top w:val="nil"/>
              <w:bottom w:val="single" w:sz="4" w:space="0" w:color="000000"/>
              <w:right w:val="nil"/>
            </w:tcBorders>
          </w:tcPr>
          <w:p>
            <w:pPr>
              <w:pStyle w:val="TableParagraph"/>
              <w:spacing w:before="44"/>
              <w:ind w:left="34" w:right="43"/>
              <w:rPr>
                <w:sz w:val="20"/>
              </w:rPr>
            </w:pPr>
            <w:r>
              <w:rPr>
                <w:sz w:val="20"/>
              </w:rPr>
              <w:t>2.99±1.27</w:t>
            </w:r>
          </w:p>
        </w:tc>
        <w:tc>
          <w:tcPr>
            <w:tcW w:w="1133" w:type="dxa"/>
            <w:tcBorders>
              <w:top w:val="nil"/>
              <w:left w:val="nil"/>
              <w:bottom w:val="single" w:sz="4" w:space="0" w:color="000000"/>
              <w:right w:val="nil"/>
            </w:tcBorders>
          </w:tcPr>
          <w:p>
            <w:pPr>
              <w:pStyle w:val="TableParagraph"/>
              <w:spacing w:before="44"/>
              <w:ind w:right="122"/>
              <w:jc w:val="right"/>
              <w:rPr>
                <w:sz w:val="20"/>
              </w:rPr>
            </w:pPr>
            <w:r>
              <w:rPr>
                <w:sz w:val="20"/>
              </w:rPr>
              <w:t>2.78±1.34</w:t>
            </w:r>
          </w:p>
        </w:tc>
      </w:tr>
    </w:tbl>
    <w:p>
      <w:pPr>
        <w:spacing w:before="52"/>
        <w:ind w:left="186" w:right="0" w:firstLine="0"/>
        <w:jc w:val="left"/>
        <w:rPr>
          <w:sz w:val="20"/>
        </w:rPr>
      </w:pPr>
      <w:r>
        <w:rPr/>
        <w:pict>
          <v:line style="position:absolute;mso-position-horizontal-relative:page;mso-position-vertical-relative:paragraph;z-index:1192;mso-wrap-distance-left:0;mso-wrap-distance-right:0" from="90.863998pt,17.259882pt" to="534.693998pt,17.259882pt" stroked="true" strokeweight=".48001pt" strokecolor="#000000">
            <w10:wrap type="topAndBottom"/>
          </v:line>
        </w:pict>
      </w:r>
      <w:r>
        <w:rPr>
          <w:sz w:val="20"/>
        </w:rPr>
        <w:t>CA, control absoluto, Vh, vehículo, pCA, para-cloroanfetamina.</w:t>
      </w:r>
    </w:p>
    <w:p>
      <w:pPr>
        <w:pStyle w:val="BodyText"/>
        <w:rPr>
          <w:sz w:val="20"/>
        </w:rPr>
      </w:pPr>
    </w:p>
    <w:p>
      <w:pPr>
        <w:pStyle w:val="BodyText"/>
        <w:spacing w:before="7"/>
      </w:pPr>
    </w:p>
    <w:p>
      <w:pPr>
        <w:pStyle w:val="BodyText"/>
        <w:spacing w:line="360" w:lineRule="auto" w:before="70"/>
        <w:ind w:left="285" w:right="276" w:firstLine="427"/>
        <w:jc w:val="both"/>
      </w:pPr>
      <w:r>
        <w:rPr/>
        <w:t>No se vieron afectadas las concentraciones de serotonina, 5-HIAA, hormonas gonadotropinas y las hormonas esteroides. Las concentraciones de serotonina y 5-HIAA mostraron diferencias significativas entre los tratamientos, aunque no se encontraron diferencias estadísticas con respecto a la susceptibilidad.</w:t>
      </w:r>
    </w:p>
    <w:p>
      <w:pPr>
        <w:pStyle w:val="BodyText"/>
        <w:spacing w:line="360" w:lineRule="auto" w:before="204"/>
        <w:ind w:left="285" w:right="275" w:firstLine="427"/>
        <w:jc w:val="both"/>
      </w:pPr>
      <w:r>
        <w:rPr/>
        <w:t>Las concentraciones de LH y FSH no se vieron afectadas por la administración de la pCA. Las concentraciones de progesterona, testosterona y estradiol no mostraron diferencias significativas entre los tratamientos, ni entre las susceptibilidades.</w:t>
      </w:r>
    </w:p>
    <w:p>
      <w:pPr>
        <w:pStyle w:val="BodyText"/>
      </w:pPr>
    </w:p>
    <w:p>
      <w:pPr>
        <w:pStyle w:val="BodyText"/>
        <w:spacing w:before="1"/>
        <w:rPr>
          <w:sz w:val="35"/>
        </w:rPr>
      </w:pPr>
    </w:p>
    <w:p>
      <w:pPr>
        <w:pStyle w:val="Heading2"/>
        <w:numPr>
          <w:ilvl w:val="1"/>
          <w:numId w:val="6"/>
        </w:numPr>
        <w:tabs>
          <w:tab w:pos="689" w:val="left" w:leader="none"/>
        </w:tabs>
        <w:spacing w:line="240" w:lineRule="auto" w:before="0" w:after="0"/>
        <w:ind w:left="688" w:right="0" w:hanging="403"/>
        <w:jc w:val="left"/>
      </w:pPr>
      <w:r>
        <w:rPr/>
        <w:t>Expresión</w:t>
      </w:r>
      <w:r>
        <w:rPr>
          <w:spacing w:val="-7"/>
        </w:rPr>
        <w:t> </w:t>
      </w:r>
      <w:r>
        <w:rPr/>
        <w:t>genética</w:t>
      </w:r>
    </w:p>
    <w:p>
      <w:pPr>
        <w:pStyle w:val="BodyText"/>
        <w:rPr>
          <w:b/>
        </w:rPr>
      </w:pPr>
    </w:p>
    <w:p>
      <w:pPr>
        <w:pStyle w:val="BodyText"/>
        <w:spacing w:before="10"/>
        <w:rPr>
          <w:b/>
          <w:sz w:val="34"/>
        </w:rPr>
      </w:pPr>
    </w:p>
    <w:p>
      <w:pPr>
        <w:pStyle w:val="BodyText"/>
        <w:spacing w:line="360" w:lineRule="auto"/>
        <w:ind w:left="285" w:right="275" w:firstLine="427"/>
        <w:jc w:val="both"/>
      </w:pPr>
      <w:r>
        <w:rPr/>
        <w:t>En cuanto a la expresión de los genes, se observaron diferencias entre las susceptibilidades para los genes BAX y ABP en ambas edades (30 y 45 días), viéndose disminuida su expresión cuando la susceptibilidad a la apoptosis    era</w:t>
      </w:r>
    </w:p>
    <w:p>
      <w:pPr>
        <w:spacing w:after="0" w:line="360" w:lineRule="auto"/>
        <w:jc w:val="both"/>
        <w:sectPr>
          <w:pgSz w:w="12240" w:h="15840"/>
          <w:pgMar w:header="0" w:footer="1682" w:top="1360" w:bottom="1880" w:left="1700" w:right="1420"/>
        </w:sectPr>
      </w:pPr>
    </w:p>
    <w:p>
      <w:pPr>
        <w:pStyle w:val="BodyText"/>
        <w:spacing w:line="360" w:lineRule="auto" w:before="57"/>
        <w:ind w:left="265" w:right="255"/>
        <w:jc w:val="both"/>
      </w:pPr>
      <w:r>
        <w:rPr/>
        <w:t>menor, pero para la expresión BCL-2, 3βHSD y AR no hubo cambios (Figura 7.3). Para el gen CREMΔ se observaron diferencias entre las edades, a los 30 días no se presentó expresión de este gen y a los 45 días de edad la expresión fue notoria, sin embargo, entre susceptibilidades y grupos no hubo diferencias significativas. En la figura 7.5.1 se presentan las imágenes digitales de los geles de agarosa de los genes de interés más el control endógeno de expresión (CYC).</w:t>
      </w:r>
    </w:p>
    <w:p>
      <w:pPr>
        <w:pStyle w:val="BodyText"/>
        <w:spacing w:before="11"/>
        <w:rPr>
          <w:sz w:val="14"/>
        </w:rPr>
      </w:pPr>
      <w:r>
        <w:rPr/>
        <w:drawing>
          <wp:anchor distT="0" distB="0" distL="0" distR="0" allowOverlap="1" layoutInCell="1" locked="0" behindDoc="0" simplePos="0" relativeHeight="1216">
            <wp:simplePos x="0" y="0"/>
            <wp:positionH relativeFrom="page">
              <wp:posOffset>1170305</wp:posOffset>
            </wp:positionH>
            <wp:positionV relativeFrom="paragraph">
              <wp:posOffset>134034</wp:posOffset>
            </wp:positionV>
            <wp:extent cx="5608715" cy="1899570"/>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5" cstate="print"/>
                    <a:stretch>
                      <a:fillRect/>
                    </a:stretch>
                  </pic:blipFill>
                  <pic:spPr>
                    <a:xfrm>
                      <a:off x="0" y="0"/>
                      <a:ext cx="5608715" cy="1899570"/>
                    </a:xfrm>
                    <a:prstGeom prst="rect">
                      <a:avLst/>
                    </a:prstGeom>
                  </pic:spPr>
                </pic:pic>
              </a:graphicData>
            </a:graphic>
          </wp:anchor>
        </w:drawing>
      </w:r>
    </w:p>
    <w:p>
      <w:pPr>
        <w:pStyle w:val="BodyText"/>
      </w:pPr>
    </w:p>
    <w:p>
      <w:pPr>
        <w:pStyle w:val="BodyText"/>
        <w:rPr>
          <w:sz w:val="30"/>
        </w:rPr>
      </w:pPr>
    </w:p>
    <w:p>
      <w:pPr>
        <w:pStyle w:val="BodyText"/>
        <w:spacing w:line="360" w:lineRule="auto"/>
        <w:ind w:left="265" w:right="255" w:firstLine="427"/>
        <w:jc w:val="both"/>
      </w:pPr>
      <w:r>
        <w:rPr/>
        <w:t>Figura 7.5.1. Fotografías de geles de agarosa al 1.5% TAE 0.5X. Expresión del ARNm de los genes CYC, BAX, BCL-2, 3βHSD, ABP, AR y CREMΔ, a los 30 y 45 días de edad de los mismos individuos según su tratamiento, separados por tratamientos y por su susceptibilidad (</w:t>
      </w:r>
      <w:r>
        <w:rPr>
          <w:b/>
        </w:rPr>
        <w:t>AS</w:t>
      </w:r>
      <w:r>
        <w:rPr/>
        <w:t>; Alta susceptibilidad, </w:t>
      </w:r>
      <w:r>
        <w:rPr>
          <w:b/>
        </w:rPr>
        <w:t>BS</w:t>
      </w:r>
      <w:r>
        <w:rPr/>
        <w:t>; baja susceptibilidad).</w:t>
      </w:r>
    </w:p>
    <w:p>
      <w:pPr>
        <w:pStyle w:val="BodyText"/>
      </w:pPr>
    </w:p>
    <w:p>
      <w:pPr>
        <w:pStyle w:val="BodyText"/>
      </w:pPr>
    </w:p>
    <w:p>
      <w:pPr>
        <w:pStyle w:val="BodyText"/>
        <w:spacing w:before="2"/>
        <w:rPr>
          <w:sz w:val="23"/>
        </w:rPr>
      </w:pPr>
    </w:p>
    <w:p>
      <w:pPr>
        <w:pStyle w:val="BodyText"/>
        <w:spacing w:line="360" w:lineRule="auto"/>
        <w:ind w:left="265" w:right="255" w:firstLine="427"/>
        <w:jc w:val="both"/>
      </w:pPr>
      <w:r>
        <w:rPr/>
        <w:t>La expresión de BAX y ABP en los animales clasificados como de baja susceptibilidad fue menor que en los de alta susceptibilidad, CREMΔ no se expresó en los animales de 30 días de edad, pero si en los mismos animales a los 45 días de edad. Para confirmar la amplificación específica de los fragmentos de ADN de los genes de interés se hizo la secuenciación de cada uno. La expresión del gen de BAX presentó una diferencia marcada en los individuos con baja susceptibilidad comparado con los de alta susceptibilidad,</w:t>
      </w:r>
    </w:p>
    <w:p>
      <w:pPr>
        <w:spacing w:after="0" w:line="360" w:lineRule="auto"/>
        <w:jc w:val="both"/>
        <w:sectPr>
          <w:pgSz w:w="12240" w:h="15840"/>
          <w:pgMar w:header="0" w:footer="1682" w:top="1360" w:bottom="1880" w:left="1720" w:right="1440"/>
        </w:sectPr>
      </w:pPr>
    </w:p>
    <w:p>
      <w:pPr>
        <w:pStyle w:val="BodyText"/>
        <w:rPr>
          <w:sz w:val="18"/>
        </w:rPr>
      </w:pPr>
    </w:p>
    <w:p>
      <w:pPr>
        <w:pStyle w:val="BodyText"/>
        <w:spacing w:line="360" w:lineRule="auto" w:before="70"/>
        <w:ind w:left="105" w:right="20"/>
      </w:pPr>
      <w:r>
        <w:rPr/>
        <w:t>pero no hubo diferencias entre edades, ni entre grupos. El análisis cuantitativo de la expresión del gen de BAX a los 30 y 45 días de edad se muestra en la figura 7.5.2.</w:t>
      </w:r>
    </w:p>
    <w:p>
      <w:pPr>
        <w:pStyle w:val="BodyText"/>
        <w:spacing w:before="6"/>
        <w:rPr>
          <w:sz w:val="9"/>
        </w:rPr>
      </w:pPr>
      <w:r>
        <w:rPr/>
        <w:drawing>
          <wp:anchor distT="0" distB="0" distL="0" distR="0" allowOverlap="1" layoutInCell="1" locked="0" behindDoc="0" simplePos="0" relativeHeight="1240">
            <wp:simplePos x="0" y="0"/>
            <wp:positionH relativeFrom="page">
              <wp:posOffset>1258569</wp:posOffset>
            </wp:positionH>
            <wp:positionV relativeFrom="paragraph">
              <wp:posOffset>94791</wp:posOffset>
            </wp:positionV>
            <wp:extent cx="7623471" cy="3629405"/>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7" cstate="print"/>
                    <a:stretch>
                      <a:fillRect/>
                    </a:stretch>
                  </pic:blipFill>
                  <pic:spPr>
                    <a:xfrm>
                      <a:off x="0" y="0"/>
                      <a:ext cx="7623471" cy="3629405"/>
                    </a:xfrm>
                    <a:prstGeom prst="rect">
                      <a:avLst/>
                    </a:prstGeom>
                  </pic:spPr>
                </pic:pic>
              </a:graphicData>
            </a:graphic>
          </wp:anchor>
        </w:drawing>
      </w:r>
    </w:p>
    <w:p>
      <w:pPr>
        <w:pStyle w:val="BodyText"/>
        <w:spacing w:line="360" w:lineRule="auto" w:before="107"/>
        <w:ind w:left="105" w:right="115" w:firstLine="427"/>
        <w:jc w:val="both"/>
      </w:pPr>
      <w:r>
        <w:rPr/>
        <w:t>Figura 7.5.2. Gráficas de dispersión de la expresión del gen de BAX a los 30 y 45 días de edad, se presenta la información de los individuos por tratamiento y por susceptibilidad. </w:t>
      </w:r>
      <w:r>
        <w:rPr>
          <w:b/>
          <w:spacing w:val="-3"/>
        </w:rPr>
        <w:t>AS</w:t>
      </w:r>
      <w:r>
        <w:rPr>
          <w:spacing w:val="-3"/>
        </w:rPr>
        <w:t>; </w:t>
      </w:r>
      <w:r>
        <w:rPr/>
        <w:t>alta susceptibilidad, </w:t>
      </w:r>
      <w:r>
        <w:rPr>
          <w:b/>
        </w:rPr>
        <w:t>BS</w:t>
      </w:r>
      <w:r>
        <w:rPr/>
        <w:t>; baja susceptibilidad. Se observa de forma clara la diferencia de la expresión en los genes de los individuos clasificados como de alta susceptibilidad (intensidad relativa) en comparación con los de susceptibilidad</w:t>
      </w:r>
      <w:r>
        <w:rPr>
          <w:spacing w:val="-25"/>
        </w:rPr>
        <w:t> </w:t>
      </w:r>
      <w:r>
        <w:rPr/>
        <w:t>baja.</w:t>
      </w:r>
    </w:p>
    <w:p>
      <w:pPr>
        <w:spacing w:after="0" w:line="360" w:lineRule="auto"/>
        <w:jc w:val="both"/>
        <w:sectPr>
          <w:footerReference w:type="default" r:id="rId16"/>
          <w:pgSz w:w="15840" w:h="12240" w:orient="landscape"/>
          <w:pgMar w:footer="1682" w:header="0" w:top="1140" w:bottom="1880" w:left="1880" w:right="1580"/>
          <w:pgNumType w:start="34"/>
        </w:sectPr>
      </w:pPr>
    </w:p>
    <w:p>
      <w:pPr>
        <w:pStyle w:val="BodyText"/>
        <w:rPr>
          <w:sz w:val="18"/>
        </w:rPr>
      </w:pPr>
    </w:p>
    <w:p>
      <w:pPr>
        <w:pStyle w:val="BodyText"/>
        <w:spacing w:line="276" w:lineRule="auto" w:before="70"/>
        <w:ind w:left="105" w:right="117" w:firstLine="427"/>
        <w:jc w:val="both"/>
      </w:pPr>
      <w:r>
        <w:rPr/>
        <w:t>BCL-2 mantuvo su siempre su intensidad de expresión, mientras BAX mostro cambios entre las susceptibilidades. El gen de BCL-2 no presentó ningún cambio en los animales de los grupos pCA, Vh o CA, no hubo influencia de los tratamientos, de las edades (30 o 45 días), ni de la susceptibilidad sobre la expresión de este gen. Los datos numéricos se presentan en la figura 7.5.3.</w:t>
      </w:r>
    </w:p>
    <w:p>
      <w:pPr>
        <w:pStyle w:val="BodyText"/>
        <w:spacing w:before="1"/>
        <w:rPr>
          <w:sz w:val="14"/>
        </w:rPr>
      </w:pPr>
      <w:r>
        <w:rPr/>
        <w:drawing>
          <wp:anchor distT="0" distB="0" distL="0" distR="0" allowOverlap="1" layoutInCell="1" locked="0" behindDoc="0" simplePos="0" relativeHeight="1264">
            <wp:simplePos x="0" y="0"/>
            <wp:positionH relativeFrom="page">
              <wp:posOffset>1331213</wp:posOffset>
            </wp:positionH>
            <wp:positionV relativeFrom="paragraph">
              <wp:posOffset>127966</wp:posOffset>
            </wp:positionV>
            <wp:extent cx="7536351" cy="3874484"/>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8" cstate="print"/>
                    <a:stretch>
                      <a:fillRect/>
                    </a:stretch>
                  </pic:blipFill>
                  <pic:spPr>
                    <a:xfrm>
                      <a:off x="0" y="0"/>
                      <a:ext cx="7536351" cy="3874484"/>
                    </a:xfrm>
                    <a:prstGeom prst="rect">
                      <a:avLst/>
                    </a:prstGeom>
                  </pic:spPr>
                </pic:pic>
              </a:graphicData>
            </a:graphic>
          </wp:anchor>
        </w:drawing>
      </w:r>
    </w:p>
    <w:p>
      <w:pPr>
        <w:pStyle w:val="BodyText"/>
        <w:spacing w:before="4"/>
        <w:rPr>
          <w:sz w:val="21"/>
        </w:rPr>
      </w:pPr>
    </w:p>
    <w:p>
      <w:pPr>
        <w:pStyle w:val="BodyText"/>
        <w:spacing w:line="360" w:lineRule="auto"/>
        <w:ind w:left="105" w:right="117" w:firstLine="427"/>
        <w:jc w:val="both"/>
      </w:pPr>
      <w:r>
        <w:rPr/>
        <w:t>Figura 7.5.3. Gráficas de dispersión del gen BCL-2 a los 30 y 45 días de edad, se presenta la información de los individuos por tratamiento y susceptibilidad. </w:t>
      </w:r>
      <w:r>
        <w:rPr>
          <w:b/>
        </w:rPr>
        <w:t>AS</w:t>
      </w:r>
      <w:r>
        <w:rPr/>
        <w:t>; alta susceptibilidad, </w:t>
      </w:r>
      <w:r>
        <w:rPr>
          <w:b/>
        </w:rPr>
        <w:t>BS</w:t>
      </w:r>
      <w:r>
        <w:rPr/>
        <w:t>; baja susceptibilidad.</w:t>
      </w:r>
    </w:p>
    <w:p>
      <w:pPr>
        <w:spacing w:after="0" w:line="360" w:lineRule="auto"/>
        <w:jc w:val="both"/>
        <w:sectPr>
          <w:pgSz w:w="15840" w:h="12240" w:orient="landscape"/>
          <w:pgMar w:header="0" w:footer="1682" w:top="1140" w:bottom="1880" w:left="1880" w:right="1580"/>
        </w:sectPr>
      </w:pPr>
    </w:p>
    <w:p>
      <w:pPr>
        <w:pStyle w:val="BodyText"/>
        <w:rPr>
          <w:sz w:val="18"/>
        </w:rPr>
      </w:pPr>
    </w:p>
    <w:p>
      <w:pPr>
        <w:pStyle w:val="BodyText"/>
        <w:spacing w:line="360" w:lineRule="auto" w:before="70"/>
        <w:ind w:left="105" w:right="115" w:firstLine="427"/>
        <w:jc w:val="both"/>
      </w:pPr>
      <w:r>
        <w:rPr/>
        <w:drawing>
          <wp:anchor distT="0" distB="0" distL="0" distR="0" allowOverlap="1" layoutInCell="1" locked="0" behindDoc="1" simplePos="0" relativeHeight="268377119">
            <wp:simplePos x="0" y="0"/>
            <wp:positionH relativeFrom="page">
              <wp:posOffset>1258569</wp:posOffset>
            </wp:positionH>
            <wp:positionV relativeFrom="paragraph">
              <wp:posOffset>765884</wp:posOffset>
            </wp:positionV>
            <wp:extent cx="7660385" cy="3621404"/>
            <wp:effectExtent l="0" t="0" r="0" b="0"/>
            <wp:wrapNone/>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9" cstate="print"/>
                    <a:stretch>
                      <a:fillRect/>
                    </a:stretch>
                  </pic:blipFill>
                  <pic:spPr>
                    <a:xfrm>
                      <a:off x="0" y="0"/>
                      <a:ext cx="7660385" cy="3621404"/>
                    </a:xfrm>
                    <a:prstGeom prst="rect">
                      <a:avLst/>
                    </a:prstGeom>
                  </pic:spPr>
                </pic:pic>
              </a:graphicData>
            </a:graphic>
          </wp:anchor>
        </w:drawing>
      </w:r>
      <w:r>
        <w:rPr/>
        <w:t>La expresión para 3βHSD no mostró cambios entre los animales de los grupos pCA, Vh o CA, las susceptibilidades tampoco influyeron en la expresión de este gen. Los datos numéricos se grafican en la figura 7.5.4.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203"/>
        <w:ind w:left="105" w:right="115" w:firstLine="427"/>
        <w:jc w:val="both"/>
      </w:pPr>
      <w:r>
        <w:rPr/>
        <w:t>Figura 7.5.4. Gráficas de dispersión de la expresión del gen 3βHSD a los 30 y 45 días de edad respectivamente, los datos están agrupados por tratamiento y por susceptibilidad. </w:t>
      </w:r>
      <w:r>
        <w:rPr>
          <w:b/>
        </w:rPr>
        <w:t>AS</w:t>
      </w:r>
      <w:r>
        <w:rPr/>
        <w:t>; alta susceptibilidad, </w:t>
      </w:r>
      <w:r>
        <w:rPr>
          <w:b/>
        </w:rPr>
        <w:t>BS</w:t>
      </w:r>
      <w:r>
        <w:rPr/>
        <w:t>; baja susceptibilidad. No se observaron cambios de expresión en los genes entre tratamientos, ni entre susceptibilidades.</w:t>
      </w:r>
    </w:p>
    <w:p>
      <w:pPr>
        <w:spacing w:after="0" w:line="360" w:lineRule="auto"/>
        <w:jc w:val="both"/>
        <w:sectPr>
          <w:pgSz w:w="15840" w:h="12240" w:orient="landscape"/>
          <w:pgMar w:header="0" w:footer="1682" w:top="1140" w:bottom="1880" w:left="1880" w:right="1580"/>
        </w:sectPr>
      </w:pPr>
    </w:p>
    <w:p>
      <w:pPr>
        <w:pStyle w:val="BodyText"/>
        <w:rPr>
          <w:sz w:val="18"/>
        </w:rPr>
      </w:pPr>
    </w:p>
    <w:p>
      <w:pPr>
        <w:pStyle w:val="BodyText"/>
        <w:spacing w:line="360" w:lineRule="auto" w:before="70"/>
        <w:ind w:left="105" w:right="116" w:firstLine="427"/>
        <w:jc w:val="both"/>
      </w:pPr>
      <w:r>
        <w:rPr/>
        <w:t>El gen de ABP presentó cambios en su expresión a los 30 y 45 días de edad en cuanto a su susceptibilidad. La expresión fue menor en los individuos de baja susceptibilidad en comparación con los de alta susceptibilidad, en la figura 7.5.5 se presentan los datos obtenidos a partir de las imágenes digitales de los geles.</w:t>
      </w:r>
    </w:p>
    <w:p>
      <w:pPr>
        <w:pStyle w:val="BodyText"/>
        <w:rPr>
          <w:sz w:val="25"/>
        </w:rPr>
      </w:pPr>
      <w:r>
        <w:rPr/>
        <w:drawing>
          <wp:anchor distT="0" distB="0" distL="0" distR="0" allowOverlap="1" layoutInCell="1" locked="0" behindDoc="0" simplePos="0" relativeHeight="1312">
            <wp:simplePos x="0" y="0"/>
            <wp:positionH relativeFrom="page">
              <wp:posOffset>1614169</wp:posOffset>
            </wp:positionH>
            <wp:positionV relativeFrom="paragraph">
              <wp:posOffset>207694</wp:posOffset>
            </wp:positionV>
            <wp:extent cx="7039867" cy="3496437"/>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0" cstate="print"/>
                    <a:stretch>
                      <a:fillRect/>
                    </a:stretch>
                  </pic:blipFill>
                  <pic:spPr>
                    <a:xfrm>
                      <a:off x="0" y="0"/>
                      <a:ext cx="7039867" cy="3496437"/>
                    </a:xfrm>
                    <a:prstGeom prst="rect">
                      <a:avLst/>
                    </a:prstGeom>
                  </pic:spPr>
                </pic:pic>
              </a:graphicData>
            </a:graphic>
          </wp:anchor>
        </w:drawing>
      </w:r>
    </w:p>
    <w:p>
      <w:pPr>
        <w:pStyle w:val="BodyText"/>
      </w:pPr>
    </w:p>
    <w:p>
      <w:pPr>
        <w:pStyle w:val="BodyText"/>
        <w:spacing w:line="360" w:lineRule="auto" w:before="207"/>
        <w:ind w:left="105" w:right="115" w:firstLine="427"/>
        <w:jc w:val="both"/>
      </w:pPr>
      <w:r>
        <w:rPr/>
        <w:t>Figura 7.5.5. Gráficas de dispersión de la expresión de los genes ABP a los 30 y 45 días de edad respectivamente, los datos están agrupados por tratamiento y por susceptibilidad. </w:t>
      </w:r>
      <w:r>
        <w:rPr>
          <w:b/>
        </w:rPr>
        <w:t>AS</w:t>
      </w:r>
      <w:r>
        <w:rPr/>
        <w:t>; alta susceptibilidad, </w:t>
      </w:r>
      <w:r>
        <w:rPr>
          <w:b/>
        </w:rPr>
        <w:t>BS</w:t>
      </w:r>
      <w:r>
        <w:rPr/>
        <w:t>;</w:t>
      </w:r>
    </w:p>
    <w:p>
      <w:pPr>
        <w:spacing w:after="0" w:line="360" w:lineRule="auto"/>
        <w:jc w:val="both"/>
        <w:sectPr>
          <w:pgSz w:w="15840" w:h="12240" w:orient="landscape"/>
          <w:pgMar w:header="0" w:footer="1682" w:top="1140" w:bottom="1880" w:left="1880" w:right="1580"/>
        </w:sectPr>
      </w:pPr>
    </w:p>
    <w:p>
      <w:pPr>
        <w:pStyle w:val="BodyText"/>
        <w:rPr>
          <w:sz w:val="18"/>
        </w:rPr>
      </w:pPr>
    </w:p>
    <w:p>
      <w:pPr>
        <w:pStyle w:val="BodyText"/>
        <w:spacing w:line="360" w:lineRule="auto" w:before="70"/>
        <w:ind w:left="105" w:right="20"/>
      </w:pPr>
      <w:r>
        <w:rPr/>
        <w:t>baja susceptibilidad. En las gráficas marcadas como de alta susceptibilidad se observa una mayor intensidad relativa de las bandas de los geles en los individuos comparados con los de baja susceptibilidad.</w:t>
      </w:r>
    </w:p>
    <w:p>
      <w:pPr>
        <w:pStyle w:val="BodyText"/>
        <w:spacing w:line="360" w:lineRule="auto" w:before="204"/>
        <w:ind w:left="105" w:right="115" w:firstLine="427"/>
        <w:jc w:val="both"/>
      </w:pPr>
      <w:r>
        <w:rPr/>
        <w:t>La expresión para el gen de AR no mostró cambios entre los animales que fueron tratados con pCA, Vh o CA, no hubo influencia de la susceptibilidad en la expresión de este gen (figura 7.5.6).</w:t>
      </w:r>
    </w:p>
    <w:p>
      <w:pPr>
        <w:pStyle w:val="BodyText"/>
        <w:spacing w:before="2"/>
        <w:rPr>
          <w:sz w:val="16"/>
        </w:rPr>
      </w:pPr>
      <w:r>
        <w:rPr/>
        <w:drawing>
          <wp:anchor distT="0" distB="0" distL="0" distR="0" allowOverlap="1" layoutInCell="1" locked="0" behindDoc="0" simplePos="0" relativeHeight="1336">
            <wp:simplePos x="0" y="0"/>
            <wp:positionH relativeFrom="page">
              <wp:posOffset>1490344</wp:posOffset>
            </wp:positionH>
            <wp:positionV relativeFrom="paragraph">
              <wp:posOffset>143305</wp:posOffset>
            </wp:positionV>
            <wp:extent cx="7189581" cy="3343275"/>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1" cstate="print"/>
                    <a:stretch>
                      <a:fillRect/>
                    </a:stretch>
                  </pic:blipFill>
                  <pic:spPr>
                    <a:xfrm>
                      <a:off x="0" y="0"/>
                      <a:ext cx="7189581" cy="3343275"/>
                    </a:xfrm>
                    <a:prstGeom prst="rect">
                      <a:avLst/>
                    </a:prstGeom>
                  </pic:spPr>
                </pic:pic>
              </a:graphicData>
            </a:graphic>
          </wp:anchor>
        </w:drawing>
      </w:r>
    </w:p>
    <w:p>
      <w:pPr>
        <w:pStyle w:val="BodyText"/>
        <w:spacing w:line="360" w:lineRule="auto" w:before="23"/>
        <w:ind w:left="105" w:right="116" w:firstLine="427"/>
        <w:jc w:val="both"/>
      </w:pPr>
      <w:r>
        <w:rPr/>
        <w:t>Figura 7.5.6. Gráficas de dispersión de la expresión del gen AR a los 30 y 45 días de edad, los datos están agrupados por tratamiento y por susceptibilidad. </w:t>
      </w:r>
      <w:r>
        <w:rPr>
          <w:b/>
        </w:rPr>
        <w:t>AS</w:t>
      </w:r>
      <w:r>
        <w:rPr/>
        <w:t>; alta susceptibilidad, </w:t>
      </w:r>
      <w:r>
        <w:rPr>
          <w:b/>
        </w:rPr>
        <w:t>BS</w:t>
      </w:r>
      <w:r>
        <w:rPr/>
        <w:t>; baja susceptibilidad. No se observaron cambios en la expresión de los genes entre los tratamientos, ni entre las susceptibilidades.</w:t>
      </w:r>
    </w:p>
    <w:p>
      <w:pPr>
        <w:spacing w:after="0" w:line="360" w:lineRule="auto"/>
        <w:jc w:val="both"/>
        <w:sectPr>
          <w:pgSz w:w="15840" w:h="12240" w:orient="landscape"/>
          <w:pgMar w:header="0" w:footer="1682" w:top="1140" w:bottom="1880" w:left="1880" w:right="1580"/>
        </w:sectPr>
      </w:pPr>
    </w:p>
    <w:p>
      <w:pPr>
        <w:pStyle w:val="BodyText"/>
        <w:rPr>
          <w:sz w:val="18"/>
        </w:rPr>
      </w:pPr>
    </w:p>
    <w:p>
      <w:pPr>
        <w:pStyle w:val="BodyText"/>
        <w:spacing w:line="360" w:lineRule="auto" w:before="70"/>
        <w:ind w:left="105" w:right="115" w:firstLine="427"/>
        <w:jc w:val="both"/>
      </w:pPr>
      <w:r>
        <w:rPr/>
        <w:t>El gen de CREMΔ no se expresó a los 30 días de edad en ningún individuo, mientras que a los 45 días de edad la expresión fue notoria en todos los animales, aunque no se presentaron cambios entre las susceptibilidades o los tratamientos. La figura 7.5.7 muestra la información de la expresión del gen de CREMΔ.</w:t>
      </w:r>
    </w:p>
    <w:p>
      <w:pPr>
        <w:pStyle w:val="BodyText"/>
        <w:spacing w:before="5"/>
        <w:rPr>
          <w:sz w:val="16"/>
        </w:rPr>
      </w:pPr>
      <w:r>
        <w:rPr/>
        <w:drawing>
          <wp:anchor distT="0" distB="0" distL="0" distR="0" allowOverlap="1" layoutInCell="1" locked="0" behindDoc="0" simplePos="0" relativeHeight="1360">
            <wp:simplePos x="0" y="0"/>
            <wp:positionH relativeFrom="page">
              <wp:posOffset>2813050</wp:posOffset>
            </wp:positionH>
            <wp:positionV relativeFrom="paragraph">
              <wp:posOffset>144829</wp:posOffset>
            </wp:positionV>
            <wp:extent cx="4105848" cy="3576447"/>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2" cstate="print"/>
                    <a:stretch>
                      <a:fillRect/>
                    </a:stretch>
                  </pic:blipFill>
                  <pic:spPr>
                    <a:xfrm>
                      <a:off x="0" y="0"/>
                      <a:ext cx="4105848" cy="3576447"/>
                    </a:xfrm>
                    <a:prstGeom prst="rect">
                      <a:avLst/>
                    </a:prstGeom>
                  </pic:spPr>
                </pic:pic>
              </a:graphicData>
            </a:graphic>
          </wp:anchor>
        </w:drawing>
      </w:r>
    </w:p>
    <w:p>
      <w:pPr>
        <w:pStyle w:val="BodyText"/>
        <w:spacing w:before="9"/>
        <w:rPr>
          <w:sz w:val="25"/>
        </w:rPr>
      </w:pPr>
    </w:p>
    <w:p>
      <w:pPr>
        <w:pStyle w:val="BodyText"/>
        <w:spacing w:line="360" w:lineRule="auto"/>
        <w:ind w:left="105" w:right="116" w:firstLine="427"/>
        <w:jc w:val="both"/>
      </w:pPr>
      <w:r>
        <w:rPr/>
        <w:t>Figura 7.5.7. Gráficas de dispersión de la expresión del gen CREMΔ a los 45 días de edad, los datos están agrupados por tratamiento y por susceptibilidad. </w:t>
      </w:r>
      <w:r>
        <w:rPr>
          <w:b/>
          <w:spacing w:val="-3"/>
        </w:rPr>
        <w:t>AS</w:t>
      </w:r>
      <w:r>
        <w:rPr>
          <w:spacing w:val="-3"/>
        </w:rPr>
        <w:t>; </w:t>
      </w:r>
      <w:r>
        <w:rPr/>
        <w:t>alta susceptibilidad, </w:t>
      </w:r>
      <w:r>
        <w:rPr>
          <w:b/>
        </w:rPr>
        <w:t>BS</w:t>
      </w:r>
      <w:r>
        <w:rPr/>
        <w:t>; baja susceptibilidad. No </w:t>
      </w:r>
      <w:r>
        <w:rPr>
          <w:spacing w:val="-3"/>
        </w:rPr>
        <w:t>se </w:t>
      </w:r>
      <w:r>
        <w:rPr/>
        <w:t>observaron  cambios  en  la  expresión  de  los  genes  entre  los  tratamientos,  ni  entre  las    </w:t>
      </w:r>
      <w:r>
        <w:rPr>
          <w:spacing w:val="57"/>
        </w:rPr>
        <w:t> </w:t>
      </w:r>
      <w:r>
        <w:rPr/>
        <w:t>susceptibilidades.</w:t>
      </w:r>
    </w:p>
    <w:p>
      <w:pPr>
        <w:spacing w:after="0" w:line="360" w:lineRule="auto"/>
        <w:jc w:val="both"/>
        <w:sectPr>
          <w:pgSz w:w="15840" w:h="12240" w:orient="landscape"/>
          <w:pgMar w:header="0" w:footer="1682" w:top="1140" w:bottom="1880" w:left="1880" w:right="1580"/>
        </w:sectPr>
      </w:pPr>
    </w:p>
    <w:p>
      <w:pPr>
        <w:pStyle w:val="BodyText"/>
        <w:rPr>
          <w:sz w:val="20"/>
        </w:rPr>
      </w:pPr>
    </w:p>
    <w:p>
      <w:pPr>
        <w:pStyle w:val="BodyText"/>
        <w:spacing w:before="2"/>
        <w:rPr>
          <w:sz w:val="16"/>
        </w:rPr>
      </w:pPr>
    </w:p>
    <w:p>
      <w:pPr>
        <w:pStyle w:val="Heading2"/>
        <w:numPr>
          <w:ilvl w:val="1"/>
          <w:numId w:val="6"/>
        </w:numPr>
        <w:tabs>
          <w:tab w:pos="724" w:val="left" w:leader="none"/>
        </w:tabs>
        <w:spacing w:line="360" w:lineRule="auto" w:before="69" w:after="0"/>
        <w:ind w:left="3801" w:right="178" w:hanging="3481"/>
        <w:jc w:val="left"/>
      </w:pPr>
      <w:r>
        <w:rPr/>
        <w:t>Bax expression is augmented in male rats with high rates of</w:t>
      </w:r>
      <w:r>
        <w:rPr>
          <w:spacing w:val="-19"/>
        </w:rPr>
        <w:t> </w:t>
      </w:r>
      <w:r>
        <w:rPr/>
        <w:t>apoptosis of germ</w:t>
      </w:r>
      <w:r>
        <w:rPr>
          <w:spacing w:val="-4"/>
        </w:rPr>
        <w:t> </w:t>
      </w:r>
      <w:r>
        <w:rPr/>
        <w:t>cells</w:t>
      </w:r>
    </w:p>
    <w:p>
      <w:pPr>
        <w:pStyle w:val="BodyText"/>
        <w:rPr>
          <w:b/>
        </w:rPr>
      </w:pPr>
    </w:p>
    <w:p>
      <w:pPr>
        <w:pStyle w:val="BodyText"/>
        <w:rPr>
          <w:b/>
        </w:rPr>
      </w:pPr>
    </w:p>
    <w:p>
      <w:pPr>
        <w:pStyle w:val="BodyText"/>
        <w:rPr>
          <w:b/>
        </w:rPr>
      </w:pPr>
    </w:p>
    <w:p>
      <w:pPr>
        <w:pStyle w:val="BodyText"/>
        <w:rPr>
          <w:b/>
        </w:rPr>
      </w:pPr>
    </w:p>
    <w:p>
      <w:pPr>
        <w:pStyle w:val="BodyText"/>
        <w:spacing w:before="4"/>
        <w:rPr>
          <w:b/>
          <w:sz w:val="25"/>
        </w:rPr>
      </w:pPr>
    </w:p>
    <w:p>
      <w:pPr>
        <w:spacing w:line="328" w:lineRule="auto" w:before="0"/>
        <w:ind w:left="2301" w:right="463" w:hanging="1679"/>
        <w:jc w:val="left"/>
        <w:rPr>
          <w:b/>
          <w:sz w:val="16"/>
        </w:rPr>
      </w:pPr>
      <w:r>
        <w:rPr>
          <w:b/>
          <w:sz w:val="24"/>
        </w:rPr>
        <w:t>Néstor Méndez Palacios</w:t>
      </w:r>
      <w:r>
        <w:rPr>
          <w:b/>
          <w:position w:val="11"/>
          <w:sz w:val="16"/>
        </w:rPr>
        <w:t>1</w:t>
      </w:r>
      <w:r>
        <w:rPr>
          <w:b/>
          <w:sz w:val="24"/>
        </w:rPr>
        <w:t>, María Elena Ayala Escobar</w:t>
      </w:r>
      <w:r>
        <w:rPr>
          <w:b/>
          <w:position w:val="11"/>
          <w:sz w:val="16"/>
        </w:rPr>
        <w:t>2</w:t>
      </w:r>
      <w:r>
        <w:rPr>
          <w:b/>
          <w:sz w:val="24"/>
        </w:rPr>
        <w:t>, Pablo Damián Matzumura</w:t>
      </w:r>
      <w:r>
        <w:rPr>
          <w:b/>
          <w:position w:val="11"/>
          <w:sz w:val="16"/>
        </w:rPr>
        <w:t>3</w:t>
      </w:r>
      <w:r>
        <w:rPr>
          <w:b/>
          <w:sz w:val="24"/>
        </w:rPr>
        <w:t>, Andrés Aragón Martínez </w:t>
      </w:r>
      <w:r>
        <w:rPr>
          <w:b/>
          <w:position w:val="11"/>
          <w:sz w:val="16"/>
        </w:rPr>
        <w:t>3*</w:t>
      </w:r>
    </w:p>
    <w:p>
      <w:pPr>
        <w:pStyle w:val="BodyText"/>
        <w:rPr>
          <w:b/>
          <w:sz w:val="28"/>
        </w:rPr>
      </w:pPr>
    </w:p>
    <w:p>
      <w:pPr>
        <w:pStyle w:val="BodyText"/>
        <w:rPr>
          <w:b/>
          <w:sz w:val="28"/>
        </w:rPr>
      </w:pPr>
    </w:p>
    <w:p>
      <w:pPr>
        <w:pStyle w:val="BodyText"/>
        <w:rPr>
          <w:b/>
          <w:sz w:val="28"/>
        </w:rPr>
      </w:pPr>
    </w:p>
    <w:p>
      <w:pPr>
        <w:pStyle w:val="BodyText"/>
        <w:spacing w:before="5"/>
        <w:rPr>
          <w:b/>
          <w:sz w:val="39"/>
        </w:rPr>
      </w:pPr>
    </w:p>
    <w:p>
      <w:pPr>
        <w:pStyle w:val="BodyText"/>
        <w:ind w:left="265"/>
        <w:jc w:val="both"/>
      </w:pPr>
      <w:r>
        <w:rPr>
          <w:position w:val="11"/>
          <w:sz w:val="16"/>
        </w:rPr>
        <w:t>1 </w:t>
      </w:r>
      <w:r>
        <w:rPr/>
        <w:t>Universidad Autónoma del Estado de México, Toluca, México.</w:t>
      </w:r>
    </w:p>
    <w:p>
      <w:pPr>
        <w:pStyle w:val="BodyText"/>
        <w:spacing w:before="4"/>
        <w:rPr>
          <w:sz w:val="26"/>
        </w:rPr>
      </w:pPr>
    </w:p>
    <w:p>
      <w:pPr>
        <w:pStyle w:val="BodyText"/>
        <w:spacing w:line="360" w:lineRule="auto"/>
        <w:ind w:left="265" w:right="125"/>
        <w:jc w:val="both"/>
      </w:pPr>
      <w:r>
        <w:rPr>
          <w:position w:val="11"/>
          <w:sz w:val="16"/>
        </w:rPr>
        <w:t>2 </w:t>
      </w:r>
      <w:r>
        <w:rPr/>
        <w:t>Laboratorio de Pubertad, Unidad Multidisciplinaria de Investigación, Facultad de Estudios Superiores Zaragoza, Universidad Nacional Autónoma de México, Distrito Federal, México.</w:t>
      </w:r>
    </w:p>
    <w:p>
      <w:pPr>
        <w:pStyle w:val="BodyText"/>
        <w:spacing w:line="360" w:lineRule="auto" w:before="169"/>
        <w:ind w:left="265" w:right="122"/>
        <w:jc w:val="both"/>
      </w:pPr>
      <w:r>
        <w:rPr>
          <w:position w:val="11"/>
          <w:sz w:val="16"/>
        </w:rPr>
        <w:t>3 </w:t>
      </w:r>
      <w:r>
        <w:rPr/>
        <w:t>Departamento de Biología de la Reproducción, Universidad Autónoma Metropolitana Iztapalapa, Distrito Federal, México.</w:t>
      </w:r>
    </w:p>
    <w:p>
      <w:pPr>
        <w:pStyle w:val="BodyText"/>
      </w:pPr>
    </w:p>
    <w:p>
      <w:pPr>
        <w:pStyle w:val="BodyText"/>
      </w:pPr>
    </w:p>
    <w:p>
      <w:pPr>
        <w:pStyle w:val="BodyText"/>
      </w:pPr>
    </w:p>
    <w:p>
      <w:pPr>
        <w:pStyle w:val="BodyText"/>
      </w:pPr>
    </w:p>
    <w:p>
      <w:pPr>
        <w:pStyle w:val="BodyText"/>
        <w:spacing w:before="4"/>
        <w:rPr>
          <w:sz w:val="28"/>
        </w:rPr>
      </w:pPr>
    </w:p>
    <w:p>
      <w:pPr>
        <w:pStyle w:val="BodyText"/>
        <w:spacing w:before="1"/>
        <w:ind w:left="265"/>
        <w:jc w:val="both"/>
      </w:pPr>
      <w:r>
        <w:rPr/>
        <w:t>Running head: Bax and male germ cell apoptosis</w:t>
      </w:r>
    </w:p>
    <w:p>
      <w:pPr>
        <w:pStyle w:val="BodyText"/>
        <w:spacing w:before="4"/>
        <w:rPr>
          <w:sz w:val="29"/>
        </w:rPr>
      </w:pPr>
    </w:p>
    <w:p>
      <w:pPr>
        <w:pStyle w:val="BodyText"/>
        <w:spacing w:line="362" w:lineRule="auto" w:before="1"/>
        <w:ind w:left="265" w:right="125"/>
        <w:jc w:val="both"/>
      </w:pPr>
      <w:r>
        <w:rPr/>
        <w:t>Keywords: p-chloroamphetamine, serotonin synthesis, differential sensitivity, male germ cell</w:t>
      </w:r>
    </w:p>
    <w:p>
      <w:pPr>
        <w:pStyle w:val="BodyText"/>
        <w:spacing w:before="201"/>
        <w:ind w:left="265"/>
        <w:jc w:val="both"/>
      </w:pPr>
      <w:r>
        <w:rPr/>
        <w:t>apoptosis, testis, Bax</w:t>
      </w:r>
    </w:p>
    <w:p>
      <w:pPr>
        <w:pStyle w:val="BodyText"/>
        <w:spacing w:before="2"/>
        <w:rPr>
          <w:sz w:val="29"/>
        </w:rPr>
      </w:pPr>
    </w:p>
    <w:p>
      <w:pPr>
        <w:pStyle w:val="BodyText"/>
        <w:spacing w:line="360" w:lineRule="auto"/>
        <w:ind w:left="265" w:right="118"/>
        <w:jc w:val="both"/>
      </w:pPr>
      <w:r>
        <w:rPr/>
        <w:t>*Correspondence: Dr. Andrés Aragón Martínez. Tel: (52) 5558045701, Fax: (52) 5558044930, Email: </w:t>
      </w:r>
      <w:hyperlink r:id="rId24">
        <w:r>
          <w:rPr>
            <w:color w:val="0000FF"/>
            <w:u w:val="single" w:color="0000FF"/>
          </w:rPr>
          <w:t>armandres@gmail.com</w:t>
        </w:r>
      </w:hyperlink>
    </w:p>
    <w:p>
      <w:pPr>
        <w:spacing w:after="0" w:line="360" w:lineRule="auto"/>
        <w:jc w:val="both"/>
        <w:sectPr>
          <w:footerReference w:type="default" r:id="rId23"/>
          <w:pgSz w:w="12240" w:h="15840"/>
          <w:pgMar w:footer="1680" w:header="0" w:top="1500" w:bottom="1860" w:left="1720" w:right="1580"/>
          <w:pgNumType w:start="40"/>
        </w:sectPr>
      </w:pPr>
    </w:p>
    <w:p>
      <w:pPr>
        <w:pStyle w:val="BodyText"/>
        <w:rPr>
          <w:sz w:val="20"/>
        </w:rPr>
      </w:pPr>
    </w:p>
    <w:p>
      <w:pPr>
        <w:pStyle w:val="BodyText"/>
        <w:spacing w:before="2"/>
        <w:rPr>
          <w:sz w:val="16"/>
        </w:rPr>
      </w:pPr>
    </w:p>
    <w:p>
      <w:pPr>
        <w:pStyle w:val="Heading2"/>
        <w:spacing w:before="69"/>
        <w:ind w:left="265" w:firstLine="0"/>
        <w:jc w:val="both"/>
      </w:pPr>
      <w:r>
        <w:rPr/>
        <w:t>Abstract</w:t>
      </w:r>
    </w:p>
    <w:p>
      <w:pPr>
        <w:pStyle w:val="BodyText"/>
        <w:rPr>
          <w:b/>
        </w:rPr>
      </w:pPr>
    </w:p>
    <w:p>
      <w:pPr>
        <w:pStyle w:val="BodyText"/>
        <w:rPr>
          <w:b/>
        </w:rPr>
      </w:pPr>
    </w:p>
    <w:p>
      <w:pPr>
        <w:pStyle w:val="BodyText"/>
        <w:spacing w:before="9"/>
        <w:rPr>
          <w:b/>
          <w:sz w:val="34"/>
        </w:rPr>
      </w:pPr>
    </w:p>
    <w:p>
      <w:pPr>
        <w:pStyle w:val="BodyText"/>
        <w:spacing w:line="360" w:lineRule="auto" w:before="1"/>
        <w:ind w:left="265" w:right="116"/>
        <w:jc w:val="both"/>
      </w:pPr>
      <w:r>
        <w:rPr/>
        <w:t>Germ cell apoptosis is a natural phenomenon, which can be increased by drugs and toxic chemicals. Individuals may have different rates of apoptosis, and exhibit differential sensitivity to outside influences. Previously, we reported that p-chloroamphetamine (pCA), a substance inhibiting serotonin synthesis, induced germ cell apoptosis in prepubertal male rats. The goals of this work were to identify prepubertal rats with high or low rates of germ cell apoptosis (category), in absence of outside influences, and evaluate their neuro-hormonal and gene expression changes in response to treatment with pCA. Serotonin concentrations diminished significantly after treatment with pCA, but changes in sexual hormones and gonadotropin levels were not observed. No relation between sensitivity to germ cell apoptosis and serotonin concentrations was found. Rats with high sensitivity presented an exacerbated response in terms of germ cell apoptosis after treatment with pCA. In rats with high rates of germ cell apoptosis Bax mRNA expression was high before and after treatment with pCA. Independently of treatment, and on the basis of category, an inverse relation between mRNA expression of Bax and Bcl2, Bax and AR, and Bax and Hsd3b2 was found. Our results indicate that innate levels of germ cell apoptosis (sensitivity) could be explained by the level of mRNA expression of genes involved with apoptosis and</w:t>
      </w:r>
      <w:r>
        <w:rPr>
          <w:spacing w:val="-22"/>
        </w:rPr>
        <w:t> </w:t>
      </w:r>
      <w:r>
        <w:rPr/>
        <w:t>spermatogenesis.</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Heading2"/>
        <w:spacing w:before="69"/>
        <w:ind w:left="265" w:firstLine="0"/>
        <w:jc w:val="both"/>
      </w:pPr>
      <w:r>
        <w:rPr/>
        <w:t>Introduction</w:t>
      </w:r>
    </w:p>
    <w:p>
      <w:pPr>
        <w:pStyle w:val="BodyText"/>
        <w:rPr>
          <w:b/>
        </w:rPr>
      </w:pPr>
    </w:p>
    <w:p>
      <w:pPr>
        <w:pStyle w:val="BodyText"/>
        <w:rPr>
          <w:b/>
        </w:rPr>
      </w:pPr>
    </w:p>
    <w:p>
      <w:pPr>
        <w:pStyle w:val="BodyText"/>
        <w:spacing w:before="9"/>
        <w:rPr>
          <w:b/>
          <w:sz w:val="34"/>
        </w:rPr>
      </w:pPr>
    </w:p>
    <w:p>
      <w:pPr>
        <w:pStyle w:val="BodyText"/>
        <w:spacing w:line="360" w:lineRule="auto" w:before="1"/>
        <w:ind w:left="265" w:right="123"/>
        <w:jc w:val="both"/>
      </w:pPr>
      <w:r>
        <w:rPr/>
        <w:t>Inter-individual differences in the efficacy and toxicity of medication is common. This difference in drug response could be due to genetic or environmental factors and the dose-response curve of a drug (Shastry 2006). When we treated prepuber male rats with pCA, a chemical inhibitor of the synthesis of the neurotransmitter</w:t>
      </w:r>
      <w:r>
        <w:rPr>
          <w:spacing w:val="26"/>
        </w:rPr>
        <w:t> </w:t>
      </w:r>
      <w:r>
        <w:rPr/>
        <w:t>serotonin,</w:t>
      </w:r>
      <w:r>
        <w:rPr>
          <w:spacing w:val="28"/>
        </w:rPr>
        <w:t> </w:t>
      </w:r>
      <w:r>
        <w:rPr/>
        <w:t>we</w:t>
      </w:r>
      <w:r>
        <w:rPr>
          <w:spacing w:val="28"/>
        </w:rPr>
        <w:t> </w:t>
      </w:r>
      <w:r>
        <w:rPr/>
        <w:t>observed</w:t>
      </w:r>
      <w:r>
        <w:rPr>
          <w:spacing w:val="28"/>
        </w:rPr>
        <w:t> </w:t>
      </w:r>
      <w:r>
        <w:rPr/>
        <w:t>that</w:t>
      </w:r>
      <w:r>
        <w:rPr>
          <w:spacing w:val="27"/>
        </w:rPr>
        <w:t> </w:t>
      </w:r>
      <w:r>
        <w:rPr/>
        <w:t>germ</w:t>
      </w:r>
      <w:r>
        <w:rPr>
          <w:spacing w:val="28"/>
        </w:rPr>
        <w:t> </w:t>
      </w:r>
      <w:r>
        <w:rPr/>
        <w:t>cell</w:t>
      </w:r>
      <w:r>
        <w:rPr>
          <w:spacing w:val="26"/>
        </w:rPr>
        <w:t> </w:t>
      </w:r>
      <w:r>
        <w:rPr/>
        <w:t>apoptosis</w:t>
      </w:r>
      <w:r>
        <w:rPr>
          <w:spacing w:val="27"/>
        </w:rPr>
        <w:t> </w:t>
      </w:r>
      <w:r>
        <w:rPr/>
        <w:t>increased</w:t>
      </w:r>
      <w:r>
        <w:rPr>
          <w:spacing w:val="28"/>
        </w:rPr>
        <w:t> </w:t>
      </w:r>
      <w:r>
        <w:rPr/>
        <w:t>at</w:t>
      </w:r>
    </w:p>
    <w:p>
      <w:pPr>
        <w:pStyle w:val="BodyText"/>
        <w:spacing w:line="360" w:lineRule="auto" w:before="2"/>
        <w:ind w:left="265" w:right="116"/>
        <w:jc w:val="both"/>
      </w:pPr>
      <w:r>
        <w:rPr/>
        <w:t>45 or 65 days-of-age (Aragón et al. 2005). However, the magnitude of this increase varied by individual; in some animals, pCA induced an unquantifiable number of apoptotic germ cells, sometimes even causing loss of complete regions of seminiferous epithelium, while, t in other animals, the increase of  germ cell apoptosis was not conspicuous. In intact rats of 30 days-of-age maintained in homogeneous environmental and management conditions, we observed inter-individual differences in the innate level of germ cell apoptosis (observation not published, AAM). This implies that genetic factors are behind the phenomenon of differential levels of germ cell apoptosis. On the basis of our previous work, we hypothesize that intact prepubertal rats with a high number of apoptotic germ cells (high sensitivity) will also present with a high number of apoptotic germ cells once spermatogenesis is completed, and that this phenomenon will be exacerbated if pCA is administered. Chemical communication among players such as Leydig cells, Sertoli cells, gonadotropins, and sexual steroids is crucial to spermatogenesis (Hikim et al. 2003; Ruwanpura et al. 2010; Pareek et al. 2007) and germ cell survival (Ruwanpura et al. 2010; Sinha-Hikim and Swerdloff 1999; Hikim et al. 2003; Billig et al. 1995; Pareek et al. 2007). The hypophyseal gonadotropins, luteinizing hormone (LH) and follicle stimulating hormone (FSH), are necessary for germ cell development, and are related to germ cell apoptosis (Billig et al. 1995; Pareek et al. 2007). Pretreatment with an GnRH antagonist increased apoptotic DNA  </w:t>
      </w:r>
      <w:r>
        <w:rPr>
          <w:spacing w:val="15"/>
        </w:rPr>
        <w:t> </w:t>
      </w:r>
      <w:r>
        <w:rPr/>
        <w:t>fragmentation</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4"/>
        <w:jc w:val="both"/>
      </w:pPr>
      <w:r>
        <w:rPr/>
        <w:t>in rats between 16-32 days of age but not in younger or adult animals demonstrating an age-related changing in gonadotropin dependance (Billig et al. 1995). Apoptotic mechanism include extrinsic and intrinsic apoptotic death pathways, which are operative in the germ cells death following decrease  in FSH and testosterone levels (Pareek et al., 2007). Gonadotropins exert their effects on Leydig and Sertoli cells. Leydig cells provide feedback by producing androgens, including testosterone. Testosterone is a sexual steroid that binds to the androgen receptor (Ar) on Sertoli cells and supports their functions in spermatogenesis, including survival of germ cells (Meena et al. 2012). Spontaneous germ cell death by apoptosis occurs during normal spermatogenesis in mammals, and is thought to play a role in the physiological mechanism limiting the clonal expansion of the germ cell population in the male gonad (Barone et al. 2005). A number of genes and gene families have been demonstrated to be involved in regulation of the rate of germ cell apoptosis. For instance, both proapoptotic and antiapoptotic members of the Bcl2 family have roles in normal and in chemically induced apoptosis of male germ cells (Hikim et al. 2003; Pareek et al. 2007). In another pathway, the cAMP responsive element modulator (Crem) is expressed in post meiotic male germ cells, accumulates in haploid spermatids, and is required for transcriptional activation of several postmeiotic genes (Foulkes et al. 1992; Sassone-Corsi 1998a). Most of these postmeiotic genes encode structural proteins required for differentiation of spermatozoa and apoptosis of germ cells (Sassone-Corsi 1998b; Sadate- Ngatchou et al. 2004; Kosir et al. 2012). In this work we proposed to 1) identify rats with low or high levels of germ cell apoptosis before serotonin depletion; 2) search for possible differences in levels of serotonin, gonadotropins, and sexual steroids in rats with low or high rates of germ cell apoptosis after serotonin depletion, and 3) evaluate whether, in testicular tissue, the expression of genes related to apoptosis and spermatogenesis is distinct in animals with  </w:t>
      </w:r>
      <w:r>
        <w:rPr>
          <w:spacing w:val="66"/>
        </w:rPr>
        <w:t> </w:t>
      </w:r>
      <w:r>
        <w:rPr/>
        <w:t>differential</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5"/>
        <w:jc w:val="both"/>
      </w:pPr>
      <w:r>
        <w:rPr/>
        <w:t>rates of germ cell apoptosis before serotonin depletion or differential response</w:t>
      </w:r>
      <w:r>
        <w:rPr>
          <w:spacing w:val="-28"/>
        </w:rPr>
        <w:t> </w:t>
      </w:r>
      <w:r>
        <w:rPr/>
        <w:t>to serotonin</w:t>
      </w:r>
      <w:r>
        <w:rPr>
          <w:spacing w:val="-6"/>
        </w:rPr>
        <w:t> </w:t>
      </w:r>
      <w:r>
        <w:rPr/>
        <w:t>depletion.</w:t>
      </w:r>
    </w:p>
    <w:p>
      <w:pPr>
        <w:pStyle w:val="BodyText"/>
      </w:pPr>
    </w:p>
    <w:p>
      <w:pPr>
        <w:pStyle w:val="BodyText"/>
      </w:pPr>
    </w:p>
    <w:p>
      <w:pPr>
        <w:pStyle w:val="BodyText"/>
        <w:spacing w:before="11"/>
        <w:rPr>
          <w:sz w:val="22"/>
        </w:rPr>
      </w:pPr>
    </w:p>
    <w:p>
      <w:pPr>
        <w:pStyle w:val="Heading2"/>
        <w:ind w:left="265" w:firstLine="0"/>
        <w:jc w:val="both"/>
      </w:pPr>
      <w:r>
        <w:rPr/>
        <w:t>Results and Discussion</w:t>
      </w:r>
    </w:p>
    <w:p>
      <w:pPr>
        <w:pStyle w:val="BodyText"/>
        <w:rPr>
          <w:b/>
        </w:rPr>
      </w:pPr>
    </w:p>
    <w:p>
      <w:pPr>
        <w:pStyle w:val="BodyText"/>
        <w:rPr>
          <w:b/>
        </w:rPr>
      </w:pPr>
    </w:p>
    <w:p>
      <w:pPr>
        <w:pStyle w:val="BodyText"/>
        <w:spacing w:before="9"/>
        <w:rPr>
          <w:b/>
          <w:sz w:val="34"/>
        </w:rPr>
      </w:pPr>
    </w:p>
    <w:p>
      <w:pPr>
        <w:pStyle w:val="BodyText"/>
        <w:spacing w:line="360" w:lineRule="auto" w:before="1"/>
        <w:ind w:left="265" w:right="114"/>
        <w:jc w:val="both"/>
      </w:pPr>
      <w:r>
        <w:rPr/>
        <w:t>Diverse chemical agents induce male germ cell apoptosis. One such chemical is pCA, a substance that inhibits serotonin synthesis (Aragón y col., 2005). </w:t>
      </w:r>
      <w:r>
        <w:rPr>
          <w:spacing w:val="4"/>
        </w:rPr>
        <w:t>We </w:t>
      </w:r>
      <w:r>
        <w:rPr/>
        <w:t>have observed that germ cell apoptosis is affected more intensely in some animals than others after treatment with pCA, although in all of them serotonin synthesis is diminished. This indicates that some animals have different innate rates of germ cell apoptosis, as well as differential sensitivity of these rates to serotonin depletion. </w:t>
      </w:r>
      <w:r>
        <w:rPr>
          <w:spacing w:val="3"/>
        </w:rPr>
        <w:t>We </w:t>
      </w:r>
      <w:r>
        <w:rPr/>
        <w:t>have noted that intact rats of 30 days-of-age also present differential rate of germ cell apoptosis (observations not published). In this work, using the model of inhibition of serotoninergic system previously described (Aragón et al., 2005), we proposed to identify intact animals with different rates of germ cell apoptosis, to investigate whether different rates of germ cell apoptosis are maintained after pCA treatment, and finally analyze whether the different rates of germ cell apoptosis are related with neuro- hormonal response and/or the mRNA expression of some genes regulating apoptosis and spermatogenesis. To our knowledge it is the first work where rates of germ cell apoptosis are monitored across time in the same</w:t>
      </w:r>
      <w:r>
        <w:rPr>
          <w:spacing w:val="-26"/>
        </w:rPr>
        <w:t> </w:t>
      </w:r>
      <w:r>
        <w:rPr/>
        <w:t>animal.</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11"/>
        <w:rPr>
          <w:sz w:val="15"/>
        </w:rPr>
      </w:pPr>
    </w:p>
    <w:p>
      <w:pPr>
        <w:spacing w:line="360" w:lineRule="auto" w:before="70"/>
        <w:ind w:left="265" w:right="127" w:firstLine="0"/>
        <w:jc w:val="both"/>
        <w:rPr>
          <w:i/>
          <w:sz w:val="24"/>
        </w:rPr>
      </w:pPr>
      <w:r>
        <w:rPr>
          <w:i/>
          <w:sz w:val="24"/>
        </w:rPr>
        <w:t>Germ cell apoptosis in left or right testis and identification of rats with high or low </w:t>
      </w:r>
      <w:r>
        <w:rPr>
          <w:i/>
          <w:sz w:val="24"/>
        </w:rPr>
        <w:t>sensitivity to germ cell apoptosis</w:t>
      </w:r>
    </w:p>
    <w:p>
      <w:pPr>
        <w:pStyle w:val="BodyText"/>
        <w:spacing w:line="360" w:lineRule="auto" w:before="204"/>
        <w:ind w:left="265" w:right="119"/>
        <w:jc w:val="both"/>
      </w:pPr>
      <w:r>
        <w:rPr/>
        <w:t>Number of TUNEL-positive germ cells in right vs. left testis of adult rats was 3.10±2.44 and 2.77±2.07, respectively. The t test for paired samples indicated a p=0.03 and a mean of the differences of 0.33, which is statistically insignificant, indicating equal numbers of apoptotic germ cells in both testes. For subsequent experiments, the left testis was used to obtain biopsies.</w:t>
      </w:r>
    </w:p>
    <w:p>
      <w:pPr>
        <w:pStyle w:val="BodyText"/>
        <w:spacing w:line="360" w:lineRule="auto" w:before="205"/>
        <w:ind w:left="265" w:right="112"/>
        <w:jc w:val="both"/>
      </w:pPr>
      <w:r>
        <w:rPr/>
        <w:t>On the basis of the number of TUNEL-positive germ cells, we classified 30 day old rats as high or low in regard to rate of apoptosis of germ cells. Arbitrarily, we assigned animals with &gt;3 TUNEL-positive germ cells per ten tissue sections to the group of rats with high rates; whereas rats with ≤3 TUNEL-positive germ  cells were classified as animals with low rates, and this grouping referred to as “category” throughout. Rats initially classified with high rates of germ cells apoptosis also had a high number of TUNEL-positive germ cells at the end of chemical treatment; although rats treated with pCA showed an increased rate of apoptosis (Fig. 1). While it was possible to evaluate the number of TUNEL- positive germ cells in 30 day old animals (Fig. 1), it was not always possible in 45 day old animals due to the very high number of TUNEL-positive germ cells or to a loss of germ cells in the seminiferous tubules (Fig. 1). Apoptosis is a natural phenomenon occurring in most cell types studied, and male germ cells are not an exception. From early on, some authors found male germ cell apoptosis to be induced by different chemical factors under distinct experimental conditions (Brinkworth et al. 1995; Henriksén et al. 1995). However, to our knowledge, inter-individual rates of germ cell apoptosis and differential sensitivity to outside factors have not been</w:t>
      </w:r>
      <w:r>
        <w:rPr>
          <w:spacing w:val="-12"/>
        </w:rPr>
        <w:t> </w:t>
      </w:r>
      <w:r>
        <w:rPr/>
        <w:t>described.</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11"/>
        <w:rPr>
          <w:sz w:val="15"/>
        </w:rPr>
      </w:pPr>
    </w:p>
    <w:p>
      <w:pPr>
        <w:spacing w:before="70"/>
        <w:ind w:left="265" w:right="0" w:firstLine="0"/>
        <w:jc w:val="both"/>
        <w:rPr>
          <w:i/>
          <w:sz w:val="24"/>
        </w:rPr>
      </w:pPr>
      <w:r>
        <w:rPr>
          <w:i/>
          <w:sz w:val="24"/>
        </w:rPr>
        <w:t>Neuro-hormonal response to treatment with pCA</w:t>
      </w:r>
    </w:p>
    <w:p>
      <w:pPr>
        <w:pStyle w:val="BodyText"/>
        <w:spacing w:before="7"/>
        <w:rPr>
          <w:i/>
          <w:sz w:val="29"/>
        </w:rPr>
      </w:pPr>
    </w:p>
    <w:p>
      <w:pPr>
        <w:pStyle w:val="BodyText"/>
        <w:spacing w:line="352" w:lineRule="auto"/>
        <w:ind w:left="265" w:right="117"/>
        <w:jc w:val="both"/>
      </w:pPr>
      <w:r>
        <w:rPr/>
        <w:t>At 45 days-of-age, rats were killed, and serotonin and reproductive hormones were measured. For serotonin, HIIA, gonadotropins, and sexual steroids a 3 (treatment) × 2 (category) multivariate analysis of variance shown a significant multivariate main effect for treatment (Wilk's </w:t>
      </w:r>
      <w:r>
        <w:rPr>
          <w:rFonts w:ascii="Cambria Math" w:hAnsi="Cambria Math"/>
        </w:rPr>
        <w:t>Ʌ</w:t>
      </w:r>
      <w:r>
        <w:rPr/>
        <w:t>=0.045, p=0.0035, </w:t>
      </w:r>
      <w:r>
        <w:rPr>
          <w:rFonts w:ascii="Cambria Math" w:hAnsi="Cambria Math"/>
        </w:rPr>
        <w:t>ƞ</w:t>
      </w:r>
      <w:r>
        <w:rPr>
          <w:position w:val="11"/>
          <w:sz w:val="16"/>
        </w:rPr>
        <w:t>2</w:t>
      </w:r>
      <w:r>
        <w:rPr/>
        <w:t>=0.955) but not for category (Wilk's </w:t>
      </w:r>
      <w:r>
        <w:rPr>
          <w:rFonts w:ascii="Cambria Math" w:hAnsi="Cambria Math"/>
        </w:rPr>
        <w:t>Ʌ</w:t>
      </w:r>
      <w:r>
        <w:rPr/>
        <w:t>=0.674, p=0.7755, </w:t>
      </w:r>
      <w:r>
        <w:rPr>
          <w:rFonts w:ascii="Cambria Math" w:hAnsi="Cambria Math"/>
        </w:rPr>
        <w:t>ƞ</w:t>
      </w:r>
      <w:r>
        <w:rPr>
          <w:position w:val="11"/>
          <w:sz w:val="16"/>
        </w:rPr>
        <w:t>2</w:t>
      </w:r>
      <w:r>
        <w:rPr/>
        <w:t>=0.326). Univariate ANOVAs indicated significant differences for serotonin and HIAA (p=0.009 and p=0.019, respectively) (Table 2). As expected, means of serotonin concentrations diminished significantly in rats treated with pCA compared with saline treated (p=0.038)  or  untreated  animals  (p=0.009)  (0.86±0.05,  1.70±0.81,</w:t>
      </w:r>
      <w:r>
        <w:rPr>
          <w:spacing w:val="55"/>
        </w:rPr>
        <w:t> </w:t>
      </w:r>
      <w:r>
        <w:rPr/>
        <w:t>1.93±0.43,</w:t>
      </w:r>
    </w:p>
    <w:p>
      <w:pPr>
        <w:pStyle w:val="BodyText"/>
        <w:spacing w:line="360" w:lineRule="auto" w:before="13"/>
        <w:ind w:left="265" w:right="119"/>
        <w:jc w:val="both"/>
      </w:pPr>
      <w:r>
        <w:rPr/>
        <w:t>respectively). HIAA was significantly lower in rats treated with pCA compared with rats treated with saline (p=0.028) or with untreated rats (p=0.026) (0.21±0.05, 0.50±0.22, 0.49±0.17, respectively). However, there were not changes in serotonin or HIAA levels between categories. Progesterone, testosterone, estradiol, FSH, and LH concentrations were not different among treatments or between categories (Table 2).</w:t>
      </w:r>
    </w:p>
    <w:p>
      <w:pPr>
        <w:pStyle w:val="BodyText"/>
        <w:spacing w:line="360" w:lineRule="auto" w:before="204"/>
        <w:ind w:left="265" w:right="119"/>
        <w:jc w:val="both"/>
      </w:pPr>
      <w:r>
        <w:rPr/>
        <w:t>Depletion of serotonin synthesis was not related to magnitude of response in terms of changes in rates of germ cell apoptosis. As previously reported (Aragón et al., 2005), pCA induced a significant reduction in concentrations of serotonin and HIAA but changes were not observed in gonadotropin or sexual steroid concentrations, and there were not changes in these parameters in relation to initial rates of germ cell apoptosis. This suggests that, in our model, germ cell apoptosis could be regulated at a level distinct from the hormonal level.</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11"/>
        <w:rPr>
          <w:sz w:val="15"/>
        </w:rPr>
      </w:pPr>
    </w:p>
    <w:p>
      <w:pPr>
        <w:spacing w:before="70"/>
        <w:ind w:left="265" w:right="0" w:firstLine="0"/>
        <w:jc w:val="both"/>
        <w:rPr>
          <w:i/>
          <w:sz w:val="24"/>
        </w:rPr>
      </w:pPr>
      <w:r>
        <w:rPr>
          <w:i/>
          <w:sz w:val="24"/>
        </w:rPr>
        <w:t>Gene expression before and after treatment with pCA</w:t>
      </w:r>
    </w:p>
    <w:p>
      <w:pPr>
        <w:pStyle w:val="BodyText"/>
        <w:spacing w:before="7"/>
        <w:rPr>
          <w:i/>
          <w:sz w:val="29"/>
        </w:rPr>
      </w:pPr>
    </w:p>
    <w:p>
      <w:pPr>
        <w:pStyle w:val="BodyText"/>
        <w:spacing w:line="360" w:lineRule="auto"/>
        <w:ind w:left="265" w:right="118"/>
        <w:jc w:val="both"/>
      </w:pPr>
      <w:r>
        <w:rPr/>
        <w:t>At 30 days-of-age the expression of Bax mRNA was different between animals with high or low rates of germ cell apoptosis (p=8.9×10-8, 0.27±0.02 and 0.05±0.01; respectively). In a similar manner, Shbg expression was high in rats with high rates of germ cell apoptosis (p=4.7×10-4, 0.18±0.04, 0.07±0.03; respectively). No differences were detected in expression of Ar, Bcl2, and Hsd3b2 between rats in each category. At 30 days-of-age, Crem mRNA was not detected (Figure 2).</w:t>
      </w:r>
    </w:p>
    <w:p>
      <w:pPr>
        <w:pStyle w:val="BodyText"/>
        <w:spacing w:line="352" w:lineRule="auto" w:before="204"/>
        <w:ind w:left="265" w:right="115"/>
        <w:jc w:val="both"/>
      </w:pPr>
      <w:r>
        <w:rPr/>
        <w:t>For gene expression at 45 days-of-age, a 3 (treatment) × 2 (sensitivity) multivariate analysis of variance shows a significant multivariate main effect for treatment (Wilk's </w:t>
      </w:r>
      <w:r>
        <w:rPr>
          <w:rFonts w:ascii="Cambria Math" w:hAnsi="Cambria Math"/>
        </w:rPr>
        <w:t>Ʌ</w:t>
      </w:r>
      <w:r>
        <w:rPr/>
        <w:t>=0.05, p=0.0009, </w:t>
      </w:r>
      <w:r>
        <w:rPr>
          <w:rFonts w:ascii="Cambria Math" w:hAnsi="Cambria Math"/>
        </w:rPr>
        <w:t>ƞ</w:t>
      </w:r>
      <w:r>
        <w:rPr>
          <w:position w:val="11"/>
          <w:sz w:val="16"/>
        </w:rPr>
        <w:t>2</w:t>
      </w:r>
      <w:r>
        <w:rPr/>
        <w:t>=0.950) and category (Wilk's </w:t>
      </w:r>
      <w:r>
        <w:rPr>
          <w:rFonts w:ascii="Cambria Math" w:hAnsi="Cambria Math"/>
        </w:rPr>
        <w:t>Ʌ</w:t>
      </w:r>
      <w:r>
        <w:rPr/>
        <w:t>=0.126, p=0.0012, </w:t>
      </w:r>
      <w:r>
        <w:rPr>
          <w:rFonts w:ascii="Cambria Math" w:hAnsi="Cambria Math"/>
        </w:rPr>
        <w:t>ƞ</w:t>
      </w:r>
      <w:r>
        <w:rPr/>
        <w:t>2=0.894). Means of expression of genes on the basis of treatment and category is shown in Table 3. Univariate ANOVAs indicated significant differences by treatment and category for Bax (0.003 and 1.5×10</w:t>
      </w:r>
      <w:r>
        <w:rPr>
          <w:position w:val="11"/>
          <w:sz w:val="16"/>
        </w:rPr>
        <w:t>-5</w:t>
      </w:r>
      <w:r>
        <w:rPr/>
        <w:t>, respectively) and AR (0.006 and 0.043, respectively); whereas, significant differences due to treatment were observed for Bcl2 and Hsd3b2 (0.043 and 0.039, respectively) (Table 3).</w:t>
      </w:r>
    </w:p>
    <w:p>
      <w:pPr>
        <w:pStyle w:val="BodyText"/>
        <w:spacing w:line="360" w:lineRule="auto" w:before="212"/>
        <w:ind w:left="265" w:right="118"/>
        <w:jc w:val="both"/>
      </w:pPr>
      <w:r>
        <w:rPr/>
        <w:t>Before treatment with pCA, we categorized rats as having high or low levels of germ cell apoptosis, on the basis of the number of apoptotic germ cells, and observed that expression of Bax mRNA is significantly higher in animals with high levels of apoptosis, and augmented after administration of pCA; however, the expression of the antiapoptotic mRNA Bcl2 does not changed after the treatment with pCA. Induction of male germ cell apoptosis could give rise to high expression of Bax mRNA and a low expression of Bcl2 mRNA (Kalia  and Bansal, 2008), or to a high expression of Bax mRNA and no changes in Bcl2 mRNA (Lysiak et al. 2000; Pareek et al. 2007). Our results are in line with  these</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6"/>
        <w:jc w:val="both"/>
      </w:pPr>
      <w:r>
        <w:rPr/>
        <w:t>studies, even more, in our study we were capable of measurement of mRNA levels before and after treatment with pCA.</w:t>
      </w:r>
    </w:p>
    <w:p>
      <w:pPr>
        <w:pStyle w:val="BodyText"/>
        <w:spacing w:line="360" w:lineRule="auto" w:before="202"/>
        <w:ind w:left="265" w:right="118"/>
        <w:jc w:val="both"/>
      </w:pPr>
      <w:r>
        <w:rPr/>
        <w:t>It has been stated that in the testis, balance between apoptosis and proliferation is determined by the balance among proapoptotic and antiapoptotic members of the Bcl2 family (Sinha-Hikim et al. 2003; Sinha-Hikim and Swerdloff 1999). The fact that no changes were observed in Bcl2 mRNA expression after treatment with pCA indicates that other members of the Bcl2 family may also have low expression. A candidate member is Bcl/xl, for which mRNA expression has been observed to diminish after Bax mRNA expression increases (Lysiak et al. 2000).</w:t>
      </w:r>
    </w:p>
    <w:p>
      <w:pPr>
        <w:pStyle w:val="BodyText"/>
        <w:spacing w:line="360" w:lineRule="auto" w:before="204"/>
        <w:ind w:left="265" w:right="116"/>
        <w:jc w:val="both"/>
      </w:pPr>
      <w:r>
        <w:rPr/>
        <w:t>Independently of treatment, the relative expression of between Bax and Bcl2, Bax and Ar, and Bax and Hsd3b2 mRNAs showed an inverse pattern in function of sensitivity to germ cell apoptosis, as shown in Figure 3. The fact that Bax mRNA expression was significantly higher in rats with high rates of germ cell apoptosis indicates an active involvement of Bax in the apoptotic process. In the animals with high rates of germ cell apoptosis, the expression of Bax is high before and after pCA-treatment; and correlation between Bax and Bcl2, Bax and Hsd3b2, Bax and Ar was positive for animals categorized as high and negative for animals categorized as low (Supplemental Table 1). In contrast, correlation between Bax and Shbg was positive for animals regardless of rate of apoptosis, although lower values are observed for animals with low apoptotic rates (Supplemental Table 1). At this time, we can not explain the impact of differential gene expression between categories, in other way that in the differential rate of germ cell apoptosis. The previous information is important, as spermatogenesis in individuals with high rates of germ cell apoptosis may appear normal until exposure to a apoptosis-inducing chemical occurs. It could be relevant to human populations exposed to environmental toxics. Details of the specific relationships among apoptotic regulating genes in animals with different innate levels of germ</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0"/>
        <w:jc w:val="both"/>
      </w:pPr>
      <w:r>
        <w:rPr/>
        <w:t>cell apoptosis is not known. It is a very complex point and possibly does not function on an mRNA level.</w:t>
      </w:r>
    </w:p>
    <w:p>
      <w:pPr>
        <w:pStyle w:val="BodyText"/>
        <w:spacing w:line="360" w:lineRule="auto" w:before="202"/>
        <w:ind w:left="265" w:right="118"/>
        <w:jc w:val="both"/>
      </w:pPr>
      <w:r>
        <w:rPr/>
        <w:t>As mentioned previously, Sertoli cells regulate not only germ cell viability and differentiation, but also their death, and the androgen receptor (Ar) is required  for these functions (Barone et al. 2005); thus, a possible dysregulation in chemical communication among somatic and germ cells could be the cause of the exacerbated response of increased germ cell apoptosis in animals with high underlying rates. At this time is not possible to suggest molecular players that may have roles in this</w:t>
      </w:r>
      <w:r>
        <w:rPr>
          <w:spacing w:val="-13"/>
        </w:rPr>
        <w:t> </w:t>
      </w:r>
      <w:r>
        <w:rPr/>
        <w:t>dysregulation.</w:t>
      </w:r>
    </w:p>
    <w:p>
      <w:pPr>
        <w:pStyle w:val="BodyText"/>
        <w:spacing w:line="360" w:lineRule="auto" w:before="204"/>
        <w:ind w:left="265" w:right="121"/>
        <w:jc w:val="both"/>
      </w:pPr>
      <w:r>
        <w:rPr/>
        <w:t>The fact that no changes in sexual steroid concentrations were observed after treatment with pCA, and the positive relations between Bax and Hsd3b2, Bax and Ar, and Bax and Shbg, in animals with high rates of germ cell apoptosis suggest differential expression of genes related to hormones regulating spermatogenesis as regulators of rates of germ cell apoptosis.</w:t>
      </w:r>
    </w:p>
    <w:p>
      <w:pPr>
        <w:pStyle w:val="BodyText"/>
        <w:spacing w:line="360" w:lineRule="auto" w:before="204"/>
        <w:ind w:left="265" w:right="118"/>
        <w:jc w:val="both"/>
      </w:pPr>
      <w:r>
        <w:rPr/>
        <w:t>In summary, we identified rats with high or low rates of germ cell apoptosis on the basis of apoptotic germ cell number. Animals categorized as high rates before pCA-treatment presented an exacerbated response to pCA-treatment. In rats with high rates of germ cell apoptosis, the expression of Bax mRNA was high both before and after the administration of pCA. Bivariate relationships between Bax and Bcl2, Bax and Ar, Bax and Shbg, and Bax and Hsd3b2 were different between animals with high or low rates of germ cell apoptosis. Our results could help to explain individual sensitivity to drugs and toxic agents that influence germ cell apoptosis.</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Heading2"/>
        <w:spacing w:before="69"/>
        <w:ind w:left="265" w:firstLine="0"/>
        <w:jc w:val="both"/>
      </w:pPr>
      <w:r>
        <w:rPr/>
        <w:t>Material and methods</w:t>
      </w:r>
    </w:p>
    <w:p>
      <w:pPr>
        <w:pStyle w:val="BodyText"/>
        <w:rPr>
          <w:b/>
        </w:rPr>
      </w:pPr>
    </w:p>
    <w:p>
      <w:pPr>
        <w:pStyle w:val="BodyText"/>
        <w:rPr>
          <w:b/>
        </w:rPr>
      </w:pPr>
    </w:p>
    <w:p>
      <w:pPr>
        <w:pStyle w:val="BodyText"/>
        <w:spacing w:before="7"/>
        <w:rPr>
          <w:b/>
          <w:sz w:val="34"/>
        </w:rPr>
      </w:pPr>
    </w:p>
    <w:p>
      <w:pPr>
        <w:spacing w:before="0"/>
        <w:ind w:left="265" w:right="0" w:firstLine="0"/>
        <w:jc w:val="both"/>
        <w:rPr>
          <w:i/>
          <w:sz w:val="24"/>
        </w:rPr>
      </w:pPr>
      <w:r>
        <w:rPr>
          <w:i/>
          <w:sz w:val="24"/>
        </w:rPr>
        <w:t>Animals</w:t>
      </w:r>
    </w:p>
    <w:p>
      <w:pPr>
        <w:pStyle w:val="BodyText"/>
        <w:spacing w:before="4"/>
        <w:rPr>
          <w:i/>
          <w:sz w:val="29"/>
        </w:rPr>
      </w:pPr>
    </w:p>
    <w:p>
      <w:pPr>
        <w:pStyle w:val="BodyText"/>
        <w:spacing w:line="360" w:lineRule="auto" w:before="1"/>
        <w:ind w:left="265" w:right="118"/>
        <w:jc w:val="both"/>
      </w:pPr>
      <w:r>
        <w:rPr/>
        <w:t>Thirty-day-old male rats, CII-ZV strain (weighing 75–90 g), from our own stock were used. They were kept in individual cages under conditions of controlled lighting (lights on from 05:00 to 19:00 h) with free access to water and food (Purina chow). All experiments were performed following the parameters of the US Guide for the Care and Use of Laboratory Animals (Commission of Life Sciences, National Research Council, USA).</w:t>
      </w:r>
    </w:p>
    <w:p>
      <w:pPr>
        <w:pStyle w:val="BodyText"/>
      </w:pPr>
    </w:p>
    <w:p>
      <w:pPr>
        <w:pStyle w:val="BodyText"/>
      </w:pPr>
    </w:p>
    <w:p>
      <w:pPr>
        <w:pStyle w:val="BodyText"/>
        <w:spacing w:before="11"/>
        <w:rPr>
          <w:sz w:val="22"/>
        </w:rPr>
      </w:pPr>
    </w:p>
    <w:p>
      <w:pPr>
        <w:spacing w:before="0"/>
        <w:ind w:left="265" w:right="0" w:firstLine="0"/>
        <w:jc w:val="both"/>
        <w:rPr>
          <w:i/>
          <w:sz w:val="24"/>
        </w:rPr>
      </w:pPr>
      <w:r>
        <w:rPr>
          <w:i/>
          <w:sz w:val="24"/>
        </w:rPr>
        <w:t>Experimental strategy</w:t>
      </w:r>
    </w:p>
    <w:p>
      <w:pPr>
        <w:pStyle w:val="BodyText"/>
        <w:spacing w:before="4"/>
        <w:rPr>
          <w:i/>
          <w:sz w:val="29"/>
        </w:rPr>
      </w:pPr>
    </w:p>
    <w:p>
      <w:pPr>
        <w:pStyle w:val="BodyText"/>
        <w:spacing w:line="360" w:lineRule="auto" w:before="1"/>
        <w:ind w:left="265" w:right="114"/>
        <w:jc w:val="both"/>
      </w:pPr>
      <w:r>
        <w:rPr/>
        <w:t>To decide which testis use for biopsy, we verified the lack of difference in rate of germ cell apoptosis between left and right testis from the same animal by evaluating right and left testis of three intact adult rats for presence of TUNEL- positive germ cells.</w:t>
      </w:r>
    </w:p>
    <w:p>
      <w:pPr>
        <w:pStyle w:val="BodyText"/>
        <w:spacing w:line="360" w:lineRule="auto" w:before="204"/>
        <w:ind w:left="265" w:right="115"/>
        <w:jc w:val="both"/>
      </w:pPr>
      <w:r>
        <w:rPr/>
        <w:t>To identify individuals with high or low rates of gem cell apoptosis, groups of 30 day old rats were anesthetized with pentobarbital 20 mg/kg b.w. (Sedalphorte, Salud Reproductiva y Bienestar Animal, SA de CV, México). From the left testis of each rat, an open biopsy of approximately 20 mg was taken; sampling of biopsy was done according to Arïdoğan et al. (2003). From the biopsy, the number of TUNEL-positive germ cells and level of gene expression was evaluated. After surgery, rats were randomly assigned to receive pCA or vehicle only (saline) for 15 days. At the end of treatment (45 days-of-age) rats were killed and gene expression and number of TUNEL-positive germ cells were evaluated in the contralateral testis. Levels of serotonin were evaluated from</w:t>
      </w:r>
      <w:r>
        <w:rPr>
          <w:spacing w:val="30"/>
        </w:rPr>
        <w:t> </w:t>
      </w:r>
      <w:r>
        <w:rPr/>
        <w:t>the</w:t>
      </w:r>
    </w:p>
    <w:p>
      <w:pPr>
        <w:spacing w:after="0" w:line="360" w:lineRule="auto"/>
        <w:jc w:val="both"/>
        <w:sectPr>
          <w:footerReference w:type="default" r:id="rId25"/>
          <w:pgSz w:w="12240" w:h="15840"/>
          <w:pgMar w:footer="1680" w:header="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5"/>
        <w:jc w:val="both"/>
      </w:pPr>
      <w:r>
        <w:rPr/>
        <w:t>hypothalamus. Gonadotropins and sexual steroids levels of sexual steroids were evaluated from blood serum. Rats that presented with testis degeneration following biopsy procedure were not included in the study.</w:t>
      </w:r>
    </w:p>
    <w:p>
      <w:pPr>
        <w:pStyle w:val="BodyText"/>
      </w:pPr>
    </w:p>
    <w:p>
      <w:pPr>
        <w:pStyle w:val="BodyText"/>
      </w:pPr>
    </w:p>
    <w:p>
      <w:pPr>
        <w:pStyle w:val="BodyText"/>
        <w:spacing w:before="11"/>
        <w:rPr>
          <w:sz w:val="22"/>
        </w:rPr>
      </w:pPr>
    </w:p>
    <w:p>
      <w:pPr>
        <w:spacing w:before="0"/>
        <w:ind w:left="265" w:right="0" w:firstLine="0"/>
        <w:jc w:val="both"/>
        <w:rPr>
          <w:i/>
          <w:sz w:val="24"/>
        </w:rPr>
      </w:pPr>
      <w:r>
        <w:rPr>
          <w:i/>
          <w:sz w:val="24"/>
        </w:rPr>
        <w:t>Treatments</w:t>
      </w:r>
    </w:p>
    <w:p>
      <w:pPr>
        <w:pStyle w:val="BodyText"/>
        <w:spacing w:before="4"/>
        <w:rPr>
          <w:i/>
          <w:sz w:val="29"/>
        </w:rPr>
      </w:pPr>
    </w:p>
    <w:p>
      <w:pPr>
        <w:pStyle w:val="BodyText"/>
        <w:spacing w:line="360" w:lineRule="auto" w:before="1"/>
        <w:ind w:left="265" w:right="116"/>
        <w:jc w:val="both"/>
      </w:pPr>
      <w:r>
        <w:rPr/>
        <w:t>Chemical treatment was initiated when rats achieved 30-days-of-age, just after biopsy. PCA (Sigma, St. Louis, MO, USA) was dissolved in saline, and one group of rats received pCA i.p., 10 mg per kilogram of body weight every eight days(Sanders-Bush et al. 1972; Aragón et al. 2005). Another group of rats received saline in the same volumes and on the same schedule as the pCA group. An unbiopsied group of rats without chemical treatment killed at 45 days- of-age was used as absolute control (UC).</w:t>
      </w:r>
    </w:p>
    <w:p>
      <w:pPr>
        <w:pStyle w:val="BodyText"/>
      </w:pPr>
    </w:p>
    <w:p>
      <w:pPr>
        <w:pStyle w:val="BodyText"/>
      </w:pPr>
    </w:p>
    <w:p>
      <w:pPr>
        <w:pStyle w:val="BodyText"/>
        <w:rPr>
          <w:sz w:val="23"/>
        </w:rPr>
      </w:pPr>
    </w:p>
    <w:p>
      <w:pPr>
        <w:spacing w:before="0"/>
        <w:ind w:left="265" w:right="0" w:firstLine="0"/>
        <w:jc w:val="both"/>
        <w:rPr>
          <w:i/>
          <w:sz w:val="24"/>
        </w:rPr>
      </w:pPr>
      <w:r>
        <w:rPr>
          <w:i/>
          <w:sz w:val="24"/>
        </w:rPr>
        <w:t>Killing</w:t>
      </w:r>
    </w:p>
    <w:p>
      <w:pPr>
        <w:pStyle w:val="BodyText"/>
        <w:spacing w:before="7"/>
        <w:rPr>
          <w:i/>
          <w:sz w:val="29"/>
        </w:rPr>
      </w:pPr>
    </w:p>
    <w:p>
      <w:pPr>
        <w:pStyle w:val="BodyText"/>
        <w:ind w:left="265"/>
        <w:jc w:val="both"/>
      </w:pPr>
      <w:r>
        <w:rPr/>
        <w:t>All animals were killed by decapitation.</w:t>
      </w:r>
    </w:p>
    <w:p>
      <w:pPr>
        <w:pStyle w:val="BodyText"/>
      </w:pPr>
    </w:p>
    <w:p>
      <w:pPr>
        <w:pStyle w:val="BodyText"/>
      </w:pPr>
    </w:p>
    <w:p>
      <w:pPr>
        <w:pStyle w:val="BodyText"/>
        <w:spacing w:before="5"/>
        <w:rPr>
          <w:sz w:val="34"/>
        </w:rPr>
      </w:pPr>
    </w:p>
    <w:p>
      <w:pPr>
        <w:spacing w:before="0"/>
        <w:ind w:left="265" w:right="0" w:firstLine="0"/>
        <w:jc w:val="both"/>
        <w:rPr>
          <w:i/>
          <w:sz w:val="24"/>
        </w:rPr>
      </w:pPr>
      <w:r>
        <w:rPr>
          <w:i/>
          <w:sz w:val="24"/>
        </w:rPr>
        <w:t>TUNEL</w:t>
      </w:r>
    </w:p>
    <w:p>
      <w:pPr>
        <w:pStyle w:val="BodyText"/>
        <w:spacing w:before="7"/>
        <w:rPr>
          <w:i/>
          <w:sz w:val="29"/>
        </w:rPr>
      </w:pPr>
    </w:p>
    <w:p>
      <w:pPr>
        <w:pStyle w:val="BodyText"/>
        <w:spacing w:line="360" w:lineRule="auto"/>
        <w:ind w:left="265" w:right="116"/>
        <w:jc w:val="both"/>
      </w:pPr>
      <w:r>
        <w:rPr/>
        <w:t>Left testis samples of rats of 30-days-of-age right testis of 45-days-of-age were fixed by immersion in paraformaldehyde (4% in phosphate buffer, pH 7.4), dehydrated and embedded in paraffin wax. Serial sections </w:t>
      </w:r>
      <w:r>
        <w:rPr>
          <w:spacing w:val="2"/>
        </w:rPr>
        <w:t>of </w:t>
      </w:r>
      <w:r>
        <w:rPr/>
        <w:t>a thickness of 7  μm were taken every 100 μm. DNA end labeling was performed with the aid of an apoptosis kit according to the manufacturer’s instructions (Roche Diagnostics, Indianapolis, IN, USA); briefly, sections were mounted on slides coated with poly-L-lysine (Sigma), deparaffinized, hydrated and treated with  </w:t>
      </w:r>
      <w:r>
        <w:rPr>
          <w:spacing w:val="37"/>
        </w:rPr>
        <w:t> </w:t>
      </w:r>
      <w:r>
        <w:rPr/>
        <w:t>20</w:t>
      </w:r>
    </w:p>
    <w:p>
      <w:pPr>
        <w:spacing w:after="0" w:line="360" w:lineRule="auto"/>
        <w:jc w:val="both"/>
        <w:sectPr>
          <w:footerReference w:type="default" r:id="rId26"/>
          <w:pgSz w:w="12240" w:h="15840"/>
          <w:pgMar w:footer="1680" w:header="0" w:top="1500" w:bottom="1860" w:left="1720" w:right="1580"/>
          <w:pgNumType w:start="51"/>
        </w:sectPr>
      </w:pPr>
    </w:p>
    <w:p>
      <w:pPr>
        <w:pStyle w:val="BodyText"/>
        <w:rPr>
          <w:sz w:val="20"/>
        </w:rPr>
      </w:pPr>
    </w:p>
    <w:p>
      <w:pPr>
        <w:pStyle w:val="BodyText"/>
        <w:spacing w:before="2"/>
        <w:rPr>
          <w:sz w:val="16"/>
        </w:rPr>
      </w:pPr>
    </w:p>
    <w:p>
      <w:pPr>
        <w:pStyle w:val="BodyText"/>
        <w:spacing w:line="360" w:lineRule="auto" w:before="69"/>
        <w:ind w:left="265" w:right="120"/>
        <w:jc w:val="both"/>
      </w:pPr>
      <w:r>
        <w:rPr/>
        <w:t>mg/ml proteinase K (Roche Diagnostics) for 30 min at 37oC, in a humidifier chamber. The tissue was treated with permeabilization solution with triton (0.1% Triton in 0.1% sodium citrate) for 2 min. Tissue sections were treated with label solution (terminal deoxynucleotidyl transferase (TdT) enzyme and biotinylated 16-dUTP) for 60 min at 37oC. After each step the tissue was rinsed twice, for 5 min each time. In the negative control slides, either the TdT enzyme or biotinyladed 16-dUTP was omitted in labeling the reaction. Fresh samples were mounted with a drop of PBS for fluorescence analysis.</w:t>
      </w:r>
    </w:p>
    <w:p>
      <w:pPr>
        <w:pStyle w:val="BodyText"/>
        <w:spacing w:line="360" w:lineRule="auto" w:before="204"/>
        <w:ind w:left="265" w:right="116"/>
        <w:jc w:val="both"/>
      </w:pPr>
      <w:r>
        <w:rPr/>
        <w:t>The slides were examined in a fluorescence microscope ECLIPSE 90i (Nikon Instruments, Melville, NY, USA) with a standard B-2A filter cube at 200X magnification. Germ cells TUNEL-positive were counted in ~50 seminiferous tubules approximately rounds. Micrographs were taken with a digital-cooled camera (DS-5Mc; Nikon) coupled to the microscope and captured with NIS- Elements F 2.30 software (Nikon) software.</w:t>
      </w:r>
    </w:p>
    <w:p>
      <w:pPr>
        <w:pStyle w:val="BodyText"/>
      </w:pPr>
    </w:p>
    <w:p>
      <w:pPr>
        <w:pStyle w:val="BodyText"/>
      </w:pPr>
    </w:p>
    <w:p>
      <w:pPr>
        <w:pStyle w:val="BodyText"/>
        <w:spacing w:before="9"/>
        <w:rPr>
          <w:sz w:val="22"/>
        </w:rPr>
      </w:pPr>
    </w:p>
    <w:p>
      <w:pPr>
        <w:spacing w:before="0"/>
        <w:ind w:left="265" w:right="0" w:firstLine="0"/>
        <w:jc w:val="both"/>
        <w:rPr>
          <w:i/>
          <w:sz w:val="24"/>
        </w:rPr>
      </w:pPr>
      <w:r>
        <w:rPr>
          <w:i/>
          <w:sz w:val="24"/>
        </w:rPr>
        <w:t>Measurement of serotonin and 5-hydroxyindole-3-acetic acid (5-HIAA)</w:t>
      </w:r>
    </w:p>
    <w:p>
      <w:pPr>
        <w:pStyle w:val="BodyText"/>
        <w:spacing w:before="7"/>
        <w:rPr>
          <w:i/>
          <w:sz w:val="29"/>
        </w:rPr>
      </w:pPr>
    </w:p>
    <w:p>
      <w:pPr>
        <w:pStyle w:val="BodyText"/>
        <w:spacing w:line="360" w:lineRule="auto"/>
        <w:ind w:left="265" w:right="118"/>
        <w:jc w:val="both"/>
      </w:pPr>
      <w:r>
        <w:rPr/>
        <w:t>After decapitation, the brain of each rat was quickly removed and placed in a chilled solution and frozen on liquid nitrogen. After careful removal of the nerves and optic chiasm, the anterior and medium hypothalamus were dissected following the parameters described in the stereotaxic atlas for rat (Paxinos and Watson 1982). The anterior hypothalamus (Bregma 20.8 to Bregma 21.8) included the removal of the lateral and median pre-optic nuclei, the suprachiasmatic, the paraventricular, the periventricular, and the stria terminal preoptic area.</w:t>
      </w:r>
    </w:p>
    <w:p>
      <w:pPr>
        <w:pStyle w:val="BodyText"/>
        <w:spacing w:line="360" w:lineRule="auto" w:before="202"/>
        <w:ind w:left="265" w:right="114"/>
        <w:jc w:val="both"/>
      </w:pPr>
      <w:r>
        <w:rPr/>
        <w:t>The medial hypothalamus (Bregma 22.3 to Bregma 23.2) included the median eminence and arcuate nucleus. Both hypothalamic regions were also stored at</w:t>
      </w:r>
      <w:r>
        <w:rPr>
          <w:spacing w:val="62"/>
        </w:rPr>
        <w:t> </w:t>
      </w:r>
      <w:r>
        <w:rPr/>
        <w:t>-</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6"/>
        <w:jc w:val="both"/>
      </w:pPr>
      <w:r>
        <w:rPr/>
        <w:t>70oC, until the concentrationsof serotonin and its metabolite 5-HIAA, were measured using HPLC.</w:t>
      </w:r>
    </w:p>
    <w:p>
      <w:pPr>
        <w:pStyle w:val="BodyText"/>
        <w:spacing w:line="360" w:lineRule="auto" w:before="202"/>
        <w:ind w:left="265" w:right="118"/>
        <w:jc w:val="both"/>
      </w:pPr>
      <w:r>
        <w:rPr/>
        <w:t>The concentrations of serotonin and their metabolite 5-HIAA were measured following the methodology described previously (Ayala et al. 1998). Samples of hypothalamus were weighed in a precision balance, homogenized in 300  μl    of</w:t>
      </w:r>
    </w:p>
    <w:p>
      <w:pPr>
        <w:pStyle w:val="BodyText"/>
        <w:spacing w:line="360" w:lineRule="auto" w:before="5"/>
        <w:ind w:left="265" w:right="115"/>
        <w:jc w:val="both"/>
      </w:pPr>
      <w:r>
        <w:rPr/>
        <w:t>0.1 M perchloric acid and centrifuged at 12000 ×g, at 4oC for 30 min. The supernatant was filtered using 0.2 mm regenerated cellulose filters; 20 μl of this extract were injected to a chromatography column via a Rheodyne valve.</w:t>
      </w:r>
    </w:p>
    <w:p>
      <w:pPr>
        <w:pStyle w:val="BodyText"/>
        <w:spacing w:line="360" w:lineRule="auto" w:before="204"/>
        <w:ind w:left="265" w:right="116"/>
        <w:jc w:val="both"/>
      </w:pPr>
      <w:r>
        <w:rPr/>
        <w:t>Calibration was performed by producing a standard curve over a range of 0.1-2 ng/ml. Serotonin and its metabolites were identified by relative retention times compared with standards. Results are expressed as nanograms of neurotransmitter per milligram of wet tissue. The sensitivity was 0.01 ng. The serotoninergic activity was estimated as previously described (Kerdelhué et al. 1989). Serotoninergic activity is the ratio of the concentrations of 5-HIAA and serotonin (1⁄4 [5-HIAA]/[5-HT]).</w:t>
      </w:r>
    </w:p>
    <w:p>
      <w:pPr>
        <w:pStyle w:val="BodyText"/>
      </w:pPr>
    </w:p>
    <w:p>
      <w:pPr>
        <w:pStyle w:val="BodyText"/>
      </w:pPr>
    </w:p>
    <w:p>
      <w:pPr>
        <w:pStyle w:val="BodyText"/>
        <w:rPr>
          <w:sz w:val="23"/>
        </w:rPr>
      </w:pPr>
    </w:p>
    <w:p>
      <w:pPr>
        <w:spacing w:before="0"/>
        <w:ind w:left="265" w:right="0" w:firstLine="0"/>
        <w:jc w:val="both"/>
        <w:rPr>
          <w:i/>
          <w:sz w:val="24"/>
        </w:rPr>
      </w:pPr>
      <w:r>
        <w:rPr>
          <w:i/>
          <w:sz w:val="24"/>
        </w:rPr>
        <w:t>Measurements of gonadotropins and sexual steroid hormones</w:t>
      </w:r>
    </w:p>
    <w:p>
      <w:pPr>
        <w:pStyle w:val="BodyText"/>
        <w:spacing w:before="7"/>
        <w:rPr>
          <w:i/>
          <w:sz w:val="29"/>
        </w:rPr>
      </w:pPr>
    </w:p>
    <w:p>
      <w:pPr>
        <w:pStyle w:val="BodyText"/>
        <w:spacing w:line="360" w:lineRule="auto"/>
        <w:ind w:left="265" w:right="112"/>
        <w:jc w:val="both"/>
      </w:pPr>
      <w:r>
        <w:rPr/>
        <w:t>Trunk blood from each animal was collected, allowed to clot at room  temperature and centrifuged at 1000 g for 15 min. The serum was separated  and stored at 20oC until assayed. FSH and LH concentrations were measured by RIA using the double-antibody technique, with reagents and protocol supplied by the National Hormone and Pituitary Program (Baltimore, MD, USA). The results were expressed in ng/ml as the international references standard rLH- RP-2 and rFSH-RP-2. Intra- and interassay coefficients were, respectively, 5.74 and 7.91% for FSH and 6.82 and 9.32% for LH. Serum concentrations of progesterone, testosterone, and 17ß-estradiol were measured by RIA, using</w:t>
      </w:r>
      <w:r>
        <w:rPr>
          <w:spacing w:val="15"/>
        </w:rPr>
        <w:t> </w:t>
      </w:r>
      <w:r>
        <w:rPr/>
        <w:t>kits</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9"/>
        <w:jc w:val="both"/>
      </w:pPr>
      <w:r>
        <w:rPr/>
        <w:t>purchased from Diagnostic Products (Los Angeles, CA, USA). Hormone concentrations were expressed for progesterone and testosterone in ng/ml and for 17ß-estradiol in pg/ml. Intra-and interassay coefficients of variations were, respectively, 4.3 and 7.8% for progesterone, 3.9 and 7.6% for testosterone </w:t>
      </w:r>
      <w:r>
        <w:rPr>
          <w:spacing w:val="62"/>
        </w:rPr>
        <w:t> </w:t>
      </w:r>
      <w:r>
        <w:rPr/>
        <w:t>and</w:t>
      </w:r>
    </w:p>
    <w:p>
      <w:pPr>
        <w:pStyle w:val="BodyText"/>
        <w:spacing w:before="5"/>
        <w:ind w:left="265"/>
        <w:jc w:val="both"/>
      </w:pPr>
      <w:r>
        <w:rPr/>
        <w:t>7.2 and 8.5% for 17ß-estradiol.</w:t>
      </w:r>
    </w:p>
    <w:p>
      <w:pPr>
        <w:pStyle w:val="BodyText"/>
      </w:pPr>
    </w:p>
    <w:p>
      <w:pPr>
        <w:pStyle w:val="BodyText"/>
      </w:pPr>
    </w:p>
    <w:p>
      <w:pPr>
        <w:pStyle w:val="BodyText"/>
        <w:spacing w:before="8"/>
        <w:rPr>
          <w:sz w:val="34"/>
        </w:rPr>
      </w:pPr>
    </w:p>
    <w:p>
      <w:pPr>
        <w:spacing w:before="0"/>
        <w:ind w:left="265" w:right="0" w:firstLine="0"/>
        <w:jc w:val="both"/>
        <w:rPr>
          <w:i/>
          <w:sz w:val="24"/>
        </w:rPr>
      </w:pPr>
      <w:r>
        <w:rPr>
          <w:i/>
          <w:sz w:val="24"/>
        </w:rPr>
        <w:t>RNA isolation and reverse transcription</w:t>
      </w:r>
    </w:p>
    <w:p>
      <w:pPr>
        <w:pStyle w:val="BodyText"/>
        <w:spacing w:before="4"/>
        <w:rPr>
          <w:i/>
          <w:sz w:val="29"/>
        </w:rPr>
      </w:pPr>
    </w:p>
    <w:p>
      <w:pPr>
        <w:pStyle w:val="BodyText"/>
        <w:spacing w:line="360" w:lineRule="auto" w:before="1"/>
        <w:ind w:left="265" w:right="112"/>
        <w:jc w:val="both"/>
      </w:pPr>
      <w:r>
        <w:rPr/>
        <w:t>RNA was isolated from testicular tissue (~10 mg) with AurumTM Total RNA MiniKit (Bio-Rad, Hercules, CA, USA) following manufacturer's instructions. Briefly, RNA quantity and purity was evaluated at 260 and 280 nm in a  NanoDrop 1000 spectrophotometer (Thermo Fisher Scientific Inc., Wilmington, DE, USA). First-strand complementary DNA was synthesized from 100 ng total RNA using the Superscript first-strand synthesis system (Invitrogen Inc., Carlsbad, CA, USA). After denaturing, the template RNA and primers (25 pmol of each reverse oligonucleotide primer) were incubated at 70°C for 10 min, 40 U reverse transcriptase was added in the presence of RT buffer (50 mM KCl, 20 mM Tris-HCl, pH 8.4) and 4 μL dNTP mix (250 μM each); finally, 40 U RNase inhibitor and RNase-free water to complete the final volume. The reaction mixture (50 μl) was incubated at 43°C for 1 h, then stopped at 4°C and kept at - 80°C until</w:t>
      </w:r>
      <w:r>
        <w:rPr>
          <w:spacing w:val="-3"/>
        </w:rPr>
        <w:t> </w:t>
      </w:r>
      <w:r>
        <w:rPr/>
        <w:t>use.</w:t>
      </w:r>
    </w:p>
    <w:p>
      <w:pPr>
        <w:pStyle w:val="BodyText"/>
      </w:pPr>
    </w:p>
    <w:p>
      <w:pPr>
        <w:pStyle w:val="BodyText"/>
      </w:pPr>
    </w:p>
    <w:p>
      <w:pPr>
        <w:pStyle w:val="BodyText"/>
        <w:spacing w:before="11"/>
        <w:rPr>
          <w:sz w:val="22"/>
        </w:rPr>
      </w:pPr>
    </w:p>
    <w:p>
      <w:pPr>
        <w:spacing w:before="0"/>
        <w:ind w:left="265" w:right="0" w:firstLine="0"/>
        <w:jc w:val="both"/>
        <w:rPr>
          <w:i/>
          <w:sz w:val="24"/>
        </w:rPr>
      </w:pPr>
      <w:r>
        <w:rPr>
          <w:i/>
          <w:sz w:val="24"/>
        </w:rPr>
        <w:t>RT-PCR</w:t>
      </w:r>
    </w:p>
    <w:p>
      <w:pPr>
        <w:pStyle w:val="BodyText"/>
        <w:spacing w:before="7"/>
        <w:rPr>
          <w:i/>
          <w:sz w:val="29"/>
        </w:rPr>
      </w:pPr>
    </w:p>
    <w:p>
      <w:pPr>
        <w:pStyle w:val="BodyText"/>
        <w:spacing w:line="360" w:lineRule="auto" w:before="1"/>
        <w:ind w:left="265" w:right="116"/>
        <w:jc w:val="both"/>
      </w:pPr>
      <w:r>
        <w:rPr/>
        <w:t>Primers for genes related to apoptosis or spermatogenesis: Bcl2-associated X protein, Bax; B-cell CLL/lymphoma 2, Bcl2; hydroxy-delta-5-steroid dehydrogenase 3 beta-and steroid delta-isomerase 2, Hsd3b2; sex hormone binding globulin, Shbg, Ar, and Crem were designed using PerlPrimer v1.1.19</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3"/>
        <w:jc w:val="both"/>
      </w:pPr>
      <w:r>
        <w:rPr/>
        <w:t>(Marshall 2004) (Supplemental Table 2), from sequences in GeneBank (accession  U49729.1,  L14680.1,  M38179.1,  XM_003749361, </w:t>
      </w:r>
      <w:r>
        <w:rPr>
          <w:spacing w:val="63"/>
        </w:rPr>
        <w:t> </w:t>
      </w:r>
      <w:r>
        <w:rPr/>
        <w:t>NM_012502.1,</w:t>
      </w:r>
    </w:p>
    <w:p>
      <w:pPr>
        <w:pStyle w:val="BodyText"/>
        <w:spacing w:line="360" w:lineRule="auto" w:before="2"/>
        <w:ind w:left="265" w:right="119"/>
        <w:jc w:val="both"/>
      </w:pPr>
      <w:r>
        <w:rPr/>
        <w:t>M19993.1, and NM_017334.1, respectively). Primers were synthesized by Invitrogen. Amplification was performed by conventional PCR. Peptidylprolyl isomerase A (cyclophylin A, Ppia; accession: NM_017101.1) was used as PCR control. Cycling conditions for PCR were as follows: denaturation at 94°C for 4 min, annealing at 62°C for 30 sec, and extension at 72°C for 4 min, for 30 cycles. PCR reactions were performed twice for each</w:t>
      </w:r>
      <w:r>
        <w:rPr>
          <w:spacing w:val="-15"/>
        </w:rPr>
        <w:t> </w:t>
      </w:r>
      <w:r>
        <w:rPr/>
        <w:t>sample.</w:t>
      </w:r>
    </w:p>
    <w:p>
      <w:pPr>
        <w:pStyle w:val="BodyText"/>
        <w:spacing w:line="360" w:lineRule="auto" w:before="204"/>
        <w:ind w:left="265" w:right="116"/>
        <w:jc w:val="both"/>
      </w:pPr>
      <w:r>
        <w:rPr/>
        <w:t>The PCR products were loaded in 1.5 % TAE agarose gels. Bands of interest were identified with aid of the TrackIt 50bp DNA Ladder (Invitrogen). Stained gels were exposed to UV light in a transilluminator (MultiDoc-it Digital Imaging System, UVP®, Upland, CA, USA). Images of gels were saved in tiff format. ImageJ software 1.36b (Rasband 2005) was used to evaluate the expression level of each transcript. Area and pixel value was calculated for each band obtained. All PCR fragments were confirmed by</w:t>
      </w:r>
      <w:r>
        <w:rPr>
          <w:spacing w:val="-24"/>
        </w:rPr>
        <w:t> </w:t>
      </w:r>
      <w:r>
        <w:rPr/>
        <w:t>sequencing.</w:t>
      </w:r>
    </w:p>
    <w:p>
      <w:pPr>
        <w:pStyle w:val="BodyText"/>
      </w:pPr>
    </w:p>
    <w:p>
      <w:pPr>
        <w:pStyle w:val="BodyText"/>
      </w:pPr>
    </w:p>
    <w:p>
      <w:pPr>
        <w:spacing w:before="169"/>
        <w:ind w:left="265" w:right="0" w:firstLine="0"/>
        <w:jc w:val="both"/>
        <w:rPr>
          <w:i/>
          <w:sz w:val="24"/>
        </w:rPr>
      </w:pPr>
      <w:r>
        <w:rPr>
          <w:i/>
          <w:sz w:val="24"/>
        </w:rPr>
        <w:t>Statistics</w:t>
      </w:r>
    </w:p>
    <w:p>
      <w:pPr>
        <w:pStyle w:val="BodyText"/>
        <w:rPr>
          <w:i/>
          <w:sz w:val="21"/>
        </w:rPr>
      </w:pPr>
    </w:p>
    <w:p>
      <w:pPr>
        <w:pStyle w:val="BodyText"/>
        <w:spacing w:line="360" w:lineRule="auto" w:before="1"/>
        <w:ind w:left="265" w:right="118"/>
        <w:jc w:val="both"/>
      </w:pPr>
      <w:r>
        <w:rPr/>
        <w:t>Normality of the data was corroborated graphically in different experiments by checking residuals. To compare number of apoptotic germ cells in each gonad, Student’s t-test for paired samples was used. Student’s t-test for independent samples was used to compare the expression of mRNAs between rats with high or low rates of germ cell apoptosis, before treatment with pCA. Multivariate analysis of variance, using treatment and category as dependent variables, was used to compare concentrations of serotonin, gonadotropins, sexual steroids, and levels of mRNA expression. When differences were found, one or two way ANOVA was conducted. Tukey test was used as a post hoc test for ANOVA. Results are presented as mean±SD. All analyses were performed with the R</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5"/>
        <w:jc w:val="both"/>
      </w:pPr>
      <w:r>
        <w:rPr/>
        <w:t>2.13.1 software (Team 2011) using a Macbook with Mac OSX 10.6.2. Results were considered significant at the p&lt;0.05 level.</w:t>
      </w:r>
    </w:p>
    <w:p>
      <w:pPr>
        <w:pStyle w:val="BodyText"/>
      </w:pPr>
    </w:p>
    <w:p>
      <w:pPr>
        <w:pStyle w:val="BodyText"/>
      </w:pPr>
    </w:p>
    <w:p>
      <w:pPr>
        <w:pStyle w:val="BodyText"/>
        <w:spacing w:before="9"/>
        <w:rPr>
          <w:sz w:val="22"/>
        </w:rPr>
      </w:pPr>
    </w:p>
    <w:p>
      <w:pPr>
        <w:spacing w:before="0"/>
        <w:ind w:left="265" w:right="0" w:firstLine="0"/>
        <w:jc w:val="both"/>
        <w:rPr>
          <w:i/>
          <w:sz w:val="24"/>
        </w:rPr>
      </w:pPr>
      <w:r>
        <w:rPr>
          <w:i/>
          <w:sz w:val="24"/>
        </w:rPr>
        <w:t>Acknowledgments</w:t>
      </w:r>
    </w:p>
    <w:p>
      <w:pPr>
        <w:pStyle w:val="BodyText"/>
        <w:spacing w:before="7"/>
        <w:rPr>
          <w:i/>
          <w:sz w:val="29"/>
        </w:rPr>
      </w:pPr>
    </w:p>
    <w:p>
      <w:pPr>
        <w:pStyle w:val="BodyText"/>
        <w:spacing w:line="360" w:lineRule="auto"/>
        <w:ind w:left="265" w:right="125"/>
        <w:jc w:val="both"/>
      </w:pPr>
      <w:r>
        <w:rPr/>
        <w:t>We are grateful with Dra. Alejandra Serrato from Laboratorio Divisional de Biología Molecular, Universidad Autónoma Metropolitana Iztapalapa, for their valuable help to purifying and sequencing PCR products.</w:t>
      </w:r>
    </w:p>
    <w:p>
      <w:pPr>
        <w:pStyle w:val="BodyText"/>
      </w:pPr>
    </w:p>
    <w:p>
      <w:pPr>
        <w:pStyle w:val="BodyText"/>
      </w:pPr>
    </w:p>
    <w:p>
      <w:pPr>
        <w:pStyle w:val="BodyText"/>
        <w:spacing w:before="2"/>
        <w:rPr>
          <w:sz w:val="23"/>
        </w:rPr>
      </w:pPr>
    </w:p>
    <w:p>
      <w:pPr>
        <w:pStyle w:val="Heading2"/>
        <w:ind w:left="265" w:firstLine="0"/>
        <w:jc w:val="both"/>
      </w:pPr>
      <w:r>
        <w:rPr/>
        <w:t>Bibliography</w:t>
      </w:r>
    </w:p>
    <w:p>
      <w:pPr>
        <w:pStyle w:val="BodyText"/>
        <w:rPr>
          <w:b/>
        </w:rPr>
      </w:pPr>
    </w:p>
    <w:p>
      <w:pPr>
        <w:pStyle w:val="BodyText"/>
        <w:rPr>
          <w:b/>
        </w:rPr>
      </w:pPr>
    </w:p>
    <w:p>
      <w:pPr>
        <w:pStyle w:val="BodyText"/>
        <w:spacing w:before="7"/>
        <w:rPr>
          <w:b/>
          <w:sz w:val="34"/>
        </w:rPr>
      </w:pPr>
    </w:p>
    <w:p>
      <w:pPr>
        <w:pStyle w:val="BodyText"/>
        <w:spacing w:line="360" w:lineRule="auto"/>
        <w:ind w:left="265" w:right="118"/>
        <w:jc w:val="both"/>
      </w:pPr>
      <w:r>
        <w:rPr/>
        <w:t>Aragón MA, Ayala ME, Marín M, Avilés A, Damián-Matsumura P, Domínguez R. 2005. Serotoninergic system blockage in the prepubertal rat inhibits spermatogenesis development. Reproduction 129: 717-727.</w:t>
      </w:r>
    </w:p>
    <w:p>
      <w:pPr>
        <w:pStyle w:val="BodyText"/>
        <w:spacing w:line="360" w:lineRule="auto" w:before="204"/>
        <w:ind w:left="265" w:right="114"/>
        <w:jc w:val="both"/>
      </w:pPr>
      <w:r>
        <w:rPr/>
        <w:t>Arïdoğan IA, Bayazït Y, Yaman M, Ersöz C, Doran S. 2003. Comparison of fine- needle aspiration and open biopsy of testis in sperm retrieval and histopathologic diagnosis. Andrologia 35:</w:t>
      </w:r>
      <w:r>
        <w:rPr>
          <w:spacing w:val="-18"/>
        </w:rPr>
        <w:t> </w:t>
      </w:r>
      <w:r>
        <w:rPr/>
        <w:t>121-125.</w:t>
      </w:r>
    </w:p>
    <w:p>
      <w:pPr>
        <w:pStyle w:val="BodyText"/>
        <w:spacing w:line="360" w:lineRule="auto" w:before="204"/>
        <w:ind w:left="265" w:right="117"/>
        <w:jc w:val="both"/>
      </w:pPr>
      <w:r>
        <w:rPr/>
        <w:t>Ayala ME, Monroy J, Morales L, Castro ME, Domínguez R. 1998. Effects of a lesion in the dorsal raphe nuclei performed during the juvenile period of the female rat, on puberty. Brain Res Bull 47: 211-218.</w:t>
      </w:r>
    </w:p>
    <w:p>
      <w:pPr>
        <w:pStyle w:val="BodyText"/>
        <w:spacing w:line="360" w:lineRule="auto" w:before="205"/>
        <w:ind w:left="265" w:right="116"/>
        <w:jc w:val="both"/>
      </w:pPr>
      <w:r>
        <w:rPr/>
        <w:t>Barone F, Aguanno S, D’Agostino A. 2005. Modulation of MAA-induced apoptosis in male germ cells: role of Sertoli cell P/Q-type calcium channels. Reprod Biol Endocrinol 3: 13.</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4"/>
        <w:jc w:val="both"/>
      </w:pPr>
      <w:r>
        <w:rPr/>
        <w:t>Billig H, Furuta I, Rivier C, Tapanainen J, Parvinen M, Hsueh AJ. 1995. Apoptosis in testis germ cells: developmental changes in gonadotropin dependence and localization to selective tubule stages. Endocrinology 136: 5- 12.</w:t>
      </w:r>
    </w:p>
    <w:p>
      <w:pPr>
        <w:pStyle w:val="BodyText"/>
        <w:spacing w:line="360" w:lineRule="auto" w:before="204"/>
        <w:ind w:left="265" w:right="128"/>
        <w:jc w:val="both"/>
      </w:pPr>
      <w:r>
        <w:rPr/>
        <w:t>Brinkworth MH, Weinbauer GF, Schlatt S, Nieschlag E. 1995. Identification of male germ cells undergoing apoptosis in adult rats. J Reprod Fertil 105: 25-33.</w:t>
      </w:r>
    </w:p>
    <w:p>
      <w:pPr>
        <w:pStyle w:val="BodyText"/>
        <w:spacing w:line="360" w:lineRule="auto" w:before="205"/>
        <w:ind w:left="265" w:right="115"/>
        <w:jc w:val="both"/>
      </w:pPr>
      <w:r>
        <w:rPr/>
        <w:t>Foulkes NS, Mellström B, Benusiglio E, Sassone-Corsi P. 1992. Developmental switch of CREM function during spermatogenesis: from antagonist to activator. Nature 355: 80-84.</w:t>
      </w:r>
    </w:p>
    <w:p>
      <w:pPr>
        <w:pStyle w:val="BodyText"/>
        <w:spacing w:line="360" w:lineRule="auto" w:before="202"/>
        <w:ind w:left="265" w:right="119"/>
        <w:jc w:val="both"/>
      </w:pPr>
      <w:r>
        <w:rPr/>
        <w:t>Henriksén K, Hakovirta H, Parvinen M. 1995. Testosterone inhibits and induces apoptosis in rat seminiferous tubules in a stage-specific manner: in situ quantification in squash preparations after administration of ethane dimethane sulfonate. Endocrinology 136: 3285-3291.</w:t>
      </w:r>
    </w:p>
    <w:p>
      <w:pPr>
        <w:pStyle w:val="BodyText"/>
        <w:spacing w:line="360" w:lineRule="auto" w:before="204"/>
        <w:ind w:left="265" w:right="117"/>
        <w:jc w:val="both"/>
      </w:pPr>
      <w:r>
        <w:rPr/>
        <w:t>Hikim APS, Lue Y, Diaz-Romero M, Yen PH, Wang C, Swerdloff RS. 2003. Deciphering the pathways of germ cell apoptosis in the testis. Journal of Steroid Biochemistry 85: 175-182.</w:t>
      </w:r>
    </w:p>
    <w:p>
      <w:pPr>
        <w:pStyle w:val="BodyText"/>
        <w:spacing w:line="360" w:lineRule="auto" w:before="202"/>
        <w:ind w:left="265" w:right="118"/>
        <w:jc w:val="both"/>
      </w:pPr>
      <w:r>
        <w:rPr/>
        <w:t>Kerdelhué B, Bojda F, Lesieur P, Pasqualini C, El Abed A, Lenoir V, Douillet P, Chiueh MC, Palkovits M. 1989. Median eminence dopamine and serotonin neuronal activity. Temporal relationship to preovulatory prolactin and luteinizing hormone surges. Neuroendocrinology 49: 176-180.</w:t>
      </w:r>
    </w:p>
    <w:p>
      <w:pPr>
        <w:pStyle w:val="BodyText"/>
        <w:spacing w:line="360" w:lineRule="auto" w:before="204"/>
        <w:ind w:left="265" w:right="116"/>
        <w:jc w:val="both"/>
      </w:pPr>
      <w:r>
        <w:rPr/>
        <w:t>Kosir R, Juvan P, Perse M, Budefeld T, Majdic G, Fink M, Sassone-Corsi P, Rozman D. 2012. Novel insights into the downstream pathways and targets controlled by transcription factors CREM in the testis. PLoS ONE 7: e31798.</w:t>
      </w:r>
    </w:p>
    <w:p>
      <w:pPr>
        <w:pStyle w:val="BodyText"/>
        <w:spacing w:line="360" w:lineRule="auto" w:before="204"/>
        <w:ind w:left="265" w:right="121"/>
        <w:jc w:val="both"/>
      </w:pPr>
      <w:r>
        <w:rPr/>
        <w:t>Marshall OJ. 2004. PerlPrimer: cross-platform, graphical primer design for standard, bisulphite and real-time PCR. Bioinformatics 20: 2471-2472.</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9"/>
        <w:jc w:val="both"/>
      </w:pPr>
      <w:r>
        <w:rPr/>
        <w:t>Meena R, Misro MM, Ghosh D, Nandan D. 2012. Complete sperm suppression induced by dienogest plus testosterone undecanoate is associated with down- regulation in the expression of upstream steroidogenic enzyme genes in rat testis. Contraception 86: 163-171.</w:t>
      </w:r>
    </w:p>
    <w:p>
      <w:pPr>
        <w:pStyle w:val="BodyText"/>
        <w:spacing w:line="360" w:lineRule="auto" w:before="204"/>
        <w:ind w:left="265" w:right="125"/>
        <w:jc w:val="both"/>
      </w:pPr>
      <w:r>
        <w:rPr/>
        <w:t>Pareek TK, Joshi AR, Sanyal A, Dighe RR. 2007. Insights into male germ cell apoptosis due to depletion of gonadotropins caused by GnRH antagonists. Apoptosis 12: 1085-1100.</w:t>
      </w:r>
    </w:p>
    <w:p>
      <w:pPr>
        <w:pStyle w:val="BodyText"/>
        <w:spacing w:line="360" w:lineRule="auto" w:before="205"/>
        <w:ind w:left="265" w:right="124"/>
        <w:jc w:val="both"/>
      </w:pPr>
      <w:r>
        <w:rPr/>
        <w:t>Paxinos G, Watson C. 1982. The rat brain in stereotaxic coordinates. Academic Press, New York.</w:t>
      </w:r>
    </w:p>
    <w:p>
      <w:pPr>
        <w:pStyle w:val="BodyText"/>
        <w:spacing w:line="360" w:lineRule="auto" w:before="202"/>
        <w:ind w:left="265" w:right="114"/>
        <w:jc w:val="both"/>
      </w:pPr>
      <w:r>
        <w:rPr/>
        <w:t>Rasband WS. 2005. ImageJ (computer program). Bethesda, MD: US National Institutes of Health.</w:t>
      </w:r>
    </w:p>
    <w:p>
      <w:pPr>
        <w:pStyle w:val="BodyText"/>
        <w:spacing w:line="360" w:lineRule="auto" w:before="204"/>
        <w:ind w:left="265" w:right="126"/>
        <w:jc w:val="both"/>
      </w:pPr>
      <w:r>
        <w:rPr/>
        <w:t>Ruwanpura SM, McLachlan RI, Meachem SJ. 2010. Hormonal regulation of male germ cell development. J Endocrinol 205:</w:t>
      </w:r>
      <w:r>
        <w:rPr>
          <w:spacing w:val="-19"/>
        </w:rPr>
        <w:t> </w:t>
      </w:r>
      <w:r>
        <w:rPr/>
        <w:t>117-131.</w:t>
      </w:r>
    </w:p>
    <w:p>
      <w:pPr>
        <w:pStyle w:val="BodyText"/>
        <w:spacing w:line="360" w:lineRule="auto" w:before="204"/>
        <w:ind w:left="265" w:right="114"/>
        <w:jc w:val="both"/>
      </w:pPr>
      <w:r>
        <w:rPr/>
        <w:t>Sadate-Ngatchou PI, Pouchnik DJ, Griswold MD. 2004. Follicle-stimulating hormone induced changes in gene expression of murine testis. Mol Endocrinol 18: 2805-2816.</w:t>
      </w:r>
    </w:p>
    <w:p>
      <w:pPr>
        <w:pStyle w:val="BodyText"/>
        <w:spacing w:line="360" w:lineRule="auto" w:before="204"/>
        <w:ind w:left="265" w:right="117"/>
        <w:jc w:val="both"/>
      </w:pPr>
      <w:r>
        <w:rPr/>
        <w:t>Sanders-Bush E, Bushing JA, Sulser F. 1972. p-Chloroamphetamine-inhibition  of cerebral tryptophan hydroxylase. Biochem Pharmacol 21:</w:t>
      </w:r>
      <w:r>
        <w:rPr>
          <w:spacing w:val="-22"/>
        </w:rPr>
        <w:t> </w:t>
      </w:r>
      <w:r>
        <w:rPr/>
        <w:t>1501-1510.</w:t>
      </w:r>
    </w:p>
    <w:p>
      <w:pPr>
        <w:pStyle w:val="BodyText"/>
        <w:spacing w:line="360" w:lineRule="auto" w:before="204"/>
        <w:ind w:left="265" w:right="117"/>
        <w:jc w:val="both"/>
      </w:pPr>
      <w:r>
        <w:rPr/>
        <w:t>Sassone-Corsi P. 1998a. CREM: a master-switch governing male germ cells differentiation and apoptosis. Semin Cell Dev Biol 9: 475-482.</w:t>
      </w:r>
    </w:p>
    <w:p>
      <w:pPr>
        <w:pStyle w:val="BodyText"/>
        <w:spacing w:line="360" w:lineRule="auto" w:before="202"/>
        <w:ind w:left="265" w:right="124"/>
        <w:jc w:val="both"/>
      </w:pPr>
      <w:r>
        <w:rPr/>
        <w:t>Sassone-Corsi P. 1998b. Regulating the balance between differentiation and apoptosis: role of CREM in the male germ cells. J Mol Med 76: 811-817.</w:t>
      </w:r>
    </w:p>
    <w:p>
      <w:pPr>
        <w:pStyle w:val="BodyText"/>
        <w:spacing w:line="360" w:lineRule="auto" w:before="204"/>
        <w:ind w:left="265" w:right="122"/>
        <w:jc w:val="both"/>
      </w:pPr>
      <w:r>
        <w:rPr/>
        <w:t>Shastry BS. 2006. Pharmacogenetics and the concept of individualized medicine. Pharmacogenomics J 6: 16-21.</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5"/>
        <w:jc w:val="both"/>
      </w:pPr>
      <w:r>
        <w:rPr/>
        <w:t>Sinha-Hikim AP, Swerdloff RS. 1999. Hormonal and genetic control of germ cell apoptosis in the testis. Rev Reprod 4: 38-47.</w:t>
      </w:r>
    </w:p>
    <w:p>
      <w:pPr>
        <w:pStyle w:val="BodyText"/>
        <w:spacing w:line="360" w:lineRule="auto" w:before="202"/>
        <w:ind w:left="265" w:right="117"/>
        <w:jc w:val="both"/>
      </w:pPr>
      <w:r>
        <w:rPr/>
        <w:t>Team RDC. 2011. R: A Language and Environment for Statistical Computing. Vienna, Austria </w:t>
      </w:r>
      <w:hyperlink r:id="rId27">
        <w:r>
          <w:rPr/>
          <w:t>http://www.R-project.org/.</w:t>
        </w:r>
      </w:hyperlink>
    </w:p>
    <w:p>
      <w:pPr>
        <w:pStyle w:val="BodyText"/>
      </w:pPr>
    </w:p>
    <w:p>
      <w:pPr>
        <w:pStyle w:val="BodyText"/>
      </w:pPr>
    </w:p>
    <w:p>
      <w:pPr>
        <w:pStyle w:val="BodyText"/>
        <w:spacing w:before="9"/>
        <w:rPr>
          <w:sz w:val="22"/>
        </w:rPr>
      </w:pPr>
    </w:p>
    <w:p>
      <w:pPr>
        <w:spacing w:before="0"/>
        <w:ind w:left="265" w:right="0" w:firstLine="0"/>
        <w:jc w:val="both"/>
        <w:rPr>
          <w:i/>
          <w:sz w:val="24"/>
        </w:rPr>
      </w:pPr>
      <w:r>
        <w:rPr>
          <w:i/>
          <w:sz w:val="24"/>
        </w:rPr>
        <w:t>Figure legends</w:t>
      </w:r>
    </w:p>
    <w:p>
      <w:pPr>
        <w:pStyle w:val="BodyText"/>
        <w:spacing w:before="7"/>
        <w:rPr>
          <w:i/>
          <w:sz w:val="29"/>
        </w:rPr>
      </w:pPr>
    </w:p>
    <w:p>
      <w:pPr>
        <w:pStyle w:val="BodyText"/>
        <w:spacing w:line="360" w:lineRule="auto" w:before="1"/>
        <w:ind w:left="265" w:right="122"/>
        <w:jc w:val="both"/>
      </w:pPr>
      <w:r>
        <w:rPr/>
        <w:t>Figure 1. Identification of rats with high or low rates of germ cell apoptosis and effect of pCA on rates of germ cell apoptosis. Fluorescence micrographs of seminiferous tubules processed by TUNEL technique. Apoptotic germ cells are indicated by arrows. Vh, saline; pCA, p-chloroamphetamine. Micrographs labeled with Vh or pCA, and Low or High, correspond to the same animals, i.e. before and after chemical</w:t>
      </w:r>
      <w:r>
        <w:rPr>
          <w:spacing w:val="-12"/>
        </w:rPr>
        <w:t> </w:t>
      </w:r>
      <w:r>
        <w:rPr/>
        <w:t>treatment.</w:t>
      </w:r>
    </w:p>
    <w:p>
      <w:pPr>
        <w:pStyle w:val="BodyText"/>
        <w:spacing w:line="360" w:lineRule="auto" w:before="204"/>
        <w:ind w:left="265" w:right="112"/>
        <w:jc w:val="both"/>
      </w:pPr>
      <w:r>
        <w:rPr/>
        <w:t>Figure 2. Representative image of agarose-gel electrophoresis mRNA expression of genes related to apoptosis or spermatogenesis, in control rats categorized as high or low rates of germ cells apoptosis. mRNA at 30 or 45 - days-of-age is from the same rats, either high or low. H or L after name of gene indicates high or low initial rate of germ cell apoptosis.</w:t>
      </w:r>
    </w:p>
    <w:p>
      <w:pPr>
        <w:pStyle w:val="BodyText"/>
        <w:spacing w:line="360" w:lineRule="auto" w:before="204"/>
        <w:ind w:left="265" w:right="124"/>
        <w:jc w:val="both"/>
      </w:pPr>
      <w:r>
        <w:rPr/>
        <w:t>Figure 3. Relationship between mRNAs of Bax and Bcl2, Bax and Hsd3b2, Bax and Ar, and Bax and Shbg, in rats categorized as high or low rates of germ cell apoptosis. Values for animals with high or low rates are indicated with circles or triangles, respectively. Lines of linear regression (rect lines among groups of points) and confidence intervals (shadowed areas) were obtained for data of animals in each category.</w:t>
      </w:r>
    </w:p>
    <w:p>
      <w:pPr>
        <w:spacing w:after="0" w:line="360" w:lineRule="auto"/>
        <w:jc w:val="both"/>
        <w:sectPr>
          <w:pgSz w:w="12240" w:h="15840"/>
          <w:pgMar w:header="0" w:footer="1680" w:top="1500" w:bottom="1860" w:left="172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5"/>
        </w:rPr>
      </w:pPr>
    </w:p>
    <w:p>
      <w:pPr>
        <w:pStyle w:val="BodyText"/>
        <w:ind w:left="113"/>
        <w:rPr>
          <w:rFonts w:ascii="Times New Roman"/>
          <w:sz w:val="20"/>
        </w:rPr>
      </w:pPr>
      <w:r>
        <w:rPr>
          <w:rFonts w:ascii="Times New Roman"/>
          <w:sz w:val="20"/>
        </w:rPr>
        <w:drawing>
          <wp:inline distT="0" distB="0" distL="0" distR="0">
            <wp:extent cx="5889049" cy="6757987"/>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9" cstate="print"/>
                    <a:stretch>
                      <a:fillRect/>
                    </a:stretch>
                  </pic:blipFill>
                  <pic:spPr>
                    <a:xfrm>
                      <a:off x="0" y="0"/>
                      <a:ext cx="5889049" cy="6757987"/>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28"/>
          <w:pgSz w:w="12240" w:h="15840"/>
          <w:pgMar w:footer="1620" w:header="0" w:top="1500" w:bottom="1800" w:left="148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10"/>
        </w:rPr>
      </w:pPr>
    </w:p>
    <w:p>
      <w:pPr>
        <w:pStyle w:val="BodyText"/>
        <w:ind w:left="480"/>
        <w:rPr>
          <w:rFonts w:ascii="Times New Roman"/>
          <w:sz w:val="20"/>
        </w:rPr>
      </w:pPr>
      <w:r>
        <w:rPr>
          <w:rFonts w:ascii="Times New Roman"/>
          <w:sz w:val="20"/>
        </w:rPr>
        <w:drawing>
          <wp:inline distT="0" distB="0" distL="0" distR="0">
            <wp:extent cx="5146842" cy="6848856"/>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31" cstate="print"/>
                    <a:stretch>
                      <a:fillRect/>
                    </a:stretch>
                  </pic:blipFill>
                  <pic:spPr>
                    <a:xfrm>
                      <a:off x="0" y="0"/>
                      <a:ext cx="5146842" cy="6848856"/>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0"/>
          <w:pgSz w:w="12240" w:h="15840"/>
          <w:pgMar w:footer="1620" w:header="0" w:top="1500" w:bottom="1800" w:left="1720" w:right="1580"/>
        </w:sectPr>
      </w:pPr>
    </w:p>
    <w:p>
      <w:pPr>
        <w:pStyle w:val="BodyText"/>
        <w:ind w:left="101"/>
        <w:rPr>
          <w:rFonts w:ascii="Times New Roman"/>
          <w:sz w:val="20"/>
        </w:rPr>
      </w:pPr>
      <w:r>
        <w:rPr/>
        <w:pict>
          <v:shape style="position:absolute;margin-left:89.050003pt;margin-top:47.758999pt;width:448.1pt;height:699.55pt;mso-position-horizontal-relative:page;mso-position-vertical-relative:page;z-index:-58240" type="#_x0000_t202" filled="false" stroked="false">
            <v:textbox inset="0,0,0,0">
              <w:txbxContent>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1"/>
                    <w:rPr>
                      <w:rFonts w:ascii="Times New Roman"/>
                      <w:sz w:val="27"/>
                    </w:rPr>
                  </w:pPr>
                </w:p>
                <w:p>
                  <w:pPr>
                    <w:spacing w:before="1"/>
                    <w:ind w:left="0" w:right="198" w:firstLine="0"/>
                    <w:jc w:val="right"/>
                    <w:rPr>
                      <w:rFonts w:ascii="Calibri"/>
                      <w:sz w:val="22"/>
                    </w:rPr>
                  </w:pPr>
                  <w:r>
                    <w:rPr>
                      <w:rFonts w:ascii="Calibri"/>
                      <w:sz w:val="22"/>
                    </w:rPr>
                    <w:t>62</w:t>
                  </w:r>
                </w:p>
              </w:txbxContent>
            </v:textbox>
            <w10:wrap type="none"/>
          </v:shape>
        </w:pict>
      </w:r>
      <w:r>
        <w:rPr>
          <w:rFonts w:ascii="Times New Roman"/>
          <w:sz w:val="20"/>
        </w:rPr>
        <w:drawing>
          <wp:inline distT="0" distB="0" distL="0" distR="0">
            <wp:extent cx="5675738" cy="8860536"/>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33" cstate="print"/>
                    <a:stretch>
                      <a:fillRect/>
                    </a:stretch>
                  </pic:blipFill>
                  <pic:spPr>
                    <a:xfrm>
                      <a:off x="0" y="0"/>
                      <a:ext cx="5675738" cy="8860536"/>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2"/>
          <w:pgSz w:w="12240" w:h="15840"/>
          <w:pgMar w:footer="0" w:header="0" w:top="960" w:bottom="280" w:left="1680" w:right="1380"/>
        </w:sectPr>
      </w:pPr>
    </w:p>
    <w:p>
      <w:pPr>
        <w:pStyle w:val="BodyText"/>
        <w:rPr>
          <w:rFonts w:ascii="Times New Roman"/>
          <w:sz w:val="20"/>
        </w:rPr>
      </w:pPr>
    </w:p>
    <w:p>
      <w:pPr>
        <w:pStyle w:val="BodyText"/>
        <w:spacing w:before="4"/>
        <w:rPr>
          <w:rFonts w:ascii="Times New Roman"/>
          <w:sz w:val="22"/>
        </w:rPr>
      </w:pPr>
    </w:p>
    <w:p>
      <w:pPr>
        <w:pStyle w:val="BodyText"/>
        <w:ind w:left="118"/>
        <w:rPr>
          <w:rFonts w:ascii="Times New Roman"/>
          <w:sz w:val="20"/>
        </w:rPr>
      </w:pPr>
      <w:r>
        <w:rPr>
          <w:rFonts w:ascii="Times New Roman"/>
          <w:sz w:val="20"/>
        </w:rPr>
        <w:drawing>
          <wp:inline distT="0" distB="0" distL="0" distR="0">
            <wp:extent cx="5911368" cy="5925312"/>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35" cstate="print"/>
                    <a:stretch>
                      <a:fillRect/>
                    </a:stretch>
                  </pic:blipFill>
                  <pic:spPr>
                    <a:xfrm>
                      <a:off x="0" y="0"/>
                      <a:ext cx="5911368" cy="592531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4"/>
          <w:pgSz w:w="12240" w:h="15840"/>
          <w:pgMar w:footer="1620" w:header="0" w:top="1500" w:bottom="1800" w:left="1480" w:right="1200"/>
          <w:pgNumType w:start="63"/>
        </w:sectPr>
      </w:pPr>
    </w:p>
    <w:p>
      <w:pPr>
        <w:pStyle w:val="BodyText"/>
        <w:rPr>
          <w:rFonts w:ascii="Times New Roman"/>
          <w:sz w:val="20"/>
        </w:rPr>
      </w:pPr>
    </w:p>
    <w:p>
      <w:pPr>
        <w:pStyle w:val="BodyText"/>
        <w:spacing w:before="2"/>
        <w:rPr>
          <w:rFonts w:ascii="Times New Roman"/>
          <w:sz w:val="16"/>
        </w:rPr>
      </w:pPr>
    </w:p>
    <w:p>
      <w:pPr>
        <w:pStyle w:val="Heading2"/>
        <w:spacing w:line="360" w:lineRule="auto" w:before="69"/>
        <w:ind w:left="2637" w:right="36" w:hanging="2259"/>
      </w:pPr>
      <w:r>
        <w:rPr>
          <w:w w:val="90"/>
        </w:rPr>
        <w:t>7.7</w:t>
      </w:r>
      <w:r>
        <w:rPr>
          <w:spacing w:val="-18"/>
          <w:w w:val="90"/>
        </w:rPr>
        <w:t> </w:t>
      </w:r>
      <w:r>
        <w:rPr>
          <w:w w:val="90"/>
        </w:rPr>
        <w:t>Intervención</w:t>
      </w:r>
      <w:r>
        <w:rPr>
          <w:spacing w:val="-19"/>
          <w:w w:val="90"/>
        </w:rPr>
        <w:t> </w:t>
      </w:r>
      <w:r>
        <w:rPr>
          <w:w w:val="90"/>
        </w:rPr>
        <w:t>de</w:t>
      </w:r>
      <w:r>
        <w:rPr>
          <w:spacing w:val="-17"/>
          <w:w w:val="90"/>
        </w:rPr>
        <w:t> </w:t>
      </w:r>
      <w:r>
        <w:rPr>
          <w:w w:val="90"/>
        </w:rPr>
        <w:t>Genes</w:t>
      </w:r>
      <w:r>
        <w:rPr>
          <w:spacing w:val="-19"/>
          <w:w w:val="90"/>
        </w:rPr>
        <w:t> </w:t>
      </w:r>
      <w:r>
        <w:rPr>
          <w:w w:val="90"/>
        </w:rPr>
        <w:t>en</w:t>
      </w:r>
      <w:r>
        <w:rPr>
          <w:spacing w:val="-19"/>
          <w:w w:val="90"/>
        </w:rPr>
        <w:t> </w:t>
      </w:r>
      <w:r>
        <w:rPr>
          <w:w w:val="90"/>
        </w:rPr>
        <w:t>la</w:t>
      </w:r>
      <w:r>
        <w:rPr>
          <w:spacing w:val="-17"/>
          <w:w w:val="90"/>
        </w:rPr>
        <w:t> </w:t>
      </w:r>
      <w:r>
        <w:rPr>
          <w:w w:val="90"/>
        </w:rPr>
        <w:t>Regulación</w:t>
      </w:r>
      <w:r>
        <w:rPr>
          <w:spacing w:val="-19"/>
          <w:w w:val="90"/>
        </w:rPr>
        <w:t> </w:t>
      </w:r>
      <w:r>
        <w:rPr>
          <w:w w:val="90"/>
        </w:rPr>
        <w:t>de</w:t>
      </w:r>
      <w:r>
        <w:rPr>
          <w:spacing w:val="-19"/>
          <w:w w:val="90"/>
        </w:rPr>
        <w:t> </w:t>
      </w:r>
      <w:r>
        <w:rPr>
          <w:w w:val="90"/>
        </w:rPr>
        <w:t>la</w:t>
      </w:r>
      <w:r>
        <w:rPr>
          <w:spacing w:val="-19"/>
          <w:w w:val="90"/>
        </w:rPr>
        <w:t> </w:t>
      </w:r>
      <w:r>
        <w:rPr>
          <w:w w:val="90"/>
        </w:rPr>
        <w:t>Espermatogénesis</w:t>
      </w:r>
      <w:r>
        <w:rPr>
          <w:spacing w:val="-19"/>
          <w:w w:val="90"/>
        </w:rPr>
        <w:t> </w:t>
      </w:r>
      <w:r>
        <w:rPr>
          <w:w w:val="90"/>
        </w:rPr>
        <w:t>y</w:t>
      </w:r>
      <w:r>
        <w:rPr>
          <w:spacing w:val="-19"/>
          <w:w w:val="90"/>
        </w:rPr>
        <w:t> </w:t>
      </w:r>
      <w:r>
        <w:rPr>
          <w:w w:val="90"/>
        </w:rPr>
        <w:t>la</w:t>
      </w:r>
      <w:r>
        <w:rPr>
          <w:spacing w:val="-19"/>
          <w:w w:val="90"/>
        </w:rPr>
        <w:t> </w:t>
      </w:r>
      <w:r>
        <w:rPr>
          <w:w w:val="90"/>
        </w:rPr>
        <w:t>Apoptosis de</w:t>
      </w:r>
      <w:r>
        <w:rPr>
          <w:spacing w:val="-27"/>
          <w:w w:val="90"/>
        </w:rPr>
        <w:t> </w:t>
      </w:r>
      <w:r>
        <w:rPr>
          <w:w w:val="90"/>
        </w:rPr>
        <w:t>las</w:t>
      </w:r>
      <w:r>
        <w:rPr>
          <w:spacing w:val="-27"/>
          <w:w w:val="90"/>
        </w:rPr>
        <w:t> </w:t>
      </w:r>
      <w:r>
        <w:rPr>
          <w:w w:val="90"/>
        </w:rPr>
        <w:t>Células</w:t>
      </w:r>
      <w:r>
        <w:rPr>
          <w:spacing w:val="-27"/>
          <w:w w:val="90"/>
        </w:rPr>
        <w:t> </w:t>
      </w:r>
      <w:r>
        <w:rPr>
          <w:w w:val="90"/>
        </w:rPr>
        <w:t>Germinales</w:t>
      </w:r>
      <w:r>
        <w:rPr>
          <w:spacing w:val="-27"/>
          <w:w w:val="90"/>
        </w:rPr>
        <w:t> </w:t>
      </w:r>
      <w:r>
        <w:rPr>
          <w:w w:val="90"/>
        </w:rPr>
        <w:t>Masculinas</w:t>
      </w:r>
    </w:p>
    <w:p>
      <w:pPr>
        <w:pStyle w:val="BodyText"/>
        <w:rPr>
          <w:b/>
        </w:rPr>
      </w:pPr>
    </w:p>
    <w:p>
      <w:pPr>
        <w:pStyle w:val="BodyText"/>
        <w:rPr>
          <w:b/>
        </w:rPr>
      </w:pPr>
    </w:p>
    <w:p>
      <w:pPr>
        <w:pStyle w:val="BodyText"/>
        <w:spacing w:before="9"/>
        <w:rPr>
          <w:b/>
          <w:sz w:val="20"/>
        </w:rPr>
      </w:pPr>
    </w:p>
    <w:p>
      <w:pPr>
        <w:spacing w:before="0"/>
        <w:ind w:left="0" w:right="116" w:firstLine="0"/>
        <w:jc w:val="right"/>
        <w:rPr>
          <w:i/>
          <w:sz w:val="14"/>
        </w:rPr>
      </w:pPr>
      <w:r>
        <w:rPr>
          <w:i/>
          <w:w w:val="90"/>
          <w:sz w:val="22"/>
        </w:rPr>
        <w:t>Méndez PN</w:t>
      </w:r>
      <w:r>
        <w:rPr>
          <w:i/>
          <w:w w:val="90"/>
          <w:position w:val="10"/>
          <w:sz w:val="14"/>
        </w:rPr>
        <w:t>a</w:t>
      </w:r>
      <w:r>
        <w:rPr>
          <w:i/>
          <w:w w:val="90"/>
          <w:sz w:val="22"/>
        </w:rPr>
        <w:t>, Aragón MA</w:t>
      </w:r>
      <w:r>
        <w:rPr>
          <w:i/>
          <w:w w:val="90"/>
          <w:position w:val="10"/>
          <w:sz w:val="14"/>
        </w:rPr>
        <w:t>a</w:t>
      </w:r>
      <w:r>
        <w:rPr>
          <w:i/>
          <w:w w:val="90"/>
          <w:sz w:val="22"/>
        </w:rPr>
        <w:t>, Ayala EME</w:t>
      </w:r>
      <w:r>
        <w:rPr>
          <w:i/>
          <w:w w:val="90"/>
          <w:position w:val="10"/>
          <w:sz w:val="14"/>
        </w:rPr>
        <w:t>b</w:t>
      </w:r>
      <w:r>
        <w:rPr>
          <w:i/>
          <w:w w:val="90"/>
          <w:sz w:val="22"/>
        </w:rPr>
        <w:t>, Méndez MM</w:t>
      </w:r>
      <w:r>
        <w:rPr>
          <w:i/>
          <w:w w:val="90"/>
          <w:position w:val="10"/>
          <w:sz w:val="14"/>
        </w:rPr>
        <w:t>c</w:t>
      </w:r>
      <w:r>
        <w:rPr>
          <w:i/>
          <w:w w:val="90"/>
          <w:sz w:val="22"/>
        </w:rPr>
        <w:t>, Vázquez FF</w:t>
      </w:r>
      <w:r>
        <w:rPr>
          <w:i/>
          <w:w w:val="90"/>
          <w:position w:val="10"/>
          <w:sz w:val="14"/>
        </w:rPr>
        <w:t>c</w:t>
      </w:r>
    </w:p>
    <w:p>
      <w:pPr>
        <w:pStyle w:val="BodyText"/>
        <w:spacing w:before="3"/>
        <w:rPr>
          <w:i/>
          <w:sz w:val="25"/>
        </w:rPr>
      </w:pPr>
    </w:p>
    <w:p>
      <w:pPr>
        <w:spacing w:before="0"/>
        <w:ind w:left="0" w:right="122" w:firstLine="0"/>
        <w:jc w:val="right"/>
        <w:rPr>
          <w:i/>
          <w:sz w:val="20"/>
        </w:rPr>
      </w:pPr>
      <w:r>
        <w:rPr>
          <w:i/>
          <w:w w:val="90"/>
          <w:position w:val="10"/>
          <w:sz w:val="13"/>
        </w:rPr>
        <w:t>a</w:t>
      </w:r>
      <w:r>
        <w:rPr>
          <w:i/>
          <w:w w:val="90"/>
          <w:sz w:val="20"/>
        </w:rPr>
        <w:t>Departamento de Biología de la Reproducción. Facultad de Medicina Veterinaria y Zootecnia. Universidad</w:t>
      </w:r>
    </w:p>
    <w:p>
      <w:pPr>
        <w:spacing w:line="451" w:lineRule="auto" w:before="0"/>
        <w:ind w:left="6927" w:right="123" w:hanging="761"/>
        <w:jc w:val="right"/>
        <w:rPr>
          <w:i/>
          <w:sz w:val="20"/>
        </w:rPr>
      </w:pPr>
      <w:r>
        <w:rPr>
          <w:i/>
          <w:w w:val="90"/>
          <w:sz w:val="20"/>
        </w:rPr>
        <w:t>Autónoma del Estado de México.</w:t>
      </w:r>
      <w:r>
        <w:rPr>
          <w:i/>
          <w:w w:val="86"/>
          <w:sz w:val="20"/>
        </w:rPr>
        <w:t> </w:t>
      </w:r>
      <w:hyperlink r:id="rId24">
        <w:r>
          <w:rPr>
            <w:i/>
            <w:w w:val="85"/>
            <w:sz w:val="20"/>
          </w:rPr>
          <w:t>armandres@gmail.com</w:t>
        </w:r>
      </w:hyperlink>
    </w:p>
    <w:p>
      <w:pPr>
        <w:spacing w:line="231" w:lineRule="exact" w:before="0"/>
        <w:ind w:left="0" w:right="130" w:firstLine="0"/>
        <w:jc w:val="right"/>
        <w:rPr>
          <w:i/>
          <w:sz w:val="20"/>
        </w:rPr>
      </w:pPr>
      <w:r>
        <w:rPr>
          <w:i/>
          <w:w w:val="90"/>
          <w:position w:val="10"/>
          <w:sz w:val="13"/>
        </w:rPr>
        <w:t>b</w:t>
      </w:r>
      <w:r>
        <w:rPr>
          <w:i/>
          <w:w w:val="90"/>
          <w:sz w:val="20"/>
        </w:rPr>
        <w:t>Laboratorio de Pubertad, Facultad de Estudios Superiores Zaragoza, Universidad Nacional Autónoma de</w:t>
      </w:r>
    </w:p>
    <w:p>
      <w:pPr>
        <w:spacing w:before="3"/>
        <w:ind w:left="0" w:right="120" w:firstLine="0"/>
        <w:jc w:val="right"/>
        <w:rPr>
          <w:i/>
          <w:sz w:val="20"/>
        </w:rPr>
      </w:pPr>
      <w:r>
        <w:rPr>
          <w:i/>
          <w:w w:val="85"/>
          <w:sz w:val="20"/>
        </w:rPr>
        <w:t>México.</w:t>
      </w:r>
    </w:p>
    <w:p>
      <w:pPr>
        <w:spacing w:before="163"/>
        <w:ind w:left="0" w:right="122" w:firstLine="0"/>
        <w:jc w:val="right"/>
        <w:rPr>
          <w:i/>
          <w:sz w:val="20"/>
        </w:rPr>
      </w:pPr>
      <w:r>
        <w:rPr>
          <w:i/>
          <w:w w:val="90"/>
          <w:position w:val="10"/>
          <w:sz w:val="13"/>
        </w:rPr>
        <w:t>c</w:t>
      </w:r>
      <w:r>
        <w:rPr>
          <w:i/>
          <w:w w:val="90"/>
          <w:sz w:val="20"/>
        </w:rPr>
        <w:t>Departamento de Genética y Reproducción. Facultad de Medicina Veterinaria y Zootecnia. Benemérita</w:t>
      </w:r>
    </w:p>
    <w:p>
      <w:pPr>
        <w:spacing w:before="3"/>
        <w:ind w:left="0" w:right="124" w:firstLine="0"/>
        <w:jc w:val="right"/>
        <w:rPr>
          <w:i/>
          <w:sz w:val="20"/>
        </w:rPr>
      </w:pPr>
      <w:r>
        <w:rPr>
          <w:i/>
          <w:w w:val="90"/>
          <w:sz w:val="20"/>
        </w:rPr>
        <w:t>Universidad Autónoma de Puebla.</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rPr>
      </w:pPr>
    </w:p>
    <w:p>
      <w:pPr>
        <w:pStyle w:val="Heading3"/>
        <w:numPr>
          <w:ilvl w:val="1"/>
          <w:numId w:val="7"/>
        </w:numPr>
        <w:tabs>
          <w:tab w:pos="616" w:val="left" w:leader="none"/>
        </w:tabs>
        <w:spacing w:line="240" w:lineRule="auto" w:before="0" w:after="0"/>
        <w:ind w:left="615" w:right="0" w:hanging="350"/>
        <w:jc w:val="both"/>
        <w:rPr>
          <w:i/>
        </w:rPr>
      </w:pPr>
      <w:r>
        <w:rPr>
          <w:i/>
          <w:w w:val="95"/>
        </w:rPr>
        <w:t>INTRODUCCIÓN</w:t>
      </w:r>
    </w:p>
    <w:p>
      <w:pPr>
        <w:pStyle w:val="BodyText"/>
        <w:spacing w:before="5"/>
        <w:rPr>
          <w:b/>
          <w:i/>
          <w:sz w:val="29"/>
        </w:rPr>
      </w:pPr>
    </w:p>
    <w:p>
      <w:pPr>
        <w:pStyle w:val="BodyText"/>
        <w:spacing w:line="360" w:lineRule="auto"/>
        <w:ind w:left="265" w:right="121"/>
        <w:jc w:val="both"/>
      </w:pPr>
      <w:r>
        <w:rPr>
          <w:w w:val="95"/>
        </w:rPr>
        <w:t>El</w:t>
      </w:r>
      <w:r>
        <w:rPr>
          <w:spacing w:val="-5"/>
          <w:w w:val="95"/>
        </w:rPr>
        <w:t> </w:t>
      </w:r>
      <w:r>
        <w:rPr>
          <w:w w:val="95"/>
        </w:rPr>
        <w:t>progreso</w:t>
      </w:r>
      <w:r>
        <w:rPr>
          <w:spacing w:val="-5"/>
          <w:w w:val="95"/>
        </w:rPr>
        <w:t> </w:t>
      </w:r>
      <w:r>
        <w:rPr>
          <w:w w:val="95"/>
        </w:rPr>
        <w:t>en</w:t>
      </w:r>
      <w:r>
        <w:rPr>
          <w:spacing w:val="-6"/>
          <w:w w:val="95"/>
        </w:rPr>
        <w:t> </w:t>
      </w:r>
      <w:r>
        <w:rPr>
          <w:w w:val="95"/>
        </w:rPr>
        <w:t>la</w:t>
      </w:r>
      <w:r>
        <w:rPr>
          <w:spacing w:val="-4"/>
          <w:w w:val="95"/>
        </w:rPr>
        <w:t> </w:t>
      </w:r>
      <w:r>
        <w:rPr>
          <w:w w:val="95"/>
        </w:rPr>
        <w:t>producción</w:t>
      </w:r>
      <w:r>
        <w:rPr>
          <w:spacing w:val="-4"/>
          <w:w w:val="95"/>
        </w:rPr>
        <w:t> </w:t>
      </w:r>
      <w:r>
        <w:rPr>
          <w:w w:val="95"/>
        </w:rPr>
        <w:t>animal</w:t>
      </w:r>
      <w:r>
        <w:rPr>
          <w:spacing w:val="-5"/>
          <w:w w:val="95"/>
        </w:rPr>
        <w:t> </w:t>
      </w:r>
      <w:r>
        <w:rPr>
          <w:w w:val="95"/>
        </w:rPr>
        <w:t>ha</w:t>
      </w:r>
      <w:r>
        <w:rPr>
          <w:spacing w:val="-5"/>
          <w:w w:val="95"/>
        </w:rPr>
        <w:t> </w:t>
      </w:r>
      <w:r>
        <w:rPr>
          <w:w w:val="95"/>
        </w:rPr>
        <w:t>sido</w:t>
      </w:r>
      <w:r>
        <w:rPr>
          <w:spacing w:val="-4"/>
          <w:w w:val="95"/>
        </w:rPr>
        <w:t> </w:t>
      </w:r>
      <w:r>
        <w:rPr>
          <w:w w:val="95"/>
        </w:rPr>
        <w:t>abrupto</w:t>
      </w:r>
      <w:r>
        <w:rPr>
          <w:spacing w:val="-5"/>
          <w:w w:val="95"/>
        </w:rPr>
        <w:t> </w:t>
      </w:r>
      <w:r>
        <w:rPr>
          <w:w w:val="95"/>
        </w:rPr>
        <w:t>en</w:t>
      </w:r>
      <w:r>
        <w:rPr>
          <w:spacing w:val="-5"/>
          <w:w w:val="95"/>
        </w:rPr>
        <w:t> </w:t>
      </w:r>
      <w:r>
        <w:rPr>
          <w:w w:val="95"/>
        </w:rPr>
        <w:t>muchos</w:t>
      </w:r>
      <w:r>
        <w:rPr>
          <w:spacing w:val="-4"/>
          <w:w w:val="95"/>
        </w:rPr>
        <w:t> </w:t>
      </w:r>
      <w:r>
        <w:rPr>
          <w:w w:val="95"/>
        </w:rPr>
        <w:t>de</w:t>
      </w:r>
      <w:r>
        <w:rPr>
          <w:spacing w:val="-5"/>
          <w:w w:val="95"/>
        </w:rPr>
        <w:t> </w:t>
      </w:r>
      <w:r>
        <w:rPr>
          <w:w w:val="95"/>
        </w:rPr>
        <w:t>sus</w:t>
      </w:r>
      <w:r>
        <w:rPr>
          <w:spacing w:val="-5"/>
          <w:w w:val="95"/>
        </w:rPr>
        <w:t> </w:t>
      </w:r>
      <w:r>
        <w:rPr>
          <w:w w:val="95"/>
        </w:rPr>
        <w:t>procesos;</w:t>
      </w:r>
      <w:r>
        <w:rPr>
          <w:spacing w:val="-4"/>
          <w:w w:val="95"/>
        </w:rPr>
        <w:t> </w:t>
      </w:r>
      <w:r>
        <w:rPr>
          <w:w w:val="95"/>
        </w:rPr>
        <w:t>sin </w:t>
      </w:r>
      <w:r>
        <w:rPr>
          <w:w w:val="90"/>
        </w:rPr>
        <w:t>embargo, se conoce relativamente poco acerca de los factores genéticos en los</w:t>
      </w:r>
      <w:r>
        <w:rPr>
          <w:spacing w:val="-37"/>
          <w:w w:val="90"/>
        </w:rPr>
        <w:t> </w:t>
      </w:r>
      <w:r>
        <w:rPr>
          <w:w w:val="90"/>
        </w:rPr>
        <w:t>procesos reproductivos</w:t>
      </w:r>
      <w:r>
        <w:rPr>
          <w:spacing w:val="-24"/>
          <w:w w:val="90"/>
        </w:rPr>
        <w:t> </w:t>
      </w:r>
      <w:r>
        <w:rPr>
          <w:w w:val="90"/>
        </w:rPr>
        <w:t>que</w:t>
      </w:r>
      <w:r>
        <w:rPr>
          <w:spacing w:val="-22"/>
          <w:w w:val="90"/>
        </w:rPr>
        <w:t> </w:t>
      </w:r>
      <w:r>
        <w:rPr>
          <w:w w:val="90"/>
        </w:rPr>
        <w:t>subyacen</w:t>
      </w:r>
      <w:r>
        <w:rPr>
          <w:spacing w:val="-23"/>
          <w:w w:val="90"/>
        </w:rPr>
        <w:t> </w:t>
      </w:r>
      <w:r>
        <w:rPr>
          <w:w w:val="90"/>
        </w:rPr>
        <w:t>a</w:t>
      </w:r>
      <w:r>
        <w:rPr>
          <w:spacing w:val="-23"/>
          <w:w w:val="90"/>
        </w:rPr>
        <w:t> </w:t>
      </w:r>
      <w:r>
        <w:rPr>
          <w:w w:val="90"/>
        </w:rPr>
        <w:t>la</w:t>
      </w:r>
      <w:r>
        <w:rPr>
          <w:spacing w:val="-23"/>
          <w:w w:val="90"/>
        </w:rPr>
        <w:t> </w:t>
      </w:r>
      <w:r>
        <w:rPr>
          <w:w w:val="90"/>
        </w:rPr>
        <w:t>producción</w:t>
      </w:r>
      <w:r>
        <w:rPr>
          <w:spacing w:val="-23"/>
          <w:w w:val="90"/>
        </w:rPr>
        <w:t> </w:t>
      </w:r>
      <w:r>
        <w:rPr>
          <w:w w:val="90"/>
        </w:rPr>
        <w:t>animal.</w:t>
      </w:r>
    </w:p>
    <w:p>
      <w:pPr>
        <w:pStyle w:val="BodyText"/>
        <w:spacing w:line="360" w:lineRule="auto" w:before="204"/>
        <w:ind w:left="265" w:right="130"/>
        <w:jc w:val="both"/>
      </w:pPr>
      <w:r>
        <w:rPr>
          <w:w w:val="95"/>
        </w:rPr>
        <w:t>La</w:t>
      </w:r>
      <w:r>
        <w:rPr>
          <w:spacing w:val="-27"/>
          <w:w w:val="95"/>
        </w:rPr>
        <w:t> </w:t>
      </w:r>
      <w:r>
        <w:rPr>
          <w:w w:val="95"/>
        </w:rPr>
        <w:t>base</w:t>
      </w:r>
      <w:r>
        <w:rPr>
          <w:spacing w:val="-27"/>
          <w:w w:val="95"/>
        </w:rPr>
        <w:t> </w:t>
      </w:r>
      <w:r>
        <w:rPr>
          <w:w w:val="95"/>
        </w:rPr>
        <w:t>fundamental</w:t>
      </w:r>
      <w:r>
        <w:rPr>
          <w:spacing w:val="-27"/>
          <w:w w:val="95"/>
        </w:rPr>
        <w:t> </w:t>
      </w:r>
      <w:r>
        <w:rPr>
          <w:w w:val="95"/>
        </w:rPr>
        <w:t>de</w:t>
      </w:r>
      <w:r>
        <w:rPr>
          <w:spacing w:val="-27"/>
          <w:w w:val="95"/>
        </w:rPr>
        <w:t> </w:t>
      </w:r>
      <w:r>
        <w:rPr>
          <w:w w:val="95"/>
        </w:rPr>
        <w:t>la</w:t>
      </w:r>
      <w:r>
        <w:rPr>
          <w:spacing w:val="-27"/>
          <w:w w:val="95"/>
        </w:rPr>
        <w:t> </w:t>
      </w:r>
      <w:r>
        <w:rPr>
          <w:w w:val="95"/>
        </w:rPr>
        <w:t>reproducción</w:t>
      </w:r>
      <w:r>
        <w:rPr>
          <w:spacing w:val="-27"/>
          <w:w w:val="95"/>
        </w:rPr>
        <w:t> </w:t>
      </w:r>
      <w:r>
        <w:rPr>
          <w:w w:val="95"/>
        </w:rPr>
        <w:t>es</w:t>
      </w:r>
      <w:r>
        <w:rPr>
          <w:spacing w:val="-28"/>
          <w:w w:val="95"/>
        </w:rPr>
        <w:t> </w:t>
      </w:r>
      <w:r>
        <w:rPr>
          <w:w w:val="95"/>
        </w:rPr>
        <w:t>la</w:t>
      </w:r>
      <w:r>
        <w:rPr>
          <w:spacing w:val="-27"/>
          <w:w w:val="95"/>
        </w:rPr>
        <w:t> </w:t>
      </w:r>
      <w:r>
        <w:rPr>
          <w:w w:val="95"/>
        </w:rPr>
        <w:t>producción</w:t>
      </w:r>
      <w:r>
        <w:rPr>
          <w:spacing w:val="-27"/>
          <w:w w:val="95"/>
        </w:rPr>
        <w:t> </w:t>
      </w:r>
      <w:r>
        <w:rPr>
          <w:w w:val="95"/>
        </w:rPr>
        <w:t>de</w:t>
      </w:r>
      <w:r>
        <w:rPr>
          <w:spacing w:val="-27"/>
          <w:w w:val="95"/>
        </w:rPr>
        <w:t> </w:t>
      </w:r>
      <w:r>
        <w:rPr>
          <w:w w:val="95"/>
        </w:rPr>
        <w:t>gametos.</w:t>
      </w:r>
      <w:r>
        <w:rPr>
          <w:spacing w:val="-27"/>
          <w:w w:val="95"/>
        </w:rPr>
        <w:t> </w:t>
      </w:r>
      <w:r>
        <w:rPr>
          <w:w w:val="95"/>
        </w:rPr>
        <w:t>En</w:t>
      </w:r>
      <w:r>
        <w:rPr>
          <w:spacing w:val="-25"/>
          <w:w w:val="95"/>
        </w:rPr>
        <w:t> </w:t>
      </w:r>
      <w:r>
        <w:rPr>
          <w:w w:val="95"/>
        </w:rPr>
        <w:t>hembras</w:t>
      </w:r>
      <w:r>
        <w:rPr>
          <w:spacing w:val="-27"/>
          <w:w w:val="95"/>
        </w:rPr>
        <w:t> </w:t>
      </w:r>
      <w:r>
        <w:rPr>
          <w:w w:val="95"/>
        </w:rPr>
        <w:t>y</w:t>
      </w:r>
      <w:r>
        <w:rPr>
          <w:spacing w:val="-27"/>
          <w:w w:val="95"/>
        </w:rPr>
        <w:t> </w:t>
      </w:r>
      <w:r>
        <w:rPr>
          <w:w w:val="95"/>
        </w:rPr>
        <w:t>en </w:t>
      </w:r>
      <w:r>
        <w:rPr>
          <w:w w:val="90"/>
        </w:rPr>
        <w:t>machos, esta producción se encuentra regulada por genes que intervienen en diferentes </w:t>
      </w:r>
      <w:r>
        <w:rPr>
          <w:w w:val="95"/>
        </w:rPr>
        <w:t>etapas</w:t>
      </w:r>
      <w:r>
        <w:rPr>
          <w:spacing w:val="-9"/>
          <w:w w:val="95"/>
        </w:rPr>
        <w:t> </w:t>
      </w:r>
      <w:r>
        <w:rPr>
          <w:w w:val="95"/>
        </w:rPr>
        <w:t>de</w:t>
      </w:r>
      <w:r>
        <w:rPr>
          <w:spacing w:val="-9"/>
          <w:w w:val="95"/>
        </w:rPr>
        <w:t> </w:t>
      </w:r>
      <w:r>
        <w:rPr>
          <w:w w:val="95"/>
        </w:rPr>
        <w:t>la</w:t>
      </w:r>
      <w:r>
        <w:rPr>
          <w:spacing w:val="-9"/>
          <w:w w:val="95"/>
        </w:rPr>
        <w:t> </w:t>
      </w:r>
      <w:r>
        <w:rPr>
          <w:w w:val="95"/>
        </w:rPr>
        <w:t>proliferación</w:t>
      </w:r>
      <w:r>
        <w:rPr>
          <w:spacing w:val="-7"/>
          <w:w w:val="95"/>
        </w:rPr>
        <w:t> </w:t>
      </w:r>
      <w:r>
        <w:rPr>
          <w:w w:val="95"/>
        </w:rPr>
        <w:t>y</w:t>
      </w:r>
      <w:r>
        <w:rPr>
          <w:spacing w:val="-9"/>
          <w:w w:val="95"/>
        </w:rPr>
        <w:t> </w:t>
      </w:r>
      <w:r>
        <w:rPr>
          <w:w w:val="95"/>
        </w:rPr>
        <w:t>de</w:t>
      </w:r>
      <w:r>
        <w:rPr>
          <w:spacing w:val="-9"/>
          <w:w w:val="95"/>
        </w:rPr>
        <w:t> </w:t>
      </w:r>
      <w:r>
        <w:rPr>
          <w:w w:val="95"/>
        </w:rPr>
        <w:t>la</w:t>
      </w:r>
      <w:r>
        <w:rPr>
          <w:spacing w:val="-9"/>
          <w:w w:val="95"/>
        </w:rPr>
        <w:t> </w:t>
      </w:r>
      <w:r>
        <w:rPr>
          <w:w w:val="95"/>
        </w:rPr>
        <w:t>diferenciación</w:t>
      </w:r>
      <w:r>
        <w:rPr>
          <w:spacing w:val="-9"/>
          <w:w w:val="95"/>
        </w:rPr>
        <w:t> </w:t>
      </w:r>
      <w:r>
        <w:rPr>
          <w:w w:val="95"/>
        </w:rPr>
        <w:t>del</w:t>
      </w:r>
      <w:r>
        <w:rPr>
          <w:spacing w:val="-9"/>
          <w:w w:val="95"/>
        </w:rPr>
        <w:t> </w:t>
      </w:r>
      <w:r>
        <w:rPr>
          <w:w w:val="95"/>
        </w:rPr>
        <w:t>linaje</w:t>
      </w:r>
      <w:r>
        <w:rPr>
          <w:spacing w:val="-9"/>
          <w:w w:val="95"/>
        </w:rPr>
        <w:t> </w:t>
      </w:r>
      <w:r>
        <w:rPr>
          <w:w w:val="95"/>
        </w:rPr>
        <w:t>germinal.</w:t>
      </w:r>
      <w:r>
        <w:rPr>
          <w:spacing w:val="-10"/>
          <w:w w:val="95"/>
        </w:rPr>
        <w:t> </w:t>
      </w:r>
      <w:r>
        <w:rPr>
          <w:w w:val="95"/>
        </w:rPr>
        <w:t>Tales</w:t>
      </w:r>
      <w:r>
        <w:rPr>
          <w:spacing w:val="-9"/>
          <w:w w:val="95"/>
        </w:rPr>
        <w:t> </w:t>
      </w:r>
      <w:r>
        <w:rPr>
          <w:w w:val="95"/>
        </w:rPr>
        <w:t>genes</w:t>
      </w:r>
      <w:r>
        <w:rPr>
          <w:spacing w:val="-9"/>
          <w:w w:val="95"/>
        </w:rPr>
        <w:t> </w:t>
      </w:r>
      <w:r>
        <w:rPr>
          <w:w w:val="95"/>
        </w:rPr>
        <w:t>están relacionados</w:t>
      </w:r>
      <w:r>
        <w:rPr>
          <w:spacing w:val="-6"/>
          <w:w w:val="95"/>
        </w:rPr>
        <w:t> </w:t>
      </w:r>
      <w:r>
        <w:rPr>
          <w:w w:val="95"/>
        </w:rPr>
        <w:t>con</w:t>
      </w:r>
      <w:r>
        <w:rPr>
          <w:spacing w:val="-7"/>
          <w:w w:val="95"/>
        </w:rPr>
        <w:t> </w:t>
      </w:r>
      <w:r>
        <w:rPr>
          <w:w w:val="95"/>
        </w:rPr>
        <w:t>la</w:t>
      </w:r>
      <w:r>
        <w:rPr>
          <w:spacing w:val="-6"/>
          <w:w w:val="95"/>
        </w:rPr>
        <w:t> </w:t>
      </w:r>
      <w:r>
        <w:rPr>
          <w:w w:val="95"/>
        </w:rPr>
        <w:t>generación</w:t>
      </w:r>
      <w:r>
        <w:rPr>
          <w:spacing w:val="-6"/>
          <w:w w:val="95"/>
        </w:rPr>
        <w:t> </w:t>
      </w:r>
      <w:r>
        <w:rPr>
          <w:w w:val="95"/>
        </w:rPr>
        <w:t>de</w:t>
      </w:r>
      <w:r>
        <w:rPr>
          <w:spacing w:val="-6"/>
          <w:w w:val="95"/>
        </w:rPr>
        <w:t> </w:t>
      </w:r>
      <w:r>
        <w:rPr>
          <w:w w:val="95"/>
        </w:rPr>
        <w:t>un</w:t>
      </w:r>
      <w:r>
        <w:rPr>
          <w:spacing w:val="-6"/>
          <w:w w:val="95"/>
        </w:rPr>
        <w:t> </w:t>
      </w:r>
      <w:r>
        <w:rPr>
          <w:w w:val="95"/>
        </w:rPr>
        <w:t>microambiente</w:t>
      </w:r>
      <w:r>
        <w:rPr>
          <w:spacing w:val="-6"/>
          <w:w w:val="95"/>
        </w:rPr>
        <w:t> </w:t>
      </w:r>
      <w:r>
        <w:rPr>
          <w:w w:val="95"/>
        </w:rPr>
        <w:t>hormonal</w:t>
      </w:r>
      <w:r>
        <w:rPr>
          <w:spacing w:val="-6"/>
          <w:w w:val="95"/>
        </w:rPr>
        <w:t> </w:t>
      </w:r>
      <w:r>
        <w:rPr>
          <w:w w:val="95"/>
        </w:rPr>
        <w:t>propicio,</w:t>
      </w:r>
      <w:r>
        <w:rPr>
          <w:spacing w:val="-6"/>
          <w:w w:val="95"/>
        </w:rPr>
        <w:t> </w:t>
      </w:r>
      <w:r>
        <w:rPr>
          <w:w w:val="95"/>
        </w:rPr>
        <w:t>es</w:t>
      </w:r>
      <w:r>
        <w:rPr>
          <w:spacing w:val="-6"/>
          <w:w w:val="95"/>
        </w:rPr>
        <w:t> </w:t>
      </w:r>
      <w:r>
        <w:rPr>
          <w:w w:val="95"/>
        </w:rPr>
        <w:t>decir</w:t>
      </w:r>
      <w:r>
        <w:rPr>
          <w:spacing w:val="-6"/>
          <w:w w:val="95"/>
        </w:rPr>
        <w:t> </w:t>
      </w:r>
      <w:r>
        <w:rPr>
          <w:w w:val="95"/>
        </w:rPr>
        <w:t>que </w:t>
      </w:r>
      <w:r>
        <w:rPr>
          <w:w w:val="90"/>
        </w:rPr>
        <w:t>permisivo</w:t>
      </w:r>
      <w:r>
        <w:rPr>
          <w:spacing w:val="-12"/>
          <w:w w:val="90"/>
        </w:rPr>
        <w:t> </w:t>
      </w:r>
      <w:r>
        <w:rPr>
          <w:w w:val="90"/>
        </w:rPr>
        <w:t>para</w:t>
      </w:r>
      <w:r>
        <w:rPr>
          <w:spacing w:val="-14"/>
          <w:w w:val="90"/>
        </w:rPr>
        <w:t> </w:t>
      </w:r>
      <w:r>
        <w:rPr>
          <w:w w:val="90"/>
        </w:rPr>
        <w:t>la</w:t>
      </w:r>
      <w:r>
        <w:rPr>
          <w:spacing w:val="-12"/>
          <w:w w:val="90"/>
        </w:rPr>
        <w:t> </w:t>
      </w:r>
      <w:r>
        <w:rPr>
          <w:w w:val="90"/>
        </w:rPr>
        <w:t>proliferación</w:t>
      </w:r>
      <w:r>
        <w:rPr>
          <w:spacing w:val="-12"/>
          <w:w w:val="90"/>
        </w:rPr>
        <w:t> </w:t>
      </w:r>
      <w:r>
        <w:rPr>
          <w:w w:val="90"/>
        </w:rPr>
        <w:t>y</w:t>
      </w:r>
      <w:r>
        <w:rPr>
          <w:spacing w:val="-14"/>
          <w:w w:val="90"/>
        </w:rPr>
        <w:t> </w:t>
      </w:r>
      <w:r>
        <w:rPr>
          <w:w w:val="90"/>
        </w:rPr>
        <w:t>la</w:t>
      </w:r>
      <w:r>
        <w:rPr>
          <w:spacing w:val="-12"/>
          <w:w w:val="90"/>
        </w:rPr>
        <w:t> </w:t>
      </w:r>
      <w:r>
        <w:rPr>
          <w:w w:val="90"/>
        </w:rPr>
        <w:t>diferenciación</w:t>
      </w:r>
      <w:r>
        <w:rPr>
          <w:spacing w:val="-14"/>
          <w:w w:val="90"/>
        </w:rPr>
        <w:t> </w:t>
      </w:r>
      <w:r>
        <w:rPr>
          <w:w w:val="90"/>
        </w:rPr>
        <w:t>celular.</w:t>
      </w:r>
      <w:r>
        <w:rPr>
          <w:spacing w:val="-13"/>
          <w:w w:val="90"/>
        </w:rPr>
        <w:t> </w:t>
      </w:r>
      <w:r>
        <w:rPr>
          <w:w w:val="90"/>
        </w:rPr>
        <w:t>El</w:t>
      </w:r>
      <w:r>
        <w:rPr>
          <w:spacing w:val="-13"/>
          <w:w w:val="90"/>
        </w:rPr>
        <w:t> </w:t>
      </w:r>
      <w:r>
        <w:rPr>
          <w:w w:val="90"/>
        </w:rPr>
        <w:t>balance</w:t>
      </w:r>
      <w:r>
        <w:rPr>
          <w:spacing w:val="-12"/>
          <w:w w:val="90"/>
        </w:rPr>
        <w:t> </w:t>
      </w:r>
      <w:r>
        <w:rPr>
          <w:w w:val="90"/>
        </w:rPr>
        <w:t>entre</w:t>
      </w:r>
      <w:r>
        <w:rPr>
          <w:spacing w:val="-14"/>
          <w:w w:val="90"/>
        </w:rPr>
        <w:t> </w:t>
      </w:r>
      <w:r>
        <w:rPr>
          <w:w w:val="90"/>
        </w:rPr>
        <w:t>la</w:t>
      </w:r>
      <w:r>
        <w:rPr>
          <w:spacing w:val="-14"/>
          <w:w w:val="90"/>
        </w:rPr>
        <w:t> </w:t>
      </w:r>
      <w:r>
        <w:rPr>
          <w:w w:val="90"/>
        </w:rPr>
        <w:t>proliferación</w:t>
      </w:r>
      <w:r>
        <w:rPr>
          <w:spacing w:val="-12"/>
          <w:w w:val="90"/>
        </w:rPr>
        <w:t> </w:t>
      </w:r>
      <w:r>
        <w:rPr>
          <w:w w:val="90"/>
        </w:rPr>
        <w:t>y </w:t>
      </w:r>
      <w:r>
        <w:rPr>
          <w:w w:val="95"/>
        </w:rPr>
        <w:t>la</w:t>
      </w:r>
      <w:r>
        <w:rPr>
          <w:spacing w:val="-36"/>
          <w:w w:val="95"/>
        </w:rPr>
        <w:t> </w:t>
      </w:r>
      <w:r>
        <w:rPr>
          <w:w w:val="95"/>
        </w:rPr>
        <w:t>muerte</w:t>
      </w:r>
      <w:r>
        <w:rPr>
          <w:spacing w:val="-37"/>
          <w:w w:val="95"/>
        </w:rPr>
        <w:t> </w:t>
      </w:r>
      <w:r>
        <w:rPr>
          <w:w w:val="95"/>
        </w:rPr>
        <w:t>celular</w:t>
      </w:r>
      <w:r>
        <w:rPr>
          <w:spacing w:val="-35"/>
          <w:w w:val="95"/>
        </w:rPr>
        <w:t> </w:t>
      </w:r>
      <w:r>
        <w:rPr>
          <w:w w:val="95"/>
        </w:rPr>
        <w:t>juega</w:t>
      </w:r>
      <w:r>
        <w:rPr>
          <w:spacing w:val="-35"/>
          <w:w w:val="95"/>
        </w:rPr>
        <w:t> </w:t>
      </w:r>
      <w:r>
        <w:rPr>
          <w:w w:val="95"/>
        </w:rPr>
        <w:t>un</w:t>
      </w:r>
      <w:r>
        <w:rPr>
          <w:spacing w:val="-37"/>
          <w:w w:val="95"/>
        </w:rPr>
        <w:t> </w:t>
      </w:r>
      <w:r>
        <w:rPr>
          <w:w w:val="95"/>
        </w:rPr>
        <w:t>papel</w:t>
      </w:r>
      <w:r>
        <w:rPr>
          <w:spacing w:val="-37"/>
          <w:w w:val="95"/>
        </w:rPr>
        <w:t> </w:t>
      </w:r>
      <w:r>
        <w:rPr>
          <w:w w:val="95"/>
        </w:rPr>
        <w:t>fundamental</w:t>
      </w:r>
      <w:r>
        <w:rPr>
          <w:spacing w:val="-36"/>
          <w:w w:val="95"/>
        </w:rPr>
        <w:t> </w:t>
      </w:r>
      <w:r>
        <w:rPr>
          <w:w w:val="95"/>
        </w:rPr>
        <w:t>en</w:t>
      </w:r>
      <w:r>
        <w:rPr>
          <w:spacing w:val="-37"/>
          <w:w w:val="95"/>
        </w:rPr>
        <w:t> </w:t>
      </w:r>
      <w:r>
        <w:rPr>
          <w:w w:val="95"/>
        </w:rPr>
        <w:t>la</w:t>
      </w:r>
      <w:r>
        <w:rPr>
          <w:spacing w:val="-37"/>
          <w:w w:val="95"/>
        </w:rPr>
        <w:t> </w:t>
      </w:r>
      <w:r>
        <w:rPr>
          <w:w w:val="95"/>
        </w:rPr>
        <w:t>producción</w:t>
      </w:r>
      <w:r>
        <w:rPr>
          <w:spacing w:val="-37"/>
          <w:w w:val="95"/>
        </w:rPr>
        <w:t> </w:t>
      </w:r>
      <w:r>
        <w:rPr>
          <w:w w:val="95"/>
        </w:rPr>
        <w:t>de</w:t>
      </w:r>
      <w:r>
        <w:rPr>
          <w:spacing w:val="-35"/>
          <w:w w:val="95"/>
        </w:rPr>
        <w:t> </w:t>
      </w:r>
      <w:r>
        <w:rPr>
          <w:w w:val="95"/>
        </w:rPr>
        <w:t>gametos.</w:t>
      </w:r>
      <w:r>
        <w:rPr>
          <w:spacing w:val="-37"/>
          <w:w w:val="95"/>
        </w:rPr>
        <w:t> </w:t>
      </w:r>
      <w:r>
        <w:rPr>
          <w:w w:val="95"/>
        </w:rPr>
        <w:t>Este</w:t>
      </w:r>
      <w:r>
        <w:rPr>
          <w:spacing w:val="-37"/>
          <w:w w:val="95"/>
        </w:rPr>
        <w:t> </w:t>
      </w:r>
      <w:r>
        <w:rPr>
          <w:w w:val="95"/>
        </w:rPr>
        <w:t>balance </w:t>
      </w:r>
      <w:r>
        <w:rPr>
          <w:w w:val="90"/>
        </w:rPr>
        <w:t>se encuentra determinado genéticamente ya que todas las células contienen los factores </w:t>
      </w:r>
      <w:r>
        <w:rPr>
          <w:w w:val="95"/>
        </w:rPr>
        <w:t>necesarios</w:t>
      </w:r>
      <w:r>
        <w:rPr>
          <w:spacing w:val="-18"/>
          <w:w w:val="95"/>
        </w:rPr>
        <w:t> </w:t>
      </w:r>
      <w:r>
        <w:rPr>
          <w:w w:val="95"/>
        </w:rPr>
        <w:t>para</w:t>
      </w:r>
      <w:r>
        <w:rPr>
          <w:spacing w:val="-19"/>
          <w:w w:val="95"/>
        </w:rPr>
        <w:t> </w:t>
      </w:r>
      <w:r>
        <w:rPr>
          <w:w w:val="95"/>
        </w:rPr>
        <w:t>llevar</w:t>
      </w:r>
      <w:r>
        <w:rPr>
          <w:spacing w:val="-19"/>
          <w:w w:val="95"/>
        </w:rPr>
        <w:t> </w:t>
      </w:r>
      <w:r>
        <w:rPr>
          <w:w w:val="95"/>
        </w:rPr>
        <w:t>a</w:t>
      </w:r>
      <w:r>
        <w:rPr>
          <w:spacing w:val="-18"/>
          <w:w w:val="95"/>
        </w:rPr>
        <w:t> </w:t>
      </w:r>
      <w:r>
        <w:rPr>
          <w:w w:val="95"/>
        </w:rPr>
        <w:t>cabo</w:t>
      </w:r>
      <w:r>
        <w:rPr>
          <w:spacing w:val="-19"/>
          <w:w w:val="95"/>
        </w:rPr>
        <w:t> </w:t>
      </w:r>
      <w:r>
        <w:rPr>
          <w:w w:val="95"/>
        </w:rPr>
        <w:t>un</w:t>
      </w:r>
      <w:r>
        <w:rPr>
          <w:spacing w:val="-19"/>
          <w:w w:val="95"/>
        </w:rPr>
        <w:t> </w:t>
      </w:r>
      <w:r>
        <w:rPr>
          <w:w w:val="95"/>
        </w:rPr>
        <w:t>tipo</w:t>
      </w:r>
      <w:r>
        <w:rPr>
          <w:spacing w:val="-18"/>
          <w:w w:val="95"/>
        </w:rPr>
        <w:t> </w:t>
      </w:r>
      <w:r>
        <w:rPr>
          <w:w w:val="95"/>
        </w:rPr>
        <w:t>de</w:t>
      </w:r>
      <w:r>
        <w:rPr>
          <w:spacing w:val="-19"/>
          <w:w w:val="95"/>
        </w:rPr>
        <w:t> </w:t>
      </w:r>
      <w:r>
        <w:rPr>
          <w:w w:val="95"/>
        </w:rPr>
        <w:t>muerte</w:t>
      </w:r>
      <w:r>
        <w:rPr>
          <w:spacing w:val="-19"/>
          <w:w w:val="95"/>
        </w:rPr>
        <w:t> </w:t>
      </w:r>
      <w:r>
        <w:rPr>
          <w:w w:val="95"/>
        </w:rPr>
        <w:t>ordenada,</w:t>
      </w:r>
      <w:r>
        <w:rPr>
          <w:spacing w:val="-18"/>
          <w:w w:val="95"/>
        </w:rPr>
        <w:t> </w:t>
      </w:r>
      <w:r>
        <w:rPr>
          <w:w w:val="95"/>
        </w:rPr>
        <w:t>es</w:t>
      </w:r>
      <w:r>
        <w:rPr>
          <w:spacing w:val="-19"/>
          <w:w w:val="95"/>
        </w:rPr>
        <w:t> </w:t>
      </w:r>
      <w:r>
        <w:rPr>
          <w:w w:val="95"/>
        </w:rPr>
        <w:t>decir,</w:t>
      </w:r>
      <w:r>
        <w:rPr>
          <w:spacing w:val="-18"/>
          <w:w w:val="95"/>
        </w:rPr>
        <w:t> </w:t>
      </w:r>
      <w:r>
        <w:rPr>
          <w:w w:val="95"/>
        </w:rPr>
        <w:t>que</w:t>
      </w:r>
      <w:r>
        <w:rPr>
          <w:spacing w:val="-19"/>
          <w:w w:val="95"/>
        </w:rPr>
        <w:t> </w:t>
      </w:r>
      <w:r>
        <w:rPr>
          <w:w w:val="95"/>
        </w:rPr>
        <w:t>no</w:t>
      </w:r>
      <w:r>
        <w:rPr>
          <w:spacing w:val="-19"/>
          <w:w w:val="95"/>
        </w:rPr>
        <w:t> </w:t>
      </w:r>
      <w:r>
        <w:rPr>
          <w:w w:val="95"/>
        </w:rPr>
        <w:t>afecta</w:t>
      </w:r>
      <w:r>
        <w:rPr>
          <w:spacing w:val="-19"/>
          <w:w w:val="95"/>
        </w:rPr>
        <w:t> </w:t>
      </w:r>
      <w:r>
        <w:rPr>
          <w:w w:val="95"/>
        </w:rPr>
        <w:t>a</w:t>
      </w:r>
      <w:r>
        <w:rPr>
          <w:spacing w:val="-19"/>
          <w:w w:val="95"/>
        </w:rPr>
        <w:t> </w:t>
      </w:r>
      <w:r>
        <w:rPr>
          <w:w w:val="95"/>
        </w:rPr>
        <w:t>las </w:t>
      </w:r>
      <w:r>
        <w:rPr>
          <w:w w:val="90"/>
        </w:rPr>
        <w:t>células</w:t>
      </w:r>
      <w:r>
        <w:rPr>
          <w:spacing w:val="-18"/>
          <w:w w:val="90"/>
        </w:rPr>
        <w:t> </w:t>
      </w:r>
      <w:r>
        <w:rPr>
          <w:w w:val="90"/>
        </w:rPr>
        <w:t>vecinas</w:t>
      </w:r>
      <w:r>
        <w:rPr>
          <w:spacing w:val="-20"/>
          <w:w w:val="90"/>
        </w:rPr>
        <w:t> </w:t>
      </w:r>
      <w:r>
        <w:rPr>
          <w:w w:val="90"/>
        </w:rPr>
        <w:t>en</w:t>
      </w:r>
      <w:r>
        <w:rPr>
          <w:spacing w:val="-19"/>
          <w:w w:val="90"/>
        </w:rPr>
        <w:t> </w:t>
      </w:r>
      <w:r>
        <w:rPr>
          <w:w w:val="90"/>
        </w:rPr>
        <w:t>el</w:t>
      </w:r>
      <w:r>
        <w:rPr>
          <w:spacing w:val="-20"/>
          <w:w w:val="90"/>
        </w:rPr>
        <w:t> </w:t>
      </w:r>
      <w:r>
        <w:rPr>
          <w:w w:val="90"/>
        </w:rPr>
        <w:t>tejido.</w:t>
      </w:r>
    </w:p>
    <w:p>
      <w:pPr>
        <w:spacing w:after="0" w:line="360" w:lineRule="auto"/>
        <w:jc w:val="both"/>
        <w:sectPr>
          <w:pgSz w:w="12240" w:h="15840"/>
          <w:pgMar w:header="0" w:footer="1620" w:top="1500" w:bottom="1800" w:left="1720" w:right="1580"/>
        </w:sectPr>
      </w:pPr>
    </w:p>
    <w:p>
      <w:pPr>
        <w:pStyle w:val="BodyText"/>
        <w:rPr>
          <w:sz w:val="20"/>
        </w:rPr>
      </w:pPr>
    </w:p>
    <w:p>
      <w:pPr>
        <w:pStyle w:val="BodyText"/>
        <w:spacing w:before="2"/>
        <w:rPr>
          <w:sz w:val="16"/>
        </w:rPr>
      </w:pPr>
    </w:p>
    <w:p>
      <w:pPr>
        <w:pStyle w:val="BodyText"/>
        <w:spacing w:line="360" w:lineRule="auto" w:before="69"/>
        <w:ind w:left="265" w:right="126"/>
        <w:jc w:val="both"/>
      </w:pPr>
      <w:r>
        <w:rPr>
          <w:w w:val="95"/>
        </w:rPr>
        <w:t>Los</w:t>
      </w:r>
      <w:r>
        <w:rPr>
          <w:spacing w:val="-15"/>
          <w:w w:val="95"/>
        </w:rPr>
        <w:t> </w:t>
      </w:r>
      <w:r>
        <w:rPr>
          <w:w w:val="95"/>
        </w:rPr>
        <w:t>estudios</w:t>
      </w:r>
      <w:r>
        <w:rPr>
          <w:spacing w:val="-15"/>
          <w:w w:val="95"/>
        </w:rPr>
        <w:t> </w:t>
      </w:r>
      <w:r>
        <w:rPr>
          <w:w w:val="95"/>
        </w:rPr>
        <w:t>relacionados</w:t>
      </w:r>
      <w:r>
        <w:rPr>
          <w:spacing w:val="-13"/>
          <w:w w:val="95"/>
        </w:rPr>
        <w:t> </w:t>
      </w:r>
      <w:r>
        <w:rPr>
          <w:w w:val="95"/>
        </w:rPr>
        <w:t>con</w:t>
      </w:r>
      <w:r>
        <w:rPr>
          <w:spacing w:val="-14"/>
          <w:w w:val="95"/>
        </w:rPr>
        <w:t> </w:t>
      </w:r>
      <w:r>
        <w:rPr>
          <w:w w:val="95"/>
        </w:rPr>
        <w:t>el</w:t>
      </w:r>
      <w:r>
        <w:rPr>
          <w:spacing w:val="-14"/>
          <w:w w:val="95"/>
        </w:rPr>
        <w:t> </w:t>
      </w:r>
      <w:r>
        <w:rPr>
          <w:w w:val="95"/>
        </w:rPr>
        <w:t>daño</w:t>
      </w:r>
      <w:r>
        <w:rPr>
          <w:spacing w:val="-13"/>
          <w:w w:val="95"/>
        </w:rPr>
        <w:t> </w:t>
      </w:r>
      <w:r>
        <w:rPr>
          <w:w w:val="95"/>
        </w:rPr>
        <w:t>en</w:t>
      </w:r>
      <w:r>
        <w:rPr>
          <w:spacing w:val="-14"/>
          <w:w w:val="95"/>
        </w:rPr>
        <w:t> </w:t>
      </w:r>
      <w:r>
        <w:rPr>
          <w:w w:val="95"/>
        </w:rPr>
        <w:t>el</w:t>
      </w:r>
      <w:r>
        <w:rPr>
          <w:spacing w:val="-13"/>
          <w:w w:val="95"/>
        </w:rPr>
        <w:t> </w:t>
      </w:r>
      <w:r>
        <w:rPr>
          <w:w w:val="95"/>
        </w:rPr>
        <w:t>ADN</w:t>
      </w:r>
      <w:r>
        <w:rPr>
          <w:spacing w:val="-13"/>
          <w:w w:val="95"/>
        </w:rPr>
        <w:t> </w:t>
      </w:r>
      <w:r>
        <w:rPr>
          <w:w w:val="95"/>
        </w:rPr>
        <w:t>de</w:t>
      </w:r>
      <w:r>
        <w:rPr>
          <w:spacing w:val="-14"/>
          <w:w w:val="95"/>
        </w:rPr>
        <w:t> </w:t>
      </w:r>
      <w:r>
        <w:rPr>
          <w:w w:val="95"/>
        </w:rPr>
        <w:t>los</w:t>
      </w:r>
      <w:r>
        <w:rPr>
          <w:spacing w:val="-13"/>
          <w:w w:val="95"/>
        </w:rPr>
        <w:t> </w:t>
      </w:r>
      <w:r>
        <w:rPr>
          <w:w w:val="95"/>
        </w:rPr>
        <w:t>espermatozoides</w:t>
      </w:r>
      <w:r>
        <w:rPr>
          <w:spacing w:val="-13"/>
          <w:w w:val="95"/>
        </w:rPr>
        <w:t> </w:t>
      </w:r>
      <w:r>
        <w:rPr>
          <w:w w:val="95"/>
        </w:rPr>
        <w:t>son</w:t>
      </w:r>
      <w:r>
        <w:rPr>
          <w:spacing w:val="-14"/>
          <w:w w:val="95"/>
        </w:rPr>
        <w:t> </w:t>
      </w:r>
      <w:r>
        <w:rPr>
          <w:w w:val="95"/>
        </w:rPr>
        <w:t>de</w:t>
      </w:r>
      <w:r>
        <w:rPr>
          <w:spacing w:val="-13"/>
          <w:w w:val="95"/>
        </w:rPr>
        <w:t> </w:t>
      </w:r>
      <w:r>
        <w:rPr>
          <w:w w:val="95"/>
        </w:rPr>
        <w:t>gran </w:t>
      </w:r>
      <w:r>
        <w:rPr>
          <w:w w:val="90"/>
        </w:rPr>
        <w:t>relevancia, debido a que ese aporte genómico será transmitido a la siguiente</w:t>
      </w:r>
      <w:r>
        <w:rPr>
          <w:spacing w:val="-26"/>
          <w:w w:val="90"/>
        </w:rPr>
        <w:t> </w:t>
      </w:r>
      <w:r>
        <w:rPr>
          <w:w w:val="90"/>
        </w:rPr>
        <w:t>generación. Lo</w:t>
      </w:r>
      <w:r>
        <w:rPr>
          <w:spacing w:val="-14"/>
          <w:w w:val="90"/>
        </w:rPr>
        <w:t> </w:t>
      </w:r>
      <w:r>
        <w:rPr>
          <w:w w:val="90"/>
        </w:rPr>
        <w:t>anterior</w:t>
      </w:r>
      <w:r>
        <w:rPr>
          <w:spacing w:val="-13"/>
          <w:w w:val="90"/>
        </w:rPr>
        <w:t> </w:t>
      </w:r>
      <w:r>
        <w:rPr>
          <w:w w:val="90"/>
        </w:rPr>
        <w:t>es</w:t>
      </w:r>
      <w:r>
        <w:rPr>
          <w:spacing w:val="-16"/>
          <w:w w:val="90"/>
        </w:rPr>
        <w:t> </w:t>
      </w:r>
      <w:r>
        <w:rPr>
          <w:w w:val="90"/>
        </w:rPr>
        <w:t>importante</w:t>
      </w:r>
      <w:r>
        <w:rPr>
          <w:spacing w:val="-14"/>
          <w:w w:val="90"/>
        </w:rPr>
        <w:t> </w:t>
      </w:r>
      <w:r>
        <w:rPr>
          <w:w w:val="90"/>
        </w:rPr>
        <w:t>para</w:t>
      </w:r>
      <w:r>
        <w:rPr>
          <w:spacing w:val="-14"/>
          <w:w w:val="90"/>
        </w:rPr>
        <w:t> </w:t>
      </w:r>
      <w:r>
        <w:rPr>
          <w:w w:val="90"/>
        </w:rPr>
        <w:t>las</w:t>
      </w:r>
      <w:r>
        <w:rPr>
          <w:spacing w:val="-14"/>
          <w:w w:val="90"/>
        </w:rPr>
        <w:t> </w:t>
      </w:r>
      <w:r>
        <w:rPr>
          <w:w w:val="90"/>
        </w:rPr>
        <w:t>tecnologías</w:t>
      </w:r>
      <w:r>
        <w:rPr>
          <w:spacing w:val="-14"/>
          <w:w w:val="90"/>
        </w:rPr>
        <w:t> </w:t>
      </w:r>
      <w:r>
        <w:rPr>
          <w:w w:val="90"/>
        </w:rPr>
        <w:t>asociadas</w:t>
      </w:r>
      <w:r>
        <w:rPr>
          <w:spacing w:val="-14"/>
          <w:w w:val="90"/>
        </w:rPr>
        <w:t> </w:t>
      </w:r>
      <w:r>
        <w:rPr>
          <w:w w:val="90"/>
        </w:rPr>
        <w:t>a</w:t>
      </w:r>
      <w:r>
        <w:rPr>
          <w:spacing w:val="-16"/>
          <w:w w:val="90"/>
        </w:rPr>
        <w:t> </w:t>
      </w:r>
      <w:r>
        <w:rPr>
          <w:w w:val="90"/>
        </w:rPr>
        <w:t>la</w:t>
      </w:r>
      <w:r>
        <w:rPr>
          <w:spacing w:val="-5"/>
          <w:w w:val="90"/>
        </w:rPr>
        <w:t> </w:t>
      </w:r>
      <w:r>
        <w:rPr>
          <w:w w:val="90"/>
        </w:rPr>
        <w:t>reproducción</w:t>
      </w:r>
      <w:r>
        <w:rPr>
          <w:spacing w:val="-16"/>
          <w:w w:val="90"/>
        </w:rPr>
        <w:t> </w:t>
      </w:r>
      <w:r>
        <w:rPr>
          <w:w w:val="90"/>
        </w:rPr>
        <w:t>asistida,</w:t>
      </w:r>
      <w:r>
        <w:rPr>
          <w:spacing w:val="-14"/>
          <w:w w:val="90"/>
        </w:rPr>
        <w:t> </w:t>
      </w:r>
      <w:r>
        <w:rPr>
          <w:w w:val="90"/>
        </w:rPr>
        <w:t>ya</w:t>
      </w:r>
      <w:r>
        <w:rPr>
          <w:spacing w:val="-16"/>
          <w:w w:val="90"/>
        </w:rPr>
        <w:t> </w:t>
      </w:r>
      <w:r>
        <w:rPr>
          <w:w w:val="90"/>
        </w:rPr>
        <w:t>que </w:t>
      </w:r>
      <w:r>
        <w:rPr>
          <w:w w:val="95"/>
        </w:rPr>
        <w:t>en</w:t>
      </w:r>
      <w:r>
        <w:rPr>
          <w:spacing w:val="-33"/>
          <w:w w:val="95"/>
        </w:rPr>
        <w:t> </w:t>
      </w:r>
      <w:r>
        <w:rPr>
          <w:w w:val="95"/>
        </w:rPr>
        <w:t>ellas</w:t>
      </w:r>
      <w:r>
        <w:rPr>
          <w:spacing w:val="-33"/>
          <w:w w:val="95"/>
        </w:rPr>
        <w:t> </w:t>
      </w:r>
      <w:r>
        <w:rPr>
          <w:w w:val="95"/>
        </w:rPr>
        <w:t>es</w:t>
      </w:r>
      <w:r>
        <w:rPr>
          <w:spacing w:val="-32"/>
          <w:w w:val="95"/>
        </w:rPr>
        <w:t> </w:t>
      </w:r>
      <w:r>
        <w:rPr>
          <w:w w:val="95"/>
        </w:rPr>
        <w:t>posible</w:t>
      </w:r>
      <w:r>
        <w:rPr>
          <w:spacing w:val="-33"/>
          <w:w w:val="95"/>
        </w:rPr>
        <w:t> </w:t>
      </w:r>
      <w:r>
        <w:rPr>
          <w:w w:val="95"/>
        </w:rPr>
        <w:t>la</w:t>
      </w:r>
      <w:r>
        <w:rPr>
          <w:spacing w:val="-33"/>
          <w:w w:val="95"/>
        </w:rPr>
        <w:t> </w:t>
      </w:r>
      <w:r>
        <w:rPr>
          <w:w w:val="95"/>
        </w:rPr>
        <w:t>transmisión</w:t>
      </w:r>
      <w:r>
        <w:rPr>
          <w:spacing w:val="-33"/>
          <w:w w:val="95"/>
        </w:rPr>
        <w:t> </w:t>
      </w:r>
      <w:r>
        <w:rPr>
          <w:w w:val="95"/>
        </w:rPr>
        <w:t>de</w:t>
      </w:r>
      <w:r>
        <w:rPr>
          <w:spacing w:val="-32"/>
          <w:w w:val="95"/>
        </w:rPr>
        <w:t> </w:t>
      </w:r>
      <w:r>
        <w:rPr>
          <w:w w:val="95"/>
        </w:rPr>
        <w:t>defectos</w:t>
      </w:r>
      <w:r>
        <w:rPr>
          <w:spacing w:val="-32"/>
          <w:w w:val="95"/>
        </w:rPr>
        <w:t> </w:t>
      </w:r>
      <w:r>
        <w:rPr>
          <w:w w:val="95"/>
        </w:rPr>
        <w:t>genéticos,</w:t>
      </w:r>
      <w:r>
        <w:rPr>
          <w:spacing w:val="-32"/>
          <w:w w:val="95"/>
        </w:rPr>
        <w:t> </w:t>
      </w:r>
      <w:r>
        <w:rPr>
          <w:w w:val="95"/>
        </w:rPr>
        <w:t>debido</w:t>
      </w:r>
      <w:r>
        <w:rPr>
          <w:spacing w:val="-33"/>
          <w:w w:val="95"/>
        </w:rPr>
        <w:t> </w:t>
      </w:r>
      <w:r>
        <w:rPr>
          <w:w w:val="95"/>
        </w:rPr>
        <w:t>a</w:t>
      </w:r>
      <w:r>
        <w:rPr>
          <w:spacing w:val="-33"/>
          <w:w w:val="95"/>
        </w:rPr>
        <w:t> </w:t>
      </w:r>
      <w:r>
        <w:rPr>
          <w:w w:val="95"/>
        </w:rPr>
        <w:t>que</w:t>
      </w:r>
      <w:r>
        <w:rPr>
          <w:spacing w:val="-32"/>
          <w:w w:val="95"/>
        </w:rPr>
        <w:t> </w:t>
      </w:r>
      <w:r>
        <w:rPr>
          <w:w w:val="95"/>
        </w:rPr>
        <w:t>se</w:t>
      </w:r>
      <w:r>
        <w:rPr>
          <w:spacing w:val="-33"/>
          <w:w w:val="95"/>
        </w:rPr>
        <w:t> </w:t>
      </w:r>
      <w:r>
        <w:rPr>
          <w:w w:val="95"/>
        </w:rPr>
        <w:t>sobrepasan</w:t>
      </w:r>
      <w:r>
        <w:rPr>
          <w:spacing w:val="-33"/>
          <w:w w:val="95"/>
        </w:rPr>
        <w:t> </w:t>
      </w:r>
      <w:r>
        <w:rPr>
          <w:w w:val="95"/>
        </w:rPr>
        <w:t>las barreras</w:t>
      </w:r>
      <w:r>
        <w:rPr>
          <w:spacing w:val="-16"/>
          <w:w w:val="95"/>
        </w:rPr>
        <w:t> </w:t>
      </w:r>
      <w:r>
        <w:rPr>
          <w:w w:val="95"/>
        </w:rPr>
        <w:t>de</w:t>
      </w:r>
      <w:r>
        <w:rPr>
          <w:spacing w:val="-17"/>
          <w:w w:val="95"/>
        </w:rPr>
        <w:t> </w:t>
      </w:r>
      <w:r>
        <w:rPr>
          <w:w w:val="95"/>
        </w:rPr>
        <w:t>la</w:t>
      </w:r>
      <w:r>
        <w:rPr>
          <w:spacing w:val="-16"/>
          <w:w w:val="95"/>
        </w:rPr>
        <w:t> </w:t>
      </w:r>
      <w:r>
        <w:rPr>
          <w:w w:val="95"/>
        </w:rPr>
        <w:t>selección</w:t>
      </w:r>
      <w:r>
        <w:rPr>
          <w:spacing w:val="-16"/>
          <w:w w:val="95"/>
        </w:rPr>
        <w:t> </w:t>
      </w:r>
      <w:r>
        <w:rPr>
          <w:w w:val="95"/>
        </w:rPr>
        <w:t>natural</w:t>
      </w:r>
      <w:r>
        <w:rPr>
          <w:spacing w:val="-17"/>
          <w:w w:val="95"/>
        </w:rPr>
        <w:t> </w:t>
      </w:r>
      <w:r>
        <w:rPr>
          <w:w w:val="95"/>
        </w:rPr>
        <w:t>(como</w:t>
      </w:r>
      <w:r>
        <w:rPr>
          <w:spacing w:val="-16"/>
          <w:w w:val="95"/>
        </w:rPr>
        <w:t> </w:t>
      </w:r>
      <w:r>
        <w:rPr>
          <w:w w:val="95"/>
        </w:rPr>
        <w:t>en</w:t>
      </w:r>
      <w:r>
        <w:rPr>
          <w:spacing w:val="-16"/>
          <w:w w:val="95"/>
        </w:rPr>
        <w:t> </w:t>
      </w:r>
      <w:r>
        <w:rPr>
          <w:w w:val="95"/>
        </w:rPr>
        <w:t>la</w:t>
      </w:r>
      <w:r>
        <w:rPr>
          <w:spacing w:val="-17"/>
          <w:w w:val="95"/>
        </w:rPr>
        <w:t> </w:t>
      </w:r>
      <w:r>
        <w:rPr>
          <w:w w:val="95"/>
        </w:rPr>
        <w:t>fertilización</w:t>
      </w:r>
      <w:r>
        <w:rPr>
          <w:spacing w:val="-16"/>
          <w:w w:val="95"/>
        </w:rPr>
        <w:t> </w:t>
      </w:r>
      <w:r>
        <w:rPr>
          <w:w w:val="95"/>
        </w:rPr>
        <w:t>in</w:t>
      </w:r>
      <w:r>
        <w:rPr>
          <w:spacing w:val="-16"/>
          <w:w w:val="95"/>
        </w:rPr>
        <w:t> </w:t>
      </w:r>
      <w:r>
        <w:rPr>
          <w:w w:val="95"/>
        </w:rPr>
        <w:t>vitro)</w:t>
      </w:r>
      <w:r>
        <w:rPr>
          <w:spacing w:val="-15"/>
          <w:w w:val="95"/>
        </w:rPr>
        <w:t> </w:t>
      </w:r>
      <w:r>
        <w:rPr>
          <w:w w:val="95"/>
        </w:rPr>
        <w:t>(Zini</w:t>
      </w:r>
      <w:r>
        <w:rPr>
          <w:spacing w:val="-15"/>
          <w:w w:val="95"/>
        </w:rPr>
        <w:t> </w:t>
      </w:r>
      <w:r>
        <w:rPr>
          <w:w w:val="95"/>
        </w:rPr>
        <w:t>y</w:t>
      </w:r>
      <w:r>
        <w:rPr>
          <w:spacing w:val="-16"/>
          <w:w w:val="95"/>
        </w:rPr>
        <w:t> </w:t>
      </w:r>
      <w:r>
        <w:rPr>
          <w:w w:val="95"/>
        </w:rPr>
        <w:t>Sigman,</w:t>
      </w:r>
      <w:r>
        <w:rPr>
          <w:spacing w:val="-16"/>
          <w:w w:val="95"/>
        </w:rPr>
        <w:t> </w:t>
      </w:r>
      <w:r>
        <w:rPr>
          <w:w w:val="95"/>
        </w:rPr>
        <w:t>2009). </w:t>
      </w:r>
      <w:r>
        <w:rPr>
          <w:w w:val="90"/>
        </w:rPr>
        <w:t>Ejemplo</w:t>
      </w:r>
      <w:r>
        <w:rPr>
          <w:spacing w:val="-10"/>
          <w:w w:val="90"/>
        </w:rPr>
        <w:t> </w:t>
      </w:r>
      <w:r>
        <w:rPr>
          <w:w w:val="90"/>
        </w:rPr>
        <w:t>de</w:t>
      </w:r>
      <w:r>
        <w:rPr>
          <w:spacing w:val="-10"/>
          <w:w w:val="90"/>
        </w:rPr>
        <w:t> </w:t>
      </w:r>
      <w:r>
        <w:rPr>
          <w:w w:val="90"/>
        </w:rPr>
        <w:t>lo</w:t>
      </w:r>
      <w:r>
        <w:rPr>
          <w:spacing w:val="-9"/>
          <w:w w:val="90"/>
        </w:rPr>
        <w:t> </w:t>
      </w:r>
      <w:r>
        <w:rPr>
          <w:w w:val="90"/>
        </w:rPr>
        <w:t>anterior</w:t>
      </w:r>
      <w:r>
        <w:rPr>
          <w:spacing w:val="-9"/>
          <w:w w:val="90"/>
        </w:rPr>
        <w:t> </w:t>
      </w:r>
      <w:r>
        <w:rPr>
          <w:w w:val="90"/>
        </w:rPr>
        <w:t>son</w:t>
      </w:r>
      <w:r>
        <w:rPr>
          <w:spacing w:val="-10"/>
          <w:w w:val="90"/>
        </w:rPr>
        <w:t> </w:t>
      </w:r>
      <w:r>
        <w:rPr>
          <w:w w:val="90"/>
        </w:rPr>
        <w:t>los</w:t>
      </w:r>
      <w:r>
        <w:rPr>
          <w:spacing w:val="-11"/>
          <w:w w:val="90"/>
        </w:rPr>
        <w:t> </w:t>
      </w:r>
      <w:r>
        <w:rPr>
          <w:w w:val="90"/>
        </w:rPr>
        <w:t>resultados</w:t>
      </w:r>
      <w:r>
        <w:rPr>
          <w:spacing w:val="-9"/>
          <w:w w:val="90"/>
        </w:rPr>
        <w:t> </w:t>
      </w:r>
      <w:r>
        <w:rPr>
          <w:spacing w:val="3"/>
          <w:w w:val="90"/>
        </w:rPr>
        <w:t>del</w:t>
      </w:r>
      <w:r>
        <w:rPr>
          <w:spacing w:val="-9"/>
          <w:w w:val="90"/>
        </w:rPr>
        <w:t> </w:t>
      </w:r>
      <w:r>
        <w:rPr>
          <w:w w:val="90"/>
        </w:rPr>
        <w:t>pobre</w:t>
      </w:r>
      <w:r>
        <w:rPr>
          <w:spacing w:val="-10"/>
          <w:w w:val="90"/>
        </w:rPr>
        <w:t> </w:t>
      </w:r>
      <w:r>
        <w:rPr>
          <w:w w:val="90"/>
        </w:rPr>
        <w:t>desarrollo</w:t>
      </w:r>
      <w:r>
        <w:rPr>
          <w:spacing w:val="-10"/>
          <w:w w:val="90"/>
        </w:rPr>
        <w:t> </w:t>
      </w:r>
      <w:r>
        <w:rPr>
          <w:w w:val="90"/>
        </w:rPr>
        <w:t>embrionario</w:t>
      </w:r>
      <w:r>
        <w:rPr>
          <w:spacing w:val="-10"/>
          <w:w w:val="90"/>
        </w:rPr>
        <w:t> </w:t>
      </w:r>
      <w:r>
        <w:rPr>
          <w:w w:val="90"/>
        </w:rPr>
        <w:t>y</w:t>
      </w:r>
      <w:r>
        <w:rPr>
          <w:spacing w:val="-9"/>
          <w:w w:val="90"/>
        </w:rPr>
        <w:t> </w:t>
      </w:r>
      <w:r>
        <w:rPr>
          <w:w w:val="90"/>
        </w:rPr>
        <w:t>bajo</w:t>
      </w:r>
      <w:r>
        <w:rPr>
          <w:spacing w:val="-10"/>
          <w:w w:val="90"/>
        </w:rPr>
        <w:t> </w:t>
      </w:r>
      <w:r>
        <w:rPr>
          <w:w w:val="90"/>
        </w:rPr>
        <w:t>índice</w:t>
      </w:r>
      <w:r>
        <w:rPr>
          <w:spacing w:val="-10"/>
          <w:w w:val="90"/>
        </w:rPr>
        <w:t> </w:t>
      </w:r>
      <w:r>
        <w:rPr>
          <w:w w:val="90"/>
        </w:rPr>
        <w:t>de </w:t>
      </w:r>
      <w:r>
        <w:rPr>
          <w:w w:val="95"/>
        </w:rPr>
        <w:t>preñez</w:t>
      </w:r>
      <w:r>
        <w:rPr>
          <w:spacing w:val="-32"/>
          <w:w w:val="95"/>
        </w:rPr>
        <w:t> </w:t>
      </w:r>
      <w:r>
        <w:rPr>
          <w:w w:val="95"/>
        </w:rPr>
        <w:t>mediante</w:t>
      </w:r>
      <w:r>
        <w:rPr>
          <w:spacing w:val="-32"/>
          <w:w w:val="95"/>
        </w:rPr>
        <w:t> </w:t>
      </w:r>
      <w:r>
        <w:rPr>
          <w:w w:val="95"/>
        </w:rPr>
        <w:t>la</w:t>
      </w:r>
      <w:r>
        <w:rPr>
          <w:spacing w:val="-32"/>
          <w:w w:val="95"/>
        </w:rPr>
        <w:t> </w:t>
      </w:r>
      <w:r>
        <w:rPr>
          <w:w w:val="95"/>
        </w:rPr>
        <w:t>fertilización</w:t>
      </w:r>
      <w:r>
        <w:rPr>
          <w:spacing w:val="-32"/>
          <w:w w:val="95"/>
        </w:rPr>
        <w:t> </w:t>
      </w:r>
      <w:r>
        <w:rPr>
          <w:w w:val="95"/>
        </w:rPr>
        <w:t>in</w:t>
      </w:r>
      <w:r>
        <w:rPr>
          <w:spacing w:val="-31"/>
          <w:w w:val="95"/>
        </w:rPr>
        <w:t> </w:t>
      </w:r>
      <w:r>
        <w:rPr>
          <w:w w:val="95"/>
        </w:rPr>
        <w:t>vitro</w:t>
      </w:r>
      <w:r>
        <w:rPr>
          <w:spacing w:val="-32"/>
          <w:w w:val="95"/>
        </w:rPr>
        <w:t> </w:t>
      </w:r>
      <w:r>
        <w:rPr>
          <w:w w:val="95"/>
        </w:rPr>
        <w:t>debidas</w:t>
      </w:r>
      <w:r>
        <w:rPr>
          <w:spacing w:val="-31"/>
          <w:w w:val="95"/>
        </w:rPr>
        <w:t> </w:t>
      </w:r>
      <w:r>
        <w:rPr>
          <w:w w:val="95"/>
        </w:rPr>
        <w:t>al</w:t>
      </w:r>
      <w:r>
        <w:rPr>
          <w:spacing w:val="-32"/>
          <w:w w:val="95"/>
        </w:rPr>
        <w:t> </w:t>
      </w:r>
      <w:r>
        <w:rPr>
          <w:w w:val="95"/>
        </w:rPr>
        <w:t>daño</w:t>
      </w:r>
      <w:r>
        <w:rPr>
          <w:spacing w:val="-31"/>
          <w:w w:val="95"/>
        </w:rPr>
        <w:t> </w:t>
      </w:r>
      <w:r>
        <w:rPr>
          <w:w w:val="95"/>
        </w:rPr>
        <w:t>del</w:t>
      </w:r>
      <w:r>
        <w:rPr>
          <w:spacing w:val="-32"/>
          <w:w w:val="95"/>
        </w:rPr>
        <w:t> </w:t>
      </w:r>
      <w:r>
        <w:rPr>
          <w:w w:val="95"/>
        </w:rPr>
        <w:t>ADN</w:t>
      </w:r>
      <w:r>
        <w:rPr>
          <w:spacing w:val="-31"/>
          <w:w w:val="95"/>
        </w:rPr>
        <w:t> </w:t>
      </w:r>
      <w:r>
        <w:rPr>
          <w:w w:val="95"/>
        </w:rPr>
        <w:t>en</w:t>
      </w:r>
      <w:r>
        <w:rPr>
          <w:spacing w:val="-32"/>
          <w:w w:val="95"/>
        </w:rPr>
        <w:t> </w:t>
      </w:r>
      <w:r>
        <w:rPr>
          <w:w w:val="95"/>
        </w:rPr>
        <w:t>los</w:t>
      </w:r>
      <w:r>
        <w:rPr>
          <w:spacing w:val="-31"/>
          <w:w w:val="95"/>
        </w:rPr>
        <w:t> </w:t>
      </w:r>
      <w:r>
        <w:rPr>
          <w:w w:val="95"/>
        </w:rPr>
        <w:t>espermatozoides </w:t>
      </w:r>
      <w:r>
        <w:rPr>
          <w:w w:val="90"/>
        </w:rPr>
        <w:t>(Fernández-González</w:t>
      </w:r>
      <w:r>
        <w:rPr>
          <w:spacing w:val="-30"/>
          <w:w w:val="90"/>
        </w:rPr>
        <w:t> </w:t>
      </w:r>
      <w:r>
        <w:rPr>
          <w:w w:val="90"/>
        </w:rPr>
        <w:t>et</w:t>
      </w:r>
      <w:r>
        <w:rPr>
          <w:spacing w:val="-30"/>
          <w:w w:val="90"/>
        </w:rPr>
        <w:t> </w:t>
      </w:r>
      <w:r>
        <w:rPr>
          <w:w w:val="90"/>
        </w:rPr>
        <w:t>al,</w:t>
      </w:r>
      <w:r>
        <w:rPr>
          <w:spacing w:val="-30"/>
          <w:w w:val="90"/>
        </w:rPr>
        <w:t> </w:t>
      </w:r>
      <w:r>
        <w:rPr>
          <w:w w:val="90"/>
        </w:rPr>
        <w:t>2008).</w:t>
      </w:r>
    </w:p>
    <w:p>
      <w:pPr>
        <w:pStyle w:val="BodyText"/>
        <w:spacing w:line="360" w:lineRule="auto" w:before="204"/>
        <w:ind w:left="265" w:right="117"/>
        <w:jc w:val="both"/>
      </w:pPr>
      <w:r>
        <w:rPr>
          <w:w w:val="95"/>
        </w:rPr>
        <w:t>Al</w:t>
      </w:r>
      <w:r>
        <w:rPr>
          <w:spacing w:val="-33"/>
          <w:w w:val="95"/>
        </w:rPr>
        <w:t> </w:t>
      </w:r>
      <w:r>
        <w:rPr>
          <w:w w:val="95"/>
        </w:rPr>
        <w:t>inicio</w:t>
      </w:r>
      <w:r>
        <w:rPr>
          <w:spacing w:val="-33"/>
          <w:w w:val="95"/>
        </w:rPr>
        <w:t> </w:t>
      </w:r>
      <w:r>
        <w:rPr>
          <w:w w:val="95"/>
        </w:rPr>
        <w:t>de</w:t>
      </w:r>
      <w:r>
        <w:rPr>
          <w:spacing w:val="-33"/>
          <w:w w:val="95"/>
        </w:rPr>
        <w:t> </w:t>
      </w:r>
      <w:r>
        <w:rPr>
          <w:w w:val="95"/>
        </w:rPr>
        <w:t>la</w:t>
      </w:r>
      <w:r>
        <w:rPr>
          <w:spacing w:val="-33"/>
          <w:w w:val="95"/>
        </w:rPr>
        <w:t> </w:t>
      </w:r>
      <w:r>
        <w:rPr>
          <w:w w:val="95"/>
        </w:rPr>
        <w:t>espermatogénesis</w:t>
      </w:r>
      <w:r>
        <w:rPr>
          <w:spacing w:val="-33"/>
          <w:w w:val="95"/>
        </w:rPr>
        <w:t> </w:t>
      </w:r>
      <w:r>
        <w:rPr>
          <w:w w:val="95"/>
        </w:rPr>
        <w:t>aparece</w:t>
      </w:r>
      <w:r>
        <w:rPr>
          <w:spacing w:val="-33"/>
          <w:w w:val="95"/>
        </w:rPr>
        <w:t> </w:t>
      </w:r>
      <w:r>
        <w:rPr>
          <w:w w:val="95"/>
        </w:rPr>
        <w:t>una</w:t>
      </w:r>
      <w:r>
        <w:rPr>
          <w:spacing w:val="-33"/>
          <w:w w:val="95"/>
        </w:rPr>
        <w:t> </w:t>
      </w:r>
      <w:r>
        <w:rPr>
          <w:w w:val="95"/>
        </w:rPr>
        <w:t>ola</w:t>
      </w:r>
      <w:r>
        <w:rPr>
          <w:spacing w:val="-33"/>
          <w:w w:val="95"/>
        </w:rPr>
        <w:t> </w:t>
      </w:r>
      <w:r>
        <w:rPr>
          <w:w w:val="95"/>
        </w:rPr>
        <w:t>de</w:t>
      </w:r>
      <w:r>
        <w:rPr>
          <w:spacing w:val="-33"/>
          <w:w w:val="95"/>
        </w:rPr>
        <w:t> </w:t>
      </w:r>
      <w:r>
        <w:rPr>
          <w:w w:val="95"/>
        </w:rPr>
        <w:t>apoptosis</w:t>
      </w:r>
      <w:r>
        <w:rPr>
          <w:spacing w:val="-34"/>
          <w:w w:val="95"/>
        </w:rPr>
        <w:t> </w:t>
      </w:r>
      <w:r>
        <w:rPr>
          <w:w w:val="95"/>
        </w:rPr>
        <w:t>de</w:t>
      </w:r>
      <w:r>
        <w:rPr>
          <w:spacing w:val="-33"/>
          <w:w w:val="95"/>
        </w:rPr>
        <w:t> </w:t>
      </w:r>
      <w:r>
        <w:rPr>
          <w:w w:val="95"/>
        </w:rPr>
        <w:t>las</w:t>
      </w:r>
      <w:r>
        <w:rPr>
          <w:spacing w:val="-33"/>
          <w:w w:val="95"/>
        </w:rPr>
        <w:t> </w:t>
      </w:r>
      <w:r>
        <w:rPr>
          <w:w w:val="95"/>
        </w:rPr>
        <w:t>células</w:t>
      </w:r>
      <w:r>
        <w:rPr>
          <w:spacing w:val="-33"/>
          <w:w w:val="95"/>
        </w:rPr>
        <w:t> </w:t>
      </w:r>
      <w:r>
        <w:rPr>
          <w:spacing w:val="2"/>
          <w:w w:val="95"/>
        </w:rPr>
        <w:t>germinales </w:t>
      </w:r>
      <w:r>
        <w:rPr>
          <w:w w:val="95"/>
        </w:rPr>
        <w:t>que</w:t>
      </w:r>
      <w:r>
        <w:rPr>
          <w:spacing w:val="-16"/>
          <w:w w:val="95"/>
        </w:rPr>
        <w:t> </w:t>
      </w:r>
      <w:r>
        <w:rPr>
          <w:w w:val="95"/>
        </w:rPr>
        <w:t>ayuda</w:t>
      </w:r>
      <w:r>
        <w:rPr>
          <w:spacing w:val="-16"/>
          <w:w w:val="95"/>
        </w:rPr>
        <w:t> </w:t>
      </w:r>
      <w:r>
        <w:rPr>
          <w:w w:val="95"/>
        </w:rPr>
        <w:t>a</w:t>
      </w:r>
      <w:r>
        <w:rPr>
          <w:spacing w:val="-16"/>
          <w:w w:val="95"/>
        </w:rPr>
        <w:t> </w:t>
      </w:r>
      <w:r>
        <w:rPr>
          <w:w w:val="95"/>
        </w:rPr>
        <w:t>conservar</w:t>
      </w:r>
      <w:r>
        <w:rPr>
          <w:spacing w:val="-16"/>
          <w:w w:val="95"/>
        </w:rPr>
        <w:t> </w:t>
      </w:r>
      <w:r>
        <w:rPr>
          <w:w w:val="95"/>
        </w:rPr>
        <w:t>la</w:t>
      </w:r>
      <w:r>
        <w:rPr>
          <w:spacing w:val="-18"/>
          <w:w w:val="95"/>
        </w:rPr>
        <w:t> </w:t>
      </w:r>
      <w:r>
        <w:rPr>
          <w:w w:val="95"/>
        </w:rPr>
        <w:t>relación</w:t>
      </w:r>
      <w:r>
        <w:rPr>
          <w:spacing w:val="-16"/>
          <w:w w:val="95"/>
        </w:rPr>
        <w:t> </w:t>
      </w:r>
      <w:r>
        <w:rPr>
          <w:w w:val="95"/>
        </w:rPr>
        <w:t>apropiada</w:t>
      </w:r>
      <w:r>
        <w:rPr>
          <w:spacing w:val="-17"/>
          <w:w w:val="95"/>
        </w:rPr>
        <w:t> </w:t>
      </w:r>
      <w:r>
        <w:rPr>
          <w:w w:val="95"/>
        </w:rPr>
        <w:t>entre</w:t>
      </w:r>
      <w:r>
        <w:rPr>
          <w:spacing w:val="-16"/>
          <w:w w:val="95"/>
        </w:rPr>
        <w:t> </w:t>
      </w:r>
      <w:r>
        <w:rPr>
          <w:w w:val="95"/>
        </w:rPr>
        <w:t>el</w:t>
      </w:r>
      <w:r>
        <w:rPr>
          <w:spacing w:val="-17"/>
          <w:w w:val="95"/>
        </w:rPr>
        <w:t> </w:t>
      </w:r>
      <w:r>
        <w:rPr>
          <w:w w:val="95"/>
        </w:rPr>
        <w:t>número</w:t>
      </w:r>
      <w:r>
        <w:rPr>
          <w:spacing w:val="-16"/>
          <w:w w:val="95"/>
        </w:rPr>
        <w:t> </w:t>
      </w:r>
      <w:r>
        <w:rPr>
          <w:w w:val="95"/>
        </w:rPr>
        <w:t>de</w:t>
      </w:r>
      <w:r>
        <w:rPr>
          <w:spacing w:val="-16"/>
          <w:w w:val="95"/>
        </w:rPr>
        <w:t> </w:t>
      </w:r>
      <w:r>
        <w:rPr>
          <w:w w:val="95"/>
        </w:rPr>
        <w:t>células</w:t>
      </w:r>
      <w:r>
        <w:rPr>
          <w:spacing w:val="-17"/>
          <w:w w:val="95"/>
        </w:rPr>
        <w:t> </w:t>
      </w:r>
      <w:r>
        <w:rPr>
          <w:w w:val="95"/>
        </w:rPr>
        <w:t>germinales</w:t>
      </w:r>
      <w:r>
        <w:rPr>
          <w:spacing w:val="-17"/>
          <w:w w:val="95"/>
        </w:rPr>
        <w:t> </w:t>
      </w:r>
      <w:r>
        <w:rPr>
          <w:w w:val="95"/>
        </w:rPr>
        <w:t>en </w:t>
      </w:r>
      <w:r>
        <w:rPr>
          <w:w w:val="90"/>
        </w:rPr>
        <w:t>maduración</w:t>
      </w:r>
      <w:r>
        <w:rPr>
          <w:spacing w:val="-6"/>
          <w:w w:val="90"/>
        </w:rPr>
        <w:t> </w:t>
      </w:r>
      <w:r>
        <w:rPr>
          <w:w w:val="90"/>
        </w:rPr>
        <w:t>que</w:t>
      </w:r>
      <w:r>
        <w:rPr>
          <w:spacing w:val="-6"/>
          <w:w w:val="90"/>
        </w:rPr>
        <w:t> </w:t>
      </w:r>
      <w:r>
        <w:rPr>
          <w:w w:val="90"/>
        </w:rPr>
        <w:t>pueden</w:t>
      </w:r>
      <w:r>
        <w:rPr>
          <w:spacing w:val="-6"/>
          <w:w w:val="90"/>
        </w:rPr>
        <w:t> </w:t>
      </w:r>
      <w:r>
        <w:rPr>
          <w:w w:val="90"/>
        </w:rPr>
        <w:t>ser</w:t>
      </w:r>
      <w:r>
        <w:rPr>
          <w:spacing w:val="-4"/>
          <w:w w:val="90"/>
        </w:rPr>
        <w:t> </w:t>
      </w:r>
      <w:r>
        <w:rPr>
          <w:w w:val="90"/>
        </w:rPr>
        <w:t>mantenidas</w:t>
      </w:r>
      <w:r>
        <w:rPr>
          <w:spacing w:val="-5"/>
          <w:w w:val="90"/>
        </w:rPr>
        <w:t> </w:t>
      </w:r>
      <w:r>
        <w:rPr>
          <w:w w:val="90"/>
        </w:rPr>
        <w:t>por</w:t>
      </w:r>
      <w:r>
        <w:rPr>
          <w:spacing w:val="-6"/>
          <w:w w:val="90"/>
        </w:rPr>
        <w:t> </w:t>
      </w:r>
      <w:r>
        <w:rPr>
          <w:w w:val="90"/>
        </w:rPr>
        <w:t>las</w:t>
      </w:r>
      <w:r>
        <w:rPr>
          <w:spacing w:val="-7"/>
          <w:w w:val="90"/>
        </w:rPr>
        <w:t> </w:t>
      </w:r>
      <w:r>
        <w:rPr>
          <w:w w:val="90"/>
        </w:rPr>
        <w:t>células</w:t>
      </w:r>
      <w:r>
        <w:rPr>
          <w:spacing w:val="-7"/>
          <w:w w:val="90"/>
        </w:rPr>
        <w:t> </w:t>
      </w:r>
      <w:r>
        <w:rPr>
          <w:w w:val="90"/>
        </w:rPr>
        <w:t>de</w:t>
      </w:r>
      <w:r>
        <w:rPr>
          <w:spacing w:val="-6"/>
          <w:w w:val="90"/>
        </w:rPr>
        <w:t> </w:t>
      </w:r>
      <w:r>
        <w:rPr>
          <w:w w:val="90"/>
        </w:rPr>
        <w:t>Sertoli</w:t>
      </w:r>
      <w:r>
        <w:rPr>
          <w:spacing w:val="-8"/>
          <w:w w:val="90"/>
        </w:rPr>
        <w:t> </w:t>
      </w:r>
      <w:r>
        <w:rPr>
          <w:w w:val="90"/>
        </w:rPr>
        <w:t>(Rodriguez</w:t>
      </w:r>
      <w:r>
        <w:rPr>
          <w:spacing w:val="-7"/>
          <w:w w:val="90"/>
        </w:rPr>
        <w:t> </w:t>
      </w:r>
      <w:r>
        <w:rPr>
          <w:w w:val="90"/>
        </w:rPr>
        <w:t>et</w:t>
      </w:r>
      <w:r>
        <w:rPr>
          <w:spacing w:val="-6"/>
          <w:w w:val="90"/>
        </w:rPr>
        <w:t> </w:t>
      </w:r>
      <w:r>
        <w:rPr>
          <w:w w:val="90"/>
        </w:rPr>
        <w:t>al,</w:t>
      </w:r>
      <w:r>
        <w:rPr>
          <w:spacing w:val="-6"/>
          <w:w w:val="90"/>
        </w:rPr>
        <w:t> </w:t>
      </w:r>
      <w:r>
        <w:rPr>
          <w:w w:val="90"/>
        </w:rPr>
        <w:t>1997). </w:t>
      </w:r>
      <w:r>
        <w:rPr>
          <w:w w:val="95"/>
        </w:rPr>
        <w:t>Sin</w:t>
      </w:r>
      <w:r>
        <w:rPr>
          <w:spacing w:val="-33"/>
          <w:w w:val="95"/>
        </w:rPr>
        <w:t> </w:t>
      </w:r>
      <w:r>
        <w:rPr>
          <w:w w:val="95"/>
        </w:rPr>
        <w:t>embargo,</w:t>
      </w:r>
      <w:r>
        <w:rPr>
          <w:spacing w:val="-33"/>
          <w:w w:val="95"/>
        </w:rPr>
        <w:t> </w:t>
      </w:r>
      <w:r>
        <w:rPr>
          <w:w w:val="95"/>
        </w:rPr>
        <w:t>muchas</w:t>
      </w:r>
      <w:r>
        <w:rPr>
          <w:spacing w:val="-34"/>
          <w:w w:val="95"/>
        </w:rPr>
        <w:t> </w:t>
      </w:r>
      <w:r>
        <w:rPr>
          <w:w w:val="95"/>
        </w:rPr>
        <w:t>de</w:t>
      </w:r>
      <w:r>
        <w:rPr>
          <w:spacing w:val="-34"/>
          <w:w w:val="95"/>
        </w:rPr>
        <w:t> </w:t>
      </w:r>
      <w:r>
        <w:rPr>
          <w:w w:val="95"/>
        </w:rPr>
        <w:t>estas</w:t>
      </w:r>
      <w:r>
        <w:rPr>
          <w:spacing w:val="-34"/>
          <w:w w:val="95"/>
        </w:rPr>
        <w:t> </w:t>
      </w:r>
      <w:r>
        <w:rPr>
          <w:w w:val="95"/>
        </w:rPr>
        <w:t>células</w:t>
      </w:r>
      <w:r>
        <w:rPr>
          <w:spacing w:val="-34"/>
          <w:w w:val="95"/>
        </w:rPr>
        <w:t> </w:t>
      </w:r>
      <w:r>
        <w:rPr>
          <w:w w:val="95"/>
        </w:rPr>
        <w:t>germinales</w:t>
      </w:r>
      <w:r>
        <w:rPr>
          <w:spacing w:val="-34"/>
          <w:w w:val="95"/>
        </w:rPr>
        <w:t> </w:t>
      </w:r>
      <w:r>
        <w:rPr>
          <w:w w:val="95"/>
        </w:rPr>
        <w:t>en</w:t>
      </w:r>
      <w:r>
        <w:rPr>
          <w:spacing w:val="-34"/>
          <w:w w:val="95"/>
        </w:rPr>
        <w:t> </w:t>
      </w:r>
      <w:r>
        <w:rPr>
          <w:w w:val="95"/>
        </w:rPr>
        <w:t>las</w:t>
      </w:r>
      <w:r>
        <w:rPr>
          <w:spacing w:val="-34"/>
          <w:w w:val="95"/>
        </w:rPr>
        <w:t> </w:t>
      </w:r>
      <w:r>
        <w:rPr>
          <w:w w:val="95"/>
        </w:rPr>
        <w:t>que</w:t>
      </w:r>
      <w:r>
        <w:rPr>
          <w:spacing w:val="-33"/>
          <w:w w:val="95"/>
        </w:rPr>
        <w:t> </w:t>
      </w:r>
      <w:r>
        <w:rPr>
          <w:w w:val="95"/>
        </w:rPr>
        <w:t>el</w:t>
      </w:r>
      <w:r>
        <w:rPr>
          <w:spacing w:val="-34"/>
          <w:w w:val="95"/>
        </w:rPr>
        <w:t> </w:t>
      </w:r>
      <w:r>
        <w:rPr>
          <w:w w:val="95"/>
        </w:rPr>
        <w:t>proceso</w:t>
      </w:r>
      <w:r>
        <w:rPr>
          <w:spacing w:val="-33"/>
          <w:w w:val="95"/>
        </w:rPr>
        <w:t> </w:t>
      </w:r>
      <w:r>
        <w:rPr>
          <w:w w:val="95"/>
        </w:rPr>
        <w:t>de</w:t>
      </w:r>
      <w:r>
        <w:rPr>
          <w:spacing w:val="-34"/>
          <w:w w:val="95"/>
        </w:rPr>
        <w:t> </w:t>
      </w:r>
      <w:r>
        <w:rPr>
          <w:w w:val="95"/>
        </w:rPr>
        <w:t>muert</w:t>
      </w:r>
      <w:r>
        <w:rPr>
          <w:spacing w:val="-56"/>
          <w:w w:val="95"/>
        </w:rPr>
        <w:t> </w:t>
      </w:r>
      <w:r>
        <w:rPr>
          <w:w w:val="95"/>
        </w:rPr>
        <w:t>e</w:t>
      </w:r>
      <w:r>
        <w:rPr>
          <w:spacing w:val="-34"/>
          <w:w w:val="95"/>
        </w:rPr>
        <w:t> </w:t>
      </w:r>
      <w:r>
        <w:rPr>
          <w:w w:val="95"/>
        </w:rPr>
        <w:t>no</w:t>
      </w:r>
      <w:r>
        <w:rPr>
          <w:spacing w:val="-33"/>
          <w:w w:val="95"/>
        </w:rPr>
        <w:t> </w:t>
      </w:r>
      <w:r>
        <w:rPr>
          <w:w w:val="95"/>
        </w:rPr>
        <w:t>se completa</w:t>
      </w:r>
      <w:r>
        <w:rPr>
          <w:spacing w:val="-12"/>
          <w:w w:val="95"/>
        </w:rPr>
        <w:t> </w:t>
      </w:r>
      <w:r>
        <w:rPr>
          <w:w w:val="95"/>
        </w:rPr>
        <w:t>pueden</w:t>
      </w:r>
      <w:r>
        <w:rPr>
          <w:spacing w:val="-12"/>
          <w:w w:val="95"/>
        </w:rPr>
        <w:t> </w:t>
      </w:r>
      <w:r>
        <w:rPr>
          <w:w w:val="95"/>
        </w:rPr>
        <w:t>seguir</w:t>
      </w:r>
      <w:r>
        <w:rPr>
          <w:spacing w:val="-12"/>
          <w:w w:val="95"/>
        </w:rPr>
        <w:t> </w:t>
      </w:r>
      <w:r>
        <w:rPr>
          <w:w w:val="95"/>
        </w:rPr>
        <w:t>su</w:t>
      </w:r>
      <w:r>
        <w:rPr>
          <w:spacing w:val="-12"/>
          <w:w w:val="95"/>
        </w:rPr>
        <w:t> </w:t>
      </w:r>
      <w:r>
        <w:rPr>
          <w:w w:val="95"/>
        </w:rPr>
        <w:t>diferenciación,</w:t>
      </w:r>
      <w:r>
        <w:rPr>
          <w:spacing w:val="-12"/>
          <w:w w:val="95"/>
        </w:rPr>
        <w:t> </w:t>
      </w:r>
      <w:r>
        <w:rPr>
          <w:w w:val="95"/>
        </w:rPr>
        <w:t>debido</w:t>
      </w:r>
      <w:r>
        <w:rPr>
          <w:spacing w:val="-12"/>
          <w:w w:val="95"/>
        </w:rPr>
        <w:t> </w:t>
      </w:r>
      <w:r>
        <w:rPr>
          <w:w w:val="95"/>
        </w:rPr>
        <w:t>probablemente</w:t>
      </w:r>
      <w:r>
        <w:rPr>
          <w:spacing w:val="-13"/>
          <w:w w:val="95"/>
        </w:rPr>
        <w:t> </w:t>
      </w:r>
      <w:r>
        <w:rPr>
          <w:w w:val="95"/>
        </w:rPr>
        <w:t>a</w:t>
      </w:r>
      <w:r>
        <w:rPr>
          <w:spacing w:val="-12"/>
          <w:w w:val="95"/>
        </w:rPr>
        <w:t> </w:t>
      </w:r>
      <w:r>
        <w:rPr>
          <w:w w:val="95"/>
        </w:rPr>
        <w:t>un</w:t>
      </w:r>
      <w:r>
        <w:rPr>
          <w:spacing w:val="-12"/>
          <w:w w:val="95"/>
        </w:rPr>
        <w:t> </w:t>
      </w:r>
      <w:r>
        <w:rPr>
          <w:w w:val="95"/>
        </w:rPr>
        <w:t>mecanismo</w:t>
      </w:r>
      <w:r>
        <w:rPr>
          <w:spacing w:val="-12"/>
          <w:w w:val="95"/>
        </w:rPr>
        <w:t> </w:t>
      </w:r>
      <w:r>
        <w:rPr>
          <w:w w:val="95"/>
        </w:rPr>
        <w:t>de apoptosis</w:t>
      </w:r>
      <w:r>
        <w:rPr>
          <w:spacing w:val="-35"/>
          <w:w w:val="95"/>
        </w:rPr>
        <w:t> </w:t>
      </w:r>
      <w:r>
        <w:rPr>
          <w:w w:val="95"/>
        </w:rPr>
        <w:t>el</w:t>
      </w:r>
      <w:r>
        <w:rPr>
          <w:spacing w:val="-35"/>
          <w:w w:val="95"/>
        </w:rPr>
        <w:t> </w:t>
      </w:r>
      <w:r>
        <w:rPr>
          <w:w w:val="95"/>
        </w:rPr>
        <w:t>cual</w:t>
      </w:r>
      <w:r>
        <w:rPr>
          <w:spacing w:val="-35"/>
          <w:w w:val="95"/>
        </w:rPr>
        <w:t> </w:t>
      </w:r>
      <w:r>
        <w:rPr>
          <w:w w:val="95"/>
        </w:rPr>
        <w:t>se</w:t>
      </w:r>
      <w:r>
        <w:rPr>
          <w:spacing w:val="-34"/>
          <w:w w:val="95"/>
        </w:rPr>
        <w:t> </w:t>
      </w:r>
      <w:r>
        <w:rPr>
          <w:w w:val="95"/>
        </w:rPr>
        <w:t>inicia</w:t>
      </w:r>
      <w:r>
        <w:rPr>
          <w:spacing w:val="-34"/>
          <w:w w:val="95"/>
        </w:rPr>
        <w:t> </w:t>
      </w:r>
      <w:r>
        <w:rPr>
          <w:w w:val="95"/>
        </w:rPr>
        <w:t>pero</w:t>
      </w:r>
      <w:r>
        <w:rPr>
          <w:spacing w:val="-35"/>
          <w:w w:val="95"/>
        </w:rPr>
        <w:t> </w:t>
      </w:r>
      <w:r>
        <w:rPr>
          <w:w w:val="95"/>
        </w:rPr>
        <w:t>por</w:t>
      </w:r>
      <w:r>
        <w:rPr>
          <w:spacing w:val="-34"/>
          <w:w w:val="95"/>
        </w:rPr>
        <w:t> </w:t>
      </w:r>
      <w:r>
        <w:rPr>
          <w:w w:val="95"/>
        </w:rPr>
        <w:t>alguna</w:t>
      </w:r>
      <w:r>
        <w:rPr>
          <w:spacing w:val="-35"/>
          <w:w w:val="95"/>
        </w:rPr>
        <w:t> </w:t>
      </w:r>
      <w:r>
        <w:rPr>
          <w:w w:val="95"/>
        </w:rPr>
        <w:t>razón</w:t>
      </w:r>
      <w:r>
        <w:rPr>
          <w:spacing w:val="-34"/>
          <w:w w:val="95"/>
        </w:rPr>
        <w:t> </w:t>
      </w:r>
      <w:r>
        <w:rPr>
          <w:w w:val="95"/>
        </w:rPr>
        <w:t>se</w:t>
      </w:r>
      <w:r>
        <w:rPr>
          <w:spacing w:val="-34"/>
          <w:w w:val="95"/>
        </w:rPr>
        <w:t> </w:t>
      </w:r>
      <w:r>
        <w:rPr>
          <w:w w:val="95"/>
        </w:rPr>
        <w:t>detiene,</w:t>
      </w:r>
      <w:r>
        <w:rPr>
          <w:spacing w:val="-35"/>
          <w:w w:val="95"/>
        </w:rPr>
        <w:t> </w:t>
      </w:r>
      <w:r>
        <w:rPr>
          <w:w w:val="95"/>
        </w:rPr>
        <w:t>dejando</w:t>
      </w:r>
      <w:r>
        <w:rPr>
          <w:spacing w:val="-34"/>
          <w:w w:val="95"/>
        </w:rPr>
        <w:t> </w:t>
      </w:r>
      <w:r>
        <w:rPr>
          <w:w w:val="95"/>
        </w:rPr>
        <w:t>que</w:t>
      </w:r>
      <w:r>
        <w:rPr>
          <w:spacing w:val="-35"/>
          <w:w w:val="95"/>
        </w:rPr>
        <w:t> </w:t>
      </w:r>
      <w:r>
        <w:rPr>
          <w:w w:val="95"/>
        </w:rPr>
        <w:t>algunas</w:t>
      </w:r>
      <w:r>
        <w:rPr>
          <w:spacing w:val="-35"/>
          <w:w w:val="95"/>
        </w:rPr>
        <w:t> </w:t>
      </w:r>
      <w:r>
        <w:rPr>
          <w:w w:val="95"/>
        </w:rPr>
        <w:t>células </w:t>
      </w:r>
      <w:r>
        <w:rPr>
          <w:w w:val="90"/>
        </w:rPr>
        <w:t>con daño en su ADN continúen diferenciándose hacia espermatozoides, este</w:t>
      </w:r>
      <w:r>
        <w:rPr>
          <w:spacing w:val="-38"/>
          <w:w w:val="90"/>
        </w:rPr>
        <w:t> </w:t>
      </w:r>
      <w:r>
        <w:rPr>
          <w:spacing w:val="3"/>
          <w:w w:val="90"/>
        </w:rPr>
        <w:t>mecanismo </w:t>
      </w:r>
      <w:r>
        <w:rPr>
          <w:w w:val="90"/>
        </w:rPr>
        <w:t>es</w:t>
      </w:r>
      <w:r>
        <w:rPr>
          <w:spacing w:val="-20"/>
          <w:w w:val="90"/>
        </w:rPr>
        <w:t> </w:t>
      </w:r>
      <w:r>
        <w:rPr>
          <w:w w:val="90"/>
        </w:rPr>
        <w:t>conocido</w:t>
      </w:r>
      <w:r>
        <w:rPr>
          <w:spacing w:val="-19"/>
          <w:w w:val="90"/>
        </w:rPr>
        <w:t> </w:t>
      </w:r>
      <w:r>
        <w:rPr>
          <w:w w:val="90"/>
        </w:rPr>
        <w:t>como</w:t>
      </w:r>
      <w:r>
        <w:rPr>
          <w:spacing w:val="-19"/>
          <w:w w:val="90"/>
        </w:rPr>
        <w:t> </w:t>
      </w:r>
      <w:r>
        <w:rPr>
          <w:w w:val="90"/>
        </w:rPr>
        <w:t>apoptosis</w:t>
      </w:r>
      <w:r>
        <w:rPr>
          <w:spacing w:val="-20"/>
          <w:w w:val="90"/>
        </w:rPr>
        <w:t> </w:t>
      </w:r>
      <w:r>
        <w:rPr>
          <w:w w:val="90"/>
        </w:rPr>
        <w:t>abortiva</w:t>
      </w:r>
      <w:r>
        <w:rPr>
          <w:spacing w:val="-19"/>
          <w:w w:val="90"/>
        </w:rPr>
        <w:t> </w:t>
      </w:r>
      <w:r>
        <w:rPr>
          <w:w w:val="90"/>
        </w:rPr>
        <w:t>(Sakkas</w:t>
      </w:r>
      <w:r>
        <w:rPr>
          <w:spacing w:val="-20"/>
          <w:w w:val="90"/>
        </w:rPr>
        <w:t> </w:t>
      </w:r>
      <w:r>
        <w:rPr>
          <w:w w:val="90"/>
        </w:rPr>
        <w:t>et</w:t>
      </w:r>
      <w:r>
        <w:rPr>
          <w:spacing w:val="-19"/>
          <w:w w:val="90"/>
        </w:rPr>
        <w:t> </w:t>
      </w:r>
      <w:r>
        <w:rPr>
          <w:w w:val="90"/>
        </w:rPr>
        <w:t>al,</w:t>
      </w:r>
      <w:r>
        <w:rPr>
          <w:spacing w:val="-20"/>
          <w:w w:val="90"/>
        </w:rPr>
        <w:t> </w:t>
      </w:r>
      <w:r>
        <w:rPr>
          <w:w w:val="90"/>
        </w:rPr>
        <w:t>1999).</w:t>
      </w:r>
    </w:p>
    <w:p>
      <w:pPr>
        <w:pStyle w:val="BodyText"/>
        <w:spacing w:line="360" w:lineRule="auto" w:before="202"/>
        <w:ind w:left="265" w:right="133"/>
        <w:jc w:val="both"/>
      </w:pPr>
      <w:r>
        <w:rPr>
          <w:w w:val="95"/>
        </w:rPr>
        <w:t>El término de apoptosis se utiliza para designar un tipo de muerte celular ordenado</w:t>
      </w:r>
      <w:r>
        <w:rPr>
          <w:spacing w:val="-42"/>
          <w:w w:val="95"/>
        </w:rPr>
        <w:t> </w:t>
      </w:r>
      <w:r>
        <w:rPr>
          <w:w w:val="95"/>
        </w:rPr>
        <w:t>y genéticamente</w:t>
      </w:r>
      <w:r>
        <w:rPr>
          <w:spacing w:val="-30"/>
          <w:w w:val="95"/>
        </w:rPr>
        <w:t> </w:t>
      </w:r>
      <w:r>
        <w:rPr>
          <w:w w:val="95"/>
        </w:rPr>
        <w:t>dirigido</w:t>
      </w:r>
      <w:r>
        <w:rPr>
          <w:spacing w:val="-30"/>
          <w:w w:val="95"/>
        </w:rPr>
        <w:t> </w:t>
      </w:r>
      <w:r>
        <w:rPr>
          <w:w w:val="95"/>
        </w:rPr>
        <w:t>que</w:t>
      </w:r>
      <w:r>
        <w:rPr>
          <w:spacing w:val="-30"/>
          <w:w w:val="95"/>
        </w:rPr>
        <w:t> </w:t>
      </w:r>
      <w:r>
        <w:rPr>
          <w:w w:val="95"/>
        </w:rPr>
        <w:t>se</w:t>
      </w:r>
      <w:r>
        <w:rPr>
          <w:spacing w:val="-31"/>
          <w:w w:val="95"/>
        </w:rPr>
        <w:t> </w:t>
      </w:r>
      <w:r>
        <w:rPr>
          <w:w w:val="95"/>
        </w:rPr>
        <w:t>presenta</w:t>
      </w:r>
      <w:r>
        <w:rPr>
          <w:spacing w:val="-30"/>
          <w:w w:val="95"/>
        </w:rPr>
        <w:t> </w:t>
      </w:r>
      <w:r>
        <w:rPr>
          <w:w w:val="95"/>
        </w:rPr>
        <w:t>en</w:t>
      </w:r>
      <w:r>
        <w:rPr>
          <w:spacing w:val="-30"/>
          <w:w w:val="95"/>
        </w:rPr>
        <w:t> </w:t>
      </w:r>
      <w:r>
        <w:rPr>
          <w:w w:val="95"/>
        </w:rPr>
        <w:t>los</w:t>
      </w:r>
      <w:r>
        <w:rPr>
          <w:spacing w:val="-31"/>
          <w:w w:val="95"/>
        </w:rPr>
        <w:t> </w:t>
      </w:r>
      <w:r>
        <w:rPr>
          <w:w w:val="95"/>
        </w:rPr>
        <w:t>linajes</w:t>
      </w:r>
      <w:r>
        <w:rPr>
          <w:spacing w:val="-30"/>
          <w:w w:val="95"/>
        </w:rPr>
        <w:t> </w:t>
      </w:r>
      <w:r>
        <w:rPr>
          <w:w w:val="95"/>
        </w:rPr>
        <w:t>somático</w:t>
      </w:r>
      <w:r>
        <w:rPr>
          <w:spacing w:val="-30"/>
          <w:w w:val="95"/>
        </w:rPr>
        <w:t> </w:t>
      </w:r>
      <w:r>
        <w:rPr>
          <w:w w:val="95"/>
        </w:rPr>
        <w:t>y</w:t>
      </w:r>
      <w:r>
        <w:rPr>
          <w:spacing w:val="-30"/>
          <w:w w:val="95"/>
        </w:rPr>
        <w:t> </w:t>
      </w:r>
      <w:r>
        <w:rPr>
          <w:w w:val="95"/>
        </w:rPr>
        <w:t>germinal.</w:t>
      </w:r>
      <w:r>
        <w:rPr>
          <w:spacing w:val="-31"/>
          <w:w w:val="95"/>
        </w:rPr>
        <w:t> </w:t>
      </w:r>
      <w:r>
        <w:rPr>
          <w:w w:val="95"/>
        </w:rPr>
        <w:t>La</w:t>
      </w:r>
      <w:r>
        <w:rPr>
          <w:spacing w:val="-30"/>
          <w:w w:val="95"/>
        </w:rPr>
        <w:t> </w:t>
      </w:r>
      <w:r>
        <w:rPr>
          <w:w w:val="95"/>
        </w:rPr>
        <w:t>apoptosis </w:t>
      </w:r>
      <w:r>
        <w:rPr>
          <w:w w:val="90"/>
        </w:rPr>
        <w:t>puede</w:t>
      </w:r>
      <w:r>
        <w:rPr>
          <w:spacing w:val="-18"/>
          <w:w w:val="90"/>
        </w:rPr>
        <w:t> </w:t>
      </w:r>
      <w:r>
        <w:rPr>
          <w:w w:val="90"/>
        </w:rPr>
        <w:t>iniciar</w:t>
      </w:r>
      <w:r>
        <w:rPr>
          <w:spacing w:val="-15"/>
          <w:w w:val="90"/>
        </w:rPr>
        <w:t> </w:t>
      </w:r>
      <w:r>
        <w:rPr>
          <w:w w:val="90"/>
        </w:rPr>
        <w:t>por</w:t>
      </w:r>
      <w:r>
        <w:rPr>
          <w:spacing w:val="-13"/>
          <w:w w:val="90"/>
        </w:rPr>
        <w:t> </w:t>
      </w:r>
      <w:r>
        <w:rPr>
          <w:w w:val="90"/>
        </w:rPr>
        <w:t>muchos</w:t>
      </w:r>
      <w:r>
        <w:rPr>
          <w:spacing w:val="-16"/>
          <w:w w:val="90"/>
        </w:rPr>
        <w:t> </w:t>
      </w:r>
      <w:r>
        <w:rPr>
          <w:w w:val="90"/>
        </w:rPr>
        <w:t>estímulos</w:t>
      </w:r>
      <w:r>
        <w:rPr>
          <w:spacing w:val="-17"/>
          <w:w w:val="90"/>
        </w:rPr>
        <w:t> </w:t>
      </w:r>
      <w:r>
        <w:rPr>
          <w:w w:val="90"/>
        </w:rPr>
        <w:t>internos</w:t>
      </w:r>
      <w:r>
        <w:rPr>
          <w:spacing w:val="-16"/>
          <w:w w:val="90"/>
        </w:rPr>
        <w:t> </w:t>
      </w:r>
      <w:r>
        <w:rPr>
          <w:w w:val="90"/>
        </w:rPr>
        <w:t>o</w:t>
      </w:r>
      <w:r>
        <w:rPr>
          <w:spacing w:val="-16"/>
          <w:w w:val="90"/>
        </w:rPr>
        <w:t> </w:t>
      </w:r>
      <w:r>
        <w:rPr>
          <w:w w:val="90"/>
        </w:rPr>
        <w:t>externos</w:t>
      </w:r>
      <w:r>
        <w:rPr>
          <w:spacing w:val="-16"/>
          <w:w w:val="90"/>
        </w:rPr>
        <w:t> </w:t>
      </w:r>
      <w:r>
        <w:rPr>
          <w:w w:val="90"/>
        </w:rPr>
        <w:t>en</w:t>
      </w:r>
      <w:r>
        <w:rPr>
          <w:spacing w:val="-16"/>
          <w:w w:val="90"/>
        </w:rPr>
        <w:t> </w:t>
      </w:r>
      <w:r>
        <w:rPr>
          <w:w w:val="90"/>
        </w:rPr>
        <w:t>la</w:t>
      </w:r>
      <w:r>
        <w:rPr>
          <w:spacing w:val="-16"/>
          <w:w w:val="90"/>
        </w:rPr>
        <w:t> </w:t>
      </w:r>
      <w:r>
        <w:rPr>
          <w:w w:val="90"/>
        </w:rPr>
        <w:t>célula.</w:t>
      </w:r>
      <w:r>
        <w:rPr>
          <w:spacing w:val="-16"/>
          <w:w w:val="90"/>
        </w:rPr>
        <w:t> </w:t>
      </w:r>
      <w:r>
        <w:rPr>
          <w:w w:val="90"/>
        </w:rPr>
        <w:t>Los</w:t>
      </w:r>
      <w:r>
        <w:rPr>
          <w:spacing w:val="-16"/>
          <w:w w:val="90"/>
        </w:rPr>
        <w:t> </w:t>
      </w:r>
      <w:r>
        <w:rPr>
          <w:w w:val="90"/>
        </w:rPr>
        <w:t>estímulos</w:t>
      </w:r>
      <w:r>
        <w:rPr>
          <w:spacing w:val="-18"/>
          <w:w w:val="90"/>
        </w:rPr>
        <w:t> </w:t>
      </w:r>
      <w:r>
        <w:rPr>
          <w:w w:val="90"/>
        </w:rPr>
        <w:t>internos </w:t>
      </w:r>
      <w:r>
        <w:rPr>
          <w:w w:val="95"/>
        </w:rPr>
        <w:t>incluyen</w:t>
      </w:r>
      <w:r>
        <w:rPr>
          <w:spacing w:val="-24"/>
          <w:w w:val="95"/>
        </w:rPr>
        <w:t> </w:t>
      </w:r>
      <w:r>
        <w:rPr>
          <w:w w:val="95"/>
        </w:rPr>
        <w:t>la</w:t>
      </w:r>
      <w:r>
        <w:rPr>
          <w:spacing w:val="-23"/>
          <w:w w:val="95"/>
        </w:rPr>
        <w:t> </w:t>
      </w:r>
      <w:r>
        <w:rPr>
          <w:w w:val="95"/>
        </w:rPr>
        <w:t>unión</w:t>
      </w:r>
      <w:r>
        <w:rPr>
          <w:spacing w:val="-24"/>
          <w:w w:val="95"/>
        </w:rPr>
        <w:t> </w:t>
      </w:r>
      <w:r>
        <w:rPr>
          <w:w w:val="95"/>
        </w:rPr>
        <w:t>de</w:t>
      </w:r>
      <w:r>
        <w:rPr>
          <w:spacing w:val="-24"/>
          <w:w w:val="95"/>
        </w:rPr>
        <w:t> </w:t>
      </w:r>
      <w:r>
        <w:rPr>
          <w:w w:val="95"/>
        </w:rPr>
        <w:t>antígenos</w:t>
      </w:r>
      <w:r>
        <w:rPr>
          <w:spacing w:val="-24"/>
          <w:w w:val="95"/>
        </w:rPr>
        <w:t> </w:t>
      </w:r>
      <w:r>
        <w:rPr>
          <w:w w:val="95"/>
        </w:rPr>
        <w:t>con</w:t>
      </w:r>
      <w:r>
        <w:rPr>
          <w:spacing w:val="-25"/>
          <w:w w:val="95"/>
        </w:rPr>
        <w:t> </w:t>
      </w:r>
      <w:r>
        <w:rPr>
          <w:w w:val="95"/>
        </w:rPr>
        <w:t>receptores</w:t>
      </w:r>
      <w:r>
        <w:rPr>
          <w:spacing w:val="-24"/>
          <w:w w:val="95"/>
        </w:rPr>
        <w:t> </w:t>
      </w:r>
      <w:r>
        <w:rPr>
          <w:w w:val="95"/>
        </w:rPr>
        <w:t>de</w:t>
      </w:r>
      <w:r>
        <w:rPr>
          <w:spacing w:val="-24"/>
          <w:w w:val="95"/>
        </w:rPr>
        <w:t> </w:t>
      </w:r>
      <w:r>
        <w:rPr>
          <w:w w:val="95"/>
        </w:rPr>
        <w:t>superficie;</w:t>
      </w:r>
      <w:r>
        <w:rPr>
          <w:spacing w:val="-24"/>
          <w:w w:val="95"/>
        </w:rPr>
        <w:t> </w:t>
      </w:r>
      <w:r>
        <w:rPr>
          <w:w w:val="95"/>
        </w:rPr>
        <w:t>mientras</w:t>
      </w:r>
      <w:r>
        <w:rPr>
          <w:spacing w:val="-24"/>
          <w:w w:val="95"/>
        </w:rPr>
        <w:t> </w:t>
      </w:r>
      <w:r>
        <w:rPr>
          <w:w w:val="95"/>
        </w:rPr>
        <w:t>que</w:t>
      </w:r>
      <w:r>
        <w:rPr>
          <w:spacing w:val="-24"/>
          <w:w w:val="95"/>
        </w:rPr>
        <w:t> </w:t>
      </w:r>
      <w:r>
        <w:rPr>
          <w:w w:val="95"/>
        </w:rPr>
        <w:t>los</w:t>
      </w:r>
      <w:r>
        <w:rPr>
          <w:spacing w:val="-24"/>
          <w:w w:val="95"/>
        </w:rPr>
        <w:t> </w:t>
      </w:r>
      <w:r>
        <w:rPr>
          <w:w w:val="95"/>
        </w:rPr>
        <w:t>externos, </w:t>
      </w:r>
      <w:r>
        <w:rPr>
          <w:w w:val="90"/>
        </w:rPr>
        <w:t>abarcan</w:t>
      </w:r>
      <w:r>
        <w:rPr>
          <w:spacing w:val="-15"/>
          <w:w w:val="90"/>
        </w:rPr>
        <w:t> </w:t>
      </w:r>
      <w:r>
        <w:rPr>
          <w:w w:val="90"/>
        </w:rPr>
        <w:t>la</w:t>
      </w:r>
      <w:r>
        <w:rPr>
          <w:spacing w:val="-13"/>
          <w:w w:val="90"/>
        </w:rPr>
        <w:t> </w:t>
      </w:r>
      <w:r>
        <w:rPr>
          <w:w w:val="90"/>
        </w:rPr>
        <w:t>exposición</w:t>
      </w:r>
      <w:r>
        <w:rPr>
          <w:spacing w:val="-13"/>
          <w:w w:val="90"/>
        </w:rPr>
        <w:t> </w:t>
      </w:r>
      <w:r>
        <w:rPr>
          <w:w w:val="90"/>
        </w:rPr>
        <w:t>a</w:t>
      </w:r>
      <w:r>
        <w:rPr>
          <w:spacing w:val="-15"/>
          <w:w w:val="90"/>
        </w:rPr>
        <w:t> </w:t>
      </w:r>
      <w:r>
        <w:rPr>
          <w:w w:val="90"/>
        </w:rPr>
        <w:t>agentes</w:t>
      </w:r>
      <w:r>
        <w:rPr>
          <w:spacing w:val="-14"/>
          <w:w w:val="90"/>
        </w:rPr>
        <w:t> </w:t>
      </w:r>
      <w:r>
        <w:rPr>
          <w:w w:val="90"/>
        </w:rPr>
        <w:t>citotóxicos,</w:t>
      </w:r>
      <w:r>
        <w:rPr>
          <w:spacing w:val="-15"/>
          <w:w w:val="90"/>
        </w:rPr>
        <w:t> </w:t>
      </w:r>
      <w:r>
        <w:rPr>
          <w:w w:val="90"/>
        </w:rPr>
        <w:t>la</w:t>
      </w:r>
      <w:r>
        <w:rPr>
          <w:spacing w:val="-13"/>
          <w:w w:val="90"/>
        </w:rPr>
        <w:t> </w:t>
      </w:r>
      <w:r>
        <w:rPr>
          <w:w w:val="90"/>
        </w:rPr>
        <w:t>irradiación</w:t>
      </w:r>
      <w:r>
        <w:rPr>
          <w:spacing w:val="-13"/>
          <w:w w:val="90"/>
        </w:rPr>
        <w:t> </w:t>
      </w:r>
      <w:r>
        <w:rPr>
          <w:w w:val="90"/>
        </w:rPr>
        <w:t>y</w:t>
      </w:r>
      <w:r>
        <w:rPr>
          <w:spacing w:val="-15"/>
          <w:w w:val="90"/>
        </w:rPr>
        <w:t> </w:t>
      </w:r>
      <w:r>
        <w:rPr>
          <w:w w:val="90"/>
        </w:rPr>
        <w:t>el</w:t>
      </w:r>
      <w:r>
        <w:rPr>
          <w:spacing w:val="-14"/>
          <w:w w:val="90"/>
        </w:rPr>
        <w:t> </w:t>
      </w:r>
      <w:r>
        <w:rPr>
          <w:w w:val="90"/>
        </w:rPr>
        <w:t>estrés</w:t>
      </w:r>
      <w:r>
        <w:rPr>
          <w:spacing w:val="-14"/>
          <w:w w:val="90"/>
        </w:rPr>
        <w:t> </w:t>
      </w:r>
      <w:r>
        <w:rPr>
          <w:w w:val="90"/>
        </w:rPr>
        <w:t>oxidativo</w:t>
      </w:r>
      <w:r>
        <w:rPr>
          <w:spacing w:val="-15"/>
          <w:w w:val="90"/>
        </w:rPr>
        <w:t> </w:t>
      </w:r>
      <w:r>
        <w:rPr>
          <w:w w:val="90"/>
        </w:rPr>
        <w:t>(Thompson, 1995;</w:t>
      </w:r>
      <w:r>
        <w:rPr>
          <w:spacing w:val="-15"/>
          <w:w w:val="90"/>
        </w:rPr>
        <w:t> </w:t>
      </w:r>
      <w:r>
        <w:rPr>
          <w:w w:val="90"/>
        </w:rPr>
        <w:t>Martí</w:t>
      </w:r>
      <w:r>
        <w:rPr>
          <w:spacing w:val="-16"/>
          <w:w w:val="90"/>
        </w:rPr>
        <w:t> </w:t>
      </w:r>
      <w:r>
        <w:rPr>
          <w:w w:val="90"/>
        </w:rPr>
        <w:t>et</w:t>
      </w:r>
      <w:r>
        <w:rPr>
          <w:spacing w:val="-16"/>
          <w:w w:val="90"/>
        </w:rPr>
        <w:t> </w:t>
      </w:r>
      <w:r>
        <w:rPr>
          <w:w w:val="90"/>
        </w:rPr>
        <w:t>al,</w:t>
      </w:r>
      <w:r>
        <w:rPr>
          <w:spacing w:val="-16"/>
          <w:w w:val="90"/>
        </w:rPr>
        <w:t> </w:t>
      </w:r>
      <w:r>
        <w:rPr>
          <w:w w:val="90"/>
        </w:rPr>
        <w:t>2008).</w:t>
      </w:r>
    </w:p>
    <w:p>
      <w:pPr>
        <w:pStyle w:val="BodyText"/>
        <w:spacing w:line="360" w:lineRule="auto" w:before="204"/>
        <w:ind w:left="265" w:right="124"/>
        <w:jc w:val="both"/>
      </w:pPr>
      <w:r>
        <w:rPr>
          <w:w w:val="95"/>
        </w:rPr>
        <w:t>En la apoptosis un evento central es la activación de unas enzimas conocidas como caspasas,</w:t>
      </w:r>
      <w:r>
        <w:rPr>
          <w:spacing w:val="-13"/>
          <w:w w:val="95"/>
        </w:rPr>
        <w:t> </w:t>
      </w:r>
      <w:r>
        <w:rPr>
          <w:w w:val="95"/>
        </w:rPr>
        <w:t>que</w:t>
      </w:r>
      <w:r>
        <w:rPr>
          <w:spacing w:val="-12"/>
          <w:w w:val="95"/>
        </w:rPr>
        <w:t> </w:t>
      </w:r>
      <w:r>
        <w:rPr>
          <w:w w:val="95"/>
        </w:rPr>
        <w:t>son</w:t>
      </w:r>
      <w:r>
        <w:rPr>
          <w:spacing w:val="-12"/>
          <w:w w:val="95"/>
        </w:rPr>
        <w:t> </w:t>
      </w:r>
      <w:r>
        <w:rPr>
          <w:w w:val="95"/>
        </w:rPr>
        <w:t>proteasas</w:t>
      </w:r>
      <w:r>
        <w:rPr>
          <w:spacing w:val="-13"/>
          <w:w w:val="95"/>
        </w:rPr>
        <w:t> </w:t>
      </w:r>
      <w:r>
        <w:rPr>
          <w:w w:val="95"/>
        </w:rPr>
        <w:t>de</w:t>
      </w:r>
      <w:r>
        <w:rPr>
          <w:spacing w:val="-13"/>
          <w:w w:val="95"/>
        </w:rPr>
        <w:t> </w:t>
      </w:r>
      <w:r>
        <w:rPr>
          <w:w w:val="95"/>
        </w:rPr>
        <w:t>cisteína</w:t>
      </w:r>
      <w:r>
        <w:rPr>
          <w:spacing w:val="-12"/>
          <w:w w:val="95"/>
        </w:rPr>
        <w:t> </w:t>
      </w:r>
      <w:r>
        <w:rPr>
          <w:w w:val="95"/>
        </w:rPr>
        <w:t>dependientes</w:t>
      </w:r>
      <w:r>
        <w:rPr>
          <w:spacing w:val="-13"/>
          <w:w w:val="95"/>
        </w:rPr>
        <w:t> </w:t>
      </w:r>
      <w:r>
        <w:rPr>
          <w:w w:val="95"/>
        </w:rPr>
        <w:t>del</w:t>
      </w:r>
      <w:r>
        <w:rPr>
          <w:spacing w:val="-12"/>
          <w:w w:val="95"/>
        </w:rPr>
        <w:t> </w:t>
      </w:r>
      <w:r>
        <w:rPr>
          <w:w w:val="95"/>
        </w:rPr>
        <w:t>acido</w:t>
      </w:r>
      <w:r>
        <w:rPr>
          <w:spacing w:val="-13"/>
          <w:w w:val="95"/>
        </w:rPr>
        <w:t> </w:t>
      </w:r>
      <w:r>
        <w:rPr>
          <w:w w:val="95"/>
        </w:rPr>
        <w:t>aspártico</w:t>
      </w:r>
      <w:r>
        <w:rPr>
          <w:spacing w:val="-13"/>
          <w:w w:val="95"/>
        </w:rPr>
        <w:t> </w:t>
      </w:r>
      <w:r>
        <w:rPr>
          <w:w w:val="95"/>
        </w:rPr>
        <w:t>(Said</w:t>
      </w:r>
      <w:r>
        <w:rPr>
          <w:spacing w:val="-13"/>
          <w:w w:val="95"/>
        </w:rPr>
        <w:t> </w:t>
      </w:r>
      <w:r>
        <w:rPr>
          <w:w w:val="95"/>
        </w:rPr>
        <w:t>et</w:t>
      </w:r>
      <w:r>
        <w:rPr>
          <w:spacing w:val="-13"/>
          <w:w w:val="95"/>
        </w:rPr>
        <w:t> </w:t>
      </w:r>
      <w:r>
        <w:rPr>
          <w:w w:val="95"/>
        </w:rPr>
        <w:t>al, </w:t>
      </w:r>
      <w:r>
        <w:rPr>
          <w:w w:val="90"/>
        </w:rPr>
        <w:t>2004). Estas enzimas son expresadas como zimógenos y son </w:t>
      </w:r>
      <w:r>
        <w:rPr>
          <w:spacing w:val="2"/>
          <w:w w:val="90"/>
        </w:rPr>
        <w:t>activadas </w:t>
      </w:r>
      <w:r>
        <w:rPr>
          <w:w w:val="90"/>
        </w:rPr>
        <w:t>cuando la célula </w:t>
      </w:r>
      <w:r>
        <w:rPr>
          <w:w w:val="95"/>
        </w:rPr>
        <w:t>va</w:t>
      </w:r>
      <w:r>
        <w:rPr>
          <w:spacing w:val="-27"/>
          <w:w w:val="95"/>
        </w:rPr>
        <w:t> </w:t>
      </w:r>
      <w:r>
        <w:rPr>
          <w:w w:val="95"/>
        </w:rPr>
        <w:t>a</w:t>
      </w:r>
      <w:r>
        <w:rPr>
          <w:spacing w:val="-27"/>
          <w:w w:val="95"/>
        </w:rPr>
        <w:t> </w:t>
      </w:r>
      <w:r>
        <w:rPr>
          <w:w w:val="95"/>
        </w:rPr>
        <w:t>ser</w:t>
      </w:r>
      <w:r>
        <w:rPr>
          <w:spacing w:val="-27"/>
          <w:w w:val="95"/>
        </w:rPr>
        <w:t> </w:t>
      </w:r>
      <w:r>
        <w:rPr>
          <w:w w:val="95"/>
        </w:rPr>
        <w:t>sometida</w:t>
      </w:r>
      <w:r>
        <w:rPr>
          <w:spacing w:val="-27"/>
          <w:w w:val="95"/>
        </w:rPr>
        <w:t> </w:t>
      </w:r>
      <w:r>
        <w:rPr>
          <w:w w:val="95"/>
        </w:rPr>
        <w:t>al</w:t>
      </w:r>
      <w:r>
        <w:rPr>
          <w:spacing w:val="-27"/>
          <w:w w:val="95"/>
        </w:rPr>
        <w:t> </w:t>
      </w:r>
      <w:r>
        <w:rPr>
          <w:w w:val="95"/>
        </w:rPr>
        <w:t>proceso</w:t>
      </w:r>
      <w:r>
        <w:rPr>
          <w:spacing w:val="-27"/>
          <w:w w:val="95"/>
        </w:rPr>
        <w:t> </w:t>
      </w:r>
      <w:r>
        <w:rPr>
          <w:w w:val="95"/>
        </w:rPr>
        <w:t>de</w:t>
      </w:r>
      <w:r>
        <w:rPr>
          <w:spacing w:val="-27"/>
          <w:w w:val="95"/>
        </w:rPr>
        <w:t> </w:t>
      </w:r>
      <w:r>
        <w:rPr>
          <w:w w:val="95"/>
        </w:rPr>
        <w:t>apoptosis,</w:t>
      </w:r>
      <w:r>
        <w:rPr>
          <w:spacing w:val="-27"/>
          <w:w w:val="95"/>
        </w:rPr>
        <w:t> </w:t>
      </w:r>
      <w:r>
        <w:rPr>
          <w:w w:val="95"/>
        </w:rPr>
        <w:t>tienen</w:t>
      </w:r>
      <w:r>
        <w:rPr>
          <w:spacing w:val="-27"/>
          <w:w w:val="95"/>
        </w:rPr>
        <w:t> </w:t>
      </w:r>
      <w:r>
        <w:rPr>
          <w:w w:val="95"/>
        </w:rPr>
        <w:t>un</w:t>
      </w:r>
      <w:r>
        <w:rPr>
          <w:spacing w:val="-28"/>
          <w:w w:val="95"/>
        </w:rPr>
        <w:t> </w:t>
      </w:r>
      <w:r>
        <w:rPr>
          <w:w w:val="95"/>
        </w:rPr>
        <w:t>rol</w:t>
      </w:r>
      <w:r>
        <w:rPr>
          <w:spacing w:val="-27"/>
          <w:w w:val="95"/>
        </w:rPr>
        <w:t> </w:t>
      </w:r>
      <w:r>
        <w:rPr>
          <w:w w:val="95"/>
        </w:rPr>
        <w:t>crucial</w:t>
      </w:r>
      <w:r>
        <w:rPr>
          <w:spacing w:val="-27"/>
          <w:w w:val="95"/>
        </w:rPr>
        <w:t> </w:t>
      </w:r>
      <w:r>
        <w:rPr>
          <w:w w:val="95"/>
        </w:rPr>
        <w:t>en</w:t>
      </w:r>
      <w:r>
        <w:rPr>
          <w:spacing w:val="-27"/>
          <w:w w:val="95"/>
        </w:rPr>
        <w:t> </w:t>
      </w:r>
      <w:r>
        <w:rPr>
          <w:w w:val="95"/>
        </w:rPr>
        <w:t>la</w:t>
      </w:r>
      <w:r>
        <w:rPr>
          <w:spacing w:val="-28"/>
          <w:w w:val="95"/>
        </w:rPr>
        <w:t> </w:t>
      </w:r>
      <w:r>
        <w:rPr>
          <w:w w:val="95"/>
        </w:rPr>
        <w:t>transducción</w:t>
      </w:r>
      <w:r>
        <w:rPr>
          <w:spacing w:val="-27"/>
          <w:w w:val="95"/>
        </w:rPr>
        <w:t> </w:t>
      </w:r>
      <w:r>
        <w:rPr>
          <w:w w:val="95"/>
        </w:rPr>
        <w:t>de</w:t>
      </w:r>
      <w:r>
        <w:rPr>
          <w:spacing w:val="-27"/>
          <w:w w:val="95"/>
        </w:rPr>
        <w:t> </w:t>
      </w:r>
      <w:r>
        <w:rPr>
          <w:w w:val="95"/>
        </w:rPr>
        <w:t>las señales de apoptosis en células que están destinadas a morir (Said et al, 2004).</w:t>
      </w:r>
      <w:r>
        <w:rPr>
          <w:spacing w:val="23"/>
          <w:w w:val="95"/>
        </w:rPr>
        <w:t> </w:t>
      </w:r>
      <w:r>
        <w:rPr>
          <w:w w:val="95"/>
        </w:rPr>
        <w:t>Sin</w:t>
      </w:r>
    </w:p>
    <w:p>
      <w:pPr>
        <w:spacing w:after="0" w:line="360" w:lineRule="auto"/>
        <w:jc w:val="both"/>
        <w:sectPr>
          <w:pgSz w:w="12240" w:h="15840"/>
          <w:pgMar w:header="0" w:footer="162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3"/>
        <w:jc w:val="both"/>
      </w:pPr>
      <w:r>
        <w:rPr>
          <w:w w:val="90"/>
        </w:rPr>
        <w:t>embargo,</w:t>
      </w:r>
      <w:r>
        <w:rPr>
          <w:spacing w:val="-14"/>
          <w:w w:val="90"/>
        </w:rPr>
        <w:t> </w:t>
      </w:r>
      <w:r>
        <w:rPr>
          <w:w w:val="90"/>
        </w:rPr>
        <w:t>la</w:t>
      </w:r>
      <w:r>
        <w:rPr>
          <w:spacing w:val="-14"/>
          <w:w w:val="90"/>
        </w:rPr>
        <w:t> </w:t>
      </w:r>
      <w:r>
        <w:rPr>
          <w:w w:val="90"/>
        </w:rPr>
        <w:t>presencia</w:t>
      </w:r>
      <w:r>
        <w:rPr>
          <w:spacing w:val="-13"/>
          <w:w w:val="90"/>
        </w:rPr>
        <w:t> </w:t>
      </w:r>
      <w:r>
        <w:rPr>
          <w:w w:val="90"/>
        </w:rPr>
        <w:t>de</w:t>
      </w:r>
      <w:r>
        <w:rPr>
          <w:spacing w:val="-13"/>
          <w:w w:val="90"/>
        </w:rPr>
        <w:t> </w:t>
      </w:r>
      <w:r>
        <w:rPr>
          <w:w w:val="90"/>
        </w:rPr>
        <w:t>caspasas</w:t>
      </w:r>
      <w:r>
        <w:rPr>
          <w:spacing w:val="-14"/>
          <w:w w:val="90"/>
        </w:rPr>
        <w:t> </w:t>
      </w:r>
      <w:r>
        <w:rPr>
          <w:w w:val="90"/>
        </w:rPr>
        <w:t>no</w:t>
      </w:r>
      <w:r>
        <w:rPr>
          <w:spacing w:val="-13"/>
          <w:w w:val="90"/>
        </w:rPr>
        <w:t> </w:t>
      </w:r>
      <w:r>
        <w:rPr>
          <w:w w:val="90"/>
        </w:rPr>
        <w:t>es</w:t>
      </w:r>
      <w:r>
        <w:rPr>
          <w:spacing w:val="-15"/>
          <w:w w:val="90"/>
        </w:rPr>
        <w:t> </w:t>
      </w:r>
      <w:r>
        <w:rPr>
          <w:w w:val="90"/>
        </w:rPr>
        <w:t>un</w:t>
      </w:r>
      <w:r>
        <w:rPr>
          <w:spacing w:val="-13"/>
          <w:w w:val="90"/>
        </w:rPr>
        <w:t> </w:t>
      </w:r>
      <w:r>
        <w:rPr>
          <w:w w:val="90"/>
        </w:rPr>
        <w:t>indicativo</w:t>
      </w:r>
      <w:r>
        <w:rPr>
          <w:spacing w:val="-13"/>
          <w:w w:val="90"/>
        </w:rPr>
        <w:t> </w:t>
      </w:r>
      <w:r>
        <w:rPr>
          <w:w w:val="90"/>
        </w:rPr>
        <w:t>de</w:t>
      </w:r>
      <w:r>
        <w:rPr>
          <w:spacing w:val="-13"/>
          <w:w w:val="90"/>
        </w:rPr>
        <w:t> </w:t>
      </w:r>
      <w:r>
        <w:rPr>
          <w:spacing w:val="5"/>
          <w:w w:val="90"/>
        </w:rPr>
        <w:t>que</w:t>
      </w:r>
      <w:r>
        <w:rPr>
          <w:spacing w:val="-13"/>
          <w:w w:val="90"/>
        </w:rPr>
        <w:t> </w:t>
      </w:r>
      <w:r>
        <w:rPr>
          <w:w w:val="90"/>
        </w:rPr>
        <w:t>la</w:t>
      </w:r>
      <w:r>
        <w:rPr>
          <w:spacing w:val="-14"/>
          <w:w w:val="90"/>
        </w:rPr>
        <w:t> </w:t>
      </w:r>
      <w:r>
        <w:rPr>
          <w:w w:val="90"/>
        </w:rPr>
        <w:t>célula</w:t>
      </w:r>
      <w:r>
        <w:rPr>
          <w:spacing w:val="-13"/>
          <w:w w:val="90"/>
        </w:rPr>
        <w:t> </w:t>
      </w:r>
      <w:r>
        <w:rPr>
          <w:w w:val="90"/>
        </w:rPr>
        <w:t>este</w:t>
      </w:r>
      <w:r>
        <w:rPr>
          <w:spacing w:val="-13"/>
          <w:w w:val="90"/>
        </w:rPr>
        <w:t> </w:t>
      </w:r>
      <w:r>
        <w:rPr>
          <w:w w:val="90"/>
        </w:rPr>
        <w:t>sentenciada</w:t>
      </w:r>
      <w:r>
        <w:rPr>
          <w:spacing w:val="-13"/>
          <w:w w:val="90"/>
        </w:rPr>
        <w:t> </w:t>
      </w:r>
      <w:r>
        <w:rPr>
          <w:w w:val="90"/>
        </w:rPr>
        <w:t>a morir, ya que se han encontrado de forma activa en espermatozoides maduros (Pichardo </w:t>
      </w:r>
      <w:r>
        <w:rPr>
          <w:w w:val="95"/>
        </w:rPr>
        <w:t>et al, 2010; Morales, 2009), hasta el momento no se sabe cuál es el papel de estas enzimas</w:t>
      </w:r>
      <w:r>
        <w:rPr>
          <w:spacing w:val="-26"/>
          <w:w w:val="95"/>
        </w:rPr>
        <w:t> </w:t>
      </w:r>
      <w:r>
        <w:rPr>
          <w:w w:val="95"/>
        </w:rPr>
        <w:t>en</w:t>
      </w:r>
      <w:r>
        <w:rPr>
          <w:spacing w:val="-27"/>
          <w:w w:val="95"/>
        </w:rPr>
        <w:t> </w:t>
      </w:r>
      <w:r>
        <w:rPr>
          <w:w w:val="95"/>
        </w:rPr>
        <w:t>los</w:t>
      </w:r>
      <w:r>
        <w:rPr>
          <w:spacing w:val="-27"/>
          <w:w w:val="95"/>
        </w:rPr>
        <w:t> </w:t>
      </w:r>
      <w:r>
        <w:rPr>
          <w:w w:val="95"/>
        </w:rPr>
        <w:t>espermatozoides</w:t>
      </w:r>
      <w:r>
        <w:rPr>
          <w:spacing w:val="-26"/>
          <w:w w:val="95"/>
        </w:rPr>
        <w:t> </w:t>
      </w:r>
      <w:r>
        <w:rPr>
          <w:w w:val="95"/>
        </w:rPr>
        <w:t>y</w:t>
      </w:r>
      <w:r>
        <w:rPr>
          <w:spacing w:val="-27"/>
          <w:w w:val="95"/>
        </w:rPr>
        <w:t> </w:t>
      </w:r>
      <w:r>
        <w:rPr>
          <w:w w:val="95"/>
        </w:rPr>
        <w:t>si</w:t>
      </w:r>
      <w:r>
        <w:rPr>
          <w:spacing w:val="-28"/>
          <w:w w:val="95"/>
        </w:rPr>
        <w:t> </w:t>
      </w:r>
      <w:r>
        <w:rPr>
          <w:w w:val="95"/>
        </w:rPr>
        <w:t>tienen</w:t>
      </w:r>
      <w:r>
        <w:rPr>
          <w:spacing w:val="-26"/>
          <w:w w:val="95"/>
        </w:rPr>
        <w:t> </w:t>
      </w:r>
      <w:r>
        <w:rPr>
          <w:w w:val="95"/>
        </w:rPr>
        <w:t>un</w:t>
      </w:r>
      <w:r>
        <w:rPr>
          <w:spacing w:val="-27"/>
          <w:w w:val="95"/>
        </w:rPr>
        <w:t> </w:t>
      </w:r>
      <w:r>
        <w:rPr>
          <w:w w:val="95"/>
        </w:rPr>
        <w:t>efecto</w:t>
      </w:r>
      <w:r>
        <w:rPr>
          <w:spacing w:val="-26"/>
          <w:w w:val="95"/>
        </w:rPr>
        <w:t> </w:t>
      </w:r>
      <w:r>
        <w:rPr>
          <w:spacing w:val="3"/>
          <w:w w:val="95"/>
        </w:rPr>
        <w:t>sobre</w:t>
      </w:r>
      <w:r>
        <w:rPr>
          <w:spacing w:val="-27"/>
          <w:w w:val="95"/>
        </w:rPr>
        <w:t> </w:t>
      </w:r>
      <w:r>
        <w:rPr>
          <w:w w:val="95"/>
        </w:rPr>
        <w:t>la</w:t>
      </w:r>
      <w:r>
        <w:rPr>
          <w:spacing w:val="-28"/>
          <w:w w:val="95"/>
        </w:rPr>
        <w:t> </w:t>
      </w:r>
      <w:r>
        <w:rPr>
          <w:w w:val="95"/>
        </w:rPr>
        <w:t>fertilización.</w:t>
      </w:r>
      <w:r>
        <w:rPr>
          <w:spacing w:val="-28"/>
          <w:w w:val="95"/>
        </w:rPr>
        <w:t> </w:t>
      </w:r>
      <w:r>
        <w:rPr>
          <w:w w:val="95"/>
        </w:rPr>
        <w:t>Tampoco</w:t>
      </w:r>
      <w:r>
        <w:rPr>
          <w:spacing w:val="-26"/>
          <w:w w:val="95"/>
        </w:rPr>
        <w:t> </w:t>
      </w:r>
      <w:r>
        <w:rPr>
          <w:w w:val="95"/>
        </w:rPr>
        <w:t>se conocen indicios de la participación de otros genes tanto de apoptosis como de </w:t>
      </w:r>
      <w:r>
        <w:rPr>
          <w:w w:val="90"/>
        </w:rPr>
        <w:t>espermatogénesis</w:t>
      </w:r>
      <w:r>
        <w:rPr>
          <w:spacing w:val="-8"/>
          <w:w w:val="90"/>
        </w:rPr>
        <w:t> </w:t>
      </w:r>
      <w:r>
        <w:rPr>
          <w:w w:val="90"/>
        </w:rPr>
        <w:t>involucrados</w:t>
      </w:r>
      <w:r>
        <w:rPr>
          <w:spacing w:val="-7"/>
          <w:w w:val="90"/>
        </w:rPr>
        <w:t> </w:t>
      </w:r>
      <w:r>
        <w:rPr>
          <w:w w:val="90"/>
        </w:rPr>
        <w:t>en</w:t>
      </w:r>
      <w:r>
        <w:rPr>
          <w:spacing w:val="-7"/>
          <w:w w:val="90"/>
        </w:rPr>
        <w:t> </w:t>
      </w:r>
      <w:r>
        <w:rPr>
          <w:w w:val="90"/>
        </w:rPr>
        <w:t>la</w:t>
      </w:r>
      <w:r>
        <w:rPr>
          <w:spacing w:val="-6"/>
          <w:w w:val="90"/>
        </w:rPr>
        <w:t> </w:t>
      </w:r>
      <w:r>
        <w:rPr>
          <w:w w:val="90"/>
        </w:rPr>
        <w:t>muerte</w:t>
      </w:r>
      <w:r>
        <w:rPr>
          <w:spacing w:val="-6"/>
          <w:w w:val="90"/>
        </w:rPr>
        <w:t> </w:t>
      </w:r>
      <w:r>
        <w:rPr>
          <w:w w:val="90"/>
        </w:rPr>
        <w:t>de</w:t>
      </w:r>
      <w:r>
        <w:rPr>
          <w:spacing w:val="-8"/>
          <w:w w:val="90"/>
        </w:rPr>
        <w:t> </w:t>
      </w:r>
      <w:r>
        <w:rPr>
          <w:w w:val="90"/>
        </w:rPr>
        <w:t>las</w:t>
      </w:r>
      <w:r>
        <w:rPr>
          <w:spacing w:val="-7"/>
          <w:w w:val="90"/>
        </w:rPr>
        <w:t> </w:t>
      </w:r>
      <w:r>
        <w:rPr>
          <w:w w:val="90"/>
        </w:rPr>
        <w:t>células</w:t>
      </w:r>
      <w:r>
        <w:rPr>
          <w:spacing w:val="-8"/>
          <w:w w:val="90"/>
        </w:rPr>
        <w:t> </w:t>
      </w:r>
      <w:r>
        <w:rPr>
          <w:w w:val="90"/>
        </w:rPr>
        <w:t>germinales</w:t>
      </w:r>
      <w:r>
        <w:rPr>
          <w:spacing w:val="-8"/>
          <w:w w:val="90"/>
        </w:rPr>
        <w:t> </w:t>
      </w:r>
      <w:r>
        <w:rPr>
          <w:w w:val="90"/>
        </w:rPr>
        <w:t>y</w:t>
      </w:r>
      <w:r>
        <w:rPr>
          <w:spacing w:val="-7"/>
          <w:w w:val="90"/>
        </w:rPr>
        <w:t> </w:t>
      </w:r>
      <w:r>
        <w:rPr>
          <w:w w:val="90"/>
        </w:rPr>
        <w:t>si</w:t>
      </w:r>
      <w:r>
        <w:rPr>
          <w:spacing w:val="-7"/>
          <w:w w:val="90"/>
        </w:rPr>
        <w:t> </w:t>
      </w:r>
      <w:r>
        <w:rPr>
          <w:w w:val="90"/>
        </w:rPr>
        <w:t>se</w:t>
      </w:r>
      <w:r>
        <w:rPr>
          <w:spacing w:val="-6"/>
          <w:w w:val="90"/>
        </w:rPr>
        <w:t> </w:t>
      </w:r>
      <w:r>
        <w:rPr>
          <w:w w:val="90"/>
        </w:rPr>
        <w:t>encuentran </w:t>
      </w:r>
      <w:r>
        <w:rPr>
          <w:w w:val="95"/>
        </w:rPr>
        <w:t>implicados</w:t>
      </w:r>
      <w:r>
        <w:rPr>
          <w:spacing w:val="-40"/>
          <w:w w:val="95"/>
        </w:rPr>
        <w:t> </w:t>
      </w:r>
      <w:r>
        <w:rPr>
          <w:w w:val="95"/>
        </w:rPr>
        <w:t>en</w:t>
      </w:r>
      <w:r>
        <w:rPr>
          <w:spacing w:val="-40"/>
          <w:w w:val="95"/>
        </w:rPr>
        <w:t> </w:t>
      </w:r>
      <w:r>
        <w:rPr>
          <w:w w:val="95"/>
        </w:rPr>
        <w:t>la</w:t>
      </w:r>
      <w:r>
        <w:rPr>
          <w:spacing w:val="-40"/>
          <w:w w:val="95"/>
        </w:rPr>
        <w:t> </w:t>
      </w:r>
      <w:r>
        <w:rPr>
          <w:w w:val="95"/>
        </w:rPr>
        <w:t>infertilidad</w:t>
      </w:r>
      <w:r>
        <w:rPr>
          <w:spacing w:val="-40"/>
          <w:w w:val="95"/>
        </w:rPr>
        <w:t> </w:t>
      </w:r>
      <w:r>
        <w:rPr>
          <w:w w:val="95"/>
        </w:rPr>
        <w:t>del</w:t>
      </w:r>
      <w:r>
        <w:rPr>
          <w:spacing w:val="-39"/>
          <w:w w:val="95"/>
        </w:rPr>
        <w:t> </w:t>
      </w:r>
      <w:r>
        <w:rPr>
          <w:w w:val="95"/>
        </w:rPr>
        <w:t>macho.</w:t>
      </w:r>
      <w:r>
        <w:rPr>
          <w:spacing w:val="-39"/>
          <w:w w:val="95"/>
        </w:rPr>
        <w:t> </w:t>
      </w:r>
      <w:r>
        <w:rPr>
          <w:w w:val="95"/>
        </w:rPr>
        <w:t>El</w:t>
      </w:r>
      <w:r>
        <w:rPr>
          <w:spacing w:val="-40"/>
          <w:w w:val="95"/>
        </w:rPr>
        <w:t> </w:t>
      </w:r>
      <w:r>
        <w:rPr>
          <w:w w:val="95"/>
        </w:rPr>
        <w:t>inicio</w:t>
      </w:r>
      <w:r>
        <w:rPr>
          <w:spacing w:val="-40"/>
          <w:w w:val="95"/>
        </w:rPr>
        <w:t> </w:t>
      </w:r>
      <w:r>
        <w:rPr>
          <w:w w:val="95"/>
        </w:rPr>
        <w:t>de</w:t>
      </w:r>
      <w:r>
        <w:rPr>
          <w:spacing w:val="-39"/>
          <w:w w:val="95"/>
        </w:rPr>
        <w:t> </w:t>
      </w:r>
      <w:r>
        <w:rPr>
          <w:w w:val="95"/>
        </w:rPr>
        <w:t>la</w:t>
      </w:r>
      <w:r>
        <w:rPr>
          <w:spacing w:val="-36"/>
          <w:w w:val="95"/>
        </w:rPr>
        <w:t> </w:t>
      </w:r>
      <w:r>
        <w:rPr>
          <w:w w:val="95"/>
        </w:rPr>
        <w:t>espermatogénesis</w:t>
      </w:r>
      <w:r>
        <w:rPr>
          <w:spacing w:val="-39"/>
          <w:w w:val="95"/>
        </w:rPr>
        <w:t> </w:t>
      </w:r>
      <w:r>
        <w:rPr>
          <w:w w:val="95"/>
        </w:rPr>
        <w:t>marca</w:t>
      </w:r>
      <w:r>
        <w:rPr>
          <w:spacing w:val="-40"/>
          <w:w w:val="95"/>
        </w:rPr>
        <w:t> </w:t>
      </w:r>
      <w:r>
        <w:rPr>
          <w:w w:val="95"/>
        </w:rPr>
        <w:t>el</w:t>
      </w:r>
      <w:r>
        <w:rPr>
          <w:spacing w:val="-40"/>
          <w:w w:val="95"/>
        </w:rPr>
        <w:t> </w:t>
      </w:r>
      <w:r>
        <w:rPr>
          <w:w w:val="95"/>
        </w:rPr>
        <w:t>inicio</w:t>
      </w:r>
      <w:r>
        <w:rPr>
          <w:spacing w:val="-39"/>
          <w:w w:val="95"/>
        </w:rPr>
        <w:t> </w:t>
      </w:r>
      <w:r>
        <w:rPr>
          <w:w w:val="95"/>
        </w:rPr>
        <w:t>de la pubertad y origina la pauta hacia la madurez sexual, que se caracteriza por la </w:t>
      </w:r>
      <w:r>
        <w:rPr>
          <w:w w:val="90"/>
        </w:rPr>
        <w:t>producción constante de espermatozoides provenientes de la maduración de las células germinales</w:t>
      </w:r>
      <w:r>
        <w:rPr>
          <w:spacing w:val="-9"/>
          <w:w w:val="90"/>
        </w:rPr>
        <w:t> </w:t>
      </w:r>
      <w:r>
        <w:rPr>
          <w:w w:val="90"/>
        </w:rPr>
        <w:t>que</w:t>
      </w:r>
      <w:r>
        <w:rPr>
          <w:spacing w:val="-7"/>
          <w:w w:val="90"/>
        </w:rPr>
        <w:t> </w:t>
      </w:r>
      <w:r>
        <w:rPr>
          <w:w w:val="90"/>
        </w:rPr>
        <w:t>se</w:t>
      </w:r>
      <w:r>
        <w:rPr>
          <w:spacing w:val="-8"/>
          <w:w w:val="90"/>
        </w:rPr>
        <w:t> </w:t>
      </w:r>
      <w:r>
        <w:rPr>
          <w:w w:val="90"/>
        </w:rPr>
        <w:t>dirigen</w:t>
      </w:r>
      <w:r>
        <w:rPr>
          <w:spacing w:val="-8"/>
          <w:w w:val="90"/>
        </w:rPr>
        <w:t> </w:t>
      </w:r>
      <w:r>
        <w:rPr>
          <w:w w:val="90"/>
        </w:rPr>
        <w:t>hacia</w:t>
      </w:r>
      <w:r>
        <w:rPr>
          <w:spacing w:val="-8"/>
          <w:w w:val="90"/>
        </w:rPr>
        <w:t> </w:t>
      </w:r>
      <w:r>
        <w:rPr>
          <w:w w:val="90"/>
        </w:rPr>
        <w:t>el</w:t>
      </w:r>
      <w:r>
        <w:rPr>
          <w:spacing w:val="-7"/>
          <w:w w:val="90"/>
        </w:rPr>
        <w:t> </w:t>
      </w:r>
      <w:r>
        <w:rPr>
          <w:w w:val="90"/>
        </w:rPr>
        <w:t>centro</w:t>
      </w:r>
      <w:r>
        <w:rPr>
          <w:spacing w:val="-8"/>
          <w:w w:val="90"/>
        </w:rPr>
        <w:t> </w:t>
      </w:r>
      <w:r>
        <w:rPr>
          <w:w w:val="90"/>
        </w:rPr>
        <w:t>de</w:t>
      </w:r>
      <w:r>
        <w:rPr>
          <w:spacing w:val="-8"/>
          <w:w w:val="90"/>
        </w:rPr>
        <w:t> </w:t>
      </w:r>
      <w:r>
        <w:rPr>
          <w:w w:val="90"/>
        </w:rPr>
        <w:t>los</w:t>
      </w:r>
      <w:r>
        <w:rPr>
          <w:spacing w:val="-8"/>
          <w:w w:val="90"/>
        </w:rPr>
        <w:t> </w:t>
      </w:r>
      <w:r>
        <w:rPr>
          <w:spacing w:val="2"/>
          <w:w w:val="90"/>
        </w:rPr>
        <w:t>túbulos</w:t>
      </w:r>
      <w:r>
        <w:rPr>
          <w:spacing w:val="-7"/>
          <w:w w:val="90"/>
        </w:rPr>
        <w:t> </w:t>
      </w:r>
      <w:r>
        <w:rPr>
          <w:w w:val="90"/>
        </w:rPr>
        <w:t>seminíferos</w:t>
      </w:r>
      <w:r>
        <w:rPr>
          <w:spacing w:val="-8"/>
          <w:w w:val="90"/>
        </w:rPr>
        <w:t> </w:t>
      </w:r>
      <w:r>
        <w:rPr>
          <w:w w:val="90"/>
        </w:rPr>
        <w:t>(Knobil</w:t>
      </w:r>
      <w:r>
        <w:rPr>
          <w:spacing w:val="-9"/>
          <w:w w:val="90"/>
        </w:rPr>
        <w:t> </w:t>
      </w:r>
      <w:r>
        <w:rPr>
          <w:w w:val="90"/>
        </w:rPr>
        <w:t>y</w:t>
      </w:r>
      <w:r>
        <w:rPr>
          <w:spacing w:val="-7"/>
          <w:w w:val="90"/>
        </w:rPr>
        <w:t> </w:t>
      </w:r>
      <w:r>
        <w:rPr>
          <w:w w:val="90"/>
        </w:rPr>
        <w:t>Neill,</w:t>
      </w:r>
      <w:r>
        <w:rPr>
          <w:spacing w:val="-8"/>
          <w:w w:val="90"/>
        </w:rPr>
        <w:t> </w:t>
      </w:r>
      <w:r>
        <w:rPr>
          <w:w w:val="90"/>
        </w:rPr>
        <w:t>2006). </w:t>
      </w:r>
      <w:r>
        <w:rPr>
          <w:w w:val="95"/>
        </w:rPr>
        <w:t>En la espermatogénesis las gonadotropinas junto con la testosterona intervienen de </w:t>
      </w:r>
      <w:r>
        <w:rPr>
          <w:w w:val="90"/>
        </w:rPr>
        <w:t>manera directa en su regulación. La hormona luteinizante (LH) es una glucoproteína, con dos</w:t>
      </w:r>
      <w:r>
        <w:rPr>
          <w:spacing w:val="-14"/>
          <w:w w:val="90"/>
        </w:rPr>
        <w:t> </w:t>
      </w:r>
      <w:r>
        <w:rPr>
          <w:w w:val="90"/>
        </w:rPr>
        <w:t>unidades</w:t>
      </w:r>
      <w:r>
        <w:rPr>
          <w:spacing w:val="-14"/>
          <w:w w:val="90"/>
        </w:rPr>
        <w:t> </w:t>
      </w:r>
      <w:r>
        <w:rPr>
          <w:w w:val="90"/>
        </w:rPr>
        <w:t>polipeptídicas.</w:t>
      </w:r>
      <w:r>
        <w:rPr>
          <w:spacing w:val="-14"/>
          <w:w w:val="90"/>
        </w:rPr>
        <w:t> </w:t>
      </w:r>
      <w:r>
        <w:rPr>
          <w:w w:val="90"/>
        </w:rPr>
        <w:t>En</w:t>
      </w:r>
      <w:r>
        <w:rPr>
          <w:spacing w:val="-12"/>
          <w:w w:val="90"/>
        </w:rPr>
        <w:t> </w:t>
      </w:r>
      <w:r>
        <w:rPr>
          <w:w w:val="90"/>
        </w:rPr>
        <w:t>su</w:t>
      </w:r>
      <w:r>
        <w:rPr>
          <w:spacing w:val="-14"/>
          <w:w w:val="90"/>
        </w:rPr>
        <w:t> </w:t>
      </w:r>
      <w:r>
        <w:rPr>
          <w:w w:val="90"/>
        </w:rPr>
        <w:t>estructura</w:t>
      </w:r>
      <w:r>
        <w:rPr>
          <w:spacing w:val="-6"/>
          <w:w w:val="90"/>
        </w:rPr>
        <w:t> </w:t>
      </w:r>
      <w:r>
        <w:rPr>
          <w:w w:val="90"/>
        </w:rPr>
        <w:t>cada</w:t>
      </w:r>
      <w:r>
        <w:rPr>
          <w:spacing w:val="-14"/>
          <w:w w:val="90"/>
        </w:rPr>
        <w:t> </w:t>
      </w:r>
      <w:r>
        <w:rPr>
          <w:w w:val="90"/>
        </w:rPr>
        <w:t>polipéptido</w:t>
      </w:r>
      <w:r>
        <w:rPr>
          <w:spacing w:val="-16"/>
          <w:w w:val="90"/>
        </w:rPr>
        <w:t> </w:t>
      </w:r>
      <w:r>
        <w:rPr>
          <w:w w:val="90"/>
        </w:rPr>
        <w:t>recibe</w:t>
      </w:r>
      <w:r>
        <w:rPr>
          <w:spacing w:val="-14"/>
          <w:w w:val="90"/>
        </w:rPr>
        <w:t> </w:t>
      </w:r>
      <w:r>
        <w:rPr>
          <w:w w:val="90"/>
        </w:rPr>
        <w:t>el</w:t>
      </w:r>
      <w:r>
        <w:rPr>
          <w:spacing w:val="-14"/>
          <w:w w:val="90"/>
        </w:rPr>
        <w:t> </w:t>
      </w:r>
      <w:r>
        <w:rPr>
          <w:w w:val="90"/>
        </w:rPr>
        <w:t>nombre</w:t>
      </w:r>
      <w:r>
        <w:rPr>
          <w:spacing w:val="-14"/>
          <w:w w:val="90"/>
        </w:rPr>
        <w:t> </w:t>
      </w:r>
      <w:r>
        <w:rPr>
          <w:w w:val="90"/>
        </w:rPr>
        <w:t>de</w:t>
      </w:r>
      <w:r>
        <w:rPr>
          <w:spacing w:val="-14"/>
          <w:w w:val="90"/>
        </w:rPr>
        <w:t> </w:t>
      </w:r>
      <w:r>
        <w:rPr>
          <w:w w:val="90"/>
        </w:rPr>
        <w:t>alfa</w:t>
      </w:r>
      <w:r>
        <w:rPr>
          <w:spacing w:val="-14"/>
          <w:w w:val="90"/>
        </w:rPr>
        <w:t> </w:t>
      </w:r>
      <w:r>
        <w:rPr>
          <w:w w:val="90"/>
        </w:rPr>
        <w:t>(α) </w:t>
      </w:r>
      <w:r>
        <w:rPr>
          <w:w w:val="95"/>
        </w:rPr>
        <w:t>y</w:t>
      </w:r>
      <w:r>
        <w:rPr>
          <w:spacing w:val="-30"/>
          <w:w w:val="95"/>
        </w:rPr>
        <w:t> </w:t>
      </w:r>
      <w:r>
        <w:rPr>
          <w:w w:val="95"/>
        </w:rPr>
        <w:t>beta</w:t>
      </w:r>
      <w:r>
        <w:rPr>
          <w:spacing w:val="-30"/>
          <w:w w:val="95"/>
        </w:rPr>
        <w:t> </w:t>
      </w:r>
      <w:r>
        <w:rPr>
          <w:w w:val="95"/>
        </w:rPr>
        <w:t>(β),</w:t>
      </w:r>
      <w:r>
        <w:rPr>
          <w:spacing w:val="-30"/>
          <w:w w:val="95"/>
        </w:rPr>
        <w:t> </w:t>
      </w:r>
      <w:r>
        <w:rPr>
          <w:w w:val="95"/>
        </w:rPr>
        <w:t>están</w:t>
      </w:r>
      <w:r>
        <w:rPr>
          <w:spacing w:val="-29"/>
          <w:w w:val="95"/>
        </w:rPr>
        <w:t> </w:t>
      </w:r>
      <w:r>
        <w:rPr>
          <w:w w:val="95"/>
        </w:rPr>
        <w:t>conectadas</w:t>
      </w:r>
      <w:r>
        <w:rPr>
          <w:spacing w:val="-30"/>
          <w:w w:val="95"/>
        </w:rPr>
        <w:t> </w:t>
      </w:r>
      <w:r>
        <w:rPr>
          <w:w w:val="95"/>
        </w:rPr>
        <w:t>una</w:t>
      </w:r>
      <w:r>
        <w:rPr>
          <w:spacing w:val="-30"/>
          <w:w w:val="95"/>
        </w:rPr>
        <w:t> </w:t>
      </w:r>
      <w:r>
        <w:rPr>
          <w:w w:val="95"/>
        </w:rPr>
        <w:t>a</w:t>
      </w:r>
      <w:r>
        <w:rPr>
          <w:spacing w:val="-30"/>
          <w:w w:val="95"/>
        </w:rPr>
        <w:t> </w:t>
      </w:r>
      <w:r>
        <w:rPr>
          <w:w w:val="95"/>
        </w:rPr>
        <w:t>la</w:t>
      </w:r>
      <w:r>
        <w:rPr>
          <w:spacing w:val="-29"/>
          <w:w w:val="95"/>
        </w:rPr>
        <w:t> </w:t>
      </w:r>
      <w:r>
        <w:rPr>
          <w:w w:val="95"/>
        </w:rPr>
        <w:t>otra</w:t>
      </w:r>
      <w:r>
        <w:rPr>
          <w:spacing w:val="-30"/>
          <w:w w:val="95"/>
        </w:rPr>
        <w:t> </w:t>
      </w:r>
      <w:r>
        <w:rPr>
          <w:w w:val="95"/>
        </w:rPr>
        <w:t>por</w:t>
      </w:r>
      <w:r>
        <w:rPr>
          <w:spacing w:val="-29"/>
          <w:w w:val="95"/>
        </w:rPr>
        <w:t> </w:t>
      </w:r>
      <w:r>
        <w:rPr>
          <w:w w:val="95"/>
        </w:rPr>
        <w:t>enlaces</w:t>
      </w:r>
      <w:r>
        <w:rPr>
          <w:spacing w:val="-30"/>
          <w:w w:val="95"/>
        </w:rPr>
        <w:t> </w:t>
      </w:r>
      <w:r>
        <w:rPr>
          <w:w w:val="95"/>
        </w:rPr>
        <w:t>disulfuro</w:t>
      </w:r>
      <w:r>
        <w:rPr>
          <w:spacing w:val="-30"/>
          <w:w w:val="95"/>
        </w:rPr>
        <w:t> </w:t>
      </w:r>
      <w:r>
        <w:rPr>
          <w:w w:val="95"/>
        </w:rPr>
        <w:t>(Castellanos</w:t>
      </w:r>
      <w:r>
        <w:rPr>
          <w:spacing w:val="-30"/>
          <w:w w:val="95"/>
        </w:rPr>
        <w:t> </w:t>
      </w:r>
      <w:r>
        <w:rPr>
          <w:w w:val="95"/>
        </w:rPr>
        <w:t>et</w:t>
      </w:r>
      <w:r>
        <w:rPr>
          <w:spacing w:val="-30"/>
          <w:w w:val="95"/>
        </w:rPr>
        <w:t> </w:t>
      </w:r>
      <w:r>
        <w:rPr>
          <w:w w:val="95"/>
        </w:rPr>
        <w:t>al,</w:t>
      </w:r>
      <w:r>
        <w:rPr>
          <w:spacing w:val="-29"/>
          <w:w w:val="95"/>
        </w:rPr>
        <w:t> </w:t>
      </w:r>
      <w:r>
        <w:rPr>
          <w:w w:val="95"/>
        </w:rPr>
        <w:t>2002). La unidad alfa contiene 92 aminoácidos, mientras que la unidad beta posee 121 aminoácidos</w:t>
      </w:r>
      <w:r>
        <w:rPr>
          <w:spacing w:val="-4"/>
          <w:w w:val="95"/>
        </w:rPr>
        <w:t> </w:t>
      </w:r>
      <w:r>
        <w:rPr>
          <w:w w:val="95"/>
        </w:rPr>
        <w:t>que</w:t>
      </w:r>
      <w:r>
        <w:rPr>
          <w:spacing w:val="-6"/>
          <w:w w:val="95"/>
        </w:rPr>
        <w:t> </w:t>
      </w:r>
      <w:r>
        <w:rPr>
          <w:w w:val="95"/>
        </w:rPr>
        <w:t>le</w:t>
      </w:r>
      <w:r>
        <w:rPr>
          <w:spacing w:val="-4"/>
          <w:w w:val="95"/>
        </w:rPr>
        <w:t> </w:t>
      </w:r>
      <w:r>
        <w:rPr>
          <w:w w:val="95"/>
        </w:rPr>
        <w:t>confiere</w:t>
      </w:r>
      <w:r>
        <w:rPr>
          <w:spacing w:val="-4"/>
          <w:w w:val="95"/>
        </w:rPr>
        <w:t> </w:t>
      </w:r>
      <w:r>
        <w:rPr>
          <w:w w:val="95"/>
        </w:rPr>
        <w:t>su</w:t>
      </w:r>
      <w:r>
        <w:rPr>
          <w:spacing w:val="-6"/>
          <w:w w:val="95"/>
        </w:rPr>
        <w:t> </w:t>
      </w:r>
      <w:r>
        <w:rPr>
          <w:w w:val="95"/>
        </w:rPr>
        <w:t>función biológica</w:t>
      </w:r>
      <w:r>
        <w:rPr>
          <w:spacing w:val="-4"/>
          <w:w w:val="95"/>
        </w:rPr>
        <w:t> </w:t>
      </w:r>
      <w:r>
        <w:rPr>
          <w:w w:val="95"/>
        </w:rPr>
        <w:t>específica</w:t>
      </w:r>
      <w:r>
        <w:rPr>
          <w:spacing w:val="-4"/>
          <w:w w:val="95"/>
        </w:rPr>
        <w:t> </w:t>
      </w:r>
      <w:r>
        <w:rPr>
          <w:w w:val="95"/>
        </w:rPr>
        <w:t>y</w:t>
      </w:r>
      <w:r>
        <w:rPr>
          <w:spacing w:val="-4"/>
          <w:w w:val="95"/>
        </w:rPr>
        <w:t> </w:t>
      </w:r>
      <w:r>
        <w:rPr>
          <w:w w:val="95"/>
        </w:rPr>
        <w:t>es</w:t>
      </w:r>
      <w:r>
        <w:rPr>
          <w:spacing w:val="-6"/>
          <w:w w:val="95"/>
        </w:rPr>
        <w:t> </w:t>
      </w:r>
      <w:r>
        <w:rPr>
          <w:w w:val="95"/>
        </w:rPr>
        <w:t>la</w:t>
      </w:r>
      <w:r>
        <w:rPr>
          <w:spacing w:val="-4"/>
          <w:w w:val="95"/>
        </w:rPr>
        <w:t> </w:t>
      </w:r>
      <w:r>
        <w:rPr>
          <w:w w:val="95"/>
        </w:rPr>
        <w:t>responsable</w:t>
      </w:r>
      <w:r>
        <w:rPr>
          <w:spacing w:val="-4"/>
          <w:w w:val="95"/>
        </w:rPr>
        <w:t> </w:t>
      </w:r>
      <w:r>
        <w:rPr>
          <w:w w:val="95"/>
        </w:rPr>
        <w:t>de</w:t>
      </w:r>
      <w:r>
        <w:rPr>
          <w:spacing w:val="-6"/>
          <w:w w:val="95"/>
        </w:rPr>
        <w:t> </w:t>
      </w:r>
      <w:r>
        <w:rPr>
          <w:w w:val="95"/>
        </w:rPr>
        <w:t>la interacción</w:t>
      </w:r>
      <w:r>
        <w:rPr>
          <w:spacing w:val="-20"/>
          <w:w w:val="95"/>
        </w:rPr>
        <w:t> </w:t>
      </w:r>
      <w:r>
        <w:rPr>
          <w:w w:val="95"/>
        </w:rPr>
        <w:t>con</w:t>
      </w:r>
      <w:r>
        <w:rPr>
          <w:spacing w:val="-20"/>
          <w:w w:val="95"/>
        </w:rPr>
        <w:t> </w:t>
      </w:r>
      <w:r>
        <w:rPr>
          <w:w w:val="95"/>
        </w:rPr>
        <w:t>su</w:t>
      </w:r>
      <w:r>
        <w:rPr>
          <w:spacing w:val="-21"/>
          <w:w w:val="95"/>
        </w:rPr>
        <w:t> </w:t>
      </w:r>
      <w:r>
        <w:rPr>
          <w:w w:val="95"/>
        </w:rPr>
        <w:t>receptor</w:t>
      </w:r>
      <w:r>
        <w:rPr>
          <w:spacing w:val="-19"/>
          <w:w w:val="95"/>
        </w:rPr>
        <w:t> </w:t>
      </w:r>
      <w:r>
        <w:rPr>
          <w:w w:val="95"/>
        </w:rPr>
        <w:t>celular.</w:t>
      </w:r>
      <w:r>
        <w:rPr>
          <w:spacing w:val="-20"/>
          <w:w w:val="95"/>
        </w:rPr>
        <w:t> </w:t>
      </w:r>
      <w:r>
        <w:rPr>
          <w:w w:val="95"/>
        </w:rPr>
        <w:t>La</w:t>
      </w:r>
      <w:r>
        <w:rPr>
          <w:spacing w:val="-20"/>
          <w:w w:val="95"/>
        </w:rPr>
        <w:t> </w:t>
      </w:r>
      <w:r>
        <w:rPr>
          <w:w w:val="95"/>
        </w:rPr>
        <w:t>LH</w:t>
      </w:r>
      <w:r>
        <w:rPr>
          <w:spacing w:val="-20"/>
          <w:w w:val="95"/>
        </w:rPr>
        <w:t> </w:t>
      </w:r>
      <w:r>
        <w:rPr>
          <w:w w:val="95"/>
        </w:rPr>
        <w:t>estimula</w:t>
      </w:r>
      <w:r>
        <w:rPr>
          <w:spacing w:val="-20"/>
          <w:w w:val="95"/>
        </w:rPr>
        <w:t> </w:t>
      </w:r>
      <w:r>
        <w:rPr>
          <w:w w:val="95"/>
        </w:rPr>
        <w:t>a</w:t>
      </w:r>
      <w:r>
        <w:rPr>
          <w:spacing w:val="-20"/>
          <w:w w:val="95"/>
        </w:rPr>
        <w:t> </w:t>
      </w:r>
      <w:r>
        <w:rPr>
          <w:w w:val="95"/>
        </w:rPr>
        <w:t>las</w:t>
      </w:r>
      <w:r>
        <w:rPr>
          <w:spacing w:val="-20"/>
          <w:w w:val="95"/>
        </w:rPr>
        <w:t> </w:t>
      </w:r>
      <w:r>
        <w:rPr>
          <w:w w:val="95"/>
        </w:rPr>
        <w:t>células</w:t>
      </w:r>
      <w:r>
        <w:rPr>
          <w:spacing w:val="-20"/>
          <w:w w:val="95"/>
        </w:rPr>
        <w:t> </w:t>
      </w:r>
      <w:r>
        <w:rPr>
          <w:w w:val="95"/>
        </w:rPr>
        <w:t>de</w:t>
      </w:r>
      <w:r>
        <w:rPr>
          <w:spacing w:val="-20"/>
          <w:w w:val="95"/>
        </w:rPr>
        <w:t> </w:t>
      </w:r>
      <w:r>
        <w:rPr>
          <w:w w:val="95"/>
        </w:rPr>
        <w:t>Leydig</w:t>
      </w:r>
      <w:r>
        <w:rPr>
          <w:spacing w:val="-20"/>
          <w:w w:val="95"/>
        </w:rPr>
        <w:t> </w:t>
      </w:r>
      <w:r>
        <w:rPr>
          <w:w w:val="95"/>
        </w:rPr>
        <w:t>regulando</w:t>
      </w:r>
      <w:r>
        <w:rPr>
          <w:spacing w:val="-21"/>
          <w:w w:val="95"/>
        </w:rPr>
        <w:t> </w:t>
      </w:r>
      <w:r>
        <w:rPr>
          <w:w w:val="95"/>
        </w:rPr>
        <w:t>la producción</w:t>
      </w:r>
      <w:r>
        <w:rPr>
          <w:spacing w:val="-16"/>
          <w:w w:val="95"/>
        </w:rPr>
        <w:t> </w:t>
      </w:r>
      <w:r>
        <w:rPr>
          <w:w w:val="95"/>
        </w:rPr>
        <w:t>y</w:t>
      </w:r>
      <w:r>
        <w:rPr>
          <w:spacing w:val="-16"/>
          <w:w w:val="95"/>
        </w:rPr>
        <w:t> </w:t>
      </w:r>
      <w:r>
        <w:rPr>
          <w:w w:val="95"/>
        </w:rPr>
        <w:t>secreción</w:t>
      </w:r>
      <w:r>
        <w:rPr>
          <w:spacing w:val="-16"/>
          <w:w w:val="95"/>
        </w:rPr>
        <w:t> </w:t>
      </w:r>
      <w:r>
        <w:rPr>
          <w:w w:val="95"/>
        </w:rPr>
        <w:t>de</w:t>
      </w:r>
      <w:r>
        <w:rPr>
          <w:spacing w:val="-18"/>
          <w:w w:val="95"/>
        </w:rPr>
        <w:t> </w:t>
      </w:r>
      <w:r>
        <w:rPr>
          <w:w w:val="95"/>
        </w:rPr>
        <w:t>la</w:t>
      </w:r>
      <w:r>
        <w:rPr>
          <w:spacing w:val="-18"/>
          <w:w w:val="95"/>
        </w:rPr>
        <w:t> </w:t>
      </w:r>
      <w:r>
        <w:rPr>
          <w:w w:val="95"/>
        </w:rPr>
        <w:t>testosterona</w:t>
      </w:r>
      <w:r>
        <w:rPr>
          <w:spacing w:val="-18"/>
          <w:w w:val="95"/>
        </w:rPr>
        <w:t> </w:t>
      </w:r>
      <w:r>
        <w:rPr>
          <w:w w:val="95"/>
        </w:rPr>
        <w:t>(Louvet</w:t>
      </w:r>
      <w:r>
        <w:rPr>
          <w:spacing w:val="-16"/>
          <w:w w:val="95"/>
        </w:rPr>
        <w:t> </w:t>
      </w:r>
      <w:r>
        <w:rPr>
          <w:w w:val="95"/>
        </w:rPr>
        <w:t>et</w:t>
      </w:r>
      <w:r>
        <w:rPr>
          <w:spacing w:val="-16"/>
          <w:w w:val="95"/>
        </w:rPr>
        <w:t> </w:t>
      </w:r>
      <w:r>
        <w:rPr>
          <w:w w:val="95"/>
        </w:rPr>
        <w:t>al,</w:t>
      </w:r>
      <w:r>
        <w:rPr>
          <w:spacing w:val="-17"/>
          <w:w w:val="95"/>
        </w:rPr>
        <w:t> </w:t>
      </w:r>
      <w:r>
        <w:rPr>
          <w:w w:val="95"/>
        </w:rPr>
        <w:t>1975).</w:t>
      </w:r>
      <w:r>
        <w:rPr>
          <w:spacing w:val="-17"/>
          <w:w w:val="95"/>
        </w:rPr>
        <w:t> </w:t>
      </w:r>
      <w:r>
        <w:rPr>
          <w:w w:val="95"/>
        </w:rPr>
        <w:t>La</w:t>
      </w:r>
      <w:r>
        <w:rPr>
          <w:spacing w:val="-16"/>
          <w:w w:val="95"/>
        </w:rPr>
        <w:t> </w:t>
      </w:r>
      <w:r>
        <w:rPr>
          <w:w w:val="95"/>
        </w:rPr>
        <w:t>FSH</w:t>
      </w:r>
      <w:r>
        <w:rPr>
          <w:spacing w:val="-16"/>
          <w:w w:val="95"/>
        </w:rPr>
        <w:t> </w:t>
      </w:r>
      <w:r>
        <w:rPr>
          <w:w w:val="95"/>
        </w:rPr>
        <w:t>también</w:t>
      </w:r>
      <w:r>
        <w:rPr>
          <w:spacing w:val="-17"/>
          <w:w w:val="95"/>
        </w:rPr>
        <w:t> </w:t>
      </w:r>
      <w:r>
        <w:rPr>
          <w:w w:val="95"/>
        </w:rPr>
        <w:t>es</w:t>
      </w:r>
      <w:r>
        <w:rPr>
          <w:spacing w:val="-16"/>
          <w:w w:val="95"/>
        </w:rPr>
        <w:t> </w:t>
      </w:r>
      <w:r>
        <w:rPr>
          <w:w w:val="95"/>
        </w:rPr>
        <w:t>una glucoproteína,</w:t>
      </w:r>
      <w:r>
        <w:rPr>
          <w:spacing w:val="-27"/>
          <w:w w:val="95"/>
        </w:rPr>
        <w:t> </w:t>
      </w:r>
      <w:r>
        <w:rPr>
          <w:w w:val="95"/>
        </w:rPr>
        <w:t>que</w:t>
      </w:r>
      <w:r>
        <w:rPr>
          <w:spacing w:val="-26"/>
          <w:w w:val="95"/>
        </w:rPr>
        <w:t> </w:t>
      </w:r>
      <w:r>
        <w:rPr>
          <w:w w:val="95"/>
        </w:rPr>
        <w:t>es</w:t>
      </w:r>
      <w:r>
        <w:rPr>
          <w:spacing w:val="-26"/>
          <w:w w:val="95"/>
        </w:rPr>
        <w:t> </w:t>
      </w:r>
      <w:r>
        <w:rPr>
          <w:w w:val="95"/>
        </w:rPr>
        <w:t>sintetizada</w:t>
      </w:r>
      <w:r>
        <w:rPr>
          <w:spacing w:val="-23"/>
          <w:w w:val="95"/>
        </w:rPr>
        <w:t> </w:t>
      </w:r>
      <w:r>
        <w:rPr>
          <w:w w:val="95"/>
        </w:rPr>
        <w:t>en</w:t>
      </w:r>
      <w:r>
        <w:rPr>
          <w:spacing w:val="-27"/>
          <w:w w:val="95"/>
        </w:rPr>
        <w:t> </w:t>
      </w:r>
      <w:r>
        <w:rPr>
          <w:w w:val="95"/>
        </w:rPr>
        <w:t>la</w:t>
      </w:r>
      <w:r>
        <w:rPr>
          <w:spacing w:val="-26"/>
          <w:w w:val="95"/>
        </w:rPr>
        <w:t> </w:t>
      </w:r>
      <w:r>
        <w:rPr>
          <w:w w:val="95"/>
        </w:rPr>
        <w:t>hipófisis</w:t>
      </w:r>
      <w:r>
        <w:rPr>
          <w:spacing w:val="-28"/>
          <w:w w:val="95"/>
        </w:rPr>
        <w:t> </w:t>
      </w:r>
      <w:r>
        <w:rPr>
          <w:w w:val="95"/>
        </w:rPr>
        <w:t>anterior</w:t>
      </w:r>
      <w:r>
        <w:rPr>
          <w:spacing w:val="-26"/>
          <w:w w:val="95"/>
        </w:rPr>
        <w:t> </w:t>
      </w:r>
      <w:r>
        <w:rPr>
          <w:w w:val="95"/>
        </w:rPr>
        <w:t>y</w:t>
      </w:r>
      <w:r>
        <w:rPr>
          <w:spacing w:val="-26"/>
          <w:w w:val="95"/>
        </w:rPr>
        <w:t> </w:t>
      </w:r>
      <w:r>
        <w:rPr>
          <w:w w:val="95"/>
        </w:rPr>
        <w:t>actúa</w:t>
      </w:r>
      <w:r>
        <w:rPr>
          <w:spacing w:val="-26"/>
          <w:w w:val="95"/>
        </w:rPr>
        <w:t> </w:t>
      </w:r>
      <w:r>
        <w:rPr>
          <w:w w:val="95"/>
        </w:rPr>
        <w:t>en</w:t>
      </w:r>
      <w:r>
        <w:rPr>
          <w:spacing w:val="-27"/>
          <w:w w:val="95"/>
        </w:rPr>
        <w:t> </w:t>
      </w:r>
      <w:r>
        <w:rPr>
          <w:w w:val="95"/>
        </w:rPr>
        <w:t>las</w:t>
      </w:r>
      <w:r>
        <w:rPr>
          <w:spacing w:val="-26"/>
          <w:w w:val="95"/>
        </w:rPr>
        <w:t> </w:t>
      </w:r>
      <w:r>
        <w:rPr>
          <w:w w:val="95"/>
        </w:rPr>
        <w:t>células</w:t>
      </w:r>
      <w:r>
        <w:rPr>
          <w:spacing w:val="-26"/>
          <w:w w:val="95"/>
        </w:rPr>
        <w:t> </w:t>
      </w:r>
      <w:r>
        <w:rPr>
          <w:w w:val="95"/>
        </w:rPr>
        <w:t>de</w:t>
      </w:r>
      <w:r>
        <w:rPr>
          <w:spacing w:val="-26"/>
          <w:w w:val="95"/>
        </w:rPr>
        <w:t> </w:t>
      </w:r>
      <w:r>
        <w:rPr>
          <w:w w:val="95"/>
        </w:rPr>
        <w:t>Sertoli aumentando</w:t>
      </w:r>
      <w:r>
        <w:rPr>
          <w:spacing w:val="-27"/>
          <w:w w:val="95"/>
        </w:rPr>
        <w:t> </w:t>
      </w:r>
      <w:r>
        <w:rPr>
          <w:w w:val="95"/>
        </w:rPr>
        <w:t>la</w:t>
      </w:r>
      <w:r>
        <w:rPr>
          <w:spacing w:val="-27"/>
          <w:w w:val="95"/>
        </w:rPr>
        <w:t> </w:t>
      </w:r>
      <w:r>
        <w:rPr>
          <w:w w:val="95"/>
        </w:rPr>
        <w:t>producción</w:t>
      </w:r>
      <w:r>
        <w:rPr>
          <w:spacing w:val="-27"/>
          <w:w w:val="95"/>
        </w:rPr>
        <w:t> </w:t>
      </w:r>
      <w:r>
        <w:rPr>
          <w:w w:val="95"/>
        </w:rPr>
        <w:t>de</w:t>
      </w:r>
      <w:r>
        <w:rPr>
          <w:spacing w:val="-28"/>
          <w:w w:val="95"/>
        </w:rPr>
        <w:t> </w:t>
      </w:r>
      <w:r>
        <w:rPr>
          <w:w w:val="95"/>
        </w:rPr>
        <w:t>la</w:t>
      </w:r>
      <w:r>
        <w:rPr>
          <w:spacing w:val="-27"/>
          <w:w w:val="95"/>
        </w:rPr>
        <w:t> </w:t>
      </w:r>
      <w:r>
        <w:rPr>
          <w:w w:val="95"/>
        </w:rPr>
        <w:t>proteína</w:t>
      </w:r>
      <w:r>
        <w:rPr>
          <w:spacing w:val="-28"/>
          <w:w w:val="95"/>
        </w:rPr>
        <w:t> </w:t>
      </w:r>
      <w:r>
        <w:rPr>
          <w:w w:val="95"/>
        </w:rPr>
        <w:t>ligadora</w:t>
      </w:r>
      <w:r>
        <w:rPr>
          <w:spacing w:val="-27"/>
          <w:w w:val="95"/>
        </w:rPr>
        <w:t> </w:t>
      </w:r>
      <w:r>
        <w:rPr>
          <w:w w:val="95"/>
        </w:rPr>
        <w:t>de</w:t>
      </w:r>
      <w:r>
        <w:rPr>
          <w:spacing w:val="-27"/>
          <w:w w:val="95"/>
        </w:rPr>
        <w:t> </w:t>
      </w:r>
      <w:r>
        <w:rPr>
          <w:w w:val="95"/>
        </w:rPr>
        <w:t>andrógenos</w:t>
      </w:r>
      <w:r>
        <w:rPr>
          <w:spacing w:val="-27"/>
          <w:w w:val="95"/>
        </w:rPr>
        <w:t> </w:t>
      </w:r>
      <w:r>
        <w:rPr>
          <w:w w:val="95"/>
        </w:rPr>
        <w:t>que</w:t>
      </w:r>
      <w:r>
        <w:rPr>
          <w:spacing w:val="-27"/>
          <w:w w:val="95"/>
        </w:rPr>
        <w:t> </w:t>
      </w:r>
      <w:r>
        <w:rPr>
          <w:w w:val="95"/>
        </w:rPr>
        <w:t>se</w:t>
      </w:r>
      <w:r>
        <w:rPr>
          <w:spacing w:val="-27"/>
          <w:w w:val="95"/>
        </w:rPr>
        <w:t> </w:t>
      </w:r>
      <w:r>
        <w:rPr>
          <w:w w:val="95"/>
        </w:rPr>
        <w:t>conjuga</w:t>
      </w:r>
      <w:r>
        <w:rPr>
          <w:spacing w:val="-27"/>
          <w:w w:val="95"/>
        </w:rPr>
        <w:t> </w:t>
      </w:r>
      <w:r>
        <w:rPr>
          <w:w w:val="95"/>
        </w:rPr>
        <w:t>con</w:t>
      </w:r>
      <w:r>
        <w:rPr>
          <w:spacing w:val="-28"/>
          <w:w w:val="95"/>
        </w:rPr>
        <w:t> </w:t>
      </w:r>
      <w:r>
        <w:rPr>
          <w:w w:val="95"/>
        </w:rPr>
        <w:t>la testosterona en el inicio de la espermatogénesis, además da estimulo a las espermatogonias en el proceso de diferenciación celular (Hill et al, 2004). Durante la </w:t>
      </w:r>
      <w:r>
        <w:rPr>
          <w:w w:val="90"/>
        </w:rPr>
        <w:t>espermatogénesis las células de Sertoli juegan un papel importante tanto en el</w:t>
      </w:r>
      <w:r>
        <w:rPr>
          <w:spacing w:val="-38"/>
          <w:w w:val="90"/>
        </w:rPr>
        <w:t> </w:t>
      </w:r>
      <w:r>
        <w:rPr>
          <w:w w:val="90"/>
        </w:rPr>
        <w:t>desarrollo </w:t>
      </w:r>
      <w:r>
        <w:rPr>
          <w:w w:val="95"/>
        </w:rPr>
        <w:t>del</w:t>
      </w:r>
      <w:r>
        <w:rPr>
          <w:spacing w:val="-38"/>
          <w:w w:val="95"/>
        </w:rPr>
        <w:t> </w:t>
      </w:r>
      <w:r>
        <w:rPr>
          <w:w w:val="95"/>
        </w:rPr>
        <w:t>testículo</w:t>
      </w:r>
      <w:r>
        <w:rPr>
          <w:spacing w:val="-38"/>
          <w:w w:val="95"/>
        </w:rPr>
        <w:t> </w:t>
      </w:r>
      <w:r>
        <w:rPr>
          <w:w w:val="95"/>
        </w:rPr>
        <w:t>como</w:t>
      </w:r>
      <w:r>
        <w:rPr>
          <w:spacing w:val="-38"/>
          <w:w w:val="95"/>
        </w:rPr>
        <w:t> </w:t>
      </w:r>
      <w:r>
        <w:rPr>
          <w:w w:val="95"/>
        </w:rPr>
        <w:t>en</w:t>
      </w:r>
      <w:r>
        <w:rPr>
          <w:spacing w:val="-38"/>
          <w:w w:val="95"/>
        </w:rPr>
        <w:t> </w:t>
      </w:r>
      <w:r>
        <w:rPr>
          <w:w w:val="95"/>
        </w:rPr>
        <w:t>su</w:t>
      </w:r>
      <w:r>
        <w:rPr>
          <w:spacing w:val="-38"/>
          <w:w w:val="95"/>
        </w:rPr>
        <w:t> </w:t>
      </w:r>
      <w:r>
        <w:rPr>
          <w:w w:val="95"/>
        </w:rPr>
        <w:t>función,</w:t>
      </w:r>
      <w:r>
        <w:rPr>
          <w:spacing w:val="-38"/>
          <w:w w:val="95"/>
        </w:rPr>
        <w:t> </w:t>
      </w:r>
      <w:r>
        <w:rPr>
          <w:w w:val="95"/>
        </w:rPr>
        <w:t>estas</w:t>
      </w:r>
      <w:r>
        <w:rPr>
          <w:spacing w:val="-38"/>
          <w:w w:val="95"/>
        </w:rPr>
        <w:t> </w:t>
      </w:r>
      <w:r>
        <w:rPr>
          <w:w w:val="95"/>
        </w:rPr>
        <w:t>células</w:t>
      </w:r>
      <w:r>
        <w:rPr>
          <w:spacing w:val="-38"/>
          <w:w w:val="95"/>
        </w:rPr>
        <w:t> </w:t>
      </w:r>
      <w:r>
        <w:rPr>
          <w:w w:val="95"/>
        </w:rPr>
        <w:t>secretan</w:t>
      </w:r>
      <w:r>
        <w:rPr>
          <w:spacing w:val="-38"/>
          <w:w w:val="95"/>
        </w:rPr>
        <w:t> </w:t>
      </w:r>
      <w:r>
        <w:rPr>
          <w:w w:val="95"/>
        </w:rPr>
        <w:t>varias</w:t>
      </w:r>
      <w:r>
        <w:rPr>
          <w:spacing w:val="-38"/>
          <w:w w:val="95"/>
        </w:rPr>
        <w:t> </w:t>
      </w:r>
      <w:r>
        <w:rPr>
          <w:w w:val="95"/>
        </w:rPr>
        <w:t>proteínas</w:t>
      </w:r>
      <w:r>
        <w:rPr>
          <w:spacing w:val="-38"/>
          <w:w w:val="95"/>
        </w:rPr>
        <w:t> </w:t>
      </w:r>
      <w:r>
        <w:rPr>
          <w:w w:val="95"/>
        </w:rPr>
        <w:t>implicadas</w:t>
      </w:r>
      <w:r>
        <w:rPr>
          <w:spacing w:val="-38"/>
          <w:w w:val="95"/>
        </w:rPr>
        <w:t> </w:t>
      </w:r>
      <w:r>
        <w:rPr>
          <w:w w:val="95"/>
        </w:rPr>
        <w:t>en</w:t>
      </w:r>
      <w:r>
        <w:rPr>
          <w:spacing w:val="-38"/>
          <w:w w:val="95"/>
        </w:rPr>
        <w:t> </w:t>
      </w:r>
      <w:r>
        <w:rPr>
          <w:w w:val="95"/>
        </w:rPr>
        <w:t>la proliferación</w:t>
      </w:r>
      <w:r>
        <w:rPr>
          <w:spacing w:val="-21"/>
          <w:w w:val="95"/>
        </w:rPr>
        <w:t> </w:t>
      </w:r>
      <w:r>
        <w:rPr>
          <w:w w:val="95"/>
        </w:rPr>
        <w:t>y</w:t>
      </w:r>
      <w:r>
        <w:rPr>
          <w:spacing w:val="-21"/>
          <w:w w:val="95"/>
        </w:rPr>
        <w:t> </w:t>
      </w:r>
      <w:r>
        <w:rPr>
          <w:w w:val="95"/>
        </w:rPr>
        <w:t>el</w:t>
      </w:r>
      <w:r>
        <w:rPr>
          <w:spacing w:val="-21"/>
          <w:w w:val="95"/>
        </w:rPr>
        <w:t> </w:t>
      </w:r>
      <w:r>
        <w:rPr>
          <w:w w:val="95"/>
        </w:rPr>
        <w:t>metabolismo</w:t>
      </w:r>
      <w:r>
        <w:rPr>
          <w:spacing w:val="-21"/>
          <w:w w:val="95"/>
        </w:rPr>
        <w:t> </w:t>
      </w:r>
      <w:r>
        <w:rPr>
          <w:w w:val="95"/>
        </w:rPr>
        <w:t>de</w:t>
      </w:r>
      <w:r>
        <w:rPr>
          <w:spacing w:val="-22"/>
          <w:w w:val="95"/>
        </w:rPr>
        <w:t> </w:t>
      </w:r>
      <w:r>
        <w:rPr>
          <w:w w:val="95"/>
        </w:rPr>
        <w:t>las</w:t>
      </w:r>
      <w:r>
        <w:rPr>
          <w:spacing w:val="-21"/>
          <w:w w:val="95"/>
        </w:rPr>
        <w:t> </w:t>
      </w:r>
      <w:r>
        <w:rPr>
          <w:w w:val="95"/>
        </w:rPr>
        <w:t>células</w:t>
      </w:r>
      <w:r>
        <w:rPr>
          <w:spacing w:val="-21"/>
          <w:w w:val="95"/>
        </w:rPr>
        <w:t> </w:t>
      </w:r>
      <w:r>
        <w:rPr>
          <w:w w:val="95"/>
        </w:rPr>
        <w:t>germinales,</w:t>
      </w:r>
      <w:r>
        <w:rPr>
          <w:spacing w:val="-21"/>
          <w:w w:val="95"/>
        </w:rPr>
        <w:t> </w:t>
      </w:r>
      <w:r>
        <w:rPr>
          <w:w w:val="95"/>
        </w:rPr>
        <w:t>y</w:t>
      </w:r>
      <w:r>
        <w:rPr>
          <w:spacing w:val="-22"/>
          <w:w w:val="95"/>
        </w:rPr>
        <w:t> </w:t>
      </w:r>
      <w:r>
        <w:rPr>
          <w:w w:val="95"/>
        </w:rPr>
        <w:t>les</w:t>
      </w:r>
      <w:r>
        <w:rPr>
          <w:spacing w:val="-21"/>
          <w:w w:val="95"/>
        </w:rPr>
        <w:t> </w:t>
      </w:r>
      <w:r>
        <w:rPr>
          <w:w w:val="95"/>
        </w:rPr>
        <w:t>proporcionan</w:t>
      </w:r>
      <w:r>
        <w:rPr>
          <w:spacing w:val="-21"/>
          <w:w w:val="95"/>
        </w:rPr>
        <w:t> </w:t>
      </w:r>
      <w:r>
        <w:rPr>
          <w:w w:val="95"/>
        </w:rPr>
        <w:t>un</w:t>
      </w:r>
      <w:r>
        <w:rPr>
          <w:spacing w:val="-21"/>
          <w:w w:val="95"/>
        </w:rPr>
        <w:t> </w:t>
      </w:r>
      <w:r>
        <w:rPr>
          <w:w w:val="95"/>
        </w:rPr>
        <w:t>entorno </w:t>
      </w:r>
      <w:r>
        <w:rPr>
          <w:w w:val="90"/>
        </w:rPr>
        <w:t>adecuado</w:t>
      </w:r>
      <w:r>
        <w:rPr>
          <w:spacing w:val="-9"/>
          <w:w w:val="90"/>
        </w:rPr>
        <w:t> </w:t>
      </w:r>
      <w:r>
        <w:rPr>
          <w:w w:val="90"/>
        </w:rPr>
        <w:t>para</w:t>
      </w:r>
      <w:r>
        <w:rPr>
          <w:spacing w:val="-9"/>
          <w:w w:val="90"/>
        </w:rPr>
        <w:t> </w:t>
      </w:r>
      <w:r>
        <w:rPr>
          <w:w w:val="90"/>
        </w:rPr>
        <w:t>su</w:t>
      </w:r>
      <w:r>
        <w:rPr>
          <w:spacing w:val="-9"/>
          <w:w w:val="90"/>
        </w:rPr>
        <w:t> </w:t>
      </w:r>
      <w:r>
        <w:rPr>
          <w:w w:val="90"/>
        </w:rPr>
        <w:t>diferenciación</w:t>
      </w:r>
      <w:r>
        <w:rPr>
          <w:spacing w:val="-9"/>
          <w:w w:val="90"/>
        </w:rPr>
        <w:t> </w:t>
      </w:r>
      <w:r>
        <w:rPr>
          <w:w w:val="90"/>
        </w:rPr>
        <w:t>hacia</w:t>
      </w:r>
      <w:r>
        <w:rPr>
          <w:spacing w:val="-8"/>
          <w:w w:val="90"/>
        </w:rPr>
        <w:t> </w:t>
      </w:r>
      <w:r>
        <w:rPr>
          <w:w w:val="90"/>
        </w:rPr>
        <w:t>gametos</w:t>
      </w:r>
      <w:r>
        <w:rPr>
          <w:spacing w:val="-10"/>
          <w:w w:val="90"/>
        </w:rPr>
        <w:t> </w:t>
      </w:r>
      <w:r>
        <w:rPr>
          <w:w w:val="90"/>
        </w:rPr>
        <w:t>viables,</w:t>
      </w:r>
      <w:r>
        <w:rPr>
          <w:spacing w:val="-9"/>
          <w:w w:val="90"/>
        </w:rPr>
        <w:t> </w:t>
      </w:r>
      <w:r>
        <w:rPr>
          <w:w w:val="90"/>
        </w:rPr>
        <w:t>además</w:t>
      </w:r>
      <w:r>
        <w:rPr>
          <w:spacing w:val="-10"/>
          <w:w w:val="90"/>
        </w:rPr>
        <w:t> </w:t>
      </w:r>
      <w:r>
        <w:rPr>
          <w:w w:val="90"/>
        </w:rPr>
        <w:t>de</w:t>
      </w:r>
      <w:r>
        <w:rPr>
          <w:spacing w:val="-9"/>
          <w:w w:val="90"/>
        </w:rPr>
        <w:t> </w:t>
      </w:r>
      <w:r>
        <w:rPr>
          <w:w w:val="90"/>
        </w:rPr>
        <w:t>determinar</w:t>
      </w:r>
      <w:r>
        <w:rPr>
          <w:spacing w:val="-9"/>
          <w:w w:val="90"/>
        </w:rPr>
        <w:t> </w:t>
      </w:r>
      <w:r>
        <w:rPr>
          <w:w w:val="90"/>
        </w:rPr>
        <w:t>el</w:t>
      </w:r>
      <w:r>
        <w:rPr>
          <w:spacing w:val="-10"/>
          <w:w w:val="90"/>
        </w:rPr>
        <w:t> </w:t>
      </w:r>
      <w:r>
        <w:rPr>
          <w:w w:val="90"/>
        </w:rPr>
        <w:t>número </w:t>
      </w:r>
      <w:r>
        <w:rPr>
          <w:w w:val="95"/>
        </w:rPr>
        <w:t>de</w:t>
      </w:r>
      <w:r>
        <w:rPr>
          <w:spacing w:val="-21"/>
          <w:w w:val="95"/>
        </w:rPr>
        <w:t> </w:t>
      </w:r>
      <w:r>
        <w:rPr>
          <w:w w:val="95"/>
        </w:rPr>
        <w:t>los</w:t>
      </w:r>
      <w:r>
        <w:rPr>
          <w:spacing w:val="-20"/>
          <w:w w:val="95"/>
        </w:rPr>
        <w:t> </w:t>
      </w:r>
      <w:r>
        <w:rPr>
          <w:w w:val="95"/>
        </w:rPr>
        <w:t>espermatozoides</w:t>
      </w:r>
      <w:r>
        <w:rPr>
          <w:spacing w:val="-20"/>
          <w:w w:val="95"/>
        </w:rPr>
        <w:t> </w:t>
      </w:r>
      <w:r>
        <w:rPr>
          <w:w w:val="95"/>
        </w:rPr>
        <w:t>producidos</w:t>
      </w:r>
      <w:r>
        <w:rPr>
          <w:spacing w:val="-20"/>
          <w:w w:val="95"/>
        </w:rPr>
        <w:t> </w:t>
      </w:r>
      <w:r>
        <w:rPr>
          <w:w w:val="95"/>
        </w:rPr>
        <w:t>(Griswold,</w:t>
      </w:r>
      <w:r>
        <w:rPr>
          <w:spacing w:val="-20"/>
          <w:w w:val="95"/>
        </w:rPr>
        <w:t> </w:t>
      </w:r>
      <w:r>
        <w:rPr>
          <w:w w:val="95"/>
        </w:rPr>
        <w:t>1988;</w:t>
      </w:r>
      <w:r>
        <w:rPr>
          <w:spacing w:val="-20"/>
          <w:w w:val="95"/>
        </w:rPr>
        <w:t> </w:t>
      </w:r>
      <w:r>
        <w:rPr>
          <w:w w:val="95"/>
        </w:rPr>
        <w:t>Skinner,</w:t>
      </w:r>
      <w:r>
        <w:rPr>
          <w:spacing w:val="-20"/>
          <w:w w:val="95"/>
        </w:rPr>
        <w:t> </w:t>
      </w:r>
      <w:r>
        <w:rPr>
          <w:w w:val="95"/>
        </w:rPr>
        <w:t>1991;</w:t>
      </w:r>
      <w:r>
        <w:rPr>
          <w:spacing w:val="-20"/>
          <w:w w:val="95"/>
        </w:rPr>
        <w:t> </w:t>
      </w:r>
      <w:r>
        <w:rPr>
          <w:w w:val="95"/>
        </w:rPr>
        <w:t>Jégou,</w:t>
      </w:r>
      <w:r>
        <w:rPr>
          <w:spacing w:val="-20"/>
          <w:w w:val="95"/>
        </w:rPr>
        <w:t> </w:t>
      </w:r>
      <w:r>
        <w:rPr>
          <w:w w:val="95"/>
        </w:rPr>
        <w:t>1993).</w:t>
      </w:r>
      <w:r>
        <w:rPr>
          <w:spacing w:val="-20"/>
          <w:w w:val="95"/>
        </w:rPr>
        <w:t> </w:t>
      </w:r>
      <w:r>
        <w:rPr>
          <w:w w:val="95"/>
        </w:rPr>
        <w:t>Las hormonas esteroides tienen un papel importante dentro de la espermatogénesis,  </w:t>
      </w:r>
      <w:r>
        <w:rPr>
          <w:spacing w:val="8"/>
          <w:w w:val="95"/>
        </w:rPr>
        <w:t> </w:t>
      </w:r>
      <w:r>
        <w:rPr>
          <w:w w:val="95"/>
        </w:rPr>
        <w:t>la</w:t>
      </w:r>
    </w:p>
    <w:p>
      <w:pPr>
        <w:pStyle w:val="BodyText"/>
        <w:spacing w:before="5"/>
        <w:ind w:left="265"/>
        <w:jc w:val="both"/>
      </w:pPr>
      <w:r>
        <w:rPr>
          <w:w w:val="90"/>
        </w:rPr>
        <w:t>testosterona proveniente del precursor progesterona producida en el ciclo del   colesterol</w:t>
      </w:r>
    </w:p>
    <w:p>
      <w:pPr>
        <w:spacing w:after="0"/>
        <w:jc w:val="both"/>
        <w:sectPr>
          <w:pgSz w:w="12240" w:h="15840"/>
          <w:pgMar w:header="0" w:footer="162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8"/>
        <w:jc w:val="both"/>
      </w:pPr>
      <w:r>
        <w:rPr>
          <w:w w:val="95"/>
        </w:rPr>
        <w:t>(Labrie et al, 2001) en este se da la intervención catalizadora de la enzima </w:t>
      </w:r>
      <w:r>
        <w:rPr>
          <w:spacing w:val="6"/>
          <w:w w:val="95"/>
        </w:rPr>
        <w:t>3-β </w:t>
      </w:r>
      <w:r>
        <w:rPr>
          <w:w w:val="90"/>
        </w:rPr>
        <w:t>hidroxiesteroide</w:t>
      </w:r>
      <w:r>
        <w:rPr>
          <w:spacing w:val="-19"/>
          <w:w w:val="90"/>
        </w:rPr>
        <w:t> </w:t>
      </w:r>
      <w:r>
        <w:rPr>
          <w:w w:val="90"/>
        </w:rPr>
        <w:t>deshidrogenasa</w:t>
      </w:r>
      <w:r>
        <w:rPr>
          <w:spacing w:val="-20"/>
          <w:w w:val="90"/>
        </w:rPr>
        <w:t> </w:t>
      </w:r>
      <w:r>
        <w:rPr>
          <w:w w:val="90"/>
        </w:rPr>
        <w:t>(3βHSD),</w:t>
      </w:r>
      <w:r>
        <w:rPr>
          <w:spacing w:val="-20"/>
          <w:w w:val="90"/>
        </w:rPr>
        <w:t> </w:t>
      </w:r>
      <w:r>
        <w:rPr>
          <w:w w:val="90"/>
        </w:rPr>
        <w:t>esta</w:t>
      </w:r>
      <w:r>
        <w:rPr>
          <w:spacing w:val="-20"/>
          <w:w w:val="90"/>
        </w:rPr>
        <w:t> </w:t>
      </w:r>
      <w:r>
        <w:rPr>
          <w:w w:val="90"/>
        </w:rPr>
        <w:t>producción</w:t>
      </w:r>
      <w:r>
        <w:rPr>
          <w:spacing w:val="-19"/>
          <w:w w:val="90"/>
        </w:rPr>
        <w:t> </w:t>
      </w:r>
      <w:r>
        <w:rPr>
          <w:w w:val="90"/>
        </w:rPr>
        <w:t>de</w:t>
      </w:r>
      <w:r>
        <w:rPr>
          <w:spacing w:val="-20"/>
          <w:w w:val="90"/>
        </w:rPr>
        <w:t> </w:t>
      </w:r>
      <w:r>
        <w:rPr>
          <w:w w:val="90"/>
        </w:rPr>
        <w:t>testosterona</w:t>
      </w:r>
      <w:r>
        <w:rPr>
          <w:spacing w:val="-20"/>
          <w:w w:val="90"/>
        </w:rPr>
        <w:t> </w:t>
      </w:r>
      <w:r>
        <w:rPr>
          <w:w w:val="90"/>
        </w:rPr>
        <w:t>se</w:t>
      </w:r>
      <w:r>
        <w:rPr>
          <w:spacing w:val="-20"/>
          <w:w w:val="90"/>
        </w:rPr>
        <w:t> </w:t>
      </w:r>
      <w:r>
        <w:rPr>
          <w:w w:val="90"/>
        </w:rPr>
        <w:t>lleva</w:t>
      </w:r>
      <w:r>
        <w:rPr>
          <w:spacing w:val="-20"/>
          <w:w w:val="90"/>
        </w:rPr>
        <w:t> </w:t>
      </w:r>
      <w:r>
        <w:rPr>
          <w:w w:val="90"/>
        </w:rPr>
        <w:t>a</w:t>
      </w:r>
      <w:r>
        <w:rPr>
          <w:spacing w:val="-19"/>
          <w:w w:val="90"/>
        </w:rPr>
        <w:t> </w:t>
      </w:r>
      <w:r>
        <w:rPr>
          <w:w w:val="90"/>
        </w:rPr>
        <w:t>cabo </w:t>
      </w:r>
      <w:r>
        <w:rPr>
          <w:w w:val="95"/>
        </w:rPr>
        <w:t>en</w:t>
      </w:r>
      <w:r>
        <w:rPr>
          <w:spacing w:val="-24"/>
          <w:w w:val="95"/>
        </w:rPr>
        <w:t> </w:t>
      </w:r>
      <w:r>
        <w:rPr>
          <w:w w:val="95"/>
        </w:rPr>
        <w:t>las</w:t>
      </w:r>
      <w:r>
        <w:rPr>
          <w:spacing w:val="-23"/>
          <w:w w:val="95"/>
        </w:rPr>
        <w:t> </w:t>
      </w:r>
      <w:r>
        <w:rPr>
          <w:w w:val="95"/>
        </w:rPr>
        <w:t>células</w:t>
      </w:r>
      <w:r>
        <w:rPr>
          <w:spacing w:val="-23"/>
          <w:w w:val="95"/>
        </w:rPr>
        <w:t> </w:t>
      </w:r>
      <w:r>
        <w:rPr>
          <w:w w:val="95"/>
        </w:rPr>
        <w:t>de</w:t>
      </w:r>
      <w:r>
        <w:rPr>
          <w:spacing w:val="-24"/>
          <w:w w:val="95"/>
        </w:rPr>
        <w:t> </w:t>
      </w:r>
      <w:r>
        <w:rPr>
          <w:w w:val="95"/>
        </w:rPr>
        <w:t>Leydig</w:t>
      </w:r>
      <w:r>
        <w:rPr>
          <w:spacing w:val="-24"/>
          <w:w w:val="95"/>
        </w:rPr>
        <w:t> </w:t>
      </w:r>
      <w:r>
        <w:rPr>
          <w:w w:val="95"/>
        </w:rPr>
        <w:t>que</w:t>
      </w:r>
      <w:r>
        <w:rPr>
          <w:spacing w:val="-24"/>
          <w:w w:val="95"/>
        </w:rPr>
        <w:t> </w:t>
      </w:r>
      <w:r>
        <w:rPr>
          <w:w w:val="95"/>
        </w:rPr>
        <w:t>son</w:t>
      </w:r>
      <w:r>
        <w:rPr>
          <w:spacing w:val="-23"/>
          <w:w w:val="95"/>
        </w:rPr>
        <w:t> </w:t>
      </w:r>
      <w:r>
        <w:rPr>
          <w:w w:val="95"/>
        </w:rPr>
        <w:t>estimuladas</w:t>
      </w:r>
      <w:r>
        <w:rPr>
          <w:spacing w:val="-23"/>
          <w:w w:val="95"/>
        </w:rPr>
        <w:t> </w:t>
      </w:r>
      <w:r>
        <w:rPr>
          <w:w w:val="95"/>
        </w:rPr>
        <w:t>por</w:t>
      </w:r>
      <w:r>
        <w:rPr>
          <w:spacing w:val="-23"/>
          <w:w w:val="95"/>
        </w:rPr>
        <w:t> </w:t>
      </w:r>
      <w:r>
        <w:rPr>
          <w:w w:val="95"/>
        </w:rPr>
        <w:t>la</w:t>
      </w:r>
      <w:r>
        <w:rPr>
          <w:spacing w:val="-23"/>
          <w:w w:val="95"/>
        </w:rPr>
        <w:t> </w:t>
      </w:r>
      <w:r>
        <w:rPr>
          <w:w w:val="95"/>
        </w:rPr>
        <w:t>LH.</w:t>
      </w:r>
      <w:r>
        <w:rPr>
          <w:spacing w:val="-23"/>
          <w:w w:val="95"/>
        </w:rPr>
        <w:t> </w:t>
      </w:r>
      <w:r>
        <w:rPr>
          <w:w w:val="95"/>
        </w:rPr>
        <w:t>A</w:t>
      </w:r>
      <w:r>
        <w:rPr>
          <w:spacing w:val="-24"/>
          <w:w w:val="95"/>
        </w:rPr>
        <w:t> </w:t>
      </w:r>
      <w:r>
        <w:rPr>
          <w:w w:val="95"/>
        </w:rPr>
        <w:t>su</w:t>
      </w:r>
      <w:r>
        <w:rPr>
          <w:spacing w:val="-24"/>
          <w:w w:val="95"/>
        </w:rPr>
        <w:t> </w:t>
      </w:r>
      <w:r>
        <w:rPr>
          <w:w w:val="95"/>
        </w:rPr>
        <w:t>vez</w:t>
      </w:r>
      <w:r>
        <w:rPr>
          <w:spacing w:val="-24"/>
          <w:w w:val="95"/>
        </w:rPr>
        <w:t> </w:t>
      </w:r>
      <w:r>
        <w:rPr>
          <w:w w:val="95"/>
        </w:rPr>
        <w:t>la</w:t>
      </w:r>
      <w:r>
        <w:rPr>
          <w:spacing w:val="-23"/>
          <w:w w:val="95"/>
        </w:rPr>
        <w:t> </w:t>
      </w:r>
      <w:r>
        <w:rPr>
          <w:w w:val="95"/>
        </w:rPr>
        <w:t>FSH</w:t>
      </w:r>
      <w:r>
        <w:rPr>
          <w:spacing w:val="-23"/>
          <w:w w:val="95"/>
        </w:rPr>
        <w:t> </w:t>
      </w:r>
      <w:r>
        <w:rPr>
          <w:w w:val="95"/>
        </w:rPr>
        <w:t>tiene</w:t>
      </w:r>
      <w:r>
        <w:rPr>
          <w:spacing w:val="-24"/>
          <w:w w:val="95"/>
        </w:rPr>
        <w:t> </w:t>
      </w:r>
      <w:r>
        <w:rPr>
          <w:w w:val="95"/>
        </w:rPr>
        <w:t>influencia sobre</w:t>
      </w:r>
      <w:r>
        <w:rPr>
          <w:spacing w:val="-4"/>
          <w:w w:val="95"/>
        </w:rPr>
        <w:t> </w:t>
      </w:r>
      <w:r>
        <w:rPr>
          <w:w w:val="95"/>
        </w:rPr>
        <w:t>las</w:t>
      </w:r>
      <w:r>
        <w:rPr>
          <w:spacing w:val="-4"/>
          <w:w w:val="95"/>
        </w:rPr>
        <w:t> </w:t>
      </w:r>
      <w:r>
        <w:rPr>
          <w:w w:val="95"/>
        </w:rPr>
        <w:t>células</w:t>
      </w:r>
      <w:r>
        <w:rPr>
          <w:spacing w:val="-4"/>
          <w:w w:val="95"/>
        </w:rPr>
        <w:t> </w:t>
      </w:r>
      <w:r>
        <w:rPr>
          <w:w w:val="95"/>
        </w:rPr>
        <w:t>de</w:t>
      </w:r>
      <w:r>
        <w:rPr>
          <w:spacing w:val="-4"/>
          <w:w w:val="95"/>
        </w:rPr>
        <w:t> </w:t>
      </w:r>
      <w:r>
        <w:rPr>
          <w:w w:val="95"/>
        </w:rPr>
        <w:t>Sertoli</w:t>
      </w:r>
      <w:r>
        <w:rPr>
          <w:spacing w:val="-4"/>
          <w:w w:val="95"/>
        </w:rPr>
        <w:t> </w:t>
      </w:r>
      <w:r>
        <w:rPr>
          <w:w w:val="95"/>
        </w:rPr>
        <w:t>para</w:t>
      </w:r>
      <w:r>
        <w:rPr>
          <w:spacing w:val="-3"/>
          <w:w w:val="95"/>
        </w:rPr>
        <w:t> </w:t>
      </w:r>
      <w:r>
        <w:rPr>
          <w:w w:val="95"/>
        </w:rPr>
        <w:t>la</w:t>
      </w:r>
      <w:r>
        <w:rPr>
          <w:spacing w:val="-4"/>
          <w:w w:val="95"/>
        </w:rPr>
        <w:t> </w:t>
      </w:r>
      <w:r>
        <w:rPr>
          <w:w w:val="95"/>
        </w:rPr>
        <w:t>producción</w:t>
      </w:r>
      <w:r>
        <w:rPr>
          <w:spacing w:val="-4"/>
          <w:w w:val="95"/>
        </w:rPr>
        <w:t> </w:t>
      </w:r>
      <w:r>
        <w:rPr>
          <w:w w:val="95"/>
        </w:rPr>
        <w:t>de</w:t>
      </w:r>
      <w:r>
        <w:rPr>
          <w:spacing w:val="-5"/>
          <w:w w:val="95"/>
        </w:rPr>
        <w:t> </w:t>
      </w:r>
      <w:r>
        <w:rPr>
          <w:w w:val="95"/>
        </w:rPr>
        <w:t>la</w:t>
      </w:r>
      <w:r>
        <w:rPr>
          <w:spacing w:val="-4"/>
          <w:w w:val="95"/>
        </w:rPr>
        <w:t> </w:t>
      </w:r>
      <w:r>
        <w:rPr>
          <w:w w:val="95"/>
        </w:rPr>
        <w:t>proteína</w:t>
      </w:r>
      <w:r>
        <w:rPr>
          <w:spacing w:val="-4"/>
          <w:w w:val="95"/>
        </w:rPr>
        <w:t> </w:t>
      </w:r>
      <w:r>
        <w:rPr>
          <w:w w:val="95"/>
        </w:rPr>
        <w:t>ligadora</w:t>
      </w:r>
      <w:r>
        <w:rPr>
          <w:spacing w:val="-4"/>
          <w:w w:val="95"/>
        </w:rPr>
        <w:t> </w:t>
      </w:r>
      <w:r>
        <w:rPr>
          <w:w w:val="95"/>
        </w:rPr>
        <w:t>de</w:t>
      </w:r>
      <w:r>
        <w:rPr>
          <w:spacing w:val="-4"/>
          <w:w w:val="95"/>
        </w:rPr>
        <w:t> </w:t>
      </w:r>
      <w:r>
        <w:rPr>
          <w:w w:val="95"/>
        </w:rPr>
        <w:t>andrógenos (ABP), esta dirige </w:t>
      </w:r>
      <w:r>
        <w:rPr>
          <w:spacing w:val="2"/>
          <w:w w:val="95"/>
        </w:rPr>
        <w:t>el </w:t>
      </w:r>
      <w:r>
        <w:rPr>
          <w:w w:val="95"/>
        </w:rPr>
        <w:t>transporte de andrógenos testiculares para que lleve a cabo el desarrollo</w:t>
      </w:r>
      <w:r>
        <w:rPr>
          <w:spacing w:val="-29"/>
          <w:w w:val="95"/>
        </w:rPr>
        <w:t> </w:t>
      </w:r>
      <w:r>
        <w:rPr>
          <w:w w:val="95"/>
        </w:rPr>
        <w:t>de</w:t>
      </w:r>
      <w:r>
        <w:rPr>
          <w:spacing w:val="-29"/>
          <w:w w:val="95"/>
        </w:rPr>
        <w:t> </w:t>
      </w:r>
      <w:r>
        <w:rPr>
          <w:w w:val="95"/>
        </w:rPr>
        <w:t>la</w:t>
      </w:r>
      <w:r>
        <w:rPr>
          <w:spacing w:val="-29"/>
          <w:w w:val="95"/>
        </w:rPr>
        <w:t> </w:t>
      </w:r>
      <w:r>
        <w:rPr>
          <w:w w:val="95"/>
        </w:rPr>
        <w:t>espermatogénesis,</w:t>
      </w:r>
      <w:r>
        <w:rPr>
          <w:spacing w:val="-29"/>
          <w:w w:val="95"/>
        </w:rPr>
        <w:t> </w:t>
      </w:r>
      <w:r>
        <w:rPr>
          <w:w w:val="95"/>
        </w:rPr>
        <w:t>en</w:t>
      </w:r>
      <w:r>
        <w:rPr>
          <w:spacing w:val="-29"/>
          <w:w w:val="95"/>
        </w:rPr>
        <w:t> </w:t>
      </w:r>
      <w:r>
        <w:rPr>
          <w:w w:val="95"/>
        </w:rPr>
        <w:t>el</w:t>
      </w:r>
      <w:r>
        <w:rPr>
          <w:spacing w:val="-29"/>
          <w:w w:val="95"/>
        </w:rPr>
        <w:t> </w:t>
      </w:r>
      <w:r>
        <w:rPr>
          <w:w w:val="95"/>
        </w:rPr>
        <w:t>núcleo</w:t>
      </w:r>
      <w:r>
        <w:rPr>
          <w:spacing w:val="-29"/>
          <w:w w:val="95"/>
        </w:rPr>
        <w:t> </w:t>
      </w:r>
      <w:r>
        <w:rPr>
          <w:w w:val="95"/>
        </w:rPr>
        <w:t>de</w:t>
      </w:r>
      <w:r>
        <w:rPr>
          <w:spacing w:val="-29"/>
          <w:w w:val="95"/>
        </w:rPr>
        <w:t> </w:t>
      </w:r>
      <w:r>
        <w:rPr>
          <w:w w:val="95"/>
        </w:rPr>
        <w:t>las</w:t>
      </w:r>
      <w:r>
        <w:rPr>
          <w:spacing w:val="-29"/>
          <w:w w:val="95"/>
        </w:rPr>
        <w:t> </w:t>
      </w:r>
      <w:r>
        <w:rPr>
          <w:w w:val="95"/>
        </w:rPr>
        <w:t>células</w:t>
      </w:r>
      <w:r>
        <w:rPr>
          <w:spacing w:val="-29"/>
          <w:w w:val="95"/>
        </w:rPr>
        <w:t> </w:t>
      </w:r>
      <w:r>
        <w:rPr>
          <w:w w:val="95"/>
        </w:rPr>
        <w:t>de</w:t>
      </w:r>
      <w:r>
        <w:rPr>
          <w:spacing w:val="-29"/>
          <w:w w:val="95"/>
        </w:rPr>
        <w:t> </w:t>
      </w:r>
      <w:r>
        <w:rPr>
          <w:w w:val="95"/>
        </w:rPr>
        <w:t>Sertoli</w:t>
      </w:r>
      <w:r>
        <w:rPr>
          <w:spacing w:val="-30"/>
          <w:w w:val="95"/>
        </w:rPr>
        <w:t> </w:t>
      </w:r>
      <w:r>
        <w:rPr>
          <w:w w:val="95"/>
        </w:rPr>
        <w:t>se</w:t>
      </w:r>
      <w:r>
        <w:rPr>
          <w:spacing w:val="-29"/>
          <w:w w:val="95"/>
        </w:rPr>
        <w:t> </w:t>
      </w:r>
      <w:r>
        <w:rPr>
          <w:w w:val="95"/>
        </w:rPr>
        <w:t>encuentra</w:t>
      </w:r>
      <w:r>
        <w:rPr>
          <w:spacing w:val="-29"/>
          <w:w w:val="95"/>
        </w:rPr>
        <w:t> </w:t>
      </w:r>
      <w:r>
        <w:rPr>
          <w:w w:val="95"/>
        </w:rPr>
        <w:t>el </w:t>
      </w:r>
      <w:r>
        <w:rPr>
          <w:w w:val="90"/>
        </w:rPr>
        <w:t>receptor</w:t>
      </w:r>
      <w:r>
        <w:rPr>
          <w:spacing w:val="-14"/>
          <w:w w:val="90"/>
        </w:rPr>
        <w:t> </w:t>
      </w:r>
      <w:r>
        <w:rPr>
          <w:w w:val="90"/>
        </w:rPr>
        <w:t>de</w:t>
      </w:r>
      <w:r>
        <w:rPr>
          <w:spacing w:val="-15"/>
          <w:w w:val="90"/>
        </w:rPr>
        <w:t> </w:t>
      </w:r>
      <w:r>
        <w:rPr>
          <w:w w:val="90"/>
        </w:rPr>
        <w:t>andrógenos</w:t>
      </w:r>
      <w:r>
        <w:rPr>
          <w:spacing w:val="-17"/>
          <w:w w:val="90"/>
        </w:rPr>
        <w:t> </w:t>
      </w:r>
      <w:r>
        <w:rPr>
          <w:w w:val="90"/>
        </w:rPr>
        <w:t>(AR)</w:t>
      </w:r>
      <w:r>
        <w:rPr>
          <w:spacing w:val="-13"/>
          <w:w w:val="90"/>
        </w:rPr>
        <w:t> </w:t>
      </w:r>
      <w:r>
        <w:rPr>
          <w:w w:val="90"/>
        </w:rPr>
        <w:t>que</w:t>
      </w:r>
      <w:r>
        <w:rPr>
          <w:spacing w:val="-15"/>
          <w:w w:val="90"/>
        </w:rPr>
        <w:t> </w:t>
      </w:r>
      <w:r>
        <w:rPr>
          <w:w w:val="90"/>
        </w:rPr>
        <w:t>es</w:t>
      </w:r>
      <w:r>
        <w:rPr>
          <w:spacing w:val="-15"/>
          <w:w w:val="90"/>
        </w:rPr>
        <w:t> </w:t>
      </w:r>
      <w:r>
        <w:rPr>
          <w:w w:val="90"/>
        </w:rPr>
        <w:t>el</w:t>
      </w:r>
      <w:r>
        <w:rPr>
          <w:spacing w:val="-15"/>
          <w:w w:val="90"/>
        </w:rPr>
        <w:t> </w:t>
      </w:r>
      <w:r>
        <w:rPr>
          <w:w w:val="90"/>
        </w:rPr>
        <w:t>encargado</w:t>
      </w:r>
      <w:r>
        <w:rPr>
          <w:spacing w:val="-15"/>
          <w:w w:val="90"/>
        </w:rPr>
        <w:t> </w:t>
      </w:r>
      <w:r>
        <w:rPr>
          <w:w w:val="90"/>
        </w:rPr>
        <w:t>de</w:t>
      </w:r>
      <w:r>
        <w:rPr>
          <w:spacing w:val="-15"/>
          <w:w w:val="90"/>
        </w:rPr>
        <w:t> </w:t>
      </w:r>
      <w:r>
        <w:rPr>
          <w:w w:val="90"/>
        </w:rPr>
        <w:t>mediar</w:t>
      </w:r>
      <w:r>
        <w:rPr>
          <w:spacing w:val="-16"/>
          <w:w w:val="90"/>
        </w:rPr>
        <w:t> </w:t>
      </w:r>
      <w:r>
        <w:rPr>
          <w:w w:val="90"/>
        </w:rPr>
        <w:t>los</w:t>
      </w:r>
      <w:r>
        <w:rPr>
          <w:spacing w:val="-15"/>
          <w:w w:val="90"/>
        </w:rPr>
        <w:t> </w:t>
      </w:r>
      <w:r>
        <w:rPr>
          <w:w w:val="90"/>
        </w:rPr>
        <w:t>mecanismos</w:t>
      </w:r>
      <w:r>
        <w:rPr>
          <w:spacing w:val="-15"/>
          <w:w w:val="90"/>
        </w:rPr>
        <w:t> </w:t>
      </w:r>
      <w:r>
        <w:rPr>
          <w:w w:val="90"/>
        </w:rPr>
        <w:t>de</w:t>
      </w:r>
      <w:r>
        <w:rPr>
          <w:spacing w:val="-15"/>
          <w:w w:val="90"/>
        </w:rPr>
        <w:t> </w:t>
      </w:r>
      <w:r>
        <w:rPr>
          <w:w w:val="90"/>
        </w:rPr>
        <w:t>acción</w:t>
      </w:r>
      <w:r>
        <w:rPr>
          <w:spacing w:val="-15"/>
          <w:w w:val="90"/>
        </w:rPr>
        <w:t> </w:t>
      </w:r>
      <w:r>
        <w:rPr>
          <w:w w:val="90"/>
        </w:rPr>
        <w:t>de </w:t>
      </w:r>
      <w:r>
        <w:rPr>
          <w:w w:val="95"/>
        </w:rPr>
        <w:t>las</w:t>
      </w:r>
      <w:r>
        <w:rPr>
          <w:spacing w:val="-19"/>
          <w:w w:val="95"/>
        </w:rPr>
        <w:t> </w:t>
      </w:r>
      <w:r>
        <w:rPr>
          <w:w w:val="95"/>
        </w:rPr>
        <w:t>hormonas</w:t>
      </w:r>
      <w:r>
        <w:rPr>
          <w:spacing w:val="-20"/>
          <w:w w:val="95"/>
        </w:rPr>
        <w:t> </w:t>
      </w:r>
      <w:r>
        <w:rPr>
          <w:w w:val="95"/>
        </w:rPr>
        <w:t>esteroides</w:t>
      </w:r>
      <w:r>
        <w:rPr>
          <w:spacing w:val="-19"/>
          <w:w w:val="95"/>
        </w:rPr>
        <w:t> </w:t>
      </w:r>
      <w:r>
        <w:rPr>
          <w:w w:val="95"/>
        </w:rPr>
        <w:t>durante</w:t>
      </w:r>
      <w:r>
        <w:rPr>
          <w:spacing w:val="-19"/>
          <w:w w:val="95"/>
        </w:rPr>
        <w:t> </w:t>
      </w:r>
      <w:r>
        <w:rPr>
          <w:w w:val="95"/>
        </w:rPr>
        <w:t>la</w:t>
      </w:r>
      <w:r>
        <w:rPr>
          <w:spacing w:val="-19"/>
          <w:w w:val="95"/>
        </w:rPr>
        <w:t> </w:t>
      </w:r>
      <w:r>
        <w:rPr>
          <w:w w:val="95"/>
        </w:rPr>
        <w:t>espermatogénesis,</w:t>
      </w:r>
      <w:r>
        <w:rPr>
          <w:spacing w:val="-19"/>
          <w:w w:val="95"/>
        </w:rPr>
        <w:t> </w:t>
      </w:r>
      <w:r>
        <w:rPr>
          <w:w w:val="95"/>
        </w:rPr>
        <w:t>su</w:t>
      </w:r>
      <w:r>
        <w:rPr>
          <w:spacing w:val="-20"/>
          <w:w w:val="95"/>
        </w:rPr>
        <w:t> </w:t>
      </w:r>
      <w:r>
        <w:rPr>
          <w:w w:val="95"/>
        </w:rPr>
        <w:t>función</w:t>
      </w:r>
      <w:r>
        <w:rPr>
          <w:spacing w:val="-19"/>
          <w:w w:val="95"/>
        </w:rPr>
        <w:t> </w:t>
      </w:r>
      <w:r>
        <w:rPr>
          <w:w w:val="95"/>
        </w:rPr>
        <w:t>es</w:t>
      </w:r>
      <w:r>
        <w:rPr>
          <w:spacing w:val="-19"/>
          <w:w w:val="95"/>
        </w:rPr>
        <w:t> </w:t>
      </w:r>
      <w:r>
        <w:rPr>
          <w:w w:val="95"/>
        </w:rPr>
        <w:t>la</w:t>
      </w:r>
      <w:r>
        <w:rPr>
          <w:spacing w:val="-20"/>
          <w:w w:val="95"/>
        </w:rPr>
        <w:t> </w:t>
      </w:r>
      <w:r>
        <w:rPr>
          <w:w w:val="95"/>
        </w:rPr>
        <w:t>de</w:t>
      </w:r>
      <w:r>
        <w:rPr>
          <w:spacing w:val="-19"/>
          <w:w w:val="95"/>
        </w:rPr>
        <w:t> </w:t>
      </w:r>
      <w:r>
        <w:rPr>
          <w:w w:val="95"/>
        </w:rPr>
        <w:t>un</w:t>
      </w:r>
      <w:r>
        <w:rPr>
          <w:spacing w:val="-20"/>
          <w:w w:val="95"/>
        </w:rPr>
        <w:t> </w:t>
      </w:r>
      <w:r>
        <w:rPr>
          <w:w w:val="95"/>
        </w:rPr>
        <w:t>factor</w:t>
      </w:r>
      <w:r>
        <w:rPr>
          <w:spacing w:val="-19"/>
          <w:w w:val="95"/>
        </w:rPr>
        <w:t> </w:t>
      </w:r>
      <w:r>
        <w:rPr>
          <w:w w:val="95"/>
        </w:rPr>
        <w:t>de transcripción</w:t>
      </w:r>
      <w:r>
        <w:rPr>
          <w:spacing w:val="-30"/>
          <w:w w:val="95"/>
        </w:rPr>
        <w:t> </w:t>
      </w:r>
      <w:r>
        <w:rPr>
          <w:w w:val="95"/>
        </w:rPr>
        <w:t>genética</w:t>
      </w:r>
      <w:r>
        <w:rPr>
          <w:spacing w:val="-30"/>
          <w:w w:val="95"/>
        </w:rPr>
        <w:t> </w:t>
      </w:r>
      <w:r>
        <w:rPr>
          <w:w w:val="95"/>
        </w:rPr>
        <w:t>que</w:t>
      </w:r>
      <w:r>
        <w:rPr>
          <w:spacing w:val="-30"/>
          <w:w w:val="95"/>
        </w:rPr>
        <w:t> </w:t>
      </w:r>
      <w:r>
        <w:rPr>
          <w:w w:val="95"/>
        </w:rPr>
        <w:t>unido</w:t>
      </w:r>
      <w:r>
        <w:rPr>
          <w:spacing w:val="-30"/>
          <w:w w:val="95"/>
        </w:rPr>
        <w:t> </w:t>
      </w:r>
      <w:r>
        <w:rPr>
          <w:w w:val="95"/>
        </w:rPr>
        <w:t>a</w:t>
      </w:r>
      <w:r>
        <w:rPr>
          <w:spacing w:val="-30"/>
          <w:w w:val="95"/>
        </w:rPr>
        <w:t> </w:t>
      </w:r>
      <w:r>
        <w:rPr>
          <w:w w:val="95"/>
        </w:rPr>
        <w:t>la</w:t>
      </w:r>
      <w:r>
        <w:rPr>
          <w:spacing w:val="-32"/>
          <w:w w:val="95"/>
        </w:rPr>
        <w:t> </w:t>
      </w:r>
      <w:r>
        <w:rPr>
          <w:w w:val="95"/>
        </w:rPr>
        <w:t>testosterona</w:t>
      </w:r>
      <w:r>
        <w:rPr>
          <w:spacing w:val="-30"/>
          <w:w w:val="95"/>
        </w:rPr>
        <w:t> </w:t>
      </w:r>
      <w:r>
        <w:rPr>
          <w:w w:val="95"/>
        </w:rPr>
        <w:t>va</w:t>
      </w:r>
      <w:r>
        <w:rPr>
          <w:spacing w:val="-30"/>
          <w:w w:val="95"/>
        </w:rPr>
        <w:t> </w:t>
      </w:r>
      <w:r>
        <w:rPr>
          <w:w w:val="95"/>
        </w:rPr>
        <w:t>a</w:t>
      </w:r>
      <w:r>
        <w:rPr>
          <w:spacing w:val="-30"/>
          <w:w w:val="95"/>
        </w:rPr>
        <w:t> </w:t>
      </w:r>
      <w:r>
        <w:rPr>
          <w:w w:val="95"/>
        </w:rPr>
        <w:t>propiciar</w:t>
      </w:r>
      <w:r>
        <w:rPr>
          <w:spacing w:val="-31"/>
          <w:w w:val="95"/>
        </w:rPr>
        <w:t> </w:t>
      </w:r>
      <w:r>
        <w:rPr>
          <w:w w:val="95"/>
        </w:rPr>
        <w:t>la</w:t>
      </w:r>
      <w:r>
        <w:rPr>
          <w:spacing w:val="-30"/>
          <w:w w:val="95"/>
        </w:rPr>
        <w:t> </w:t>
      </w:r>
      <w:r>
        <w:rPr>
          <w:w w:val="95"/>
        </w:rPr>
        <w:t>meiosis</w:t>
      </w:r>
      <w:r>
        <w:rPr>
          <w:spacing w:val="-31"/>
          <w:w w:val="95"/>
        </w:rPr>
        <w:t> </w:t>
      </w:r>
      <w:r>
        <w:rPr>
          <w:w w:val="95"/>
        </w:rPr>
        <w:t>y</w:t>
      </w:r>
      <w:r>
        <w:rPr>
          <w:spacing w:val="-31"/>
          <w:w w:val="95"/>
        </w:rPr>
        <w:t> </w:t>
      </w:r>
      <w:r>
        <w:rPr>
          <w:w w:val="95"/>
        </w:rPr>
        <w:t>en</w:t>
      </w:r>
      <w:r>
        <w:rPr>
          <w:spacing w:val="-30"/>
          <w:w w:val="95"/>
        </w:rPr>
        <w:t> </w:t>
      </w:r>
      <w:r>
        <w:rPr>
          <w:w w:val="95"/>
        </w:rPr>
        <w:t>conjunto </w:t>
      </w:r>
      <w:r>
        <w:rPr>
          <w:w w:val="90"/>
        </w:rPr>
        <w:t>con el elemento modulador de respuesta a AMPc (CREMΔ) promueven la diferenciación </w:t>
      </w:r>
      <w:r>
        <w:rPr>
          <w:w w:val="95"/>
        </w:rPr>
        <w:t>de</w:t>
      </w:r>
      <w:r>
        <w:rPr>
          <w:spacing w:val="-32"/>
          <w:w w:val="95"/>
        </w:rPr>
        <w:t> </w:t>
      </w:r>
      <w:r>
        <w:rPr>
          <w:w w:val="95"/>
        </w:rPr>
        <w:t>las</w:t>
      </w:r>
      <w:r>
        <w:rPr>
          <w:spacing w:val="-33"/>
          <w:w w:val="95"/>
        </w:rPr>
        <w:t> </w:t>
      </w:r>
      <w:r>
        <w:rPr>
          <w:w w:val="95"/>
        </w:rPr>
        <w:t>espermátidas</w:t>
      </w:r>
      <w:r>
        <w:rPr>
          <w:spacing w:val="-33"/>
          <w:w w:val="95"/>
        </w:rPr>
        <w:t> </w:t>
      </w:r>
      <w:r>
        <w:rPr>
          <w:w w:val="95"/>
        </w:rPr>
        <w:t>en</w:t>
      </w:r>
      <w:r>
        <w:rPr>
          <w:spacing w:val="-32"/>
          <w:w w:val="95"/>
        </w:rPr>
        <w:t> </w:t>
      </w:r>
      <w:r>
        <w:rPr>
          <w:w w:val="95"/>
        </w:rPr>
        <w:t>espermatozoides.</w:t>
      </w:r>
      <w:r>
        <w:rPr>
          <w:spacing w:val="-32"/>
          <w:w w:val="95"/>
        </w:rPr>
        <w:t> </w:t>
      </w:r>
      <w:r>
        <w:rPr>
          <w:w w:val="95"/>
        </w:rPr>
        <w:t>Se</w:t>
      </w:r>
      <w:r>
        <w:rPr>
          <w:spacing w:val="-32"/>
          <w:w w:val="95"/>
        </w:rPr>
        <w:t> </w:t>
      </w:r>
      <w:r>
        <w:rPr>
          <w:w w:val="95"/>
        </w:rPr>
        <w:t>ha</w:t>
      </w:r>
      <w:r>
        <w:rPr>
          <w:spacing w:val="-32"/>
          <w:w w:val="95"/>
        </w:rPr>
        <w:t> </w:t>
      </w:r>
      <w:r>
        <w:rPr>
          <w:w w:val="95"/>
        </w:rPr>
        <w:t>visto</w:t>
      </w:r>
      <w:r>
        <w:rPr>
          <w:spacing w:val="-32"/>
          <w:w w:val="95"/>
        </w:rPr>
        <w:t> </w:t>
      </w:r>
      <w:r>
        <w:rPr>
          <w:w w:val="95"/>
        </w:rPr>
        <w:t>que</w:t>
      </w:r>
      <w:r>
        <w:rPr>
          <w:spacing w:val="-32"/>
          <w:w w:val="95"/>
        </w:rPr>
        <w:t> </w:t>
      </w:r>
      <w:r>
        <w:rPr>
          <w:w w:val="95"/>
        </w:rPr>
        <w:t>al</w:t>
      </w:r>
      <w:r>
        <w:rPr>
          <w:spacing w:val="-33"/>
          <w:w w:val="95"/>
        </w:rPr>
        <w:t> </w:t>
      </w:r>
      <w:r>
        <w:rPr>
          <w:w w:val="95"/>
        </w:rPr>
        <w:t>iniciar</w:t>
      </w:r>
      <w:r>
        <w:rPr>
          <w:spacing w:val="-32"/>
          <w:w w:val="95"/>
        </w:rPr>
        <w:t> </w:t>
      </w:r>
      <w:r>
        <w:rPr>
          <w:w w:val="95"/>
        </w:rPr>
        <w:t>la</w:t>
      </w:r>
      <w:r>
        <w:rPr>
          <w:spacing w:val="-32"/>
          <w:w w:val="95"/>
        </w:rPr>
        <w:t> </w:t>
      </w:r>
      <w:r>
        <w:rPr>
          <w:w w:val="95"/>
        </w:rPr>
        <w:t>espermatogénesis durante</w:t>
      </w:r>
      <w:r>
        <w:rPr>
          <w:spacing w:val="-7"/>
          <w:w w:val="95"/>
        </w:rPr>
        <w:t> </w:t>
      </w:r>
      <w:r>
        <w:rPr>
          <w:w w:val="95"/>
        </w:rPr>
        <w:t>el</w:t>
      </w:r>
      <w:r>
        <w:rPr>
          <w:spacing w:val="-9"/>
          <w:w w:val="95"/>
        </w:rPr>
        <w:t> </w:t>
      </w:r>
      <w:r>
        <w:rPr>
          <w:w w:val="95"/>
        </w:rPr>
        <w:t>comienzo</w:t>
      </w:r>
      <w:r>
        <w:rPr>
          <w:spacing w:val="-8"/>
          <w:w w:val="95"/>
        </w:rPr>
        <w:t> </w:t>
      </w:r>
      <w:r>
        <w:rPr>
          <w:w w:val="95"/>
        </w:rPr>
        <w:t>de</w:t>
      </w:r>
      <w:r>
        <w:rPr>
          <w:spacing w:val="-7"/>
          <w:w w:val="95"/>
        </w:rPr>
        <w:t> </w:t>
      </w:r>
      <w:r>
        <w:rPr>
          <w:w w:val="95"/>
        </w:rPr>
        <w:t>la</w:t>
      </w:r>
      <w:r>
        <w:rPr>
          <w:spacing w:val="-7"/>
          <w:w w:val="95"/>
        </w:rPr>
        <w:t> </w:t>
      </w:r>
      <w:r>
        <w:rPr>
          <w:w w:val="95"/>
        </w:rPr>
        <w:t>pubertad</w:t>
      </w:r>
      <w:r>
        <w:rPr>
          <w:spacing w:val="-7"/>
          <w:w w:val="95"/>
        </w:rPr>
        <w:t> </w:t>
      </w:r>
      <w:r>
        <w:rPr>
          <w:w w:val="95"/>
        </w:rPr>
        <w:t>se</w:t>
      </w:r>
      <w:r>
        <w:rPr>
          <w:spacing w:val="-8"/>
          <w:w w:val="95"/>
        </w:rPr>
        <w:t> </w:t>
      </w:r>
      <w:r>
        <w:rPr>
          <w:w w:val="95"/>
        </w:rPr>
        <w:t>hace</w:t>
      </w:r>
      <w:r>
        <w:rPr>
          <w:spacing w:val="-7"/>
          <w:w w:val="95"/>
        </w:rPr>
        <w:t> </w:t>
      </w:r>
      <w:r>
        <w:rPr>
          <w:w w:val="95"/>
        </w:rPr>
        <w:t>notoria</w:t>
      </w:r>
      <w:r>
        <w:rPr>
          <w:spacing w:val="-8"/>
          <w:w w:val="95"/>
        </w:rPr>
        <w:t> </w:t>
      </w:r>
      <w:r>
        <w:rPr>
          <w:w w:val="95"/>
        </w:rPr>
        <w:t>la</w:t>
      </w:r>
      <w:r>
        <w:rPr>
          <w:spacing w:val="-7"/>
          <w:w w:val="95"/>
        </w:rPr>
        <w:t> </w:t>
      </w:r>
      <w:r>
        <w:rPr>
          <w:w w:val="95"/>
        </w:rPr>
        <w:t>aparición</w:t>
      </w:r>
      <w:r>
        <w:rPr>
          <w:spacing w:val="-8"/>
          <w:w w:val="95"/>
        </w:rPr>
        <w:t> </w:t>
      </w:r>
      <w:r>
        <w:rPr>
          <w:w w:val="95"/>
        </w:rPr>
        <w:t>de</w:t>
      </w:r>
      <w:r>
        <w:rPr>
          <w:spacing w:val="-7"/>
          <w:w w:val="95"/>
        </w:rPr>
        <w:t> </w:t>
      </w:r>
      <w:r>
        <w:rPr>
          <w:w w:val="95"/>
        </w:rPr>
        <w:t>una</w:t>
      </w:r>
      <w:r>
        <w:rPr>
          <w:spacing w:val="-8"/>
          <w:w w:val="95"/>
        </w:rPr>
        <w:t> </w:t>
      </w:r>
      <w:r>
        <w:rPr>
          <w:w w:val="95"/>
        </w:rPr>
        <w:t>ola</w:t>
      </w:r>
      <w:r>
        <w:rPr>
          <w:spacing w:val="-8"/>
          <w:w w:val="95"/>
        </w:rPr>
        <w:t> </w:t>
      </w:r>
      <w:r>
        <w:rPr>
          <w:w w:val="95"/>
        </w:rPr>
        <w:t>de</w:t>
      </w:r>
      <w:r>
        <w:rPr>
          <w:spacing w:val="-7"/>
          <w:w w:val="95"/>
        </w:rPr>
        <w:t> </w:t>
      </w:r>
      <w:r>
        <w:rPr>
          <w:w w:val="95"/>
        </w:rPr>
        <w:t>células </w:t>
      </w:r>
      <w:r>
        <w:rPr>
          <w:w w:val="90"/>
        </w:rPr>
        <w:t>germinales</w:t>
      </w:r>
      <w:r>
        <w:rPr>
          <w:spacing w:val="-12"/>
          <w:w w:val="90"/>
        </w:rPr>
        <w:t> </w:t>
      </w:r>
      <w:r>
        <w:rPr>
          <w:w w:val="90"/>
        </w:rPr>
        <w:t>muertas</w:t>
      </w:r>
      <w:r>
        <w:rPr>
          <w:spacing w:val="-12"/>
          <w:w w:val="90"/>
        </w:rPr>
        <w:t> </w:t>
      </w:r>
      <w:r>
        <w:rPr>
          <w:w w:val="90"/>
        </w:rPr>
        <w:t>por</w:t>
      </w:r>
      <w:r>
        <w:rPr>
          <w:spacing w:val="-11"/>
          <w:w w:val="90"/>
        </w:rPr>
        <w:t> </w:t>
      </w:r>
      <w:r>
        <w:rPr>
          <w:w w:val="90"/>
        </w:rPr>
        <w:t>apoptosis</w:t>
      </w:r>
      <w:r>
        <w:rPr>
          <w:spacing w:val="-13"/>
          <w:w w:val="90"/>
        </w:rPr>
        <w:t> </w:t>
      </w:r>
      <w:r>
        <w:rPr>
          <w:w w:val="90"/>
        </w:rPr>
        <w:t>(Billig</w:t>
      </w:r>
      <w:r>
        <w:rPr>
          <w:spacing w:val="-11"/>
          <w:w w:val="90"/>
        </w:rPr>
        <w:t> </w:t>
      </w:r>
      <w:r>
        <w:rPr>
          <w:w w:val="90"/>
        </w:rPr>
        <w:t>et</w:t>
      </w:r>
      <w:r>
        <w:rPr>
          <w:spacing w:val="-11"/>
          <w:w w:val="90"/>
        </w:rPr>
        <w:t> </w:t>
      </w:r>
      <w:r>
        <w:rPr>
          <w:w w:val="90"/>
        </w:rPr>
        <w:t>al,</w:t>
      </w:r>
      <w:r>
        <w:rPr>
          <w:spacing w:val="-12"/>
          <w:w w:val="90"/>
        </w:rPr>
        <w:t> </w:t>
      </w:r>
      <w:r>
        <w:rPr>
          <w:w w:val="90"/>
        </w:rPr>
        <w:t>1995;</w:t>
      </w:r>
      <w:r>
        <w:rPr>
          <w:spacing w:val="-11"/>
          <w:w w:val="90"/>
        </w:rPr>
        <w:t> </w:t>
      </w:r>
      <w:r>
        <w:rPr>
          <w:w w:val="90"/>
        </w:rPr>
        <w:t>Rodriguez</w:t>
      </w:r>
      <w:r>
        <w:rPr>
          <w:spacing w:val="-12"/>
          <w:w w:val="90"/>
        </w:rPr>
        <w:t> </w:t>
      </w:r>
      <w:r>
        <w:rPr>
          <w:w w:val="90"/>
        </w:rPr>
        <w:t>et</w:t>
      </w:r>
      <w:r>
        <w:rPr>
          <w:spacing w:val="-11"/>
          <w:w w:val="90"/>
        </w:rPr>
        <w:t> </w:t>
      </w:r>
      <w:r>
        <w:rPr>
          <w:w w:val="90"/>
        </w:rPr>
        <w:t>al,</w:t>
      </w:r>
      <w:r>
        <w:rPr>
          <w:spacing w:val="-11"/>
          <w:w w:val="90"/>
        </w:rPr>
        <w:t> </w:t>
      </w:r>
      <w:r>
        <w:rPr>
          <w:w w:val="90"/>
        </w:rPr>
        <w:t>1997;</w:t>
      </w:r>
      <w:r>
        <w:rPr>
          <w:spacing w:val="-11"/>
          <w:w w:val="90"/>
        </w:rPr>
        <w:t> </w:t>
      </w:r>
      <w:r>
        <w:rPr>
          <w:w w:val="90"/>
        </w:rPr>
        <w:t>Jahnukainen</w:t>
      </w:r>
      <w:r>
        <w:rPr>
          <w:spacing w:val="-11"/>
          <w:w w:val="90"/>
        </w:rPr>
        <w:t> </w:t>
      </w:r>
      <w:r>
        <w:rPr>
          <w:w w:val="90"/>
        </w:rPr>
        <w:t>et </w:t>
      </w:r>
      <w:r>
        <w:rPr>
          <w:w w:val="95"/>
        </w:rPr>
        <w:t>al,</w:t>
      </w:r>
      <w:r>
        <w:rPr>
          <w:spacing w:val="-29"/>
          <w:w w:val="95"/>
        </w:rPr>
        <w:t> </w:t>
      </w:r>
      <w:r>
        <w:rPr>
          <w:w w:val="95"/>
        </w:rPr>
        <w:t>2004),</w:t>
      </w:r>
      <w:r>
        <w:rPr>
          <w:spacing w:val="-29"/>
          <w:w w:val="95"/>
        </w:rPr>
        <w:t> </w:t>
      </w:r>
      <w:r>
        <w:rPr>
          <w:w w:val="95"/>
        </w:rPr>
        <w:t>esta</w:t>
      </w:r>
      <w:r>
        <w:rPr>
          <w:spacing w:val="-30"/>
          <w:w w:val="95"/>
        </w:rPr>
        <w:t> </w:t>
      </w:r>
      <w:r>
        <w:rPr>
          <w:w w:val="95"/>
        </w:rPr>
        <w:t>muerte</w:t>
      </w:r>
      <w:r>
        <w:rPr>
          <w:spacing w:val="-30"/>
          <w:w w:val="95"/>
        </w:rPr>
        <w:t> </w:t>
      </w:r>
      <w:r>
        <w:rPr>
          <w:w w:val="95"/>
        </w:rPr>
        <w:t>de</w:t>
      </w:r>
      <w:r>
        <w:rPr>
          <w:spacing w:val="-30"/>
          <w:w w:val="95"/>
        </w:rPr>
        <w:t> </w:t>
      </w:r>
      <w:r>
        <w:rPr>
          <w:w w:val="95"/>
        </w:rPr>
        <w:t>células</w:t>
      </w:r>
      <w:r>
        <w:rPr>
          <w:spacing w:val="-31"/>
          <w:w w:val="95"/>
        </w:rPr>
        <w:t> </w:t>
      </w:r>
      <w:r>
        <w:rPr>
          <w:w w:val="95"/>
        </w:rPr>
        <w:t>germinales</w:t>
      </w:r>
      <w:r>
        <w:rPr>
          <w:spacing w:val="-31"/>
          <w:w w:val="95"/>
        </w:rPr>
        <w:t> </w:t>
      </w:r>
      <w:r>
        <w:rPr>
          <w:w w:val="95"/>
        </w:rPr>
        <w:t>es</w:t>
      </w:r>
      <w:r>
        <w:rPr>
          <w:spacing w:val="-30"/>
          <w:w w:val="95"/>
        </w:rPr>
        <w:t> </w:t>
      </w:r>
      <w:r>
        <w:rPr>
          <w:w w:val="95"/>
        </w:rPr>
        <w:t>propiciada</w:t>
      </w:r>
      <w:r>
        <w:rPr>
          <w:spacing w:val="-31"/>
          <w:w w:val="95"/>
        </w:rPr>
        <w:t> </w:t>
      </w:r>
      <w:r>
        <w:rPr>
          <w:w w:val="95"/>
        </w:rPr>
        <w:t>de</w:t>
      </w:r>
      <w:r>
        <w:rPr>
          <w:spacing w:val="-30"/>
          <w:w w:val="95"/>
        </w:rPr>
        <w:t> </w:t>
      </w:r>
      <w:r>
        <w:rPr>
          <w:w w:val="95"/>
        </w:rPr>
        <w:t>manera</w:t>
      </w:r>
      <w:r>
        <w:rPr>
          <w:spacing w:val="-29"/>
          <w:w w:val="95"/>
        </w:rPr>
        <w:t> </w:t>
      </w:r>
      <w:r>
        <w:rPr>
          <w:w w:val="95"/>
        </w:rPr>
        <w:t>muy</w:t>
      </w:r>
      <w:r>
        <w:rPr>
          <w:spacing w:val="-30"/>
          <w:w w:val="95"/>
        </w:rPr>
        <w:t> </w:t>
      </w:r>
      <w:r>
        <w:rPr>
          <w:w w:val="95"/>
        </w:rPr>
        <w:t>organizada</w:t>
      </w:r>
      <w:r>
        <w:rPr>
          <w:spacing w:val="-30"/>
          <w:w w:val="95"/>
        </w:rPr>
        <w:t> </w:t>
      </w:r>
      <w:r>
        <w:rPr>
          <w:w w:val="95"/>
        </w:rPr>
        <w:t>y </w:t>
      </w:r>
      <w:r>
        <w:rPr>
          <w:w w:val="90"/>
        </w:rPr>
        <w:t>dirigida</w:t>
      </w:r>
      <w:r>
        <w:rPr>
          <w:spacing w:val="-18"/>
          <w:w w:val="90"/>
        </w:rPr>
        <w:t> </w:t>
      </w:r>
      <w:r>
        <w:rPr>
          <w:w w:val="90"/>
        </w:rPr>
        <w:t>por</w:t>
      </w:r>
      <w:r>
        <w:rPr>
          <w:spacing w:val="-17"/>
          <w:w w:val="90"/>
        </w:rPr>
        <w:t> </w:t>
      </w:r>
      <w:r>
        <w:rPr>
          <w:w w:val="90"/>
        </w:rPr>
        <w:t>mecanismos</w:t>
      </w:r>
      <w:r>
        <w:rPr>
          <w:spacing w:val="-19"/>
          <w:w w:val="90"/>
        </w:rPr>
        <w:t> </w:t>
      </w:r>
      <w:r>
        <w:rPr>
          <w:w w:val="90"/>
        </w:rPr>
        <w:t>intracelulares</w:t>
      </w:r>
      <w:r>
        <w:rPr>
          <w:spacing w:val="-19"/>
          <w:w w:val="90"/>
        </w:rPr>
        <w:t> </w:t>
      </w:r>
      <w:r>
        <w:rPr>
          <w:w w:val="90"/>
        </w:rPr>
        <w:t>como</w:t>
      </w:r>
      <w:r>
        <w:rPr>
          <w:spacing w:val="-18"/>
          <w:w w:val="90"/>
        </w:rPr>
        <w:t> </w:t>
      </w:r>
      <w:r>
        <w:rPr>
          <w:w w:val="90"/>
        </w:rPr>
        <w:t>lo</w:t>
      </w:r>
      <w:r>
        <w:rPr>
          <w:spacing w:val="-18"/>
          <w:w w:val="90"/>
        </w:rPr>
        <w:t> </w:t>
      </w:r>
      <w:r>
        <w:rPr>
          <w:w w:val="90"/>
        </w:rPr>
        <w:t>es</w:t>
      </w:r>
      <w:r>
        <w:rPr>
          <w:spacing w:val="-19"/>
          <w:w w:val="90"/>
        </w:rPr>
        <w:t> </w:t>
      </w:r>
      <w:r>
        <w:rPr>
          <w:w w:val="90"/>
        </w:rPr>
        <w:t>la</w:t>
      </w:r>
      <w:r>
        <w:rPr>
          <w:spacing w:val="-18"/>
          <w:w w:val="90"/>
        </w:rPr>
        <w:t> </w:t>
      </w:r>
      <w:r>
        <w:rPr>
          <w:w w:val="90"/>
        </w:rPr>
        <w:t>intervención</w:t>
      </w:r>
      <w:r>
        <w:rPr>
          <w:spacing w:val="-18"/>
          <w:w w:val="90"/>
        </w:rPr>
        <w:t> </w:t>
      </w:r>
      <w:r>
        <w:rPr>
          <w:w w:val="90"/>
        </w:rPr>
        <w:t>de</w:t>
      </w:r>
      <w:r>
        <w:rPr>
          <w:spacing w:val="-18"/>
          <w:w w:val="90"/>
        </w:rPr>
        <w:t> </w:t>
      </w:r>
      <w:r>
        <w:rPr>
          <w:w w:val="90"/>
        </w:rPr>
        <w:t>la</w:t>
      </w:r>
      <w:r>
        <w:rPr>
          <w:spacing w:val="-18"/>
          <w:w w:val="90"/>
        </w:rPr>
        <w:t> </w:t>
      </w:r>
      <w:r>
        <w:rPr>
          <w:w w:val="90"/>
        </w:rPr>
        <w:t>proteína</w:t>
      </w:r>
      <w:r>
        <w:rPr>
          <w:spacing w:val="-18"/>
          <w:w w:val="90"/>
        </w:rPr>
        <w:t> </w:t>
      </w:r>
      <w:r>
        <w:rPr>
          <w:w w:val="90"/>
        </w:rPr>
        <w:t>X</w:t>
      </w:r>
      <w:r>
        <w:rPr>
          <w:spacing w:val="-18"/>
          <w:w w:val="90"/>
        </w:rPr>
        <w:t> </w:t>
      </w:r>
      <w:r>
        <w:rPr>
          <w:w w:val="90"/>
        </w:rPr>
        <w:t>asociada </w:t>
      </w:r>
      <w:r>
        <w:rPr>
          <w:w w:val="95"/>
        </w:rPr>
        <w:t>a</w:t>
      </w:r>
      <w:r>
        <w:rPr>
          <w:spacing w:val="-6"/>
          <w:w w:val="95"/>
        </w:rPr>
        <w:t> </w:t>
      </w:r>
      <w:r>
        <w:rPr>
          <w:w w:val="95"/>
        </w:rPr>
        <w:t>BCL-2</w:t>
      </w:r>
      <w:r>
        <w:rPr>
          <w:spacing w:val="-6"/>
          <w:w w:val="95"/>
        </w:rPr>
        <w:t> </w:t>
      </w:r>
      <w:r>
        <w:rPr>
          <w:w w:val="95"/>
        </w:rPr>
        <w:t>(BAX)</w:t>
      </w:r>
      <w:r>
        <w:rPr>
          <w:spacing w:val="-6"/>
          <w:w w:val="95"/>
        </w:rPr>
        <w:t> </w:t>
      </w:r>
      <w:r>
        <w:rPr>
          <w:w w:val="95"/>
        </w:rPr>
        <w:t>que</w:t>
      </w:r>
      <w:r>
        <w:rPr>
          <w:spacing w:val="-6"/>
          <w:w w:val="95"/>
        </w:rPr>
        <w:t> </w:t>
      </w:r>
      <w:r>
        <w:rPr>
          <w:w w:val="95"/>
        </w:rPr>
        <w:t>promueve</w:t>
      </w:r>
      <w:r>
        <w:rPr>
          <w:spacing w:val="-6"/>
          <w:w w:val="95"/>
        </w:rPr>
        <w:t> </w:t>
      </w:r>
      <w:r>
        <w:rPr>
          <w:w w:val="95"/>
        </w:rPr>
        <w:t>la</w:t>
      </w:r>
      <w:r>
        <w:rPr>
          <w:spacing w:val="-6"/>
          <w:w w:val="95"/>
        </w:rPr>
        <w:t> </w:t>
      </w:r>
      <w:r>
        <w:rPr>
          <w:w w:val="95"/>
        </w:rPr>
        <w:t>muerte</w:t>
      </w:r>
      <w:r>
        <w:rPr>
          <w:spacing w:val="-6"/>
          <w:w w:val="95"/>
        </w:rPr>
        <w:t> </w:t>
      </w:r>
      <w:r>
        <w:rPr>
          <w:w w:val="95"/>
        </w:rPr>
        <w:t>de</w:t>
      </w:r>
      <w:r>
        <w:rPr>
          <w:spacing w:val="-6"/>
          <w:w w:val="95"/>
        </w:rPr>
        <w:t> </w:t>
      </w:r>
      <w:r>
        <w:rPr>
          <w:w w:val="95"/>
        </w:rPr>
        <w:t>las</w:t>
      </w:r>
      <w:r>
        <w:rPr>
          <w:spacing w:val="-6"/>
          <w:w w:val="95"/>
        </w:rPr>
        <w:t> </w:t>
      </w:r>
      <w:r>
        <w:rPr>
          <w:w w:val="95"/>
        </w:rPr>
        <w:t>células</w:t>
      </w:r>
      <w:r>
        <w:rPr>
          <w:spacing w:val="-6"/>
          <w:w w:val="95"/>
        </w:rPr>
        <w:t> </w:t>
      </w:r>
      <w:r>
        <w:rPr>
          <w:w w:val="95"/>
        </w:rPr>
        <w:t>germinales</w:t>
      </w:r>
      <w:r>
        <w:rPr>
          <w:spacing w:val="-6"/>
          <w:w w:val="95"/>
        </w:rPr>
        <w:t> </w:t>
      </w:r>
      <w:r>
        <w:rPr>
          <w:w w:val="95"/>
        </w:rPr>
        <w:t>durante</w:t>
      </w:r>
      <w:r>
        <w:rPr>
          <w:spacing w:val="-6"/>
          <w:w w:val="95"/>
        </w:rPr>
        <w:t> </w:t>
      </w:r>
      <w:r>
        <w:rPr>
          <w:w w:val="95"/>
        </w:rPr>
        <w:t>las</w:t>
      </w:r>
      <w:r>
        <w:rPr>
          <w:spacing w:val="-6"/>
          <w:w w:val="95"/>
        </w:rPr>
        <w:t> </w:t>
      </w:r>
      <w:r>
        <w:rPr>
          <w:w w:val="95"/>
        </w:rPr>
        <w:t>etapas finales</w:t>
      </w:r>
      <w:r>
        <w:rPr>
          <w:spacing w:val="-26"/>
          <w:w w:val="95"/>
        </w:rPr>
        <w:t> </w:t>
      </w:r>
      <w:r>
        <w:rPr>
          <w:w w:val="95"/>
        </w:rPr>
        <w:t>de</w:t>
      </w:r>
      <w:r>
        <w:rPr>
          <w:spacing w:val="-26"/>
          <w:w w:val="95"/>
        </w:rPr>
        <w:t> </w:t>
      </w:r>
      <w:r>
        <w:rPr>
          <w:w w:val="95"/>
        </w:rPr>
        <w:t>diferenciación,</w:t>
      </w:r>
      <w:r>
        <w:rPr>
          <w:spacing w:val="-26"/>
          <w:w w:val="95"/>
        </w:rPr>
        <w:t> </w:t>
      </w:r>
      <w:r>
        <w:rPr>
          <w:w w:val="95"/>
        </w:rPr>
        <w:t>sin</w:t>
      </w:r>
      <w:r>
        <w:rPr>
          <w:spacing w:val="-26"/>
          <w:w w:val="95"/>
        </w:rPr>
        <w:t> </w:t>
      </w:r>
      <w:r>
        <w:rPr>
          <w:w w:val="95"/>
        </w:rPr>
        <w:t>embargo,</w:t>
      </w:r>
      <w:r>
        <w:rPr>
          <w:spacing w:val="-27"/>
          <w:w w:val="95"/>
        </w:rPr>
        <w:t> </w:t>
      </w:r>
      <w:r>
        <w:rPr>
          <w:w w:val="95"/>
        </w:rPr>
        <w:t>la</w:t>
      </w:r>
      <w:r>
        <w:rPr>
          <w:spacing w:val="-26"/>
          <w:w w:val="95"/>
        </w:rPr>
        <w:t> </w:t>
      </w:r>
      <w:r>
        <w:rPr>
          <w:w w:val="95"/>
        </w:rPr>
        <w:t>asociación</w:t>
      </w:r>
      <w:r>
        <w:rPr>
          <w:spacing w:val="-26"/>
          <w:w w:val="95"/>
        </w:rPr>
        <w:t> </w:t>
      </w:r>
      <w:r>
        <w:rPr>
          <w:w w:val="95"/>
        </w:rPr>
        <w:t>de</w:t>
      </w:r>
      <w:r>
        <w:rPr>
          <w:spacing w:val="-27"/>
          <w:w w:val="95"/>
        </w:rPr>
        <w:t> </w:t>
      </w:r>
      <w:r>
        <w:rPr>
          <w:w w:val="95"/>
        </w:rPr>
        <w:t>BAX</w:t>
      </w:r>
      <w:r>
        <w:rPr>
          <w:spacing w:val="-27"/>
          <w:w w:val="95"/>
        </w:rPr>
        <w:t> </w:t>
      </w:r>
      <w:r>
        <w:rPr>
          <w:w w:val="95"/>
        </w:rPr>
        <w:t>con</w:t>
      </w:r>
      <w:r>
        <w:rPr>
          <w:spacing w:val="-26"/>
          <w:w w:val="95"/>
        </w:rPr>
        <w:t> </w:t>
      </w:r>
      <w:r>
        <w:rPr>
          <w:w w:val="95"/>
        </w:rPr>
        <w:t>la</w:t>
      </w:r>
      <w:r>
        <w:rPr>
          <w:spacing w:val="-26"/>
          <w:w w:val="95"/>
        </w:rPr>
        <w:t> </w:t>
      </w:r>
      <w:r>
        <w:rPr>
          <w:w w:val="95"/>
        </w:rPr>
        <w:t>proteína</w:t>
      </w:r>
      <w:r>
        <w:rPr>
          <w:spacing w:val="-26"/>
          <w:w w:val="95"/>
        </w:rPr>
        <w:t> </w:t>
      </w:r>
      <w:r>
        <w:rPr>
          <w:w w:val="95"/>
        </w:rPr>
        <w:t>de</w:t>
      </w:r>
      <w:r>
        <w:rPr>
          <w:spacing w:val="-27"/>
          <w:w w:val="95"/>
        </w:rPr>
        <w:t> </w:t>
      </w:r>
      <w:r>
        <w:rPr>
          <w:w w:val="95"/>
        </w:rPr>
        <w:t>la</w:t>
      </w:r>
      <w:r>
        <w:rPr>
          <w:spacing w:val="-26"/>
          <w:w w:val="95"/>
        </w:rPr>
        <w:t> </w:t>
      </w:r>
      <w:r>
        <w:rPr>
          <w:w w:val="95"/>
        </w:rPr>
        <w:t>célula del</w:t>
      </w:r>
      <w:r>
        <w:rPr>
          <w:spacing w:val="-32"/>
          <w:w w:val="95"/>
        </w:rPr>
        <w:t> </w:t>
      </w:r>
      <w:r>
        <w:rPr>
          <w:w w:val="95"/>
        </w:rPr>
        <w:t>linfoma</w:t>
      </w:r>
      <w:r>
        <w:rPr>
          <w:spacing w:val="-31"/>
          <w:w w:val="95"/>
        </w:rPr>
        <w:t> </w:t>
      </w:r>
      <w:r>
        <w:rPr>
          <w:w w:val="95"/>
        </w:rPr>
        <w:t>B</w:t>
      </w:r>
      <w:r>
        <w:rPr>
          <w:spacing w:val="-33"/>
          <w:w w:val="95"/>
        </w:rPr>
        <w:t> </w:t>
      </w:r>
      <w:r>
        <w:rPr>
          <w:w w:val="95"/>
        </w:rPr>
        <w:t>(BCL-2)</w:t>
      </w:r>
      <w:r>
        <w:rPr>
          <w:spacing w:val="-31"/>
          <w:w w:val="95"/>
        </w:rPr>
        <w:t> </w:t>
      </w:r>
      <w:r>
        <w:rPr>
          <w:w w:val="95"/>
        </w:rPr>
        <w:t>es</w:t>
      </w:r>
      <w:r>
        <w:rPr>
          <w:spacing w:val="-32"/>
          <w:w w:val="95"/>
        </w:rPr>
        <w:t> </w:t>
      </w:r>
      <w:r>
        <w:rPr>
          <w:w w:val="95"/>
        </w:rPr>
        <w:t>clave</w:t>
      </w:r>
      <w:r>
        <w:rPr>
          <w:spacing w:val="-31"/>
          <w:w w:val="95"/>
        </w:rPr>
        <w:t> </w:t>
      </w:r>
      <w:r>
        <w:rPr>
          <w:w w:val="95"/>
        </w:rPr>
        <w:t>en</w:t>
      </w:r>
      <w:r>
        <w:rPr>
          <w:spacing w:val="-33"/>
          <w:w w:val="95"/>
        </w:rPr>
        <w:t> </w:t>
      </w:r>
      <w:r>
        <w:rPr>
          <w:w w:val="95"/>
        </w:rPr>
        <w:t>la</w:t>
      </w:r>
      <w:r>
        <w:rPr>
          <w:spacing w:val="-31"/>
          <w:w w:val="95"/>
        </w:rPr>
        <w:t> </w:t>
      </w:r>
      <w:r>
        <w:rPr>
          <w:w w:val="95"/>
        </w:rPr>
        <w:t>susceptibilidad</w:t>
      </w:r>
      <w:r>
        <w:rPr>
          <w:spacing w:val="-32"/>
          <w:w w:val="95"/>
        </w:rPr>
        <w:t> </w:t>
      </w:r>
      <w:r>
        <w:rPr>
          <w:w w:val="95"/>
        </w:rPr>
        <w:t>a</w:t>
      </w:r>
      <w:r>
        <w:rPr>
          <w:spacing w:val="-32"/>
          <w:w w:val="95"/>
        </w:rPr>
        <w:t> </w:t>
      </w:r>
      <w:r>
        <w:rPr>
          <w:w w:val="95"/>
        </w:rPr>
        <w:t>la</w:t>
      </w:r>
      <w:r>
        <w:rPr>
          <w:spacing w:val="-32"/>
          <w:w w:val="95"/>
        </w:rPr>
        <w:t> </w:t>
      </w:r>
      <w:r>
        <w:rPr>
          <w:w w:val="95"/>
        </w:rPr>
        <w:t>apoptosis</w:t>
      </w:r>
      <w:r>
        <w:rPr>
          <w:spacing w:val="-32"/>
          <w:w w:val="95"/>
        </w:rPr>
        <w:t> </w:t>
      </w:r>
      <w:r>
        <w:rPr>
          <w:w w:val="95"/>
        </w:rPr>
        <w:t>por</w:t>
      </w:r>
      <w:r>
        <w:rPr>
          <w:spacing w:val="-32"/>
          <w:w w:val="95"/>
        </w:rPr>
        <w:t> </w:t>
      </w:r>
      <w:r>
        <w:rPr>
          <w:w w:val="95"/>
        </w:rPr>
        <w:t>la</w:t>
      </w:r>
      <w:r>
        <w:rPr>
          <w:spacing w:val="-32"/>
          <w:w w:val="95"/>
        </w:rPr>
        <w:t> </w:t>
      </w:r>
      <w:r>
        <w:rPr>
          <w:w w:val="95"/>
        </w:rPr>
        <w:t>vía</w:t>
      </w:r>
      <w:r>
        <w:rPr>
          <w:spacing w:val="-32"/>
          <w:w w:val="95"/>
        </w:rPr>
        <w:t> </w:t>
      </w:r>
      <w:r>
        <w:rPr>
          <w:w w:val="95"/>
        </w:rPr>
        <w:t>intrínseca</w:t>
      </w:r>
      <w:r>
        <w:rPr>
          <w:spacing w:val="-32"/>
          <w:w w:val="95"/>
        </w:rPr>
        <w:t> </w:t>
      </w:r>
      <w:r>
        <w:rPr>
          <w:w w:val="95"/>
        </w:rPr>
        <w:t>en las</w:t>
      </w:r>
      <w:r>
        <w:rPr>
          <w:spacing w:val="-37"/>
          <w:w w:val="95"/>
        </w:rPr>
        <w:t> </w:t>
      </w:r>
      <w:r>
        <w:rPr>
          <w:w w:val="95"/>
        </w:rPr>
        <w:t>células</w:t>
      </w:r>
      <w:r>
        <w:rPr>
          <w:spacing w:val="-37"/>
          <w:w w:val="95"/>
        </w:rPr>
        <w:t> </w:t>
      </w:r>
      <w:r>
        <w:rPr>
          <w:w w:val="95"/>
        </w:rPr>
        <w:t>germinales</w:t>
      </w:r>
      <w:r>
        <w:rPr>
          <w:spacing w:val="-37"/>
          <w:w w:val="95"/>
        </w:rPr>
        <w:t> </w:t>
      </w:r>
      <w:r>
        <w:rPr>
          <w:w w:val="95"/>
        </w:rPr>
        <w:t>(Jahnukainen</w:t>
      </w:r>
      <w:r>
        <w:rPr>
          <w:spacing w:val="-37"/>
          <w:w w:val="95"/>
        </w:rPr>
        <w:t> </w:t>
      </w:r>
      <w:r>
        <w:rPr>
          <w:w w:val="95"/>
        </w:rPr>
        <w:t>et</w:t>
      </w:r>
      <w:r>
        <w:rPr>
          <w:spacing w:val="-37"/>
          <w:w w:val="95"/>
        </w:rPr>
        <w:t> </w:t>
      </w:r>
      <w:r>
        <w:rPr>
          <w:w w:val="95"/>
        </w:rPr>
        <w:t>al,</w:t>
      </w:r>
      <w:r>
        <w:rPr>
          <w:spacing w:val="-37"/>
          <w:w w:val="95"/>
        </w:rPr>
        <w:t> </w:t>
      </w:r>
      <w:r>
        <w:rPr>
          <w:w w:val="95"/>
        </w:rPr>
        <w:t>2004).</w:t>
      </w:r>
      <w:r>
        <w:rPr>
          <w:spacing w:val="-36"/>
          <w:w w:val="95"/>
        </w:rPr>
        <w:t> </w:t>
      </w:r>
      <w:r>
        <w:rPr>
          <w:w w:val="95"/>
        </w:rPr>
        <w:t>La</w:t>
      </w:r>
      <w:r>
        <w:rPr>
          <w:spacing w:val="-37"/>
          <w:w w:val="95"/>
        </w:rPr>
        <w:t> </w:t>
      </w:r>
      <w:r>
        <w:rPr>
          <w:w w:val="95"/>
        </w:rPr>
        <w:t>relación</w:t>
      </w:r>
      <w:r>
        <w:rPr>
          <w:spacing w:val="-36"/>
          <w:w w:val="95"/>
        </w:rPr>
        <w:t> </w:t>
      </w:r>
      <w:r>
        <w:rPr>
          <w:w w:val="95"/>
        </w:rPr>
        <w:t>de</w:t>
      </w:r>
      <w:r>
        <w:rPr>
          <w:spacing w:val="-37"/>
          <w:w w:val="95"/>
        </w:rPr>
        <w:t> </w:t>
      </w:r>
      <w:r>
        <w:rPr>
          <w:w w:val="95"/>
        </w:rPr>
        <w:t>estos</w:t>
      </w:r>
      <w:r>
        <w:rPr>
          <w:spacing w:val="-37"/>
          <w:w w:val="95"/>
        </w:rPr>
        <w:t> </w:t>
      </w:r>
      <w:r>
        <w:rPr>
          <w:spacing w:val="3"/>
          <w:w w:val="95"/>
        </w:rPr>
        <w:t>eventos</w:t>
      </w:r>
      <w:r>
        <w:rPr>
          <w:spacing w:val="-37"/>
          <w:w w:val="95"/>
        </w:rPr>
        <w:t> </w:t>
      </w:r>
      <w:r>
        <w:rPr>
          <w:w w:val="95"/>
        </w:rPr>
        <w:t>de</w:t>
      </w:r>
      <w:r>
        <w:rPr>
          <w:spacing w:val="-37"/>
          <w:w w:val="95"/>
        </w:rPr>
        <w:t> </w:t>
      </w:r>
      <w:r>
        <w:rPr>
          <w:w w:val="95"/>
        </w:rPr>
        <w:t>muerte </w:t>
      </w:r>
      <w:r>
        <w:rPr>
          <w:w w:val="90"/>
        </w:rPr>
        <w:t>celular</w:t>
      </w:r>
      <w:r>
        <w:rPr>
          <w:spacing w:val="-8"/>
          <w:w w:val="90"/>
        </w:rPr>
        <w:t> </w:t>
      </w:r>
      <w:r>
        <w:rPr>
          <w:w w:val="90"/>
        </w:rPr>
        <w:t>con</w:t>
      </w:r>
      <w:r>
        <w:rPr>
          <w:spacing w:val="-9"/>
          <w:w w:val="90"/>
        </w:rPr>
        <w:t> </w:t>
      </w:r>
      <w:r>
        <w:rPr>
          <w:w w:val="90"/>
        </w:rPr>
        <w:t>la</w:t>
      </w:r>
      <w:r>
        <w:rPr>
          <w:spacing w:val="-9"/>
          <w:w w:val="90"/>
        </w:rPr>
        <w:t> </w:t>
      </w:r>
      <w:r>
        <w:rPr>
          <w:w w:val="90"/>
        </w:rPr>
        <w:t>espermatogénesis</w:t>
      </w:r>
      <w:r>
        <w:rPr>
          <w:spacing w:val="-9"/>
          <w:w w:val="90"/>
        </w:rPr>
        <w:t> </w:t>
      </w:r>
      <w:r>
        <w:rPr>
          <w:w w:val="90"/>
        </w:rPr>
        <w:t>pueden</w:t>
      </w:r>
      <w:r>
        <w:rPr>
          <w:spacing w:val="-9"/>
          <w:w w:val="90"/>
        </w:rPr>
        <w:t> </w:t>
      </w:r>
      <w:r>
        <w:rPr>
          <w:w w:val="90"/>
        </w:rPr>
        <w:t>ser</w:t>
      </w:r>
      <w:r>
        <w:rPr>
          <w:spacing w:val="-7"/>
          <w:w w:val="90"/>
        </w:rPr>
        <w:t> </w:t>
      </w:r>
      <w:r>
        <w:rPr>
          <w:w w:val="90"/>
        </w:rPr>
        <w:t>claves</w:t>
      </w:r>
      <w:r>
        <w:rPr>
          <w:spacing w:val="-10"/>
          <w:w w:val="90"/>
        </w:rPr>
        <w:t> </w:t>
      </w:r>
      <w:r>
        <w:rPr>
          <w:w w:val="90"/>
        </w:rPr>
        <w:t>en</w:t>
      </w:r>
      <w:r>
        <w:rPr>
          <w:spacing w:val="-9"/>
          <w:w w:val="90"/>
        </w:rPr>
        <w:t> </w:t>
      </w:r>
      <w:r>
        <w:rPr>
          <w:w w:val="90"/>
        </w:rPr>
        <w:t>cuanto</w:t>
      </w:r>
      <w:r>
        <w:rPr>
          <w:spacing w:val="-9"/>
          <w:w w:val="90"/>
        </w:rPr>
        <w:t> </w:t>
      </w:r>
      <w:r>
        <w:rPr>
          <w:w w:val="90"/>
        </w:rPr>
        <w:t>a</w:t>
      </w:r>
      <w:r>
        <w:rPr>
          <w:spacing w:val="-9"/>
          <w:w w:val="90"/>
        </w:rPr>
        <w:t> </w:t>
      </w:r>
      <w:r>
        <w:rPr>
          <w:w w:val="90"/>
        </w:rPr>
        <w:t>la</w:t>
      </w:r>
      <w:r>
        <w:rPr>
          <w:spacing w:val="-9"/>
          <w:w w:val="90"/>
        </w:rPr>
        <w:t> </w:t>
      </w:r>
      <w:r>
        <w:rPr>
          <w:w w:val="90"/>
        </w:rPr>
        <w:t>susceptibilidad</w:t>
      </w:r>
      <w:r>
        <w:rPr>
          <w:spacing w:val="-9"/>
          <w:w w:val="90"/>
        </w:rPr>
        <w:t> </w:t>
      </w:r>
      <w:r>
        <w:rPr>
          <w:w w:val="90"/>
        </w:rPr>
        <w:t>de</w:t>
      </w:r>
      <w:r>
        <w:rPr>
          <w:spacing w:val="-9"/>
          <w:w w:val="90"/>
        </w:rPr>
        <w:t> </w:t>
      </w:r>
      <w:r>
        <w:rPr>
          <w:w w:val="90"/>
        </w:rPr>
        <w:t>cada </w:t>
      </w:r>
      <w:r>
        <w:rPr>
          <w:w w:val="95"/>
        </w:rPr>
        <w:t>individuo</w:t>
      </w:r>
      <w:r>
        <w:rPr>
          <w:spacing w:val="-25"/>
          <w:w w:val="95"/>
        </w:rPr>
        <w:t> </w:t>
      </w:r>
      <w:r>
        <w:rPr>
          <w:w w:val="95"/>
        </w:rPr>
        <w:t>y</w:t>
      </w:r>
      <w:r>
        <w:rPr>
          <w:spacing w:val="-26"/>
          <w:w w:val="95"/>
        </w:rPr>
        <w:t> </w:t>
      </w:r>
      <w:r>
        <w:rPr>
          <w:w w:val="95"/>
        </w:rPr>
        <w:t>la</w:t>
      </w:r>
      <w:r>
        <w:rPr>
          <w:spacing w:val="-25"/>
          <w:w w:val="95"/>
        </w:rPr>
        <w:t> </w:t>
      </w:r>
      <w:r>
        <w:rPr>
          <w:w w:val="95"/>
        </w:rPr>
        <w:t>posible</w:t>
      </w:r>
      <w:r>
        <w:rPr>
          <w:spacing w:val="-25"/>
          <w:w w:val="95"/>
        </w:rPr>
        <w:t> </w:t>
      </w:r>
      <w:r>
        <w:rPr>
          <w:w w:val="95"/>
        </w:rPr>
        <w:t>relación</w:t>
      </w:r>
      <w:r>
        <w:rPr>
          <w:spacing w:val="-25"/>
          <w:w w:val="95"/>
        </w:rPr>
        <w:t> </w:t>
      </w:r>
      <w:r>
        <w:rPr>
          <w:w w:val="95"/>
        </w:rPr>
        <w:t>con</w:t>
      </w:r>
      <w:r>
        <w:rPr>
          <w:spacing w:val="-25"/>
          <w:w w:val="95"/>
        </w:rPr>
        <w:t> </w:t>
      </w:r>
      <w:r>
        <w:rPr>
          <w:w w:val="95"/>
        </w:rPr>
        <w:t>problemas</w:t>
      </w:r>
      <w:r>
        <w:rPr>
          <w:spacing w:val="-26"/>
          <w:w w:val="95"/>
        </w:rPr>
        <w:t> </w:t>
      </w:r>
      <w:r>
        <w:rPr>
          <w:w w:val="95"/>
        </w:rPr>
        <w:t>de</w:t>
      </w:r>
      <w:r>
        <w:rPr>
          <w:spacing w:val="-26"/>
          <w:w w:val="95"/>
        </w:rPr>
        <w:t> </w:t>
      </w:r>
      <w:r>
        <w:rPr>
          <w:w w:val="95"/>
        </w:rPr>
        <w:t>infertilidad.</w:t>
      </w:r>
      <w:r>
        <w:rPr>
          <w:spacing w:val="-25"/>
          <w:w w:val="95"/>
        </w:rPr>
        <w:t> </w:t>
      </w:r>
      <w:r>
        <w:rPr>
          <w:w w:val="95"/>
        </w:rPr>
        <w:t>En</w:t>
      </w:r>
      <w:r>
        <w:rPr>
          <w:spacing w:val="-25"/>
          <w:w w:val="95"/>
        </w:rPr>
        <w:t> </w:t>
      </w:r>
      <w:r>
        <w:rPr>
          <w:w w:val="95"/>
        </w:rPr>
        <w:t>este</w:t>
      </w:r>
      <w:r>
        <w:rPr>
          <w:spacing w:val="-25"/>
          <w:w w:val="95"/>
        </w:rPr>
        <w:t> </w:t>
      </w:r>
      <w:r>
        <w:rPr>
          <w:w w:val="95"/>
        </w:rPr>
        <w:t>trabajo,</w:t>
      </w:r>
      <w:r>
        <w:rPr>
          <w:spacing w:val="-25"/>
          <w:w w:val="95"/>
        </w:rPr>
        <w:t> </w:t>
      </w:r>
      <w:r>
        <w:rPr>
          <w:w w:val="95"/>
        </w:rPr>
        <w:t>de</w:t>
      </w:r>
      <w:r>
        <w:rPr>
          <w:spacing w:val="-25"/>
          <w:w w:val="95"/>
        </w:rPr>
        <w:t> </w:t>
      </w:r>
      <w:r>
        <w:rPr>
          <w:w w:val="95"/>
        </w:rPr>
        <w:t>entre</w:t>
      </w:r>
      <w:r>
        <w:rPr>
          <w:spacing w:val="-25"/>
          <w:w w:val="95"/>
        </w:rPr>
        <w:t> </w:t>
      </w:r>
      <w:r>
        <w:rPr>
          <w:w w:val="95"/>
        </w:rPr>
        <w:t>un conjunto de genes candidato, se identificaran aquellos </w:t>
      </w:r>
      <w:r>
        <w:rPr>
          <w:spacing w:val="3"/>
          <w:w w:val="95"/>
        </w:rPr>
        <w:t>cuya </w:t>
      </w:r>
      <w:r>
        <w:rPr>
          <w:w w:val="95"/>
        </w:rPr>
        <w:t>expresión pueda ser </w:t>
      </w:r>
      <w:r>
        <w:rPr>
          <w:w w:val="90"/>
        </w:rPr>
        <w:t>determinante</w:t>
      </w:r>
      <w:r>
        <w:rPr>
          <w:spacing w:val="-19"/>
          <w:w w:val="90"/>
        </w:rPr>
        <w:t> </w:t>
      </w:r>
      <w:r>
        <w:rPr>
          <w:w w:val="90"/>
        </w:rPr>
        <w:t>de</w:t>
      </w:r>
      <w:r>
        <w:rPr>
          <w:spacing w:val="-20"/>
          <w:w w:val="90"/>
        </w:rPr>
        <w:t> </w:t>
      </w:r>
      <w:r>
        <w:rPr>
          <w:w w:val="90"/>
        </w:rPr>
        <w:t>la</w:t>
      </w:r>
      <w:r>
        <w:rPr>
          <w:spacing w:val="-20"/>
          <w:w w:val="90"/>
        </w:rPr>
        <w:t> </w:t>
      </w:r>
      <w:r>
        <w:rPr>
          <w:w w:val="90"/>
        </w:rPr>
        <w:t>susceptibilidad</w:t>
      </w:r>
      <w:r>
        <w:rPr>
          <w:spacing w:val="-19"/>
          <w:w w:val="90"/>
        </w:rPr>
        <w:t> </w:t>
      </w:r>
      <w:r>
        <w:rPr>
          <w:w w:val="90"/>
        </w:rPr>
        <w:t>a</w:t>
      </w:r>
      <w:r>
        <w:rPr>
          <w:spacing w:val="-22"/>
          <w:w w:val="90"/>
        </w:rPr>
        <w:t> </w:t>
      </w:r>
      <w:r>
        <w:rPr>
          <w:w w:val="90"/>
        </w:rPr>
        <w:t>la</w:t>
      </w:r>
      <w:r>
        <w:rPr>
          <w:spacing w:val="-19"/>
          <w:w w:val="90"/>
        </w:rPr>
        <w:t> </w:t>
      </w:r>
      <w:r>
        <w:rPr>
          <w:w w:val="90"/>
        </w:rPr>
        <w:t>apoptosis</w:t>
      </w:r>
      <w:r>
        <w:rPr>
          <w:spacing w:val="-20"/>
          <w:w w:val="90"/>
        </w:rPr>
        <w:t> </w:t>
      </w:r>
      <w:r>
        <w:rPr>
          <w:w w:val="90"/>
        </w:rPr>
        <w:t>de</w:t>
      </w:r>
      <w:r>
        <w:rPr>
          <w:spacing w:val="-20"/>
          <w:w w:val="90"/>
        </w:rPr>
        <w:t> </w:t>
      </w:r>
      <w:r>
        <w:rPr>
          <w:w w:val="90"/>
        </w:rPr>
        <w:t>las</w:t>
      </w:r>
      <w:r>
        <w:rPr>
          <w:spacing w:val="-21"/>
          <w:w w:val="90"/>
        </w:rPr>
        <w:t> </w:t>
      </w:r>
      <w:r>
        <w:rPr>
          <w:w w:val="90"/>
        </w:rPr>
        <w:t>células</w:t>
      </w:r>
      <w:r>
        <w:rPr>
          <w:spacing w:val="-21"/>
          <w:w w:val="90"/>
        </w:rPr>
        <w:t> </w:t>
      </w:r>
      <w:r>
        <w:rPr>
          <w:w w:val="90"/>
        </w:rPr>
        <w:t>germinales.</w:t>
      </w:r>
    </w:p>
    <w:p>
      <w:pPr>
        <w:pStyle w:val="BodyText"/>
        <w:spacing w:line="360" w:lineRule="auto" w:before="204"/>
        <w:ind w:left="265" w:right="121"/>
        <w:jc w:val="both"/>
      </w:pPr>
      <w:r>
        <w:rPr>
          <w:w w:val="90"/>
        </w:rPr>
        <w:t>Las</w:t>
      </w:r>
      <w:r>
        <w:rPr>
          <w:spacing w:val="-12"/>
          <w:w w:val="90"/>
        </w:rPr>
        <w:t> </w:t>
      </w:r>
      <w:r>
        <w:rPr>
          <w:w w:val="90"/>
        </w:rPr>
        <w:t>terapias</w:t>
      </w:r>
      <w:r>
        <w:rPr>
          <w:spacing w:val="-12"/>
          <w:w w:val="90"/>
        </w:rPr>
        <w:t> </w:t>
      </w:r>
      <w:r>
        <w:rPr>
          <w:w w:val="90"/>
        </w:rPr>
        <w:t>farmacológicas</w:t>
      </w:r>
      <w:r>
        <w:rPr>
          <w:spacing w:val="-10"/>
          <w:w w:val="90"/>
        </w:rPr>
        <w:t> </w:t>
      </w:r>
      <w:r>
        <w:rPr>
          <w:w w:val="90"/>
        </w:rPr>
        <w:t>pueden</w:t>
      </w:r>
      <w:r>
        <w:rPr>
          <w:spacing w:val="-10"/>
          <w:w w:val="90"/>
        </w:rPr>
        <w:t> </w:t>
      </w:r>
      <w:r>
        <w:rPr>
          <w:w w:val="90"/>
        </w:rPr>
        <w:t>actuar</w:t>
      </w:r>
      <w:r>
        <w:rPr>
          <w:spacing w:val="-10"/>
          <w:w w:val="90"/>
        </w:rPr>
        <w:t> </w:t>
      </w:r>
      <w:r>
        <w:rPr>
          <w:w w:val="90"/>
        </w:rPr>
        <w:t>de</w:t>
      </w:r>
      <w:r>
        <w:rPr>
          <w:spacing w:val="-10"/>
          <w:w w:val="90"/>
        </w:rPr>
        <w:t> </w:t>
      </w:r>
      <w:r>
        <w:rPr>
          <w:w w:val="90"/>
        </w:rPr>
        <w:t>forma</w:t>
      </w:r>
      <w:r>
        <w:rPr>
          <w:spacing w:val="-10"/>
          <w:w w:val="90"/>
        </w:rPr>
        <w:t> </w:t>
      </w:r>
      <w:r>
        <w:rPr>
          <w:w w:val="90"/>
        </w:rPr>
        <w:t>diferente</w:t>
      </w:r>
      <w:r>
        <w:rPr>
          <w:spacing w:val="-10"/>
          <w:w w:val="90"/>
        </w:rPr>
        <w:t> </w:t>
      </w:r>
      <w:r>
        <w:rPr>
          <w:w w:val="90"/>
        </w:rPr>
        <w:t>en</w:t>
      </w:r>
      <w:r>
        <w:rPr>
          <w:spacing w:val="-10"/>
          <w:w w:val="90"/>
        </w:rPr>
        <w:t> </w:t>
      </w:r>
      <w:r>
        <w:rPr>
          <w:w w:val="90"/>
        </w:rPr>
        <w:t>cada</w:t>
      </w:r>
      <w:r>
        <w:rPr>
          <w:spacing w:val="-10"/>
          <w:w w:val="90"/>
        </w:rPr>
        <w:t> </w:t>
      </w:r>
      <w:r>
        <w:rPr>
          <w:w w:val="90"/>
        </w:rPr>
        <w:t>organismo,</w:t>
      </w:r>
      <w:r>
        <w:rPr>
          <w:spacing w:val="-10"/>
          <w:w w:val="90"/>
        </w:rPr>
        <w:t> </w:t>
      </w:r>
      <w:r>
        <w:rPr>
          <w:w w:val="90"/>
        </w:rPr>
        <w:t>se</w:t>
      </w:r>
      <w:r>
        <w:rPr>
          <w:spacing w:val="-10"/>
          <w:w w:val="90"/>
        </w:rPr>
        <w:t> </w:t>
      </w:r>
      <w:r>
        <w:rPr>
          <w:w w:val="90"/>
        </w:rPr>
        <w:t>dice entonces</w:t>
      </w:r>
      <w:r>
        <w:rPr>
          <w:spacing w:val="-14"/>
          <w:w w:val="90"/>
        </w:rPr>
        <w:t> </w:t>
      </w:r>
      <w:r>
        <w:rPr>
          <w:w w:val="90"/>
        </w:rPr>
        <w:t>que</w:t>
      </w:r>
      <w:r>
        <w:rPr>
          <w:spacing w:val="-16"/>
          <w:w w:val="90"/>
        </w:rPr>
        <w:t> </w:t>
      </w:r>
      <w:r>
        <w:rPr>
          <w:w w:val="90"/>
        </w:rPr>
        <w:t>la</w:t>
      </w:r>
      <w:r>
        <w:rPr>
          <w:spacing w:val="-14"/>
          <w:w w:val="90"/>
        </w:rPr>
        <w:t> </w:t>
      </w:r>
      <w:r>
        <w:rPr>
          <w:w w:val="90"/>
        </w:rPr>
        <w:t>respuesta</w:t>
      </w:r>
      <w:r>
        <w:rPr>
          <w:spacing w:val="-14"/>
          <w:w w:val="90"/>
        </w:rPr>
        <w:t> </w:t>
      </w:r>
      <w:r>
        <w:rPr>
          <w:w w:val="90"/>
        </w:rPr>
        <w:t>se</w:t>
      </w:r>
      <w:r>
        <w:rPr>
          <w:spacing w:val="-14"/>
          <w:w w:val="90"/>
        </w:rPr>
        <w:t> </w:t>
      </w:r>
      <w:r>
        <w:rPr>
          <w:w w:val="90"/>
        </w:rPr>
        <w:t>encuentra</w:t>
      </w:r>
      <w:r>
        <w:rPr>
          <w:spacing w:val="-14"/>
          <w:w w:val="90"/>
        </w:rPr>
        <w:t> </w:t>
      </w:r>
      <w:r>
        <w:rPr>
          <w:w w:val="90"/>
        </w:rPr>
        <w:t>en</w:t>
      </w:r>
      <w:r>
        <w:rPr>
          <w:spacing w:val="-16"/>
          <w:w w:val="90"/>
        </w:rPr>
        <w:t> </w:t>
      </w:r>
      <w:r>
        <w:rPr>
          <w:w w:val="90"/>
        </w:rPr>
        <w:t>función</w:t>
      </w:r>
      <w:r>
        <w:rPr>
          <w:spacing w:val="-14"/>
          <w:w w:val="90"/>
        </w:rPr>
        <w:t> </w:t>
      </w:r>
      <w:r>
        <w:rPr>
          <w:w w:val="90"/>
        </w:rPr>
        <w:t>de</w:t>
      </w:r>
      <w:r>
        <w:rPr>
          <w:spacing w:val="-16"/>
          <w:w w:val="90"/>
        </w:rPr>
        <w:t> </w:t>
      </w:r>
      <w:r>
        <w:rPr>
          <w:w w:val="90"/>
        </w:rPr>
        <w:t>la</w:t>
      </w:r>
      <w:r>
        <w:rPr>
          <w:spacing w:val="-14"/>
          <w:w w:val="90"/>
        </w:rPr>
        <w:t> </w:t>
      </w:r>
      <w:r>
        <w:rPr>
          <w:w w:val="90"/>
        </w:rPr>
        <w:t>denominada</w:t>
      </w:r>
      <w:r>
        <w:rPr>
          <w:spacing w:val="-14"/>
          <w:w w:val="90"/>
        </w:rPr>
        <w:t> </w:t>
      </w:r>
      <w:r>
        <w:rPr>
          <w:w w:val="90"/>
        </w:rPr>
        <w:t>susceptibilidad.</w:t>
      </w:r>
      <w:r>
        <w:rPr>
          <w:spacing w:val="-14"/>
          <w:w w:val="90"/>
        </w:rPr>
        <w:t> </w:t>
      </w:r>
      <w:r>
        <w:rPr>
          <w:w w:val="90"/>
        </w:rPr>
        <w:t>Esta </w:t>
      </w:r>
      <w:r>
        <w:rPr>
          <w:w w:val="95"/>
        </w:rPr>
        <w:t>susceptibilidad diferencial es determinada por la expresión genética, por lo que la identificación de los factores determinantes de la expresión genética podría ayudar</w:t>
      </w:r>
      <w:r>
        <w:rPr>
          <w:spacing w:val="-36"/>
          <w:w w:val="95"/>
        </w:rPr>
        <w:t> </w:t>
      </w:r>
      <w:r>
        <w:rPr>
          <w:w w:val="95"/>
        </w:rPr>
        <w:t>a identificar</w:t>
      </w:r>
      <w:r>
        <w:rPr>
          <w:spacing w:val="31"/>
          <w:w w:val="95"/>
        </w:rPr>
        <w:t> </w:t>
      </w:r>
      <w:r>
        <w:rPr>
          <w:w w:val="95"/>
        </w:rPr>
        <w:t>a</w:t>
      </w:r>
      <w:r>
        <w:rPr>
          <w:spacing w:val="29"/>
          <w:w w:val="95"/>
        </w:rPr>
        <w:t> </w:t>
      </w:r>
      <w:r>
        <w:rPr>
          <w:w w:val="95"/>
        </w:rPr>
        <w:t>los</w:t>
      </w:r>
      <w:r>
        <w:rPr>
          <w:spacing w:val="29"/>
          <w:w w:val="95"/>
        </w:rPr>
        <w:t> </w:t>
      </w:r>
      <w:r>
        <w:rPr>
          <w:w w:val="95"/>
        </w:rPr>
        <w:t>individuos</w:t>
      </w:r>
      <w:r>
        <w:rPr>
          <w:spacing w:val="29"/>
          <w:w w:val="95"/>
        </w:rPr>
        <w:t> </w:t>
      </w:r>
      <w:r>
        <w:rPr>
          <w:w w:val="95"/>
        </w:rPr>
        <w:t>susceptibles</w:t>
      </w:r>
      <w:r>
        <w:rPr>
          <w:spacing w:val="29"/>
          <w:w w:val="95"/>
        </w:rPr>
        <w:t> </w:t>
      </w:r>
      <w:r>
        <w:rPr>
          <w:w w:val="95"/>
        </w:rPr>
        <w:t>a</w:t>
      </w:r>
      <w:r>
        <w:rPr>
          <w:spacing w:val="29"/>
          <w:w w:val="95"/>
        </w:rPr>
        <w:t> </w:t>
      </w:r>
      <w:r>
        <w:rPr>
          <w:w w:val="95"/>
        </w:rPr>
        <w:t>un</w:t>
      </w:r>
      <w:r>
        <w:rPr>
          <w:spacing w:val="29"/>
          <w:w w:val="95"/>
        </w:rPr>
        <w:t> </w:t>
      </w:r>
      <w:r>
        <w:rPr>
          <w:w w:val="95"/>
        </w:rPr>
        <w:t>fármaco</w:t>
      </w:r>
      <w:r>
        <w:rPr>
          <w:spacing w:val="30"/>
          <w:w w:val="95"/>
        </w:rPr>
        <w:t> </w:t>
      </w:r>
      <w:r>
        <w:rPr>
          <w:w w:val="95"/>
        </w:rPr>
        <w:t>en</w:t>
      </w:r>
      <w:r>
        <w:rPr>
          <w:spacing w:val="29"/>
          <w:w w:val="95"/>
        </w:rPr>
        <w:t> </w:t>
      </w:r>
      <w:r>
        <w:rPr>
          <w:spacing w:val="2"/>
          <w:w w:val="95"/>
        </w:rPr>
        <w:t>particular.</w:t>
      </w:r>
      <w:r>
        <w:rPr>
          <w:spacing w:val="31"/>
          <w:w w:val="95"/>
        </w:rPr>
        <w:t> </w:t>
      </w:r>
      <w:r>
        <w:rPr>
          <w:w w:val="95"/>
        </w:rPr>
        <w:t>En</w:t>
      </w:r>
      <w:r>
        <w:rPr>
          <w:spacing w:val="29"/>
          <w:w w:val="95"/>
        </w:rPr>
        <w:t> </w:t>
      </w:r>
      <w:r>
        <w:rPr>
          <w:w w:val="95"/>
        </w:rPr>
        <w:t>un</w:t>
      </w:r>
      <w:r>
        <w:rPr>
          <w:spacing w:val="30"/>
          <w:w w:val="95"/>
        </w:rPr>
        <w:t> </w:t>
      </w:r>
      <w:r>
        <w:rPr>
          <w:w w:val="95"/>
        </w:rPr>
        <w:t>estudio</w:t>
      </w:r>
    </w:p>
    <w:p>
      <w:pPr>
        <w:spacing w:after="0" w:line="360" w:lineRule="auto"/>
        <w:jc w:val="both"/>
        <w:sectPr>
          <w:pgSz w:w="12240" w:h="15840"/>
          <w:pgMar w:header="0" w:footer="162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4"/>
        <w:jc w:val="both"/>
      </w:pPr>
      <w:r>
        <w:rPr>
          <w:w w:val="95"/>
        </w:rPr>
        <w:t>conducido para identificar los efectos de inhibición farmacológica de la síntesis de serotonina en ratas macho, se observó que se inducía la apoptosis de las células </w:t>
      </w:r>
      <w:r>
        <w:rPr>
          <w:w w:val="90"/>
        </w:rPr>
        <w:t>germinales (Aragón et al, 2005). Observaciones derivadas de ese trabajo (no publicadas) </w:t>
      </w:r>
      <w:r>
        <w:rPr>
          <w:w w:val="95"/>
        </w:rPr>
        <w:t>indicaron que la intensidad de la respuesta al fármaco (pcloroanfetamina, pCA), en términos</w:t>
      </w:r>
      <w:r>
        <w:rPr>
          <w:spacing w:val="-35"/>
          <w:w w:val="95"/>
        </w:rPr>
        <w:t> </w:t>
      </w:r>
      <w:r>
        <w:rPr>
          <w:w w:val="95"/>
        </w:rPr>
        <w:t>de</w:t>
      </w:r>
      <w:r>
        <w:rPr>
          <w:spacing w:val="-35"/>
          <w:w w:val="95"/>
        </w:rPr>
        <w:t> </w:t>
      </w:r>
      <w:r>
        <w:rPr>
          <w:w w:val="95"/>
        </w:rPr>
        <w:t>número</w:t>
      </w:r>
      <w:r>
        <w:rPr>
          <w:spacing w:val="-35"/>
          <w:w w:val="95"/>
        </w:rPr>
        <w:t> </w:t>
      </w:r>
      <w:r>
        <w:rPr>
          <w:w w:val="95"/>
        </w:rPr>
        <w:t>de</w:t>
      </w:r>
      <w:r>
        <w:rPr>
          <w:spacing w:val="-35"/>
          <w:w w:val="95"/>
        </w:rPr>
        <w:t> </w:t>
      </w:r>
      <w:r>
        <w:rPr>
          <w:w w:val="95"/>
        </w:rPr>
        <w:t>células</w:t>
      </w:r>
      <w:r>
        <w:rPr>
          <w:spacing w:val="-35"/>
          <w:w w:val="95"/>
        </w:rPr>
        <w:t> </w:t>
      </w:r>
      <w:r>
        <w:rPr>
          <w:w w:val="95"/>
        </w:rPr>
        <w:t>muertas,</w:t>
      </w:r>
      <w:r>
        <w:rPr>
          <w:spacing w:val="-35"/>
          <w:w w:val="95"/>
        </w:rPr>
        <w:t> </w:t>
      </w:r>
      <w:r>
        <w:rPr>
          <w:w w:val="95"/>
        </w:rPr>
        <w:t>variaba</w:t>
      </w:r>
      <w:r>
        <w:rPr>
          <w:spacing w:val="-35"/>
          <w:w w:val="95"/>
        </w:rPr>
        <w:t> </w:t>
      </w:r>
      <w:r>
        <w:rPr>
          <w:w w:val="95"/>
        </w:rPr>
        <w:t>de</w:t>
      </w:r>
      <w:r>
        <w:rPr>
          <w:spacing w:val="-35"/>
          <w:w w:val="95"/>
        </w:rPr>
        <w:t> </w:t>
      </w:r>
      <w:r>
        <w:rPr>
          <w:w w:val="95"/>
        </w:rPr>
        <w:t>forma</w:t>
      </w:r>
      <w:r>
        <w:rPr>
          <w:spacing w:val="-35"/>
          <w:w w:val="95"/>
        </w:rPr>
        <w:t> </w:t>
      </w:r>
      <w:r>
        <w:rPr>
          <w:w w:val="95"/>
        </w:rPr>
        <w:t>interindividual.</w:t>
      </w:r>
      <w:r>
        <w:rPr>
          <w:spacing w:val="-35"/>
          <w:w w:val="95"/>
        </w:rPr>
        <w:t> </w:t>
      </w:r>
      <w:r>
        <w:rPr>
          <w:w w:val="95"/>
        </w:rPr>
        <w:t>Lo</w:t>
      </w:r>
      <w:r>
        <w:rPr>
          <w:spacing w:val="-35"/>
          <w:w w:val="95"/>
        </w:rPr>
        <w:t> </w:t>
      </w:r>
      <w:r>
        <w:rPr>
          <w:w w:val="95"/>
        </w:rPr>
        <w:t>anterior</w:t>
      </w:r>
      <w:r>
        <w:rPr>
          <w:spacing w:val="-34"/>
          <w:w w:val="95"/>
        </w:rPr>
        <w:t> </w:t>
      </w:r>
      <w:r>
        <w:rPr>
          <w:w w:val="95"/>
        </w:rPr>
        <w:t>nos </w:t>
      </w:r>
      <w:r>
        <w:rPr>
          <w:w w:val="90"/>
        </w:rPr>
        <w:t>motivó</w:t>
      </w:r>
      <w:r>
        <w:rPr>
          <w:spacing w:val="-19"/>
          <w:w w:val="90"/>
        </w:rPr>
        <w:t> </w:t>
      </w:r>
      <w:r>
        <w:rPr>
          <w:w w:val="90"/>
        </w:rPr>
        <w:t>para</w:t>
      </w:r>
      <w:r>
        <w:rPr>
          <w:spacing w:val="-19"/>
          <w:w w:val="90"/>
        </w:rPr>
        <w:t> </w:t>
      </w:r>
      <w:r>
        <w:rPr>
          <w:w w:val="90"/>
        </w:rPr>
        <w:t>buscar</w:t>
      </w:r>
      <w:r>
        <w:rPr>
          <w:spacing w:val="-19"/>
          <w:w w:val="90"/>
        </w:rPr>
        <w:t> </w:t>
      </w:r>
      <w:r>
        <w:rPr>
          <w:w w:val="90"/>
        </w:rPr>
        <w:t>las</w:t>
      </w:r>
      <w:r>
        <w:rPr>
          <w:spacing w:val="-20"/>
          <w:w w:val="90"/>
        </w:rPr>
        <w:t> </w:t>
      </w:r>
      <w:r>
        <w:rPr>
          <w:w w:val="90"/>
        </w:rPr>
        <w:t>causas</w:t>
      </w:r>
      <w:r>
        <w:rPr>
          <w:spacing w:val="-20"/>
          <w:w w:val="90"/>
        </w:rPr>
        <w:t> </w:t>
      </w:r>
      <w:r>
        <w:rPr>
          <w:w w:val="90"/>
        </w:rPr>
        <w:t>de</w:t>
      </w:r>
      <w:r>
        <w:rPr>
          <w:spacing w:val="-19"/>
          <w:w w:val="90"/>
        </w:rPr>
        <w:t> </w:t>
      </w:r>
      <w:r>
        <w:rPr>
          <w:w w:val="90"/>
        </w:rPr>
        <w:t>esa</w:t>
      </w:r>
      <w:r>
        <w:rPr>
          <w:spacing w:val="-18"/>
          <w:w w:val="90"/>
        </w:rPr>
        <w:t> </w:t>
      </w:r>
      <w:r>
        <w:rPr>
          <w:w w:val="90"/>
        </w:rPr>
        <w:t>variabilidad</w:t>
      </w:r>
      <w:r>
        <w:rPr>
          <w:spacing w:val="-19"/>
          <w:w w:val="90"/>
        </w:rPr>
        <w:t> </w:t>
      </w:r>
      <w:r>
        <w:rPr>
          <w:w w:val="90"/>
        </w:rPr>
        <w:t>en</w:t>
      </w:r>
      <w:r>
        <w:rPr>
          <w:spacing w:val="-19"/>
          <w:w w:val="90"/>
        </w:rPr>
        <w:t> </w:t>
      </w:r>
      <w:r>
        <w:rPr>
          <w:w w:val="90"/>
        </w:rPr>
        <w:t>la</w:t>
      </w:r>
      <w:r>
        <w:rPr>
          <w:spacing w:val="-19"/>
          <w:w w:val="90"/>
        </w:rPr>
        <w:t> </w:t>
      </w:r>
      <w:r>
        <w:rPr>
          <w:w w:val="90"/>
        </w:rPr>
        <w:t>susceptibilidad</w:t>
      </w:r>
      <w:r>
        <w:rPr>
          <w:spacing w:val="-19"/>
          <w:w w:val="90"/>
        </w:rPr>
        <w:t> </w:t>
      </w:r>
      <w:r>
        <w:rPr>
          <w:w w:val="90"/>
        </w:rPr>
        <w:t>individual.</w:t>
      </w:r>
    </w:p>
    <w:p>
      <w:pPr>
        <w:pStyle w:val="BodyText"/>
        <w:spacing w:line="360" w:lineRule="auto" w:before="204"/>
        <w:ind w:left="265" w:right="119"/>
        <w:jc w:val="both"/>
      </w:pPr>
      <w:r>
        <w:rPr>
          <w:w w:val="95"/>
        </w:rPr>
        <w:t>En</w:t>
      </w:r>
      <w:r>
        <w:rPr>
          <w:spacing w:val="-4"/>
          <w:w w:val="95"/>
        </w:rPr>
        <w:t> </w:t>
      </w:r>
      <w:r>
        <w:rPr>
          <w:w w:val="95"/>
        </w:rPr>
        <w:t>esta</w:t>
      </w:r>
      <w:r>
        <w:rPr>
          <w:spacing w:val="-6"/>
          <w:w w:val="95"/>
        </w:rPr>
        <w:t> </w:t>
      </w:r>
      <w:r>
        <w:rPr>
          <w:w w:val="95"/>
        </w:rPr>
        <w:t>reunión</w:t>
      </w:r>
      <w:r>
        <w:rPr>
          <w:spacing w:val="-4"/>
          <w:w w:val="95"/>
        </w:rPr>
        <w:t> </w:t>
      </w:r>
      <w:r>
        <w:rPr>
          <w:w w:val="95"/>
        </w:rPr>
        <w:t>de</w:t>
      </w:r>
      <w:r>
        <w:rPr>
          <w:spacing w:val="-4"/>
          <w:w w:val="95"/>
        </w:rPr>
        <w:t> </w:t>
      </w:r>
      <w:r>
        <w:rPr>
          <w:w w:val="95"/>
        </w:rPr>
        <w:t>la</w:t>
      </w:r>
      <w:r>
        <w:rPr>
          <w:spacing w:val="-4"/>
          <w:w w:val="95"/>
        </w:rPr>
        <w:t> </w:t>
      </w:r>
      <w:r>
        <w:rPr>
          <w:w w:val="95"/>
        </w:rPr>
        <w:t>Red</w:t>
      </w:r>
      <w:r>
        <w:rPr>
          <w:spacing w:val="-4"/>
          <w:w w:val="95"/>
        </w:rPr>
        <w:t> </w:t>
      </w:r>
      <w:r>
        <w:rPr>
          <w:w w:val="95"/>
        </w:rPr>
        <w:t>de</w:t>
      </w:r>
      <w:r>
        <w:rPr>
          <w:spacing w:val="-4"/>
          <w:w w:val="95"/>
        </w:rPr>
        <w:t> </w:t>
      </w:r>
      <w:r>
        <w:rPr>
          <w:w w:val="95"/>
        </w:rPr>
        <w:t>Cuerpos</w:t>
      </w:r>
      <w:r>
        <w:rPr>
          <w:spacing w:val="-4"/>
          <w:w w:val="95"/>
        </w:rPr>
        <w:t> </w:t>
      </w:r>
      <w:r>
        <w:rPr>
          <w:w w:val="95"/>
        </w:rPr>
        <w:t>Académicos</w:t>
      </w:r>
      <w:r>
        <w:rPr>
          <w:spacing w:val="-4"/>
          <w:w w:val="95"/>
        </w:rPr>
        <w:t> </w:t>
      </w:r>
      <w:r>
        <w:rPr>
          <w:w w:val="95"/>
        </w:rPr>
        <w:t>en</w:t>
      </w:r>
      <w:r>
        <w:rPr>
          <w:spacing w:val="-4"/>
          <w:w w:val="95"/>
        </w:rPr>
        <w:t> </w:t>
      </w:r>
      <w:r>
        <w:rPr>
          <w:w w:val="95"/>
        </w:rPr>
        <w:t>Producción</w:t>
      </w:r>
      <w:r>
        <w:rPr>
          <w:spacing w:val="-4"/>
          <w:w w:val="95"/>
        </w:rPr>
        <w:t> </w:t>
      </w:r>
      <w:r>
        <w:rPr>
          <w:w w:val="95"/>
        </w:rPr>
        <w:t>Animal</w:t>
      </w:r>
      <w:r>
        <w:rPr>
          <w:spacing w:val="-4"/>
          <w:w w:val="95"/>
        </w:rPr>
        <w:t> </w:t>
      </w:r>
      <w:r>
        <w:rPr>
          <w:w w:val="95"/>
        </w:rPr>
        <w:t>del</w:t>
      </w:r>
      <w:r>
        <w:rPr>
          <w:spacing w:val="-4"/>
          <w:w w:val="95"/>
        </w:rPr>
        <w:t> </w:t>
      </w:r>
      <w:r>
        <w:rPr>
          <w:w w:val="95"/>
        </w:rPr>
        <w:t>Centro presentamos los primeros resultados de la aproximación experimental que hemos diseñado para identificar los cambios en la expresión de genes relacionados con </w:t>
      </w:r>
      <w:r>
        <w:rPr>
          <w:spacing w:val="10"/>
          <w:w w:val="95"/>
        </w:rPr>
        <w:t>la </w:t>
      </w:r>
      <w:r>
        <w:rPr>
          <w:w w:val="90"/>
        </w:rPr>
        <w:t>proliferación,</w:t>
      </w:r>
      <w:r>
        <w:rPr>
          <w:spacing w:val="-9"/>
          <w:w w:val="90"/>
        </w:rPr>
        <w:t> </w:t>
      </w:r>
      <w:r>
        <w:rPr>
          <w:w w:val="90"/>
        </w:rPr>
        <w:t>la</w:t>
      </w:r>
      <w:r>
        <w:rPr>
          <w:spacing w:val="-9"/>
          <w:w w:val="90"/>
        </w:rPr>
        <w:t> </w:t>
      </w:r>
      <w:r>
        <w:rPr>
          <w:w w:val="90"/>
        </w:rPr>
        <w:t>diferenciación</w:t>
      </w:r>
      <w:r>
        <w:rPr>
          <w:spacing w:val="-7"/>
          <w:w w:val="90"/>
        </w:rPr>
        <w:t> </w:t>
      </w:r>
      <w:r>
        <w:rPr>
          <w:w w:val="90"/>
        </w:rPr>
        <w:t>y</w:t>
      </w:r>
      <w:r>
        <w:rPr>
          <w:spacing w:val="-9"/>
          <w:w w:val="90"/>
        </w:rPr>
        <w:t> </w:t>
      </w:r>
      <w:r>
        <w:rPr>
          <w:w w:val="90"/>
        </w:rPr>
        <w:t>la</w:t>
      </w:r>
      <w:r>
        <w:rPr>
          <w:spacing w:val="-7"/>
          <w:w w:val="90"/>
        </w:rPr>
        <w:t> </w:t>
      </w:r>
      <w:r>
        <w:rPr>
          <w:w w:val="90"/>
        </w:rPr>
        <w:t>muerte</w:t>
      </w:r>
      <w:r>
        <w:rPr>
          <w:spacing w:val="-7"/>
          <w:w w:val="90"/>
        </w:rPr>
        <w:t> </w:t>
      </w:r>
      <w:r>
        <w:rPr>
          <w:w w:val="90"/>
        </w:rPr>
        <w:t>de</w:t>
      </w:r>
      <w:r>
        <w:rPr>
          <w:spacing w:val="-9"/>
          <w:w w:val="90"/>
        </w:rPr>
        <w:t> </w:t>
      </w:r>
      <w:r>
        <w:rPr>
          <w:w w:val="90"/>
        </w:rPr>
        <w:t>las</w:t>
      </w:r>
      <w:r>
        <w:rPr>
          <w:spacing w:val="-9"/>
          <w:w w:val="90"/>
        </w:rPr>
        <w:t> </w:t>
      </w:r>
      <w:r>
        <w:rPr>
          <w:w w:val="90"/>
        </w:rPr>
        <w:t>células</w:t>
      </w:r>
      <w:r>
        <w:rPr>
          <w:spacing w:val="-9"/>
          <w:w w:val="90"/>
        </w:rPr>
        <w:t> </w:t>
      </w:r>
      <w:r>
        <w:rPr>
          <w:w w:val="90"/>
        </w:rPr>
        <w:t>germinales</w:t>
      </w:r>
      <w:r>
        <w:rPr>
          <w:spacing w:val="-9"/>
          <w:w w:val="90"/>
        </w:rPr>
        <w:t> </w:t>
      </w:r>
      <w:r>
        <w:rPr>
          <w:w w:val="90"/>
        </w:rPr>
        <w:t>de</w:t>
      </w:r>
      <w:r>
        <w:rPr>
          <w:spacing w:val="-9"/>
          <w:w w:val="90"/>
        </w:rPr>
        <w:t> </w:t>
      </w:r>
      <w:r>
        <w:rPr>
          <w:w w:val="90"/>
        </w:rPr>
        <w:t>individuos</w:t>
      </w:r>
      <w:r>
        <w:rPr>
          <w:spacing w:val="-9"/>
          <w:w w:val="90"/>
        </w:rPr>
        <w:t> </w:t>
      </w:r>
      <w:r>
        <w:rPr>
          <w:w w:val="90"/>
        </w:rPr>
        <w:t>con</w:t>
      </w:r>
      <w:r>
        <w:rPr>
          <w:spacing w:val="-7"/>
          <w:w w:val="90"/>
        </w:rPr>
        <w:t> </w:t>
      </w:r>
      <w:r>
        <w:rPr>
          <w:w w:val="90"/>
        </w:rPr>
        <w:t>una </w:t>
      </w:r>
      <w:r>
        <w:rPr>
          <w:w w:val="95"/>
        </w:rPr>
        <w:t>baja</w:t>
      </w:r>
      <w:r>
        <w:rPr>
          <w:spacing w:val="-38"/>
          <w:w w:val="95"/>
        </w:rPr>
        <w:t> </w:t>
      </w:r>
      <w:r>
        <w:rPr>
          <w:w w:val="95"/>
        </w:rPr>
        <w:t>o</w:t>
      </w:r>
      <w:r>
        <w:rPr>
          <w:spacing w:val="-39"/>
          <w:w w:val="95"/>
        </w:rPr>
        <w:t> </w:t>
      </w:r>
      <w:r>
        <w:rPr>
          <w:w w:val="95"/>
        </w:rPr>
        <w:t>una</w:t>
      </w:r>
      <w:r>
        <w:rPr>
          <w:spacing w:val="-38"/>
          <w:w w:val="95"/>
        </w:rPr>
        <w:t> </w:t>
      </w:r>
      <w:r>
        <w:rPr>
          <w:w w:val="95"/>
        </w:rPr>
        <w:t>alta</w:t>
      </w:r>
      <w:r>
        <w:rPr>
          <w:spacing w:val="-38"/>
          <w:w w:val="95"/>
        </w:rPr>
        <w:t> </w:t>
      </w:r>
      <w:r>
        <w:rPr>
          <w:w w:val="95"/>
        </w:rPr>
        <w:t>susceptibilidad</w:t>
      </w:r>
      <w:r>
        <w:rPr>
          <w:spacing w:val="-38"/>
          <w:w w:val="95"/>
        </w:rPr>
        <w:t> </w:t>
      </w:r>
      <w:r>
        <w:rPr>
          <w:w w:val="95"/>
        </w:rPr>
        <w:t>a</w:t>
      </w:r>
      <w:r>
        <w:rPr>
          <w:spacing w:val="-39"/>
          <w:w w:val="95"/>
        </w:rPr>
        <w:t> </w:t>
      </w:r>
      <w:r>
        <w:rPr>
          <w:w w:val="95"/>
        </w:rPr>
        <w:t>los</w:t>
      </w:r>
      <w:r>
        <w:rPr>
          <w:spacing w:val="-39"/>
          <w:w w:val="95"/>
        </w:rPr>
        <w:t> </w:t>
      </w:r>
      <w:r>
        <w:rPr>
          <w:w w:val="95"/>
        </w:rPr>
        <w:t>eventos</w:t>
      </w:r>
      <w:r>
        <w:rPr>
          <w:spacing w:val="-38"/>
          <w:w w:val="95"/>
        </w:rPr>
        <w:t> </w:t>
      </w:r>
      <w:r>
        <w:rPr>
          <w:w w:val="95"/>
        </w:rPr>
        <w:t>de</w:t>
      </w:r>
      <w:r>
        <w:rPr>
          <w:spacing w:val="-39"/>
          <w:w w:val="95"/>
        </w:rPr>
        <w:t> </w:t>
      </w:r>
      <w:r>
        <w:rPr>
          <w:w w:val="95"/>
        </w:rPr>
        <w:t>apoptosis</w:t>
      </w:r>
      <w:r>
        <w:rPr>
          <w:spacing w:val="-39"/>
          <w:w w:val="95"/>
        </w:rPr>
        <w:t> </w:t>
      </w:r>
      <w:r>
        <w:rPr>
          <w:w w:val="95"/>
        </w:rPr>
        <w:t>en</w:t>
      </w:r>
      <w:r>
        <w:rPr>
          <w:spacing w:val="-38"/>
          <w:w w:val="95"/>
        </w:rPr>
        <w:t> </w:t>
      </w:r>
      <w:r>
        <w:rPr>
          <w:w w:val="95"/>
        </w:rPr>
        <w:t>un</w:t>
      </w:r>
      <w:r>
        <w:rPr>
          <w:spacing w:val="-39"/>
          <w:w w:val="95"/>
        </w:rPr>
        <w:t> </w:t>
      </w:r>
      <w:r>
        <w:rPr>
          <w:w w:val="95"/>
        </w:rPr>
        <w:t>modelo</w:t>
      </w:r>
      <w:r>
        <w:rPr>
          <w:spacing w:val="-39"/>
          <w:w w:val="95"/>
        </w:rPr>
        <w:t> </w:t>
      </w:r>
      <w:r>
        <w:rPr>
          <w:w w:val="95"/>
        </w:rPr>
        <w:t>de</w:t>
      </w:r>
      <w:r>
        <w:rPr>
          <w:spacing w:val="-39"/>
          <w:w w:val="95"/>
        </w:rPr>
        <w:t> </w:t>
      </w:r>
      <w:r>
        <w:rPr>
          <w:w w:val="95"/>
        </w:rPr>
        <w:t>inhibición</w:t>
      </w:r>
      <w:r>
        <w:rPr>
          <w:spacing w:val="-38"/>
          <w:w w:val="95"/>
        </w:rPr>
        <w:t> </w:t>
      </w:r>
      <w:r>
        <w:rPr>
          <w:w w:val="95"/>
        </w:rPr>
        <w:t>de</w:t>
      </w:r>
      <w:r>
        <w:rPr>
          <w:spacing w:val="-39"/>
          <w:w w:val="95"/>
        </w:rPr>
        <w:t> </w:t>
      </w:r>
      <w:r>
        <w:rPr>
          <w:w w:val="95"/>
        </w:rPr>
        <w:t>la </w:t>
      </w:r>
      <w:r>
        <w:rPr>
          <w:w w:val="90"/>
        </w:rPr>
        <w:t>síntesis</w:t>
      </w:r>
      <w:r>
        <w:rPr>
          <w:spacing w:val="-31"/>
          <w:w w:val="90"/>
        </w:rPr>
        <w:t> </w:t>
      </w:r>
      <w:r>
        <w:rPr>
          <w:w w:val="90"/>
        </w:rPr>
        <w:t>de</w:t>
      </w:r>
      <w:r>
        <w:rPr>
          <w:spacing w:val="-30"/>
          <w:w w:val="90"/>
        </w:rPr>
        <w:t> </w:t>
      </w:r>
      <w:r>
        <w:rPr>
          <w:w w:val="90"/>
        </w:rPr>
        <w:t>serotonina.</w:t>
      </w:r>
    </w:p>
    <w:p>
      <w:pPr>
        <w:pStyle w:val="BodyText"/>
      </w:pPr>
    </w:p>
    <w:p>
      <w:pPr>
        <w:pStyle w:val="BodyText"/>
      </w:pPr>
    </w:p>
    <w:p>
      <w:pPr>
        <w:pStyle w:val="BodyText"/>
        <w:spacing w:before="11"/>
        <w:rPr>
          <w:sz w:val="22"/>
        </w:rPr>
      </w:pPr>
    </w:p>
    <w:p>
      <w:pPr>
        <w:pStyle w:val="Heading3"/>
        <w:numPr>
          <w:ilvl w:val="1"/>
          <w:numId w:val="7"/>
        </w:numPr>
        <w:tabs>
          <w:tab w:pos="616" w:val="left" w:leader="none"/>
        </w:tabs>
        <w:spacing w:line="240" w:lineRule="auto" w:before="0" w:after="0"/>
        <w:ind w:left="615" w:right="0" w:hanging="350"/>
        <w:jc w:val="both"/>
        <w:rPr>
          <w:i/>
        </w:rPr>
      </w:pPr>
      <w:r>
        <w:rPr>
          <w:i/>
          <w:w w:val="90"/>
        </w:rPr>
        <w:t>MATERIAL</w:t>
      </w:r>
      <w:r>
        <w:rPr>
          <w:i/>
          <w:spacing w:val="-31"/>
          <w:w w:val="90"/>
        </w:rPr>
        <w:t> </w:t>
      </w:r>
      <w:r>
        <w:rPr>
          <w:i/>
          <w:w w:val="90"/>
        </w:rPr>
        <w:t>Y</w:t>
      </w:r>
      <w:r>
        <w:rPr>
          <w:i/>
          <w:spacing w:val="-32"/>
          <w:w w:val="90"/>
        </w:rPr>
        <w:t> </w:t>
      </w:r>
      <w:r>
        <w:rPr>
          <w:i/>
          <w:w w:val="90"/>
        </w:rPr>
        <w:t>MÉTODOS</w:t>
      </w:r>
    </w:p>
    <w:p>
      <w:pPr>
        <w:pStyle w:val="BodyText"/>
        <w:spacing w:before="5"/>
        <w:rPr>
          <w:b/>
          <w:i/>
          <w:sz w:val="29"/>
        </w:rPr>
      </w:pPr>
    </w:p>
    <w:p>
      <w:pPr>
        <w:pStyle w:val="BodyText"/>
        <w:spacing w:line="360" w:lineRule="auto"/>
        <w:ind w:left="265" w:right="130"/>
        <w:jc w:val="both"/>
      </w:pPr>
      <w:r>
        <w:rPr>
          <w:w w:val="95"/>
        </w:rPr>
        <w:t>Se utilizaron ratas macho de la cepa CII-ZV de 30 días de edad, bajo condiciones</w:t>
      </w:r>
      <w:r>
        <w:rPr>
          <w:spacing w:val="-38"/>
          <w:w w:val="95"/>
        </w:rPr>
        <w:t> </w:t>
      </w:r>
      <w:r>
        <w:rPr>
          <w:w w:val="95"/>
        </w:rPr>
        <w:t>de </w:t>
      </w:r>
      <w:r>
        <w:rPr>
          <w:w w:val="90"/>
        </w:rPr>
        <w:t>bioterio,</w:t>
      </w:r>
      <w:r>
        <w:rPr>
          <w:spacing w:val="-14"/>
          <w:w w:val="90"/>
        </w:rPr>
        <w:t> </w:t>
      </w:r>
      <w:r>
        <w:rPr>
          <w:w w:val="90"/>
        </w:rPr>
        <w:t>agua</w:t>
      </w:r>
      <w:r>
        <w:rPr>
          <w:spacing w:val="-14"/>
          <w:w w:val="90"/>
        </w:rPr>
        <w:t> </w:t>
      </w:r>
      <w:r>
        <w:rPr>
          <w:w w:val="90"/>
        </w:rPr>
        <w:t>y</w:t>
      </w:r>
      <w:r>
        <w:rPr>
          <w:spacing w:val="-15"/>
          <w:w w:val="90"/>
        </w:rPr>
        <w:t> </w:t>
      </w:r>
      <w:r>
        <w:rPr>
          <w:w w:val="90"/>
        </w:rPr>
        <w:t>alimento</w:t>
      </w:r>
      <w:r>
        <w:rPr>
          <w:spacing w:val="-14"/>
          <w:w w:val="90"/>
        </w:rPr>
        <w:t> </w:t>
      </w:r>
      <w:r>
        <w:rPr>
          <w:w w:val="90"/>
        </w:rPr>
        <w:t>a</w:t>
      </w:r>
      <w:r>
        <w:rPr>
          <w:spacing w:val="-15"/>
          <w:w w:val="90"/>
        </w:rPr>
        <w:t> </w:t>
      </w:r>
      <w:r>
        <w:rPr>
          <w:w w:val="90"/>
        </w:rPr>
        <w:t>libre</w:t>
      </w:r>
      <w:r>
        <w:rPr>
          <w:spacing w:val="-14"/>
          <w:w w:val="90"/>
        </w:rPr>
        <w:t> </w:t>
      </w:r>
      <w:r>
        <w:rPr>
          <w:w w:val="90"/>
        </w:rPr>
        <w:t>acceso.</w:t>
      </w:r>
      <w:r>
        <w:rPr>
          <w:spacing w:val="-14"/>
          <w:w w:val="90"/>
        </w:rPr>
        <w:t> </w:t>
      </w:r>
      <w:r>
        <w:rPr>
          <w:w w:val="90"/>
        </w:rPr>
        <w:t>Se</w:t>
      </w:r>
      <w:r>
        <w:rPr>
          <w:spacing w:val="-14"/>
          <w:w w:val="90"/>
        </w:rPr>
        <w:t> </w:t>
      </w:r>
      <w:r>
        <w:rPr>
          <w:w w:val="90"/>
        </w:rPr>
        <w:t>hicieron</w:t>
      </w:r>
      <w:r>
        <w:rPr>
          <w:spacing w:val="-15"/>
          <w:w w:val="90"/>
        </w:rPr>
        <w:t> </w:t>
      </w:r>
      <w:r>
        <w:rPr>
          <w:w w:val="90"/>
        </w:rPr>
        <w:t>tres</w:t>
      </w:r>
      <w:r>
        <w:rPr>
          <w:spacing w:val="-15"/>
          <w:w w:val="90"/>
        </w:rPr>
        <w:t> </w:t>
      </w:r>
      <w:r>
        <w:rPr>
          <w:w w:val="90"/>
        </w:rPr>
        <w:t>grupos:</w:t>
      </w:r>
      <w:r>
        <w:rPr>
          <w:spacing w:val="-15"/>
          <w:w w:val="90"/>
        </w:rPr>
        <w:t> </w:t>
      </w:r>
      <w:r>
        <w:rPr>
          <w:w w:val="90"/>
        </w:rPr>
        <w:t>uno</w:t>
      </w:r>
      <w:r>
        <w:rPr>
          <w:spacing w:val="-14"/>
          <w:w w:val="90"/>
        </w:rPr>
        <w:t> </w:t>
      </w:r>
      <w:r>
        <w:rPr>
          <w:w w:val="90"/>
        </w:rPr>
        <w:t>para</w:t>
      </w:r>
      <w:r>
        <w:rPr>
          <w:spacing w:val="-15"/>
          <w:w w:val="90"/>
        </w:rPr>
        <w:t> </w:t>
      </w:r>
      <w:r>
        <w:rPr>
          <w:w w:val="90"/>
        </w:rPr>
        <w:t>la</w:t>
      </w:r>
      <w:r>
        <w:rPr>
          <w:spacing w:val="-14"/>
          <w:w w:val="90"/>
        </w:rPr>
        <w:t> </w:t>
      </w:r>
      <w:r>
        <w:rPr>
          <w:w w:val="90"/>
        </w:rPr>
        <w:t>pCA,</w:t>
      </w:r>
      <w:r>
        <w:rPr>
          <w:spacing w:val="-14"/>
          <w:w w:val="90"/>
        </w:rPr>
        <w:t> </w:t>
      </w:r>
      <w:r>
        <w:rPr>
          <w:w w:val="90"/>
        </w:rPr>
        <w:t>uno</w:t>
      </w:r>
      <w:r>
        <w:rPr>
          <w:spacing w:val="-15"/>
          <w:w w:val="90"/>
        </w:rPr>
        <w:t> </w:t>
      </w:r>
      <w:r>
        <w:rPr>
          <w:w w:val="90"/>
        </w:rPr>
        <w:t>para el</w:t>
      </w:r>
      <w:r>
        <w:rPr>
          <w:spacing w:val="-16"/>
          <w:w w:val="90"/>
        </w:rPr>
        <w:t> </w:t>
      </w:r>
      <w:r>
        <w:rPr>
          <w:w w:val="90"/>
        </w:rPr>
        <w:t>vehículo</w:t>
      </w:r>
      <w:r>
        <w:rPr>
          <w:spacing w:val="-19"/>
          <w:w w:val="90"/>
        </w:rPr>
        <w:t> </w:t>
      </w:r>
      <w:r>
        <w:rPr>
          <w:w w:val="90"/>
        </w:rPr>
        <w:t>(solución</w:t>
      </w:r>
      <w:r>
        <w:rPr>
          <w:spacing w:val="-17"/>
          <w:w w:val="90"/>
        </w:rPr>
        <w:t> </w:t>
      </w:r>
      <w:r>
        <w:rPr>
          <w:w w:val="90"/>
        </w:rPr>
        <w:t>salina)</w:t>
      </w:r>
      <w:r>
        <w:rPr>
          <w:spacing w:val="-15"/>
          <w:w w:val="90"/>
        </w:rPr>
        <w:t> </w:t>
      </w:r>
      <w:r>
        <w:rPr>
          <w:w w:val="90"/>
        </w:rPr>
        <w:t>donde</w:t>
      </w:r>
      <w:r>
        <w:rPr>
          <w:spacing w:val="-15"/>
          <w:w w:val="90"/>
        </w:rPr>
        <w:t> </w:t>
      </w:r>
      <w:r>
        <w:rPr>
          <w:w w:val="90"/>
        </w:rPr>
        <w:t>se</w:t>
      </w:r>
      <w:r>
        <w:rPr>
          <w:spacing w:val="-17"/>
          <w:w w:val="90"/>
        </w:rPr>
        <w:t> </w:t>
      </w:r>
      <w:r>
        <w:rPr>
          <w:w w:val="90"/>
        </w:rPr>
        <w:t>diluyo</w:t>
      </w:r>
      <w:r>
        <w:rPr>
          <w:spacing w:val="-17"/>
          <w:w w:val="90"/>
        </w:rPr>
        <w:t> </w:t>
      </w:r>
      <w:r>
        <w:rPr>
          <w:w w:val="90"/>
        </w:rPr>
        <w:t>la</w:t>
      </w:r>
      <w:r>
        <w:rPr>
          <w:spacing w:val="-17"/>
          <w:w w:val="90"/>
        </w:rPr>
        <w:t> </w:t>
      </w:r>
      <w:r>
        <w:rPr>
          <w:w w:val="90"/>
        </w:rPr>
        <w:t>pCA</w:t>
      </w:r>
      <w:r>
        <w:rPr>
          <w:spacing w:val="-16"/>
          <w:w w:val="90"/>
        </w:rPr>
        <w:t> </w:t>
      </w:r>
      <w:r>
        <w:rPr>
          <w:w w:val="90"/>
        </w:rPr>
        <w:t>y</w:t>
      </w:r>
      <w:r>
        <w:rPr>
          <w:spacing w:val="-16"/>
          <w:w w:val="90"/>
        </w:rPr>
        <w:t> </w:t>
      </w:r>
      <w:r>
        <w:rPr>
          <w:w w:val="90"/>
        </w:rPr>
        <w:t>un</w:t>
      </w:r>
      <w:r>
        <w:rPr>
          <w:spacing w:val="-17"/>
          <w:w w:val="90"/>
        </w:rPr>
        <w:t> </w:t>
      </w:r>
      <w:r>
        <w:rPr>
          <w:w w:val="90"/>
        </w:rPr>
        <w:t>control</w:t>
      </w:r>
      <w:r>
        <w:rPr>
          <w:spacing w:val="-18"/>
          <w:w w:val="90"/>
        </w:rPr>
        <w:t> </w:t>
      </w:r>
      <w:r>
        <w:rPr>
          <w:w w:val="90"/>
        </w:rPr>
        <w:t>absoluto.</w:t>
      </w:r>
    </w:p>
    <w:p>
      <w:pPr>
        <w:pStyle w:val="BodyText"/>
        <w:spacing w:line="360" w:lineRule="auto" w:before="204"/>
        <w:ind w:left="265" w:right="130"/>
        <w:jc w:val="both"/>
      </w:pPr>
      <w:r>
        <w:rPr>
          <w:w w:val="95"/>
        </w:rPr>
        <w:t>Se</w:t>
      </w:r>
      <w:r>
        <w:rPr>
          <w:spacing w:val="-30"/>
          <w:w w:val="95"/>
        </w:rPr>
        <w:t> </w:t>
      </w:r>
      <w:r>
        <w:rPr>
          <w:w w:val="95"/>
        </w:rPr>
        <w:t>tomó</w:t>
      </w:r>
      <w:r>
        <w:rPr>
          <w:spacing w:val="-30"/>
          <w:w w:val="95"/>
        </w:rPr>
        <w:t> </w:t>
      </w:r>
      <w:r>
        <w:rPr>
          <w:w w:val="95"/>
        </w:rPr>
        <w:t>una</w:t>
      </w:r>
      <w:r>
        <w:rPr>
          <w:spacing w:val="-30"/>
          <w:w w:val="95"/>
        </w:rPr>
        <w:t> </w:t>
      </w:r>
      <w:r>
        <w:rPr>
          <w:w w:val="95"/>
        </w:rPr>
        <w:t>biopsia</w:t>
      </w:r>
      <w:r>
        <w:rPr>
          <w:spacing w:val="-30"/>
          <w:w w:val="95"/>
        </w:rPr>
        <w:t> </w:t>
      </w:r>
      <w:r>
        <w:rPr>
          <w:spacing w:val="3"/>
          <w:w w:val="95"/>
        </w:rPr>
        <w:t>del</w:t>
      </w:r>
      <w:r>
        <w:rPr>
          <w:spacing w:val="-30"/>
          <w:w w:val="95"/>
        </w:rPr>
        <w:t> </w:t>
      </w:r>
      <w:r>
        <w:rPr>
          <w:w w:val="95"/>
        </w:rPr>
        <w:t>testículo</w:t>
      </w:r>
      <w:r>
        <w:rPr>
          <w:spacing w:val="-31"/>
          <w:w w:val="95"/>
        </w:rPr>
        <w:t> </w:t>
      </w:r>
      <w:r>
        <w:rPr>
          <w:w w:val="95"/>
        </w:rPr>
        <w:t>izquierdo</w:t>
      </w:r>
      <w:r>
        <w:rPr>
          <w:spacing w:val="-31"/>
          <w:w w:val="95"/>
        </w:rPr>
        <w:t> </w:t>
      </w:r>
      <w:r>
        <w:rPr>
          <w:w w:val="95"/>
        </w:rPr>
        <w:t>(10</w:t>
      </w:r>
      <w:r>
        <w:rPr>
          <w:spacing w:val="-30"/>
          <w:w w:val="95"/>
        </w:rPr>
        <w:t> </w:t>
      </w:r>
      <w:r>
        <w:rPr>
          <w:w w:val="95"/>
        </w:rPr>
        <w:t>mg</w:t>
      </w:r>
      <w:r>
        <w:rPr>
          <w:spacing w:val="-30"/>
          <w:w w:val="95"/>
        </w:rPr>
        <w:t> </w:t>
      </w:r>
      <w:r>
        <w:rPr>
          <w:w w:val="95"/>
        </w:rPr>
        <w:t>aproximadamente)</w:t>
      </w:r>
      <w:r>
        <w:rPr>
          <w:spacing w:val="-30"/>
          <w:w w:val="95"/>
        </w:rPr>
        <w:t> </w:t>
      </w:r>
      <w:r>
        <w:rPr>
          <w:w w:val="95"/>
        </w:rPr>
        <w:t>se</w:t>
      </w:r>
      <w:r>
        <w:rPr>
          <w:spacing w:val="-30"/>
          <w:w w:val="95"/>
        </w:rPr>
        <w:t> </w:t>
      </w:r>
      <w:r>
        <w:rPr>
          <w:w w:val="95"/>
        </w:rPr>
        <w:t>dividió</w:t>
      </w:r>
      <w:r>
        <w:rPr>
          <w:spacing w:val="-29"/>
          <w:w w:val="95"/>
        </w:rPr>
        <w:t> </w:t>
      </w:r>
      <w:r>
        <w:rPr>
          <w:w w:val="95"/>
        </w:rPr>
        <w:t>en</w:t>
      </w:r>
      <w:r>
        <w:rPr>
          <w:spacing w:val="-29"/>
          <w:w w:val="95"/>
        </w:rPr>
        <w:t> </w:t>
      </w:r>
      <w:r>
        <w:rPr>
          <w:w w:val="95"/>
        </w:rPr>
        <w:t>dos; una</w:t>
      </w:r>
      <w:r>
        <w:rPr>
          <w:spacing w:val="-32"/>
          <w:w w:val="95"/>
        </w:rPr>
        <w:t> </w:t>
      </w:r>
      <w:r>
        <w:rPr>
          <w:w w:val="95"/>
        </w:rPr>
        <w:t>parte</w:t>
      </w:r>
      <w:r>
        <w:rPr>
          <w:spacing w:val="-32"/>
          <w:w w:val="95"/>
        </w:rPr>
        <w:t> </w:t>
      </w:r>
      <w:r>
        <w:rPr>
          <w:w w:val="95"/>
        </w:rPr>
        <w:t>se</w:t>
      </w:r>
      <w:r>
        <w:rPr>
          <w:spacing w:val="-32"/>
          <w:w w:val="95"/>
        </w:rPr>
        <w:t> </w:t>
      </w:r>
      <w:r>
        <w:rPr>
          <w:w w:val="95"/>
        </w:rPr>
        <w:t>fijó</w:t>
      </w:r>
      <w:r>
        <w:rPr>
          <w:spacing w:val="-32"/>
          <w:w w:val="95"/>
        </w:rPr>
        <w:t> </w:t>
      </w:r>
      <w:r>
        <w:rPr>
          <w:w w:val="95"/>
        </w:rPr>
        <w:t>en</w:t>
      </w:r>
      <w:r>
        <w:rPr>
          <w:spacing w:val="-32"/>
          <w:w w:val="95"/>
        </w:rPr>
        <w:t> </w:t>
      </w:r>
      <w:r>
        <w:rPr>
          <w:w w:val="95"/>
        </w:rPr>
        <w:t>paraformaldehído</w:t>
      </w:r>
      <w:r>
        <w:rPr>
          <w:spacing w:val="-32"/>
          <w:w w:val="95"/>
        </w:rPr>
        <w:t> </w:t>
      </w:r>
      <w:r>
        <w:rPr>
          <w:w w:val="95"/>
        </w:rPr>
        <w:t>para</w:t>
      </w:r>
      <w:r>
        <w:rPr>
          <w:spacing w:val="-32"/>
          <w:w w:val="95"/>
        </w:rPr>
        <w:t> </w:t>
      </w:r>
      <w:r>
        <w:rPr>
          <w:w w:val="95"/>
        </w:rPr>
        <w:t>realizar</w:t>
      </w:r>
      <w:r>
        <w:rPr>
          <w:spacing w:val="-32"/>
          <w:w w:val="95"/>
        </w:rPr>
        <w:t> </w:t>
      </w:r>
      <w:r>
        <w:rPr>
          <w:w w:val="95"/>
        </w:rPr>
        <w:t>la</w:t>
      </w:r>
      <w:r>
        <w:rPr>
          <w:spacing w:val="-32"/>
          <w:w w:val="95"/>
        </w:rPr>
        <w:t> </w:t>
      </w:r>
      <w:r>
        <w:rPr>
          <w:w w:val="95"/>
        </w:rPr>
        <w:t>técnica</w:t>
      </w:r>
      <w:r>
        <w:rPr>
          <w:spacing w:val="-32"/>
          <w:w w:val="95"/>
        </w:rPr>
        <w:t> </w:t>
      </w:r>
      <w:r>
        <w:rPr>
          <w:w w:val="95"/>
        </w:rPr>
        <w:t>de</w:t>
      </w:r>
      <w:r>
        <w:rPr>
          <w:spacing w:val="-32"/>
          <w:w w:val="95"/>
        </w:rPr>
        <w:t> </w:t>
      </w:r>
      <w:r>
        <w:rPr>
          <w:w w:val="95"/>
        </w:rPr>
        <w:t>TUNEL</w:t>
      </w:r>
      <w:r>
        <w:rPr>
          <w:spacing w:val="-31"/>
          <w:w w:val="95"/>
        </w:rPr>
        <w:t> </w:t>
      </w:r>
      <w:r>
        <w:rPr>
          <w:w w:val="95"/>
        </w:rPr>
        <w:t>y</w:t>
      </w:r>
      <w:r>
        <w:rPr>
          <w:spacing w:val="-32"/>
          <w:w w:val="95"/>
        </w:rPr>
        <w:t> </w:t>
      </w:r>
      <w:r>
        <w:rPr>
          <w:w w:val="95"/>
        </w:rPr>
        <w:t>la</w:t>
      </w:r>
      <w:r>
        <w:rPr>
          <w:spacing w:val="-32"/>
          <w:w w:val="95"/>
        </w:rPr>
        <w:t> </w:t>
      </w:r>
      <w:r>
        <w:rPr>
          <w:w w:val="95"/>
        </w:rPr>
        <w:t>otra</w:t>
      </w:r>
      <w:r>
        <w:rPr>
          <w:spacing w:val="-32"/>
          <w:w w:val="95"/>
        </w:rPr>
        <w:t> </w:t>
      </w:r>
      <w:r>
        <w:rPr>
          <w:w w:val="95"/>
        </w:rPr>
        <w:t>parte</w:t>
      </w:r>
      <w:r>
        <w:rPr>
          <w:spacing w:val="-32"/>
          <w:w w:val="95"/>
        </w:rPr>
        <w:t> </w:t>
      </w:r>
      <w:r>
        <w:rPr>
          <w:w w:val="95"/>
        </w:rPr>
        <w:t>se </w:t>
      </w:r>
      <w:r>
        <w:rPr>
          <w:w w:val="90"/>
        </w:rPr>
        <w:t>conservó</w:t>
      </w:r>
      <w:r>
        <w:rPr>
          <w:spacing w:val="-21"/>
          <w:w w:val="90"/>
        </w:rPr>
        <w:t> </w:t>
      </w:r>
      <w:r>
        <w:rPr>
          <w:w w:val="90"/>
        </w:rPr>
        <w:t>en</w:t>
      </w:r>
      <w:r>
        <w:rPr>
          <w:spacing w:val="-20"/>
          <w:w w:val="90"/>
        </w:rPr>
        <w:t> </w:t>
      </w:r>
      <w:r>
        <w:rPr>
          <w:w w:val="90"/>
        </w:rPr>
        <w:t>nitrógeno</w:t>
      </w:r>
      <w:r>
        <w:rPr>
          <w:spacing w:val="-23"/>
          <w:w w:val="90"/>
        </w:rPr>
        <w:t> </w:t>
      </w:r>
      <w:r>
        <w:rPr>
          <w:w w:val="90"/>
        </w:rPr>
        <w:t>liquido</w:t>
      </w:r>
      <w:r>
        <w:rPr>
          <w:spacing w:val="-20"/>
          <w:w w:val="90"/>
        </w:rPr>
        <w:t> </w:t>
      </w:r>
      <w:r>
        <w:rPr>
          <w:w w:val="90"/>
        </w:rPr>
        <w:t>para</w:t>
      </w:r>
      <w:r>
        <w:rPr>
          <w:spacing w:val="-21"/>
          <w:w w:val="90"/>
        </w:rPr>
        <w:t> </w:t>
      </w:r>
      <w:r>
        <w:rPr>
          <w:w w:val="90"/>
        </w:rPr>
        <w:t>la</w:t>
      </w:r>
      <w:r>
        <w:rPr>
          <w:spacing w:val="-21"/>
          <w:w w:val="90"/>
        </w:rPr>
        <w:t> </w:t>
      </w:r>
      <w:r>
        <w:rPr>
          <w:w w:val="90"/>
        </w:rPr>
        <w:t>RTPCR.</w:t>
      </w:r>
    </w:p>
    <w:p>
      <w:pPr>
        <w:pStyle w:val="BodyText"/>
        <w:spacing w:line="360" w:lineRule="auto" w:before="204"/>
        <w:ind w:left="265" w:right="123"/>
        <w:jc w:val="both"/>
      </w:pPr>
      <w:r>
        <w:rPr>
          <w:w w:val="95"/>
        </w:rPr>
        <w:t>Para</w:t>
      </w:r>
      <w:r>
        <w:rPr>
          <w:spacing w:val="-22"/>
          <w:w w:val="95"/>
        </w:rPr>
        <w:t> </w:t>
      </w:r>
      <w:r>
        <w:rPr>
          <w:w w:val="95"/>
        </w:rPr>
        <w:t>el</w:t>
      </w:r>
      <w:r>
        <w:rPr>
          <w:spacing w:val="-22"/>
          <w:w w:val="95"/>
        </w:rPr>
        <w:t> </w:t>
      </w:r>
      <w:r>
        <w:rPr>
          <w:w w:val="95"/>
        </w:rPr>
        <w:t>grupo</w:t>
      </w:r>
      <w:r>
        <w:rPr>
          <w:spacing w:val="-21"/>
          <w:w w:val="95"/>
        </w:rPr>
        <w:t> </w:t>
      </w:r>
      <w:r>
        <w:rPr>
          <w:w w:val="95"/>
        </w:rPr>
        <w:t>de</w:t>
      </w:r>
      <w:r>
        <w:rPr>
          <w:spacing w:val="-22"/>
          <w:w w:val="95"/>
        </w:rPr>
        <w:t> </w:t>
      </w:r>
      <w:r>
        <w:rPr>
          <w:w w:val="95"/>
        </w:rPr>
        <w:t>pCA</w:t>
      </w:r>
      <w:r>
        <w:rPr>
          <w:spacing w:val="-22"/>
          <w:w w:val="95"/>
        </w:rPr>
        <w:t> </w:t>
      </w:r>
      <w:r>
        <w:rPr>
          <w:w w:val="95"/>
        </w:rPr>
        <w:t>se</w:t>
      </w:r>
      <w:r>
        <w:rPr>
          <w:spacing w:val="-21"/>
          <w:w w:val="95"/>
        </w:rPr>
        <w:t> </w:t>
      </w:r>
      <w:r>
        <w:rPr>
          <w:w w:val="95"/>
        </w:rPr>
        <w:t>administró</w:t>
      </w:r>
      <w:r>
        <w:rPr>
          <w:spacing w:val="-21"/>
          <w:w w:val="95"/>
        </w:rPr>
        <w:t> </w:t>
      </w:r>
      <w:r>
        <w:rPr>
          <w:w w:val="95"/>
        </w:rPr>
        <w:t>1</w:t>
      </w:r>
      <w:r>
        <w:rPr>
          <w:spacing w:val="-22"/>
          <w:w w:val="95"/>
        </w:rPr>
        <w:t> </w:t>
      </w:r>
      <w:r>
        <w:rPr>
          <w:w w:val="95"/>
        </w:rPr>
        <w:t>mg</w:t>
      </w:r>
      <w:r>
        <w:rPr>
          <w:spacing w:val="-21"/>
          <w:w w:val="95"/>
        </w:rPr>
        <w:t> </w:t>
      </w:r>
      <w:r>
        <w:rPr>
          <w:w w:val="95"/>
        </w:rPr>
        <w:t>de</w:t>
      </w:r>
      <w:r>
        <w:rPr>
          <w:spacing w:val="-21"/>
          <w:w w:val="95"/>
        </w:rPr>
        <w:t> </w:t>
      </w:r>
      <w:r>
        <w:rPr>
          <w:w w:val="95"/>
        </w:rPr>
        <w:t>pCA</w:t>
      </w:r>
      <w:r>
        <w:rPr>
          <w:spacing w:val="-21"/>
          <w:w w:val="95"/>
        </w:rPr>
        <w:t> </w:t>
      </w:r>
      <w:r>
        <w:rPr>
          <w:w w:val="95"/>
        </w:rPr>
        <w:t>por</w:t>
      </w:r>
      <w:r>
        <w:rPr>
          <w:spacing w:val="-22"/>
          <w:w w:val="95"/>
        </w:rPr>
        <w:t> </w:t>
      </w:r>
      <w:r>
        <w:rPr>
          <w:w w:val="95"/>
        </w:rPr>
        <w:t>cada</w:t>
      </w:r>
      <w:r>
        <w:rPr>
          <w:spacing w:val="-15"/>
          <w:w w:val="95"/>
        </w:rPr>
        <w:t> </w:t>
      </w:r>
      <w:r>
        <w:rPr>
          <w:w w:val="95"/>
        </w:rPr>
        <w:t>100g</w:t>
      </w:r>
      <w:r>
        <w:rPr>
          <w:spacing w:val="-21"/>
          <w:w w:val="95"/>
        </w:rPr>
        <w:t> </w:t>
      </w:r>
      <w:r>
        <w:rPr>
          <w:w w:val="95"/>
        </w:rPr>
        <w:t>de</w:t>
      </w:r>
      <w:r>
        <w:rPr>
          <w:spacing w:val="-22"/>
          <w:w w:val="95"/>
        </w:rPr>
        <w:t> </w:t>
      </w:r>
      <w:r>
        <w:rPr>
          <w:w w:val="95"/>
        </w:rPr>
        <w:t>peso</w:t>
      </w:r>
      <w:r>
        <w:rPr>
          <w:spacing w:val="-21"/>
          <w:w w:val="95"/>
        </w:rPr>
        <w:t> </w:t>
      </w:r>
      <w:r>
        <w:rPr>
          <w:w w:val="95"/>
        </w:rPr>
        <w:t>vivo</w:t>
      </w:r>
      <w:r>
        <w:rPr>
          <w:spacing w:val="-21"/>
          <w:w w:val="95"/>
        </w:rPr>
        <w:t> </w:t>
      </w:r>
      <w:r>
        <w:rPr>
          <w:w w:val="95"/>
        </w:rPr>
        <w:t>y</w:t>
      </w:r>
      <w:r>
        <w:rPr>
          <w:spacing w:val="-21"/>
          <w:w w:val="95"/>
        </w:rPr>
        <w:t> </w:t>
      </w:r>
      <w:r>
        <w:rPr>
          <w:w w:val="95"/>
        </w:rPr>
        <w:t>al</w:t>
      </w:r>
      <w:r>
        <w:rPr>
          <w:spacing w:val="-21"/>
          <w:w w:val="95"/>
        </w:rPr>
        <w:t> </w:t>
      </w:r>
      <w:r>
        <w:rPr>
          <w:w w:val="95"/>
        </w:rPr>
        <w:t>grupo vehículo (vh) se les administró solución salina. Se inyectaron a los animales vía intraperitoneal</w:t>
      </w:r>
      <w:r>
        <w:rPr>
          <w:spacing w:val="-13"/>
          <w:w w:val="95"/>
        </w:rPr>
        <w:t> </w:t>
      </w:r>
      <w:r>
        <w:rPr>
          <w:w w:val="95"/>
        </w:rPr>
        <w:t>al</w:t>
      </w:r>
      <w:r>
        <w:rPr>
          <w:spacing w:val="-14"/>
          <w:w w:val="95"/>
        </w:rPr>
        <w:t> </w:t>
      </w:r>
      <w:r>
        <w:rPr>
          <w:w w:val="95"/>
        </w:rPr>
        <w:t>momento</w:t>
      </w:r>
      <w:r>
        <w:rPr>
          <w:spacing w:val="-12"/>
          <w:w w:val="95"/>
        </w:rPr>
        <w:t> </w:t>
      </w:r>
      <w:r>
        <w:rPr>
          <w:w w:val="95"/>
        </w:rPr>
        <w:t>de</w:t>
      </w:r>
      <w:r>
        <w:rPr>
          <w:spacing w:val="-14"/>
          <w:w w:val="95"/>
        </w:rPr>
        <w:t> </w:t>
      </w:r>
      <w:r>
        <w:rPr>
          <w:w w:val="95"/>
        </w:rPr>
        <w:t>la</w:t>
      </w:r>
      <w:r>
        <w:rPr>
          <w:spacing w:val="-14"/>
          <w:w w:val="95"/>
        </w:rPr>
        <w:t> </w:t>
      </w:r>
      <w:r>
        <w:rPr>
          <w:w w:val="95"/>
        </w:rPr>
        <w:t>toma</w:t>
      </w:r>
      <w:r>
        <w:rPr>
          <w:spacing w:val="-12"/>
          <w:w w:val="95"/>
        </w:rPr>
        <w:t> </w:t>
      </w:r>
      <w:r>
        <w:rPr>
          <w:w w:val="95"/>
        </w:rPr>
        <w:t>de</w:t>
      </w:r>
      <w:r>
        <w:rPr>
          <w:spacing w:val="-14"/>
          <w:w w:val="95"/>
        </w:rPr>
        <w:t> </w:t>
      </w:r>
      <w:r>
        <w:rPr>
          <w:w w:val="95"/>
        </w:rPr>
        <w:t>la</w:t>
      </w:r>
      <w:r>
        <w:rPr>
          <w:spacing w:val="-12"/>
          <w:w w:val="95"/>
        </w:rPr>
        <w:t> </w:t>
      </w:r>
      <w:r>
        <w:rPr>
          <w:w w:val="95"/>
        </w:rPr>
        <w:t>biopsia,</w:t>
      </w:r>
      <w:r>
        <w:rPr>
          <w:spacing w:val="-12"/>
          <w:w w:val="95"/>
        </w:rPr>
        <w:t> </w:t>
      </w:r>
      <w:r>
        <w:rPr>
          <w:w w:val="95"/>
        </w:rPr>
        <w:t>y</w:t>
      </w:r>
      <w:r>
        <w:rPr>
          <w:spacing w:val="-13"/>
          <w:w w:val="95"/>
        </w:rPr>
        <w:t> </w:t>
      </w:r>
      <w:r>
        <w:rPr>
          <w:w w:val="95"/>
        </w:rPr>
        <w:t>a</w:t>
      </w:r>
      <w:r>
        <w:rPr>
          <w:spacing w:val="-14"/>
          <w:w w:val="95"/>
        </w:rPr>
        <w:t> </w:t>
      </w:r>
      <w:r>
        <w:rPr>
          <w:w w:val="95"/>
        </w:rPr>
        <w:t>los</w:t>
      </w:r>
      <w:r>
        <w:rPr>
          <w:spacing w:val="-13"/>
          <w:w w:val="95"/>
        </w:rPr>
        <w:t> </w:t>
      </w:r>
      <w:r>
        <w:rPr>
          <w:w w:val="95"/>
        </w:rPr>
        <w:t>7</w:t>
      </w:r>
      <w:r>
        <w:rPr>
          <w:spacing w:val="-14"/>
          <w:w w:val="95"/>
        </w:rPr>
        <w:t> </w:t>
      </w:r>
      <w:r>
        <w:rPr>
          <w:w w:val="95"/>
        </w:rPr>
        <w:t>y</w:t>
      </w:r>
      <w:r>
        <w:rPr>
          <w:spacing w:val="-13"/>
          <w:w w:val="95"/>
        </w:rPr>
        <w:t> </w:t>
      </w:r>
      <w:r>
        <w:rPr>
          <w:w w:val="95"/>
        </w:rPr>
        <w:t>15</w:t>
      </w:r>
      <w:r>
        <w:rPr>
          <w:spacing w:val="-12"/>
          <w:w w:val="95"/>
        </w:rPr>
        <w:t> </w:t>
      </w:r>
      <w:r>
        <w:rPr>
          <w:w w:val="95"/>
        </w:rPr>
        <w:t>días</w:t>
      </w:r>
      <w:r>
        <w:rPr>
          <w:spacing w:val="-13"/>
          <w:w w:val="95"/>
        </w:rPr>
        <w:t> </w:t>
      </w:r>
      <w:r>
        <w:rPr>
          <w:w w:val="95"/>
        </w:rPr>
        <w:t>posteriores</w:t>
      </w:r>
      <w:r>
        <w:rPr>
          <w:spacing w:val="-13"/>
          <w:w w:val="95"/>
        </w:rPr>
        <w:t> </w:t>
      </w:r>
      <w:r>
        <w:rPr>
          <w:w w:val="95"/>
        </w:rPr>
        <w:t>a</w:t>
      </w:r>
      <w:r>
        <w:rPr>
          <w:spacing w:val="-14"/>
          <w:w w:val="95"/>
        </w:rPr>
        <w:t> </w:t>
      </w:r>
      <w:r>
        <w:rPr>
          <w:w w:val="95"/>
        </w:rPr>
        <w:t>la toma</w:t>
      </w:r>
      <w:r>
        <w:rPr>
          <w:spacing w:val="-19"/>
          <w:w w:val="95"/>
        </w:rPr>
        <w:t> </w:t>
      </w:r>
      <w:r>
        <w:rPr>
          <w:w w:val="95"/>
        </w:rPr>
        <w:t>de</w:t>
      </w:r>
      <w:r>
        <w:rPr>
          <w:spacing w:val="-21"/>
          <w:w w:val="95"/>
        </w:rPr>
        <w:t> </w:t>
      </w:r>
      <w:r>
        <w:rPr>
          <w:w w:val="95"/>
        </w:rPr>
        <w:t>la</w:t>
      </w:r>
      <w:r>
        <w:rPr>
          <w:spacing w:val="-20"/>
          <w:w w:val="95"/>
        </w:rPr>
        <w:t> </w:t>
      </w:r>
      <w:r>
        <w:rPr>
          <w:w w:val="95"/>
        </w:rPr>
        <w:t>biopsia</w:t>
      </w:r>
      <w:r>
        <w:rPr>
          <w:spacing w:val="-20"/>
          <w:w w:val="95"/>
        </w:rPr>
        <w:t> </w:t>
      </w:r>
      <w:r>
        <w:rPr>
          <w:w w:val="95"/>
        </w:rPr>
        <w:t>para</w:t>
      </w:r>
      <w:r>
        <w:rPr>
          <w:spacing w:val="-19"/>
          <w:w w:val="95"/>
        </w:rPr>
        <w:t> </w:t>
      </w:r>
      <w:r>
        <w:rPr>
          <w:w w:val="95"/>
        </w:rPr>
        <w:t>mantener</w:t>
      </w:r>
      <w:r>
        <w:rPr>
          <w:spacing w:val="-19"/>
          <w:w w:val="95"/>
        </w:rPr>
        <w:t> </w:t>
      </w:r>
      <w:r>
        <w:rPr>
          <w:w w:val="95"/>
        </w:rPr>
        <w:t>baja</w:t>
      </w:r>
      <w:r>
        <w:rPr>
          <w:spacing w:val="-20"/>
          <w:w w:val="95"/>
        </w:rPr>
        <w:t> </w:t>
      </w:r>
      <w:r>
        <w:rPr>
          <w:w w:val="95"/>
        </w:rPr>
        <w:t>la</w:t>
      </w:r>
      <w:r>
        <w:rPr>
          <w:spacing w:val="-20"/>
          <w:w w:val="95"/>
        </w:rPr>
        <w:t> </w:t>
      </w:r>
      <w:r>
        <w:rPr>
          <w:w w:val="95"/>
        </w:rPr>
        <w:t>concentración</w:t>
      </w:r>
      <w:r>
        <w:rPr>
          <w:spacing w:val="-14"/>
          <w:w w:val="95"/>
        </w:rPr>
        <w:t> </w:t>
      </w:r>
      <w:r>
        <w:rPr>
          <w:w w:val="95"/>
        </w:rPr>
        <w:t>de</w:t>
      </w:r>
      <w:r>
        <w:rPr>
          <w:spacing w:val="-20"/>
          <w:w w:val="95"/>
        </w:rPr>
        <w:t> </w:t>
      </w:r>
      <w:r>
        <w:rPr>
          <w:w w:val="95"/>
        </w:rPr>
        <w:t>serotonina.</w:t>
      </w:r>
      <w:r>
        <w:rPr>
          <w:spacing w:val="-20"/>
          <w:w w:val="95"/>
        </w:rPr>
        <w:t> </w:t>
      </w:r>
      <w:r>
        <w:rPr>
          <w:w w:val="95"/>
        </w:rPr>
        <w:t>A</w:t>
      </w:r>
      <w:r>
        <w:rPr>
          <w:spacing w:val="-19"/>
          <w:w w:val="95"/>
        </w:rPr>
        <w:t> </w:t>
      </w:r>
      <w:r>
        <w:rPr>
          <w:w w:val="95"/>
        </w:rPr>
        <w:t>los</w:t>
      </w:r>
      <w:r>
        <w:rPr>
          <w:spacing w:val="-20"/>
          <w:w w:val="95"/>
        </w:rPr>
        <w:t> </w:t>
      </w:r>
      <w:r>
        <w:rPr>
          <w:w w:val="95"/>
        </w:rPr>
        <w:t>45</w:t>
      </w:r>
      <w:r>
        <w:rPr>
          <w:spacing w:val="-20"/>
          <w:w w:val="95"/>
        </w:rPr>
        <w:t> </w:t>
      </w:r>
      <w:r>
        <w:rPr>
          <w:w w:val="95"/>
        </w:rPr>
        <w:t>días</w:t>
      </w:r>
      <w:r>
        <w:rPr>
          <w:spacing w:val="-20"/>
          <w:w w:val="95"/>
        </w:rPr>
        <w:t> </w:t>
      </w:r>
      <w:r>
        <w:rPr>
          <w:w w:val="95"/>
        </w:rPr>
        <w:t>de edad</w:t>
      </w:r>
      <w:r>
        <w:rPr>
          <w:spacing w:val="-15"/>
          <w:w w:val="95"/>
        </w:rPr>
        <w:t> </w:t>
      </w:r>
      <w:r>
        <w:rPr>
          <w:w w:val="95"/>
        </w:rPr>
        <w:t>se</w:t>
      </w:r>
      <w:r>
        <w:rPr>
          <w:spacing w:val="-15"/>
          <w:w w:val="95"/>
        </w:rPr>
        <w:t> </w:t>
      </w:r>
      <w:r>
        <w:rPr>
          <w:w w:val="95"/>
        </w:rPr>
        <w:t>hizo</w:t>
      </w:r>
      <w:r>
        <w:rPr>
          <w:spacing w:val="-15"/>
          <w:w w:val="95"/>
        </w:rPr>
        <w:t> </w:t>
      </w:r>
      <w:r>
        <w:rPr>
          <w:w w:val="95"/>
        </w:rPr>
        <w:t>el</w:t>
      </w:r>
      <w:r>
        <w:rPr>
          <w:spacing w:val="-15"/>
          <w:w w:val="95"/>
        </w:rPr>
        <w:t> </w:t>
      </w:r>
      <w:r>
        <w:rPr>
          <w:w w:val="95"/>
        </w:rPr>
        <w:t>sacrificio</w:t>
      </w:r>
      <w:r>
        <w:rPr>
          <w:spacing w:val="-15"/>
          <w:w w:val="95"/>
        </w:rPr>
        <w:t> </w:t>
      </w:r>
      <w:r>
        <w:rPr>
          <w:w w:val="95"/>
        </w:rPr>
        <w:t>de</w:t>
      </w:r>
      <w:r>
        <w:rPr>
          <w:spacing w:val="-15"/>
          <w:w w:val="95"/>
        </w:rPr>
        <w:t> </w:t>
      </w:r>
      <w:r>
        <w:rPr>
          <w:w w:val="95"/>
        </w:rPr>
        <w:t>los</w:t>
      </w:r>
      <w:r>
        <w:rPr>
          <w:spacing w:val="-15"/>
          <w:w w:val="95"/>
        </w:rPr>
        <w:t> </w:t>
      </w:r>
      <w:r>
        <w:rPr>
          <w:w w:val="95"/>
        </w:rPr>
        <w:t>animales</w:t>
      </w:r>
      <w:r>
        <w:rPr>
          <w:spacing w:val="-15"/>
          <w:w w:val="95"/>
        </w:rPr>
        <w:t> </w:t>
      </w:r>
      <w:r>
        <w:rPr>
          <w:w w:val="95"/>
        </w:rPr>
        <w:t>y</w:t>
      </w:r>
      <w:r>
        <w:rPr>
          <w:spacing w:val="-15"/>
          <w:w w:val="95"/>
        </w:rPr>
        <w:t> </w:t>
      </w:r>
      <w:r>
        <w:rPr>
          <w:w w:val="95"/>
        </w:rPr>
        <w:t>se</w:t>
      </w:r>
      <w:r>
        <w:rPr>
          <w:spacing w:val="-14"/>
          <w:w w:val="95"/>
        </w:rPr>
        <w:t> </w:t>
      </w:r>
      <w:r>
        <w:rPr>
          <w:w w:val="95"/>
        </w:rPr>
        <w:t>obtuvieron</w:t>
      </w:r>
      <w:r>
        <w:rPr>
          <w:spacing w:val="-15"/>
          <w:w w:val="95"/>
        </w:rPr>
        <w:t> </w:t>
      </w:r>
      <w:r>
        <w:rPr>
          <w:w w:val="95"/>
        </w:rPr>
        <w:t>biopsias</w:t>
      </w:r>
      <w:r>
        <w:rPr>
          <w:spacing w:val="-15"/>
          <w:w w:val="95"/>
        </w:rPr>
        <w:t> </w:t>
      </w:r>
      <w:r>
        <w:rPr>
          <w:w w:val="95"/>
        </w:rPr>
        <w:t>de</w:t>
      </w:r>
      <w:r>
        <w:rPr>
          <w:spacing w:val="-14"/>
          <w:w w:val="95"/>
        </w:rPr>
        <w:t> </w:t>
      </w:r>
      <w:r>
        <w:rPr>
          <w:w w:val="95"/>
        </w:rPr>
        <w:t>ambos</w:t>
      </w:r>
      <w:r>
        <w:rPr>
          <w:spacing w:val="-15"/>
          <w:w w:val="95"/>
        </w:rPr>
        <w:t> </w:t>
      </w:r>
      <w:r>
        <w:rPr>
          <w:w w:val="95"/>
        </w:rPr>
        <w:t>testículos </w:t>
      </w:r>
      <w:r>
        <w:rPr>
          <w:w w:val="90"/>
        </w:rPr>
        <w:t>para</w:t>
      </w:r>
      <w:r>
        <w:rPr>
          <w:spacing w:val="-17"/>
          <w:w w:val="90"/>
        </w:rPr>
        <w:t> </w:t>
      </w:r>
      <w:r>
        <w:rPr>
          <w:w w:val="90"/>
        </w:rPr>
        <w:t>TUNEL</w:t>
      </w:r>
      <w:r>
        <w:rPr>
          <w:spacing w:val="-16"/>
          <w:w w:val="90"/>
        </w:rPr>
        <w:t> </w:t>
      </w:r>
      <w:r>
        <w:rPr>
          <w:w w:val="90"/>
        </w:rPr>
        <w:t>y</w:t>
      </w:r>
      <w:r>
        <w:rPr>
          <w:spacing w:val="-17"/>
          <w:w w:val="90"/>
        </w:rPr>
        <w:t> </w:t>
      </w:r>
      <w:r>
        <w:rPr>
          <w:w w:val="90"/>
        </w:rPr>
        <w:t>RTPCR,</w:t>
      </w:r>
      <w:r>
        <w:rPr>
          <w:spacing w:val="-17"/>
          <w:w w:val="90"/>
        </w:rPr>
        <w:t> </w:t>
      </w:r>
      <w:r>
        <w:rPr>
          <w:w w:val="90"/>
        </w:rPr>
        <w:t>y</w:t>
      </w:r>
      <w:r>
        <w:rPr>
          <w:spacing w:val="-17"/>
          <w:w w:val="90"/>
        </w:rPr>
        <w:t> </w:t>
      </w:r>
      <w:r>
        <w:rPr>
          <w:w w:val="90"/>
        </w:rPr>
        <w:t>se</w:t>
      </w:r>
      <w:r>
        <w:rPr>
          <w:spacing w:val="-17"/>
          <w:w w:val="90"/>
        </w:rPr>
        <w:t> </w:t>
      </w:r>
      <w:r>
        <w:rPr>
          <w:w w:val="90"/>
        </w:rPr>
        <w:t>disectó</w:t>
      </w:r>
      <w:r>
        <w:rPr>
          <w:spacing w:val="-17"/>
          <w:w w:val="90"/>
        </w:rPr>
        <w:t> </w:t>
      </w:r>
      <w:r>
        <w:rPr>
          <w:w w:val="90"/>
        </w:rPr>
        <w:t>el</w:t>
      </w:r>
      <w:r>
        <w:rPr>
          <w:spacing w:val="-18"/>
          <w:w w:val="90"/>
        </w:rPr>
        <w:t> </w:t>
      </w:r>
      <w:r>
        <w:rPr>
          <w:w w:val="90"/>
        </w:rPr>
        <w:t>hipotálamo</w:t>
      </w:r>
      <w:r>
        <w:rPr>
          <w:spacing w:val="-16"/>
          <w:w w:val="90"/>
        </w:rPr>
        <w:t> </w:t>
      </w:r>
      <w:r>
        <w:rPr>
          <w:w w:val="90"/>
        </w:rPr>
        <w:t>para</w:t>
      </w:r>
      <w:r>
        <w:rPr>
          <w:spacing w:val="-17"/>
          <w:w w:val="90"/>
        </w:rPr>
        <w:t> </w:t>
      </w:r>
      <w:r>
        <w:rPr>
          <w:w w:val="90"/>
        </w:rPr>
        <w:t>la</w:t>
      </w:r>
      <w:r>
        <w:rPr>
          <w:spacing w:val="-17"/>
          <w:w w:val="90"/>
        </w:rPr>
        <w:t> </w:t>
      </w:r>
      <w:r>
        <w:rPr>
          <w:w w:val="90"/>
        </w:rPr>
        <w:t>medición</w:t>
      </w:r>
      <w:r>
        <w:rPr>
          <w:spacing w:val="-16"/>
          <w:w w:val="90"/>
        </w:rPr>
        <w:t> </w:t>
      </w:r>
      <w:r>
        <w:rPr>
          <w:w w:val="90"/>
        </w:rPr>
        <w:t>de</w:t>
      </w:r>
      <w:r>
        <w:rPr>
          <w:spacing w:val="-17"/>
          <w:w w:val="90"/>
        </w:rPr>
        <w:t> </w:t>
      </w:r>
      <w:r>
        <w:rPr>
          <w:w w:val="90"/>
        </w:rPr>
        <w:t>serotonina.</w:t>
      </w:r>
    </w:p>
    <w:p>
      <w:pPr>
        <w:spacing w:after="0" w:line="360" w:lineRule="auto"/>
        <w:jc w:val="both"/>
        <w:sectPr>
          <w:pgSz w:w="12240" w:h="15840"/>
          <w:pgMar w:header="0" w:footer="1620" w:top="1500" w:bottom="1860" w:left="1720" w:right="1580"/>
        </w:sectPr>
      </w:pPr>
    </w:p>
    <w:p>
      <w:pPr>
        <w:pStyle w:val="BodyText"/>
        <w:rPr>
          <w:sz w:val="20"/>
        </w:rPr>
      </w:pPr>
    </w:p>
    <w:p>
      <w:pPr>
        <w:pStyle w:val="BodyText"/>
        <w:spacing w:before="2"/>
        <w:rPr>
          <w:sz w:val="16"/>
        </w:rPr>
      </w:pPr>
    </w:p>
    <w:p>
      <w:pPr>
        <w:pStyle w:val="ListParagraph"/>
        <w:numPr>
          <w:ilvl w:val="2"/>
          <w:numId w:val="7"/>
        </w:numPr>
        <w:tabs>
          <w:tab w:pos="793" w:val="left" w:leader="none"/>
        </w:tabs>
        <w:spacing w:line="240" w:lineRule="auto" w:before="69" w:after="0"/>
        <w:ind w:left="792" w:right="0" w:hanging="527"/>
        <w:jc w:val="both"/>
        <w:rPr>
          <w:sz w:val="24"/>
        </w:rPr>
      </w:pPr>
      <w:r>
        <w:rPr>
          <w:w w:val="90"/>
          <w:sz w:val="24"/>
        </w:rPr>
        <w:t>T.U.N.E.L.</w:t>
      </w:r>
      <w:r>
        <w:rPr>
          <w:spacing w:val="-23"/>
          <w:w w:val="90"/>
          <w:sz w:val="24"/>
        </w:rPr>
        <w:t> </w:t>
      </w:r>
      <w:r>
        <w:rPr>
          <w:w w:val="90"/>
          <w:sz w:val="24"/>
        </w:rPr>
        <w:t>(TdT</w:t>
      </w:r>
      <w:r>
        <w:rPr>
          <w:spacing w:val="-23"/>
          <w:w w:val="90"/>
          <w:sz w:val="24"/>
        </w:rPr>
        <w:t> </w:t>
      </w:r>
      <w:r>
        <w:rPr>
          <w:w w:val="90"/>
          <w:sz w:val="24"/>
        </w:rPr>
        <w:t>mediated</w:t>
      </w:r>
      <w:r>
        <w:rPr>
          <w:spacing w:val="-23"/>
          <w:w w:val="90"/>
          <w:sz w:val="24"/>
        </w:rPr>
        <w:t> </w:t>
      </w:r>
      <w:r>
        <w:rPr>
          <w:w w:val="90"/>
          <w:sz w:val="24"/>
        </w:rPr>
        <w:t>dUTP</w:t>
      </w:r>
      <w:r>
        <w:rPr>
          <w:spacing w:val="-23"/>
          <w:w w:val="90"/>
          <w:sz w:val="24"/>
        </w:rPr>
        <w:t> </w:t>
      </w:r>
      <w:r>
        <w:rPr>
          <w:w w:val="90"/>
          <w:sz w:val="24"/>
        </w:rPr>
        <w:t>nick</w:t>
      </w:r>
      <w:r>
        <w:rPr>
          <w:spacing w:val="-24"/>
          <w:w w:val="90"/>
          <w:sz w:val="24"/>
        </w:rPr>
        <w:t> </w:t>
      </w:r>
      <w:r>
        <w:rPr>
          <w:w w:val="90"/>
          <w:sz w:val="24"/>
        </w:rPr>
        <w:t>end</w:t>
      </w:r>
      <w:r>
        <w:rPr>
          <w:spacing w:val="-23"/>
          <w:w w:val="90"/>
          <w:sz w:val="24"/>
        </w:rPr>
        <w:t> </w:t>
      </w:r>
      <w:r>
        <w:rPr>
          <w:w w:val="90"/>
          <w:sz w:val="24"/>
        </w:rPr>
        <w:t>labelling)</w:t>
      </w:r>
    </w:p>
    <w:p>
      <w:pPr>
        <w:pStyle w:val="BodyText"/>
        <w:spacing w:before="4"/>
        <w:rPr>
          <w:sz w:val="29"/>
        </w:rPr>
      </w:pPr>
    </w:p>
    <w:p>
      <w:pPr>
        <w:pStyle w:val="BodyText"/>
        <w:spacing w:line="360" w:lineRule="auto" w:before="1"/>
        <w:ind w:left="265" w:right="190"/>
        <w:jc w:val="both"/>
      </w:pPr>
      <w:r>
        <w:rPr>
          <w:w w:val="95"/>
        </w:rPr>
        <w:t>La identificación de las células germinales en apoptosis, se hizo en cortes de tejido testicular</w:t>
      </w:r>
      <w:r>
        <w:rPr>
          <w:spacing w:val="-20"/>
          <w:w w:val="95"/>
        </w:rPr>
        <w:t> </w:t>
      </w:r>
      <w:r>
        <w:rPr>
          <w:w w:val="95"/>
        </w:rPr>
        <w:t>mediante</w:t>
      </w:r>
      <w:r>
        <w:rPr>
          <w:spacing w:val="-21"/>
          <w:w w:val="95"/>
        </w:rPr>
        <w:t> </w:t>
      </w:r>
      <w:r>
        <w:rPr>
          <w:w w:val="95"/>
        </w:rPr>
        <w:t>la</w:t>
      </w:r>
      <w:r>
        <w:rPr>
          <w:spacing w:val="-21"/>
          <w:w w:val="95"/>
        </w:rPr>
        <w:t> </w:t>
      </w:r>
      <w:r>
        <w:rPr>
          <w:w w:val="95"/>
        </w:rPr>
        <w:t>técnica</w:t>
      </w:r>
      <w:r>
        <w:rPr>
          <w:spacing w:val="-20"/>
          <w:w w:val="95"/>
        </w:rPr>
        <w:t> </w:t>
      </w:r>
      <w:r>
        <w:rPr>
          <w:w w:val="95"/>
        </w:rPr>
        <w:t>de</w:t>
      </w:r>
      <w:r>
        <w:rPr>
          <w:spacing w:val="-21"/>
          <w:w w:val="95"/>
        </w:rPr>
        <w:t> </w:t>
      </w:r>
      <w:r>
        <w:rPr>
          <w:w w:val="95"/>
        </w:rPr>
        <w:t>marcaje</w:t>
      </w:r>
      <w:r>
        <w:rPr>
          <w:spacing w:val="-21"/>
          <w:w w:val="95"/>
        </w:rPr>
        <w:t> </w:t>
      </w:r>
      <w:r>
        <w:rPr>
          <w:w w:val="95"/>
        </w:rPr>
        <w:t>in</w:t>
      </w:r>
      <w:r>
        <w:rPr>
          <w:spacing w:val="-20"/>
          <w:w w:val="95"/>
        </w:rPr>
        <w:t> </w:t>
      </w:r>
      <w:r>
        <w:rPr>
          <w:w w:val="95"/>
        </w:rPr>
        <w:t>situ</w:t>
      </w:r>
      <w:r>
        <w:rPr>
          <w:spacing w:val="-21"/>
          <w:w w:val="95"/>
        </w:rPr>
        <w:t> </w:t>
      </w:r>
      <w:r>
        <w:rPr>
          <w:w w:val="95"/>
        </w:rPr>
        <w:t>del</w:t>
      </w:r>
      <w:r>
        <w:rPr>
          <w:spacing w:val="-20"/>
          <w:w w:val="95"/>
        </w:rPr>
        <w:t> </w:t>
      </w:r>
      <w:r>
        <w:rPr>
          <w:w w:val="95"/>
        </w:rPr>
        <w:t>ADN</w:t>
      </w:r>
      <w:r>
        <w:rPr>
          <w:spacing w:val="-20"/>
          <w:w w:val="95"/>
        </w:rPr>
        <w:t> </w:t>
      </w:r>
      <w:r>
        <w:rPr>
          <w:w w:val="95"/>
        </w:rPr>
        <w:t>fragmentado</w:t>
      </w:r>
      <w:r>
        <w:rPr>
          <w:spacing w:val="-21"/>
          <w:w w:val="95"/>
        </w:rPr>
        <w:t> </w:t>
      </w:r>
      <w:r>
        <w:rPr>
          <w:w w:val="95"/>
        </w:rPr>
        <w:t>(T.U.N.E.L.)</w:t>
      </w:r>
      <w:r>
        <w:rPr>
          <w:spacing w:val="-21"/>
          <w:w w:val="95"/>
        </w:rPr>
        <w:t> </w:t>
      </w:r>
      <w:r>
        <w:rPr>
          <w:w w:val="95"/>
        </w:rPr>
        <w:t>que detecta los extremos 3´-OH libres que se generan al romperse el ADN adicionando </w:t>
      </w:r>
      <w:r>
        <w:rPr>
          <w:w w:val="90"/>
        </w:rPr>
        <w:t>nucleótidos marcados (fluoresceína dUTP) mediante la enzima transferasa terminal. Las muestras</w:t>
      </w:r>
      <w:r>
        <w:rPr>
          <w:spacing w:val="-24"/>
          <w:w w:val="90"/>
        </w:rPr>
        <w:t> </w:t>
      </w:r>
      <w:r>
        <w:rPr>
          <w:w w:val="90"/>
        </w:rPr>
        <w:t>se</w:t>
      </w:r>
      <w:r>
        <w:rPr>
          <w:spacing w:val="-23"/>
          <w:w w:val="90"/>
        </w:rPr>
        <w:t> </w:t>
      </w:r>
      <w:r>
        <w:rPr>
          <w:w w:val="90"/>
        </w:rPr>
        <w:t>analizaron</w:t>
      </w:r>
      <w:r>
        <w:rPr>
          <w:spacing w:val="-22"/>
          <w:w w:val="90"/>
        </w:rPr>
        <w:t> </w:t>
      </w:r>
      <w:r>
        <w:rPr>
          <w:w w:val="90"/>
        </w:rPr>
        <w:t>en</w:t>
      </w:r>
      <w:r>
        <w:rPr>
          <w:spacing w:val="-23"/>
          <w:w w:val="90"/>
        </w:rPr>
        <w:t> </w:t>
      </w:r>
      <w:r>
        <w:rPr>
          <w:w w:val="90"/>
        </w:rPr>
        <w:t>un</w:t>
      </w:r>
      <w:r>
        <w:rPr>
          <w:spacing w:val="-22"/>
          <w:w w:val="90"/>
        </w:rPr>
        <w:t> </w:t>
      </w:r>
      <w:r>
        <w:rPr>
          <w:w w:val="90"/>
        </w:rPr>
        <w:t>microscopio</w:t>
      </w:r>
      <w:r>
        <w:rPr>
          <w:spacing w:val="-23"/>
          <w:w w:val="90"/>
        </w:rPr>
        <w:t> </w:t>
      </w:r>
      <w:r>
        <w:rPr>
          <w:w w:val="90"/>
        </w:rPr>
        <w:t>de</w:t>
      </w:r>
      <w:r>
        <w:rPr>
          <w:spacing w:val="-23"/>
          <w:w w:val="90"/>
        </w:rPr>
        <w:t> </w:t>
      </w:r>
      <w:r>
        <w:rPr>
          <w:w w:val="90"/>
        </w:rPr>
        <w:t>fluorescencia.</w:t>
      </w:r>
    </w:p>
    <w:p>
      <w:pPr>
        <w:pStyle w:val="ListParagraph"/>
        <w:numPr>
          <w:ilvl w:val="2"/>
          <w:numId w:val="7"/>
        </w:numPr>
        <w:tabs>
          <w:tab w:pos="793" w:val="left" w:leader="none"/>
        </w:tabs>
        <w:spacing w:line="240" w:lineRule="auto" w:before="205" w:after="0"/>
        <w:ind w:left="792" w:right="0" w:hanging="527"/>
        <w:jc w:val="both"/>
        <w:rPr>
          <w:sz w:val="24"/>
        </w:rPr>
      </w:pPr>
      <w:r>
        <w:rPr>
          <w:w w:val="90"/>
          <w:sz w:val="24"/>
        </w:rPr>
        <w:t>Diseño</w:t>
      </w:r>
      <w:r>
        <w:rPr>
          <w:spacing w:val="-30"/>
          <w:w w:val="90"/>
          <w:sz w:val="24"/>
        </w:rPr>
        <w:t> </w:t>
      </w:r>
      <w:r>
        <w:rPr>
          <w:w w:val="90"/>
          <w:sz w:val="24"/>
        </w:rPr>
        <w:t>de</w:t>
      </w:r>
      <w:r>
        <w:rPr>
          <w:spacing w:val="-30"/>
          <w:w w:val="90"/>
          <w:sz w:val="24"/>
        </w:rPr>
        <w:t> </w:t>
      </w:r>
      <w:r>
        <w:rPr>
          <w:w w:val="90"/>
          <w:sz w:val="24"/>
        </w:rPr>
        <w:t>Iniciadores</w:t>
      </w:r>
    </w:p>
    <w:p>
      <w:pPr>
        <w:pStyle w:val="BodyText"/>
        <w:spacing w:before="2"/>
        <w:rPr>
          <w:sz w:val="29"/>
        </w:rPr>
      </w:pPr>
    </w:p>
    <w:p>
      <w:pPr>
        <w:pStyle w:val="BodyText"/>
        <w:spacing w:line="360" w:lineRule="auto"/>
        <w:ind w:left="265" w:right="192"/>
        <w:jc w:val="both"/>
      </w:pPr>
      <w:r>
        <w:rPr>
          <w:w w:val="95"/>
        </w:rPr>
        <w:t>Las secuencias utilizadas para diseñar los iniciadores se obtuvieron de la página del </w:t>
      </w:r>
      <w:r>
        <w:rPr>
          <w:w w:val="90"/>
        </w:rPr>
        <w:t>GenBank</w:t>
      </w:r>
      <w:r>
        <w:rPr>
          <w:spacing w:val="-8"/>
          <w:w w:val="90"/>
        </w:rPr>
        <w:t> </w:t>
      </w:r>
      <w:r>
        <w:rPr>
          <w:w w:val="90"/>
        </w:rPr>
        <w:t>(</w:t>
      </w:r>
      <w:hyperlink r:id="rId36">
        <w:r>
          <w:rPr>
            <w:w w:val="90"/>
          </w:rPr>
          <w:t>http://www.ncbi.nlm.nih.gov/Genbank/).</w:t>
        </w:r>
      </w:hyperlink>
      <w:r>
        <w:rPr>
          <w:spacing w:val="-7"/>
          <w:w w:val="90"/>
        </w:rPr>
        <w:t> </w:t>
      </w:r>
      <w:r>
        <w:rPr>
          <w:w w:val="90"/>
        </w:rPr>
        <w:t>El</w:t>
      </w:r>
      <w:r>
        <w:rPr>
          <w:spacing w:val="-8"/>
          <w:w w:val="90"/>
        </w:rPr>
        <w:t> </w:t>
      </w:r>
      <w:r>
        <w:rPr>
          <w:w w:val="90"/>
        </w:rPr>
        <w:t>diseño</w:t>
      </w:r>
      <w:r>
        <w:rPr>
          <w:spacing w:val="-7"/>
          <w:w w:val="90"/>
        </w:rPr>
        <w:t> </w:t>
      </w:r>
      <w:r>
        <w:rPr>
          <w:w w:val="90"/>
        </w:rPr>
        <w:t>de</w:t>
      </w:r>
      <w:r>
        <w:rPr>
          <w:spacing w:val="-7"/>
          <w:w w:val="90"/>
        </w:rPr>
        <w:t> </w:t>
      </w:r>
      <w:r>
        <w:rPr>
          <w:w w:val="90"/>
        </w:rPr>
        <w:t>cada</w:t>
      </w:r>
      <w:r>
        <w:rPr>
          <w:spacing w:val="-7"/>
          <w:w w:val="90"/>
        </w:rPr>
        <w:t> </w:t>
      </w:r>
      <w:r>
        <w:rPr>
          <w:w w:val="90"/>
        </w:rPr>
        <w:t>iniciador</w:t>
      </w:r>
      <w:r>
        <w:rPr>
          <w:spacing w:val="-7"/>
          <w:w w:val="90"/>
        </w:rPr>
        <w:t> </w:t>
      </w:r>
      <w:r>
        <w:rPr>
          <w:w w:val="90"/>
        </w:rPr>
        <w:t>se</w:t>
      </w:r>
      <w:r>
        <w:rPr>
          <w:spacing w:val="-7"/>
          <w:w w:val="90"/>
        </w:rPr>
        <w:t> </w:t>
      </w:r>
      <w:r>
        <w:rPr>
          <w:w w:val="90"/>
        </w:rPr>
        <w:t>hizo</w:t>
      </w:r>
      <w:r>
        <w:rPr>
          <w:spacing w:val="-7"/>
          <w:w w:val="90"/>
        </w:rPr>
        <w:t> </w:t>
      </w:r>
      <w:r>
        <w:rPr>
          <w:w w:val="90"/>
        </w:rPr>
        <w:t>con </w:t>
      </w:r>
      <w:r>
        <w:rPr>
          <w:w w:val="95"/>
        </w:rPr>
        <w:t>el software Perl Primer v1.1.19 a partir de las secuencias reportadas para los genes 3βHSD1,</w:t>
      </w:r>
      <w:r>
        <w:rPr>
          <w:spacing w:val="-6"/>
          <w:w w:val="95"/>
        </w:rPr>
        <w:t> </w:t>
      </w:r>
      <w:r>
        <w:rPr>
          <w:w w:val="95"/>
        </w:rPr>
        <w:t>AR,</w:t>
      </w:r>
      <w:r>
        <w:rPr>
          <w:spacing w:val="-6"/>
          <w:w w:val="95"/>
        </w:rPr>
        <w:t> </w:t>
      </w:r>
      <w:r>
        <w:rPr>
          <w:w w:val="95"/>
        </w:rPr>
        <w:t>ABP,</w:t>
      </w:r>
      <w:r>
        <w:rPr>
          <w:spacing w:val="-6"/>
          <w:w w:val="95"/>
        </w:rPr>
        <w:t> </w:t>
      </w:r>
      <w:r>
        <w:rPr>
          <w:w w:val="95"/>
        </w:rPr>
        <w:t>BCL-2,</w:t>
      </w:r>
      <w:r>
        <w:rPr>
          <w:spacing w:val="-8"/>
          <w:w w:val="95"/>
        </w:rPr>
        <w:t> </w:t>
      </w:r>
      <w:r>
        <w:rPr>
          <w:w w:val="95"/>
        </w:rPr>
        <w:t>BAX,</w:t>
      </w:r>
      <w:r>
        <w:rPr>
          <w:spacing w:val="-6"/>
          <w:w w:val="95"/>
        </w:rPr>
        <w:t> </w:t>
      </w:r>
      <w:r>
        <w:rPr>
          <w:w w:val="95"/>
        </w:rPr>
        <w:t>CREMΔ</w:t>
      </w:r>
      <w:r>
        <w:rPr>
          <w:spacing w:val="-6"/>
          <w:w w:val="95"/>
        </w:rPr>
        <w:t> </w:t>
      </w:r>
      <w:r>
        <w:rPr>
          <w:w w:val="95"/>
        </w:rPr>
        <w:t>y</w:t>
      </w:r>
      <w:r>
        <w:rPr>
          <w:spacing w:val="-7"/>
          <w:w w:val="95"/>
        </w:rPr>
        <w:t> </w:t>
      </w:r>
      <w:r>
        <w:rPr>
          <w:w w:val="95"/>
        </w:rPr>
        <w:t>CYC;</w:t>
      </w:r>
      <w:r>
        <w:rPr>
          <w:spacing w:val="-8"/>
          <w:w w:val="95"/>
        </w:rPr>
        <w:t> </w:t>
      </w:r>
      <w:r>
        <w:rPr>
          <w:w w:val="95"/>
        </w:rPr>
        <w:t>en</w:t>
      </w:r>
      <w:r>
        <w:rPr>
          <w:spacing w:val="-8"/>
          <w:w w:val="95"/>
        </w:rPr>
        <w:t> </w:t>
      </w:r>
      <w:r>
        <w:rPr>
          <w:w w:val="95"/>
        </w:rPr>
        <w:t>el</w:t>
      </w:r>
      <w:r>
        <w:rPr>
          <w:spacing w:val="-8"/>
          <w:w w:val="95"/>
        </w:rPr>
        <w:t> </w:t>
      </w:r>
      <w:r>
        <w:rPr>
          <w:w w:val="95"/>
        </w:rPr>
        <w:t>cuadro</w:t>
      </w:r>
      <w:r>
        <w:rPr>
          <w:spacing w:val="-6"/>
          <w:w w:val="95"/>
        </w:rPr>
        <w:t> </w:t>
      </w:r>
      <w:r>
        <w:rPr>
          <w:w w:val="95"/>
        </w:rPr>
        <w:t>1.2.2.1</w:t>
      </w:r>
      <w:r>
        <w:rPr>
          <w:spacing w:val="-8"/>
          <w:w w:val="95"/>
        </w:rPr>
        <w:t> </w:t>
      </w:r>
      <w:r>
        <w:rPr>
          <w:w w:val="95"/>
        </w:rPr>
        <w:t>se</w:t>
      </w:r>
      <w:r>
        <w:rPr>
          <w:spacing w:val="-8"/>
          <w:w w:val="95"/>
        </w:rPr>
        <w:t> </w:t>
      </w:r>
      <w:r>
        <w:rPr>
          <w:w w:val="95"/>
        </w:rPr>
        <w:t>muestran</w:t>
      </w:r>
      <w:r>
        <w:rPr>
          <w:spacing w:val="-8"/>
          <w:w w:val="95"/>
        </w:rPr>
        <w:t> </w:t>
      </w:r>
      <w:r>
        <w:rPr>
          <w:w w:val="95"/>
        </w:rPr>
        <w:t>la </w:t>
      </w:r>
      <w:r>
        <w:rPr>
          <w:w w:val="90"/>
        </w:rPr>
        <w:t>información</w:t>
      </w:r>
      <w:r>
        <w:rPr>
          <w:spacing w:val="-28"/>
          <w:w w:val="90"/>
        </w:rPr>
        <w:t> </w:t>
      </w:r>
      <w:r>
        <w:rPr>
          <w:w w:val="90"/>
        </w:rPr>
        <w:t>de</w:t>
      </w:r>
      <w:r>
        <w:rPr>
          <w:spacing w:val="-28"/>
          <w:w w:val="90"/>
        </w:rPr>
        <w:t> </w:t>
      </w:r>
      <w:r>
        <w:rPr>
          <w:w w:val="90"/>
        </w:rPr>
        <w:t>los</w:t>
      </w:r>
      <w:r>
        <w:rPr>
          <w:spacing w:val="-28"/>
          <w:w w:val="90"/>
        </w:rPr>
        <w:t> </w:t>
      </w:r>
      <w:r>
        <w:rPr>
          <w:w w:val="90"/>
        </w:rPr>
        <w:t>iniciadores:</w:t>
      </w:r>
    </w:p>
    <w:p>
      <w:pPr>
        <w:pStyle w:val="BodyText"/>
        <w:spacing w:before="1"/>
        <w:rPr>
          <w:sz w:val="22"/>
        </w:rPr>
      </w:pPr>
    </w:p>
    <w:p>
      <w:pPr>
        <w:spacing w:before="0"/>
        <w:ind w:left="265" w:right="0" w:firstLine="0"/>
        <w:jc w:val="both"/>
        <w:rPr>
          <w:rFonts w:ascii="Times New Roman" w:hAnsi="Times New Roman"/>
          <w:sz w:val="20"/>
        </w:rPr>
      </w:pPr>
      <w:r>
        <w:rPr>
          <w:rFonts w:ascii="Times New Roman" w:hAnsi="Times New Roman"/>
          <w:color w:val="000009"/>
          <w:sz w:val="20"/>
        </w:rPr>
        <w:t>Cuadro 1.2.2.1. Iniciadores diseñados</w:t>
      </w:r>
    </w:p>
    <w:p>
      <w:pPr>
        <w:pStyle w:val="BodyText"/>
        <w:spacing w:before="4"/>
        <w:rPr>
          <w:rFonts w:ascii="Times New Roman"/>
          <w:sz w:val="5"/>
        </w:r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8"/>
        <w:gridCol w:w="1594"/>
        <w:gridCol w:w="2537"/>
        <w:gridCol w:w="2600"/>
        <w:gridCol w:w="1068"/>
      </w:tblGrid>
      <w:tr>
        <w:trPr>
          <w:trHeight w:val="471" w:hRule="exact"/>
        </w:trPr>
        <w:tc>
          <w:tcPr>
            <w:tcW w:w="818" w:type="dxa"/>
            <w:tcBorders>
              <w:left w:val="nil"/>
            </w:tcBorders>
          </w:tcPr>
          <w:p>
            <w:pPr>
              <w:pStyle w:val="TableParagraph"/>
              <w:spacing w:before="113"/>
              <w:ind w:left="184"/>
              <w:jc w:val="left"/>
              <w:rPr>
                <w:rFonts w:ascii="Times New Roman"/>
                <w:b/>
                <w:sz w:val="20"/>
              </w:rPr>
            </w:pPr>
            <w:r>
              <w:rPr>
                <w:rFonts w:ascii="Times New Roman"/>
                <w:b/>
                <w:color w:val="000009"/>
                <w:sz w:val="20"/>
              </w:rPr>
              <w:t>Gene</w:t>
            </w:r>
          </w:p>
        </w:tc>
        <w:tc>
          <w:tcPr>
            <w:tcW w:w="1594" w:type="dxa"/>
          </w:tcPr>
          <w:p>
            <w:pPr>
              <w:pStyle w:val="TableParagraph"/>
              <w:spacing w:before="113"/>
              <w:ind w:left="67"/>
              <w:jc w:val="left"/>
              <w:rPr>
                <w:rFonts w:ascii="Times New Roman"/>
                <w:b/>
                <w:sz w:val="20"/>
              </w:rPr>
            </w:pPr>
            <w:r>
              <w:rPr>
                <w:rFonts w:ascii="Times New Roman"/>
                <w:b/>
                <w:color w:val="000009"/>
                <w:sz w:val="20"/>
              </w:rPr>
              <w:t>Acceso GenBank</w:t>
            </w:r>
          </w:p>
        </w:tc>
        <w:tc>
          <w:tcPr>
            <w:tcW w:w="2537" w:type="dxa"/>
          </w:tcPr>
          <w:p>
            <w:pPr>
              <w:pStyle w:val="TableParagraph"/>
              <w:spacing w:before="113"/>
              <w:ind w:left="921" w:right="922"/>
              <w:rPr>
                <w:rFonts w:ascii="Times New Roman"/>
                <w:b/>
                <w:sz w:val="20"/>
              </w:rPr>
            </w:pPr>
            <w:r>
              <w:rPr>
                <w:rFonts w:ascii="Times New Roman"/>
                <w:b/>
                <w:color w:val="000009"/>
                <w:sz w:val="20"/>
              </w:rPr>
              <w:t>Sentido</w:t>
            </w:r>
          </w:p>
        </w:tc>
        <w:tc>
          <w:tcPr>
            <w:tcW w:w="2600" w:type="dxa"/>
          </w:tcPr>
          <w:p>
            <w:pPr>
              <w:pStyle w:val="TableParagraph"/>
              <w:spacing w:before="113"/>
              <w:ind w:left="799"/>
              <w:jc w:val="left"/>
              <w:rPr>
                <w:rFonts w:ascii="Times New Roman"/>
                <w:b/>
                <w:sz w:val="20"/>
              </w:rPr>
            </w:pPr>
            <w:r>
              <w:rPr>
                <w:rFonts w:ascii="Times New Roman"/>
                <w:b/>
                <w:color w:val="000009"/>
                <w:sz w:val="20"/>
              </w:rPr>
              <w:t>Antisentido</w:t>
            </w:r>
          </w:p>
        </w:tc>
        <w:tc>
          <w:tcPr>
            <w:tcW w:w="1068" w:type="dxa"/>
            <w:tcBorders>
              <w:right w:val="nil"/>
            </w:tcBorders>
          </w:tcPr>
          <w:p>
            <w:pPr>
              <w:pStyle w:val="TableParagraph"/>
              <w:ind w:left="352" w:hanging="238"/>
              <w:jc w:val="left"/>
              <w:rPr>
                <w:rFonts w:ascii="Times New Roman" w:hAnsi="Times New Roman"/>
                <w:b/>
                <w:sz w:val="20"/>
              </w:rPr>
            </w:pPr>
            <w:r>
              <w:rPr>
                <w:rFonts w:ascii="Times New Roman" w:hAnsi="Times New Roman"/>
                <w:b/>
                <w:color w:val="000009"/>
                <w:w w:val="95"/>
                <w:sz w:val="20"/>
              </w:rPr>
              <w:t>Amplicón </w:t>
            </w:r>
            <w:r>
              <w:rPr>
                <w:rFonts w:ascii="Times New Roman" w:hAnsi="Times New Roman"/>
                <w:b/>
                <w:color w:val="000009"/>
                <w:sz w:val="20"/>
              </w:rPr>
              <w:t>(pb)</w:t>
            </w:r>
          </w:p>
        </w:tc>
      </w:tr>
    </w:tbl>
    <w:p>
      <w:pPr>
        <w:tabs>
          <w:tab w:pos="1083" w:val="left" w:leader="none"/>
          <w:tab w:pos="2744" w:val="left" w:leader="none"/>
          <w:tab w:pos="8501" w:val="right" w:leader="none"/>
        </w:tabs>
        <w:spacing w:line="228" w:lineRule="exact" w:before="0"/>
        <w:ind w:left="265" w:right="0" w:firstLine="0"/>
        <w:jc w:val="left"/>
        <w:rPr>
          <w:rFonts w:ascii="Times New Roman" w:hAnsi="Times New Roman"/>
          <w:sz w:val="20"/>
        </w:rPr>
      </w:pPr>
      <w:r>
        <w:rPr>
          <w:rFonts w:ascii="Times New Roman" w:hAnsi="Times New Roman"/>
          <w:color w:val="000009"/>
          <w:sz w:val="20"/>
        </w:rPr>
        <w:t>3βHSD</w:t>
        <w:tab/>
        <w:t>NM_017265.4</w:t>
        <w:tab/>
      </w:r>
      <w:r>
        <w:rPr>
          <w:rFonts w:ascii="Courier New" w:hAnsi="Courier New"/>
          <w:color w:val="000009"/>
          <w:position w:val="1"/>
          <w:sz w:val="20"/>
        </w:rPr>
        <w:t>AGGTCCTGATGCCCTCTTTT</w:t>
      </w:r>
      <w:r>
        <w:rPr>
          <w:rFonts w:ascii="Courier New" w:hAnsi="Courier New"/>
          <w:color w:val="000009"/>
          <w:spacing w:val="43"/>
          <w:position w:val="1"/>
          <w:sz w:val="20"/>
        </w:rPr>
        <w:t> </w:t>
      </w:r>
      <w:r>
        <w:rPr>
          <w:rFonts w:ascii="Courier New" w:hAnsi="Courier New"/>
          <w:color w:val="000009"/>
          <w:position w:val="1"/>
          <w:sz w:val="20"/>
        </w:rPr>
        <w:t>TGTCATTGCTGAAGCCTTTG</w:t>
      </w:r>
      <w:r>
        <w:rPr>
          <w:rFonts w:ascii="Times New Roman" w:hAnsi="Times New Roman"/>
          <w:color w:val="000009"/>
          <w:sz w:val="20"/>
        </w:rPr>
        <w:tab/>
        <w:t>159</w:t>
      </w:r>
    </w:p>
    <w:p>
      <w:pPr>
        <w:tabs>
          <w:tab w:pos="1083" w:val="left" w:leader="none"/>
          <w:tab w:pos="2744" w:val="left" w:leader="none"/>
          <w:tab w:pos="8501" w:val="right" w:leader="none"/>
        </w:tabs>
        <w:spacing w:line="229" w:lineRule="exact" w:before="0"/>
        <w:ind w:left="265" w:right="0" w:firstLine="0"/>
        <w:jc w:val="left"/>
        <w:rPr>
          <w:rFonts w:ascii="Times New Roman"/>
          <w:sz w:val="20"/>
        </w:rPr>
      </w:pPr>
      <w:r>
        <w:rPr>
          <w:rFonts w:ascii="Times New Roman"/>
          <w:color w:val="000009"/>
          <w:sz w:val="20"/>
        </w:rPr>
        <w:t>AR</w:t>
        <w:tab/>
        <w:t>NM_012502.1</w:t>
        <w:tab/>
      </w:r>
      <w:r>
        <w:rPr>
          <w:rFonts w:ascii="Courier New"/>
          <w:color w:val="000009"/>
          <w:position w:val="1"/>
          <w:sz w:val="20"/>
        </w:rPr>
        <w:t>CAGCAGAAATGATTGCACCA</w:t>
      </w:r>
      <w:r>
        <w:rPr>
          <w:rFonts w:ascii="Courier New"/>
          <w:color w:val="000009"/>
          <w:spacing w:val="43"/>
          <w:position w:val="1"/>
          <w:sz w:val="20"/>
        </w:rPr>
        <w:t> </w:t>
      </w:r>
      <w:r>
        <w:rPr>
          <w:rFonts w:ascii="Courier New"/>
          <w:color w:val="000009"/>
          <w:position w:val="1"/>
          <w:sz w:val="20"/>
        </w:rPr>
        <w:t>ATCTTCTGGGATGGGTCCTC</w:t>
      </w:r>
      <w:r>
        <w:rPr>
          <w:rFonts w:ascii="Times New Roman"/>
          <w:color w:val="000009"/>
          <w:sz w:val="20"/>
        </w:rPr>
        <w:tab/>
        <w:t>189</w:t>
      </w:r>
    </w:p>
    <w:p>
      <w:pPr>
        <w:tabs>
          <w:tab w:pos="1083" w:val="left" w:leader="none"/>
          <w:tab w:pos="2744" w:val="left" w:leader="none"/>
          <w:tab w:pos="8501" w:val="right" w:leader="none"/>
        </w:tabs>
        <w:spacing w:line="229" w:lineRule="exact" w:before="0"/>
        <w:ind w:left="265" w:right="0" w:firstLine="0"/>
        <w:jc w:val="left"/>
        <w:rPr>
          <w:rFonts w:ascii="Times New Roman"/>
          <w:sz w:val="20"/>
        </w:rPr>
      </w:pPr>
      <w:r>
        <w:rPr>
          <w:rFonts w:ascii="Times New Roman"/>
          <w:color w:val="000009"/>
          <w:sz w:val="20"/>
        </w:rPr>
        <w:t>ABP</w:t>
        <w:tab/>
        <w:t>M19993</w:t>
        <w:tab/>
      </w:r>
      <w:r>
        <w:rPr>
          <w:rFonts w:ascii="Courier New"/>
          <w:color w:val="000009"/>
          <w:position w:val="1"/>
          <w:sz w:val="20"/>
        </w:rPr>
        <w:t>TGGTCCAGATTGGCCTTGAA</w:t>
      </w:r>
      <w:r>
        <w:rPr>
          <w:rFonts w:ascii="Courier New"/>
          <w:color w:val="000009"/>
          <w:spacing w:val="43"/>
          <w:position w:val="1"/>
          <w:sz w:val="20"/>
        </w:rPr>
        <w:t> </w:t>
      </w:r>
      <w:r>
        <w:rPr>
          <w:rFonts w:ascii="Courier New"/>
          <w:color w:val="000009"/>
          <w:position w:val="1"/>
          <w:sz w:val="20"/>
        </w:rPr>
        <w:t>TCGAGACAATGCAGGCAGAA</w:t>
      </w:r>
      <w:r>
        <w:rPr>
          <w:rFonts w:ascii="Times New Roman"/>
          <w:color w:val="000009"/>
          <w:sz w:val="20"/>
        </w:rPr>
        <w:tab/>
        <w:t>192</w:t>
      </w:r>
    </w:p>
    <w:p>
      <w:pPr>
        <w:tabs>
          <w:tab w:pos="1083" w:val="left" w:leader="none"/>
          <w:tab w:pos="2804" w:val="left" w:leader="none"/>
          <w:tab w:pos="5433" w:val="left" w:leader="none"/>
          <w:tab w:pos="8501" w:val="right" w:leader="none"/>
        </w:tabs>
        <w:spacing w:line="230" w:lineRule="exact" w:before="0"/>
        <w:ind w:left="265" w:right="0" w:firstLine="0"/>
        <w:jc w:val="left"/>
        <w:rPr>
          <w:rFonts w:ascii="Times New Roman"/>
          <w:sz w:val="20"/>
        </w:rPr>
      </w:pPr>
      <w:r>
        <w:rPr>
          <w:rFonts w:ascii="Times New Roman"/>
          <w:color w:val="000009"/>
          <w:sz w:val="20"/>
        </w:rPr>
        <w:t>BAX</w:t>
        <w:tab/>
        <w:t>U49729</w:t>
        <w:tab/>
      </w:r>
      <w:r>
        <w:rPr>
          <w:rFonts w:ascii="Courier New"/>
          <w:color w:val="000009"/>
          <w:position w:val="1"/>
          <w:sz w:val="20"/>
        </w:rPr>
        <w:t>GACTCCAGCCACAAAGATG</w:t>
        <w:tab/>
        <w:t>CTGAGCTGACCTTGGAGC</w:t>
      </w:r>
      <w:r>
        <w:rPr>
          <w:rFonts w:ascii="Times New Roman"/>
          <w:color w:val="000009"/>
          <w:sz w:val="20"/>
        </w:rPr>
        <w:tab/>
        <w:t>413</w:t>
      </w:r>
    </w:p>
    <w:p>
      <w:pPr>
        <w:tabs>
          <w:tab w:pos="1083" w:val="left" w:leader="none"/>
          <w:tab w:pos="2744" w:val="left" w:leader="none"/>
          <w:tab w:pos="8501" w:val="right" w:leader="none"/>
        </w:tabs>
        <w:spacing w:line="230" w:lineRule="exact" w:before="0"/>
        <w:ind w:left="265" w:right="0" w:firstLine="0"/>
        <w:jc w:val="left"/>
        <w:rPr>
          <w:rFonts w:ascii="Times New Roman"/>
          <w:sz w:val="20"/>
        </w:rPr>
      </w:pPr>
      <w:r>
        <w:rPr>
          <w:rFonts w:ascii="Times New Roman"/>
          <w:color w:val="000009"/>
          <w:sz w:val="20"/>
        </w:rPr>
        <w:t>BCL-2</w:t>
        <w:tab/>
        <w:t>L14680</w:t>
        <w:tab/>
      </w:r>
      <w:r>
        <w:rPr>
          <w:rFonts w:ascii="Courier New"/>
          <w:color w:val="000009"/>
          <w:position w:val="1"/>
          <w:sz w:val="20"/>
        </w:rPr>
        <w:t>ATGCCGGTTCAGGTACTCAG</w:t>
      </w:r>
      <w:r>
        <w:rPr>
          <w:rFonts w:ascii="Courier New"/>
          <w:color w:val="000009"/>
          <w:spacing w:val="43"/>
          <w:position w:val="1"/>
          <w:sz w:val="20"/>
        </w:rPr>
        <w:t> </w:t>
      </w:r>
      <w:r>
        <w:rPr>
          <w:rFonts w:ascii="Courier New"/>
          <w:color w:val="000009"/>
          <w:position w:val="1"/>
          <w:sz w:val="20"/>
        </w:rPr>
        <w:t>CGACTTTGCAGAGATGTCCA</w:t>
      </w:r>
      <w:r>
        <w:rPr>
          <w:rFonts w:ascii="Times New Roman"/>
          <w:color w:val="000009"/>
          <w:sz w:val="20"/>
        </w:rPr>
        <w:tab/>
        <w:t>222</w:t>
      </w:r>
    </w:p>
    <w:p>
      <w:pPr>
        <w:tabs>
          <w:tab w:pos="2744" w:val="left" w:leader="none"/>
          <w:tab w:pos="8501" w:val="right" w:leader="none"/>
        </w:tabs>
        <w:spacing w:line="230" w:lineRule="exact" w:before="0"/>
        <w:ind w:left="265" w:right="0" w:firstLine="0"/>
        <w:jc w:val="left"/>
        <w:rPr>
          <w:rFonts w:ascii="Times New Roman" w:hAnsi="Times New Roman"/>
          <w:sz w:val="20"/>
        </w:rPr>
      </w:pPr>
      <w:r>
        <w:rPr>
          <w:rFonts w:ascii="Times New Roman" w:hAnsi="Times New Roman"/>
          <w:color w:val="000009"/>
          <w:sz w:val="20"/>
        </w:rPr>
        <w:t>CREMΔ </w:t>
      </w:r>
      <w:r>
        <w:rPr>
          <w:rFonts w:ascii="Times New Roman" w:hAnsi="Times New Roman"/>
          <w:color w:val="000009"/>
          <w:spacing w:val="20"/>
          <w:sz w:val="20"/>
        </w:rPr>
        <w:t> </w:t>
      </w:r>
      <w:r>
        <w:rPr>
          <w:rFonts w:ascii="Times New Roman" w:hAnsi="Times New Roman"/>
          <w:color w:val="000009"/>
          <w:sz w:val="20"/>
        </w:rPr>
        <w:t>NM_017334.1</w:t>
        <w:tab/>
      </w:r>
      <w:r>
        <w:rPr>
          <w:rFonts w:ascii="Courier New" w:hAnsi="Courier New"/>
          <w:color w:val="000009"/>
          <w:position w:val="1"/>
          <w:sz w:val="20"/>
        </w:rPr>
        <w:t>AGCCCAACATGGCTGTAACT</w:t>
      </w:r>
      <w:r>
        <w:rPr>
          <w:rFonts w:ascii="Courier New" w:hAnsi="Courier New"/>
          <w:color w:val="000009"/>
          <w:spacing w:val="43"/>
          <w:position w:val="1"/>
          <w:sz w:val="20"/>
        </w:rPr>
        <w:t> </w:t>
      </w:r>
      <w:r>
        <w:rPr>
          <w:rFonts w:ascii="Courier New" w:hAnsi="Courier New"/>
          <w:color w:val="000009"/>
          <w:position w:val="1"/>
          <w:sz w:val="20"/>
        </w:rPr>
        <w:t>TCTGCTAGTTGCTGGGGACT</w:t>
      </w:r>
      <w:r>
        <w:rPr>
          <w:rFonts w:ascii="Times New Roman" w:hAnsi="Times New Roman"/>
          <w:color w:val="000009"/>
          <w:sz w:val="20"/>
        </w:rPr>
        <w:tab/>
        <w:t>184</w:t>
      </w:r>
    </w:p>
    <w:p>
      <w:pPr>
        <w:tabs>
          <w:tab w:pos="1083" w:val="left" w:leader="none"/>
          <w:tab w:pos="8501" w:val="right" w:leader="none"/>
        </w:tabs>
        <w:spacing w:line="234" w:lineRule="exact" w:before="0"/>
        <w:ind w:left="265" w:right="0" w:firstLine="0"/>
        <w:jc w:val="left"/>
        <w:rPr>
          <w:rFonts w:ascii="Times New Roman"/>
          <w:sz w:val="20"/>
        </w:rPr>
      </w:pPr>
      <w:r>
        <w:rPr/>
        <w:pict>
          <v:group style="position:absolute;margin-left:98.293999pt;margin-top:11.686507pt;width:432.1pt;height:.5pt;mso-position-horizontal-relative:page;mso-position-vertical-relative:paragraph;z-index:1408" coordorigin="1966,234" coordsize="8642,10">
            <v:line style="position:absolute" from="1971,239" to="2804,239" stroked="true" strokeweight=".48001pt" strokecolor="#000000"/>
            <v:line style="position:absolute" from="2789,239" to="2799,239" stroked="true" strokeweight=".48001pt" strokecolor="#000000"/>
            <v:line style="position:absolute" from="2799,239" to="4398,239" stroked="true" strokeweight=".48001pt" strokecolor="#000000"/>
            <v:line style="position:absolute" from="4383,239" to="4393,239" stroked="true" strokeweight=".48001pt" strokecolor="#000000"/>
            <v:line style="position:absolute" from="4393,239" to="6935,239" stroked="true" strokeweight=".48001pt" strokecolor="#000000"/>
            <v:line style="position:absolute" from="6921,239" to="6930,239" stroked="true" strokeweight=".48001pt" strokecolor="#000000"/>
            <v:line style="position:absolute" from="6930,239" to="9535,239" stroked="true" strokeweight=".48001pt" strokecolor="#000000"/>
            <v:line style="position:absolute" from="9520,239" to="9530,239" stroked="true" strokeweight=".48001pt" strokecolor="#000000"/>
            <v:line style="position:absolute" from="9530,239" to="10603,239" stroked="true" strokeweight=".48001pt" strokecolor="#000000"/>
            <w10:wrap type="none"/>
          </v:group>
        </w:pict>
      </w:r>
      <w:r>
        <w:rPr>
          <w:rFonts w:ascii="Times New Roman"/>
          <w:color w:val="000009"/>
          <w:sz w:val="20"/>
        </w:rPr>
        <w:t>CYC</w:t>
        <w:tab/>
        <w:t>XM_002729447.1 </w:t>
      </w:r>
      <w:r>
        <w:rPr>
          <w:rFonts w:ascii="Times New Roman"/>
          <w:color w:val="000009"/>
          <w:spacing w:val="25"/>
          <w:sz w:val="20"/>
        </w:rPr>
        <w:t> </w:t>
      </w:r>
      <w:r>
        <w:rPr>
          <w:rFonts w:ascii="Courier New"/>
          <w:color w:val="000009"/>
          <w:position w:val="1"/>
          <w:sz w:val="20"/>
        </w:rPr>
        <w:t>CCCCACCGTGTTCTTCGACAT</w:t>
      </w:r>
      <w:r>
        <w:rPr>
          <w:rFonts w:ascii="Courier New"/>
          <w:color w:val="000009"/>
          <w:spacing w:val="-74"/>
          <w:position w:val="1"/>
          <w:sz w:val="20"/>
        </w:rPr>
        <w:t> </w:t>
      </w:r>
      <w:r>
        <w:rPr>
          <w:rFonts w:ascii="Courier New"/>
          <w:color w:val="000009"/>
          <w:position w:val="1"/>
          <w:sz w:val="20"/>
        </w:rPr>
        <w:t>GCTGGTCTTGCCATTCCTGGA</w:t>
      </w:r>
      <w:r>
        <w:rPr>
          <w:rFonts w:ascii="Times New Roman"/>
          <w:color w:val="000009"/>
          <w:sz w:val="20"/>
        </w:rPr>
        <w:tab/>
        <w:t>451</w:t>
      </w:r>
    </w:p>
    <w:p>
      <w:pPr>
        <w:pStyle w:val="BodyText"/>
        <w:spacing w:line="360" w:lineRule="auto" w:before="284"/>
        <w:ind w:left="265" w:right="183"/>
        <w:jc w:val="both"/>
      </w:pPr>
      <w:r>
        <w:rPr>
          <w:w w:val="90"/>
        </w:rPr>
        <w:t>Se</w:t>
      </w:r>
      <w:r>
        <w:rPr>
          <w:spacing w:val="-16"/>
          <w:w w:val="90"/>
        </w:rPr>
        <w:t> </w:t>
      </w:r>
      <w:r>
        <w:rPr>
          <w:w w:val="90"/>
        </w:rPr>
        <w:t>obtuvo</w:t>
      </w:r>
      <w:r>
        <w:rPr>
          <w:spacing w:val="-16"/>
          <w:w w:val="90"/>
        </w:rPr>
        <w:t> </w:t>
      </w:r>
      <w:r>
        <w:rPr>
          <w:w w:val="90"/>
        </w:rPr>
        <w:t>ARN</w:t>
      </w:r>
      <w:r>
        <w:rPr>
          <w:spacing w:val="-17"/>
          <w:w w:val="90"/>
        </w:rPr>
        <w:t> </w:t>
      </w:r>
      <w:r>
        <w:rPr>
          <w:w w:val="90"/>
        </w:rPr>
        <w:t>mediante</w:t>
      </w:r>
      <w:r>
        <w:rPr>
          <w:spacing w:val="-16"/>
          <w:w w:val="90"/>
        </w:rPr>
        <w:t> </w:t>
      </w:r>
      <w:r>
        <w:rPr>
          <w:w w:val="90"/>
        </w:rPr>
        <w:t>el</w:t>
      </w:r>
      <w:r>
        <w:rPr>
          <w:spacing w:val="-17"/>
          <w:w w:val="90"/>
        </w:rPr>
        <w:t> </w:t>
      </w:r>
      <w:r>
        <w:rPr>
          <w:w w:val="90"/>
        </w:rPr>
        <w:t>Kit</w:t>
      </w:r>
      <w:r>
        <w:rPr>
          <w:spacing w:val="-18"/>
          <w:w w:val="90"/>
        </w:rPr>
        <w:t> </w:t>
      </w:r>
      <w:r>
        <w:rPr>
          <w:w w:val="90"/>
        </w:rPr>
        <w:t>AquaPure</w:t>
      </w:r>
      <w:r>
        <w:rPr>
          <w:spacing w:val="-18"/>
          <w:w w:val="90"/>
        </w:rPr>
        <w:t> </w:t>
      </w:r>
      <w:r>
        <w:rPr>
          <w:w w:val="90"/>
        </w:rPr>
        <w:t>RNA</w:t>
      </w:r>
      <w:r>
        <w:rPr>
          <w:spacing w:val="-18"/>
          <w:w w:val="90"/>
        </w:rPr>
        <w:t> </w:t>
      </w:r>
      <w:r>
        <w:rPr>
          <w:w w:val="90"/>
        </w:rPr>
        <w:t>Isolation®</w:t>
      </w:r>
      <w:r>
        <w:rPr>
          <w:spacing w:val="-18"/>
          <w:w w:val="90"/>
        </w:rPr>
        <w:t> </w:t>
      </w:r>
      <w:r>
        <w:rPr>
          <w:spacing w:val="2"/>
          <w:w w:val="90"/>
        </w:rPr>
        <w:t>(Bio-Rad)</w:t>
      </w:r>
      <w:r>
        <w:rPr>
          <w:spacing w:val="-18"/>
          <w:w w:val="90"/>
        </w:rPr>
        <w:t> </w:t>
      </w:r>
      <w:r>
        <w:rPr>
          <w:w w:val="90"/>
        </w:rPr>
        <w:t>a</w:t>
      </w:r>
      <w:r>
        <w:rPr>
          <w:spacing w:val="-16"/>
          <w:w w:val="90"/>
        </w:rPr>
        <w:t> </w:t>
      </w:r>
      <w:r>
        <w:rPr>
          <w:w w:val="90"/>
        </w:rPr>
        <w:t>partir</w:t>
      </w:r>
      <w:r>
        <w:rPr>
          <w:spacing w:val="-16"/>
          <w:w w:val="90"/>
        </w:rPr>
        <w:t> </w:t>
      </w:r>
      <w:r>
        <w:rPr>
          <w:w w:val="90"/>
        </w:rPr>
        <w:t>de</w:t>
      </w:r>
      <w:r>
        <w:rPr>
          <w:spacing w:val="-18"/>
          <w:w w:val="90"/>
        </w:rPr>
        <w:t> </w:t>
      </w:r>
      <w:r>
        <w:rPr>
          <w:w w:val="90"/>
        </w:rPr>
        <w:t>las</w:t>
      </w:r>
      <w:r>
        <w:rPr>
          <w:spacing w:val="-17"/>
          <w:w w:val="90"/>
        </w:rPr>
        <w:t> </w:t>
      </w:r>
      <w:r>
        <w:rPr>
          <w:w w:val="90"/>
        </w:rPr>
        <w:t>biopsias </w:t>
      </w:r>
      <w:r>
        <w:rPr>
          <w:w w:val="95"/>
        </w:rPr>
        <w:t>de testículo que se conservaron en nitrógeno líquido. En seguida se hizo la retrotranscripción</w:t>
      </w:r>
      <w:r>
        <w:rPr>
          <w:spacing w:val="-19"/>
          <w:w w:val="95"/>
        </w:rPr>
        <w:t> </w:t>
      </w:r>
      <w:r>
        <w:rPr>
          <w:w w:val="95"/>
        </w:rPr>
        <w:t>a</w:t>
      </w:r>
      <w:r>
        <w:rPr>
          <w:spacing w:val="-19"/>
          <w:w w:val="95"/>
        </w:rPr>
        <w:t> </w:t>
      </w:r>
      <w:r>
        <w:rPr>
          <w:w w:val="95"/>
        </w:rPr>
        <w:t>ADN</w:t>
      </w:r>
      <w:r>
        <w:rPr>
          <w:spacing w:val="-19"/>
          <w:w w:val="95"/>
        </w:rPr>
        <w:t> </w:t>
      </w:r>
      <w:r>
        <w:rPr>
          <w:w w:val="95"/>
        </w:rPr>
        <w:t>complementario</w:t>
      </w:r>
      <w:r>
        <w:rPr>
          <w:spacing w:val="-16"/>
          <w:w w:val="95"/>
        </w:rPr>
        <w:t> </w:t>
      </w:r>
      <w:r>
        <w:rPr>
          <w:w w:val="95"/>
        </w:rPr>
        <w:t>con</w:t>
      </w:r>
      <w:r>
        <w:rPr>
          <w:spacing w:val="-19"/>
          <w:w w:val="95"/>
        </w:rPr>
        <w:t> </w:t>
      </w:r>
      <w:r>
        <w:rPr>
          <w:w w:val="95"/>
        </w:rPr>
        <w:t>el</w:t>
      </w:r>
      <w:r>
        <w:rPr>
          <w:spacing w:val="-20"/>
          <w:w w:val="95"/>
        </w:rPr>
        <w:t> </w:t>
      </w:r>
      <w:r>
        <w:rPr>
          <w:w w:val="95"/>
        </w:rPr>
        <w:t>kit</w:t>
      </w:r>
      <w:r>
        <w:rPr>
          <w:spacing w:val="-19"/>
          <w:w w:val="95"/>
        </w:rPr>
        <w:t> </w:t>
      </w:r>
      <w:r>
        <w:rPr>
          <w:w w:val="95"/>
        </w:rPr>
        <w:t>SuperScript</w:t>
      </w:r>
      <w:r>
        <w:rPr>
          <w:spacing w:val="-19"/>
          <w:w w:val="95"/>
        </w:rPr>
        <w:t> </w:t>
      </w:r>
      <w:r>
        <w:rPr>
          <w:w w:val="95"/>
        </w:rPr>
        <w:t>First-Strand</w:t>
      </w:r>
      <w:r>
        <w:rPr>
          <w:spacing w:val="-19"/>
          <w:w w:val="95"/>
        </w:rPr>
        <w:t> </w:t>
      </w:r>
      <w:r>
        <w:rPr>
          <w:w w:val="95"/>
        </w:rPr>
        <w:t>Synthesis </w:t>
      </w:r>
      <w:r>
        <w:rPr>
          <w:w w:val="90"/>
        </w:rPr>
        <w:t>System</w:t>
      </w:r>
      <w:r>
        <w:rPr>
          <w:spacing w:val="-20"/>
          <w:w w:val="90"/>
        </w:rPr>
        <w:t> </w:t>
      </w:r>
      <w:r>
        <w:rPr>
          <w:w w:val="90"/>
        </w:rPr>
        <w:t>for</w:t>
      </w:r>
      <w:r>
        <w:rPr>
          <w:spacing w:val="-19"/>
          <w:w w:val="90"/>
        </w:rPr>
        <w:t> </w:t>
      </w:r>
      <w:r>
        <w:rPr>
          <w:w w:val="90"/>
        </w:rPr>
        <w:t>RT-PCR®</w:t>
      </w:r>
      <w:r>
        <w:rPr>
          <w:spacing w:val="-19"/>
          <w:w w:val="90"/>
        </w:rPr>
        <w:t> </w:t>
      </w:r>
      <w:r>
        <w:rPr>
          <w:w w:val="90"/>
        </w:rPr>
        <w:t>(Invitrogen).</w:t>
      </w:r>
      <w:r>
        <w:rPr>
          <w:spacing w:val="-20"/>
          <w:w w:val="90"/>
        </w:rPr>
        <w:t> </w:t>
      </w:r>
      <w:r>
        <w:rPr>
          <w:w w:val="90"/>
        </w:rPr>
        <w:t>Posteriormente</w:t>
      </w:r>
      <w:r>
        <w:rPr>
          <w:spacing w:val="-18"/>
          <w:w w:val="90"/>
        </w:rPr>
        <w:t> </w:t>
      </w:r>
      <w:r>
        <w:rPr>
          <w:w w:val="90"/>
        </w:rPr>
        <w:t>se</w:t>
      </w:r>
      <w:r>
        <w:rPr>
          <w:spacing w:val="-21"/>
          <w:w w:val="90"/>
        </w:rPr>
        <w:t> </w:t>
      </w:r>
      <w:r>
        <w:rPr>
          <w:w w:val="90"/>
        </w:rPr>
        <w:t>realizó</w:t>
      </w:r>
      <w:r>
        <w:rPr>
          <w:spacing w:val="-18"/>
          <w:w w:val="90"/>
        </w:rPr>
        <w:t> </w:t>
      </w:r>
      <w:r>
        <w:rPr>
          <w:w w:val="90"/>
        </w:rPr>
        <w:t>una</w:t>
      </w:r>
      <w:r>
        <w:rPr>
          <w:spacing w:val="-18"/>
          <w:w w:val="90"/>
        </w:rPr>
        <w:t> </w:t>
      </w:r>
      <w:r>
        <w:rPr>
          <w:w w:val="90"/>
        </w:rPr>
        <w:t>PCR,</w:t>
      </w:r>
      <w:r>
        <w:rPr>
          <w:spacing w:val="-18"/>
          <w:w w:val="90"/>
        </w:rPr>
        <w:t> </w:t>
      </w:r>
      <w:r>
        <w:rPr>
          <w:w w:val="90"/>
        </w:rPr>
        <w:t>las</w:t>
      </w:r>
      <w:r>
        <w:rPr>
          <w:spacing w:val="-18"/>
          <w:w w:val="90"/>
        </w:rPr>
        <w:t> </w:t>
      </w:r>
      <w:r>
        <w:rPr>
          <w:w w:val="90"/>
        </w:rPr>
        <w:t>condiciones</w:t>
      </w:r>
      <w:r>
        <w:rPr>
          <w:spacing w:val="-20"/>
          <w:w w:val="90"/>
        </w:rPr>
        <w:t> </w:t>
      </w:r>
      <w:r>
        <w:rPr>
          <w:w w:val="90"/>
        </w:rPr>
        <w:t>son </w:t>
      </w:r>
      <w:r>
        <w:rPr>
          <w:w w:val="95"/>
        </w:rPr>
        <w:t>las</w:t>
      </w:r>
      <w:r>
        <w:rPr>
          <w:spacing w:val="-37"/>
          <w:w w:val="95"/>
        </w:rPr>
        <w:t> </w:t>
      </w:r>
      <w:r>
        <w:rPr>
          <w:w w:val="95"/>
        </w:rPr>
        <w:t>siguientes:</w:t>
      </w:r>
      <w:r>
        <w:rPr>
          <w:spacing w:val="-37"/>
          <w:w w:val="95"/>
        </w:rPr>
        <w:t> </w:t>
      </w:r>
      <w:r>
        <w:rPr>
          <w:w w:val="95"/>
        </w:rPr>
        <w:t>Desnaturalización</w:t>
      </w:r>
      <w:r>
        <w:rPr>
          <w:spacing w:val="-38"/>
          <w:w w:val="95"/>
        </w:rPr>
        <w:t> </w:t>
      </w:r>
      <w:r>
        <w:rPr>
          <w:w w:val="95"/>
        </w:rPr>
        <w:t>inicial</w:t>
      </w:r>
      <w:r>
        <w:rPr>
          <w:spacing w:val="-37"/>
          <w:w w:val="95"/>
        </w:rPr>
        <w:t> </w:t>
      </w:r>
      <w:r>
        <w:rPr>
          <w:w w:val="95"/>
        </w:rPr>
        <w:t>a</w:t>
      </w:r>
      <w:r>
        <w:rPr>
          <w:spacing w:val="-37"/>
          <w:w w:val="95"/>
        </w:rPr>
        <w:t> </w:t>
      </w:r>
      <w:r>
        <w:rPr>
          <w:w w:val="95"/>
        </w:rPr>
        <w:t>95°</w:t>
      </w:r>
      <w:r>
        <w:rPr>
          <w:spacing w:val="-38"/>
          <w:w w:val="95"/>
        </w:rPr>
        <w:t> </w:t>
      </w:r>
      <w:r>
        <w:rPr>
          <w:w w:val="95"/>
        </w:rPr>
        <w:t>C</w:t>
      </w:r>
      <w:r>
        <w:rPr>
          <w:spacing w:val="-38"/>
          <w:w w:val="95"/>
        </w:rPr>
        <w:t> </w:t>
      </w:r>
      <w:r>
        <w:rPr>
          <w:w w:val="95"/>
        </w:rPr>
        <w:t>por</w:t>
      </w:r>
      <w:r>
        <w:rPr>
          <w:spacing w:val="-37"/>
          <w:w w:val="95"/>
        </w:rPr>
        <w:t> </w:t>
      </w:r>
      <w:r>
        <w:rPr>
          <w:w w:val="95"/>
        </w:rPr>
        <w:t>5</w:t>
      </w:r>
      <w:r>
        <w:rPr>
          <w:spacing w:val="-37"/>
          <w:w w:val="95"/>
        </w:rPr>
        <w:t> </w:t>
      </w:r>
      <w:r>
        <w:rPr>
          <w:w w:val="95"/>
        </w:rPr>
        <w:t>minutos,</w:t>
      </w:r>
      <w:r>
        <w:rPr>
          <w:spacing w:val="-37"/>
          <w:w w:val="95"/>
        </w:rPr>
        <w:t> </w:t>
      </w:r>
      <w:r>
        <w:rPr>
          <w:w w:val="95"/>
        </w:rPr>
        <w:t>desnaturalización</w:t>
      </w:r>
      <w:r>
        <w:rPr>
          <w:spacing w:val="-37"/>
          <w:w w:val="95"/>
        </w:rPr>
        <w:t> </w:t>
      </w:r>
      <w:r>
        <w:rPr>
          <w:w w:val="95"/>
        </w:rPr>
        <w:t>a</w:t>
      </w:r>
      <w:r>
        <w:rPr>
          <w:spacing w:val="-37"/>
          <w:w w:val="95"/>
        </w:rPr>
        <w:t> </w:t>
      </w:r>
      <w:r>
        <w:rPr>
          <w:w w:val="95"/>
        </w:rPr>
        <w:t>94°</w:t>
      </w:r>
      <w:r>
        <w:rPr>
          <w:spacing w:val="-38"/>
          <w:w w:val="95"/>
        </w:rPr>
        <w:t> </w:t>
      </w:r>
      <w:r>
        <w:rPr>
          <w:w w:val="95"/>
        </w:rPr>
        <w:t>C, alineación</w:t>
      </w:r>
      <w:r>
        <w:rPr>
          <w:spacing w:val="-8"/>
          <w:w w:val="95"/>
        </w:rPr>
        <w:t> </w:t>
      </w:r>
      <w:r>
        <w:rPr>
          <w:w w:val="95"/>
        </w:rPr>
        <w:t>de</w:t>
      </w:r>
      <w:r>
        <w:rPr>
          <w:spacing w:val="-10"/>
          <w:w w:val="95"/>
        </w:rPr>
        <w:t> </w:t>
      </w:r>
      <w:r>
        <w:rPr>
          <w:w w:val="95"/>
        </w:rPr>
        <w:t>55°</w:t>
      </w:r>
      <w:r>
        <w:rPr>
          <w:spacing w:val="-9"/>
          <w:w w:val="95"/>
        </w:rPr>
        <w:t> </w:t>
      </w:r>
      <w:r>
        <w:rPr>
          <w:w w:val="95"/>
        </w:rPr>
        <w:t>C</w:t>
      </w:r>
      <w:r>
        <w:rPr>
          <w:spacing w:val="-9"/>
          <w:w w:val="95"/>
        </w:rPr>
        <w:t> </w:t>
      </w:r>
      <w:r>
        <w:rPr>
          <w:w w:val="95"/>
        </w:rPr>
        <w:t>a</w:t>
      </w:r>
      <w:r>
        <w:rPr>
          <w:spacing w:val="-8"/>
          <w:w w:val="95"/>
        </w:rPr>
        <w:t> </w:t>
      </w:r>
      <w:r>
        <w:rPr>
          <w:w w:val="95"/>
        </w:rPr>
        <w:t>58°</w:t>
      </w:r>
      <w:r>
        <w:rPr>
          <w:spacing w:val="-9"/>
          <w:w w:val="95"/>
        </w:rPr>
        <w:t> </w:t>
      </w:r>
      <w:r>
        <w:rPr>
          <w:w w:val="95"/>
        </w:rPr>
        <w:t>C,</w:t>
      </w:r>
      <w:r>
        <w:rPr>
          <w:spacing w:val="-10"/>
          <w:w w:val="95"/>
        </w:rPr>
        <w:t> </w:t>
      </w:r>
      <w:r>
        <w:rPr>
          <w:spacing w:val="2"/>
          <w:w w:val="95"/>
        </w:rPr>
        <w:t>extensión</w:t>
      </w:r>
      <w:r>
        <w:rPr>
          <w:spacing w:val="-8"/>
          <w:w w:val="95"/>
        </w:rPr>
        <w:t> </w:t>
      </w:r>
      <w:r>
        <w:rPr>
          <w:w w:val="95"/>
        </w:rPr>
        <w:t>a</w:t>
      </w:r>
      <w:r>
        <w:rPr>
          <w:spacing w:val="-9"/>
          <w:w w:val="95"/>
        </w:rPr>
        <w:t> </w:t>
      </w:r>
      <w:r>
        <w:rPr>
          <w:w w:val="95"/>
        </w:rPr>
        <w:t>72°</w:t>
      </w:r>
      <w:r>
        <w:rPr>
          <w:spacing w:val="-9"/>
          <w:w w:val="95"/>
        </w:rPr>
        <w:t> </w:t>
      </w:r>
      <w:r>
        <w:rPr>
          <w:w w:val="95"/>
        </w:rPr>
        <w:t>C</w:t>
      </w:r>
      <w:r>
        <w:rPr>
          <w:spacing w:val="-7"/>
          <w:w w:val="95"/>
        </w:rPr>
        <w:t> </w:t>
      </w:r>
      <w:r>
        <w:rPr>
          <w:w w:val="95"/>
        </w:rPr>
        <w:t>durante</w:t>
      </w:r>
      <w:r>
        <w:rPr>
          <w:spacing w:val="-8"/>
          <w:w w:val="95"/>
        </w:rPr>
        <w:t> </w:t>
      </w:r>
      <w:r>
        <w:rPr>
          <w:w w:val="95"/>
        </w:rPr>
        <w:t>30</w:t>
      </w:r>
      <w:r>
        <w:rPr>
          <w:spacing w:val="-8"/>
          <w:w w:val="95"/>
        </w:rPr>
        <w:t> </w:t>
      </w:r>
      <w:r>
        <w:rPr>
          <w:w w:val="95"/>
        </w:rPr>
        <w:t>segundos</w:t>
      </w:r>
      <w:r>
        <w:rPr>
          <w:spacing w:val="-9"/>
          <w:w w:val="95"/>
        </w:rPr>
        <w:t> </w:t>
      </w:r>
      <w:r>
        <w:rPr>
          <w:w w:val="95"/>
        </w:rPr>
        <w:t>cada</w:t>
      </w:r>
      <w:r>
        <w:rPr>
          <w:spacing w:val="-8"/>
          <w:w w:val="95"/>
        </w:rPr>
        <w:t> </w:t>
      </w:r>
      <w:r>
        <w:rPr>
          <w:w w:val="95"/>
        </w:rPr>
        <w:t>una</w:t>
      </w:r>
      <w:r>
        <w:rPr>
          <w:spacing w:val="-8"/>
          <w:w w:val="95"/>
        </w:rPr>
        <w:t> </w:t>
      </w:r>
      <w:r>
        <w:rPr>
          <w:w w:val="95"/>
        </w:rPr>
        <w:t>por</w:t>
      </w:r>
      <w:r>
        <w:rPr>
          <w:spacing w:val="-7"/>
          <w:w w:val="95"/>
        </w:rPr>
        <w:t> </w:t>
      </w:r>
      <w:r>
        <w:rPr>
          <w:w w:val="95"/>
        </w:rPr>
        <w:t>30 ciclos</w:t>
      </w:r>
      <w:r>
        <w:rPr>
          <w:spacing w:val="-41"/>
          <w:w w:val="95"/>
        </w:rPr>
        <w:t> </w:t>
      </w:r>
      <w:r>
        <w:rPr>
          <w:w w:val="95"/>
        </w:rPr>
        <w:t>y</w:t>
      </w:r>
      <w:r>
        <w:rPr>
          <w:spacing w:val="-40"/>
          <w:w w:val="95"/>
        </w:rPr>
        <w:t> </w:t>
      </w:r>
      <w:r>
        <w:rPr>
          <w:w w:val="95"/>
        </w:rPr>
        <w:t>extensión</w:t>
      </w:r>
      <w:r>
        <w:rPr>
          <w:spacing w:val="-41"/>
          <w:w w:val="95"/>
        </w:rPr>
        <w:t> </w:t>
      </w:r>
      <w:r>
        <w:rPr>
          <w:w w:val="95"/>
        </w:rPr>
        <w:t>final</w:t>
      </w:r>
      <w:r>
        <w:rPr>
          <w:spacing w:val="-40"/>
          <w:w w:val="95"/>
        </w:rPr>
        <w:t> </w:t>
      </w:r>
      <w:r>
        <w:rPr>
          <w:w w:val="95"/>
        </w:rPr>
        <w:t>a</w:t>
      </w:r>
      <w:r>
        <w:rPr>
          <w:spacing w:val="-41"/>
          <w:w w:val="95"/>
        </w:rPr>
        <w:t> </w:t>
      </w:r>
      <w:r>
        <w:rPr>
          <w:w w:val="95"/>
        </w:rPr>
        <w:t>72°</w:t>
      </w:r>
      <w:r>
        <w:rPr>
          <w:spacing w:val="-41"/>
          <w:w w:val="95"/>
        </w:rPr>
        <w:t> </w:t>
      </w:r>
      <w:r>
        <w:rPr>
          <w:w w:val="95"/>
        </w:rPr>
        <w:t>C</w:t>
      </w:r>
      <w:r>
        <w:rPr>
          <w:spacing w:val="-41"/>
          <w:w w:val="95"/>
        </w:rPr>
        <w:t> </w:t>
      </w:r>
      <w:r>
        <w:rPr>
          <w:w w:val="95"/>
        </w:rPr>
        <w:t>por</w:t>
      </w:r>
      <w:r>
        <w:rPr>
          <w:spacing w:val="-41"/>
          <w:w w:val="95"/>
        </w:rPr>
        <w:t> </w:t>
      </w:r>
      <w:r>
        <w:rPr>
          <w:w w:val="95"/>
        </w:rPr>
        <w:t>2</w:t>
      </w:r>
      <w:r>
        <w:rPr>
          <w:spacing w:val="-41"/>
          <w:w w:val="95"/>
        </w:rPr>
        <w:t> </w:t>
      </w:r>
      <w:r>
        <w:rPr>
          <w:w w:val="95"/>
        </w:rPr>
        <w:t>minutos.</w:t>
      </w:r>
    </w:p>
    <w:p>
      <w:pPr>
        <w:spacing w:after="0" w:line="360" w:lineRule="auto"/>
        <w:jc w:val="both"/>
        <w:sectPr>
          <w:pgSz w:w="12240" w:h="15840"/>
          <w:pgMar w:header="0" w:footer="1620" w:top="1500" w:bottom="1860" w:left="1720" w:right="1520"/>
        </w:sectPr>
      </w:pPr>
    </w:p>
    <w:p>
      <w:pPr>
        <w:pStyle w:val="BodyText"/>
      </w:pPr>
    </w:p>
    <w:p>
      <w:pPr>
        <w:pStyle w:val="BodyText"/>
        <w:spacing w:line="360" w:lineRule="auto" w:before="209"/>
        <w:ind w:left="265" w:right="121"/>
        <w:jc w:val="both"/>
      </w:pPr>
      <w:r>
        <w:rPr>
          <w:w w:val="95"/>
        </w:rPr>
        <w:t>Los</w:t>
      </w:r>
      <w:r>
        <w:rPr>
          <w:spacing w:val="-23"/>
          <w:w w:val="95"/>
        </w:rPr>
        <w:t> </w:t>
      </w:r>
      <w:r>
        <w:rPr>
          <w:w w:val="95"/>
        </w:rPr>
        <w:t>productos</w:t>
      </w:r>
      <w:r>
        <w:rPr>
          <w:spacing w:val="-21"/>
          <w:w w:val="95"/>
        </w:rPr>
        <w:t> </w:t>
      </w:r>
      <w:r>
        <w:rPr>
          <w:w w:val="95"/>
        </w:rPr>
        <w:t>de</w:t>
      </w:r>
      <w:r>
        <w:rPr>
          <w:spacing w:val="-22"/>
          <w:w w:val="95"/>
        </w:rPr>
        <w:t> </w:t>
      </w:r>
      <w:r>
        <w:rPr>
          <w:w w:val="95"/>
        </w:rPr>
        <w:t>la</w:t>
      </w:r>
      <w:r>
        <w:rPr>
          <w:spacing w:val="-22"/>
          <w:w w:val="95"/>
        </w:rPr>
        <w:t> </w:t>
      </w:r>
      <w:r>
        <w:rPr>
          <w:w w:val="95"/>
        </w:rPr>
        <w:t>PCR</w:t>
      </w:r>
      <w:r>
        <w:rPr>
          <w:spacing w:val="-21"/>
          <w:w w:val="95"/>
        </w:rPr>
        <w:t> </w:t>
      </w:r>
      <w:r>
        <w:rPr>
          <w:w w:val="95"/>
        </w:rPr>
        <w:t>se</w:t>
      </w:r>
      <w:r>
        <w:rPr>
          <w:spacing w:val="-22"/>
          <w:w w:val="95"/>
        </w:rPr>
        <w:t> </w:t>
      </w:r>
      <w:r>
        <w:rPr>
          <w:w w:val="95"/>
        </w:rPr>
        <w:t>cargaron</w:t>
      </w:r>
      <w:r>
        <w:rPr>
          <w:spacing w:val="-22"/>
          <w:w w:val="95"/>
        </w:rPr>
        <w:t> </w:t>
      </w:r>
      <w:r>
        <w:rPr>
          <w:w w:val="95"/>
        </w:rPr>
        <w:t>y</w:t>
      </w:r>
      <w:r>
        <w:rPr>
          <w:spacing w:val="-23"/>
          <w:w w:val="95"/>
        </w:rPr>
        <w:t> </w:t>
      </w:r>
      <w:r>
        <w:rPr>
          <w:w w:val="95"/>
        </w:rPr>
        <w:t>corrieron</w:t>
      </w:r>
      <w:r>
        <w:rPr>
          <w:spacing w:val="-22"/>
          <w:w w:val="95"/>
        </w:rPr>
        <w:t> </w:t>
      </w:r>
      <w:r>
        <w:rPr>
          <w:w w:val="95"/>
        </w:rPr>
        <w:t>en</w:t>
      </w:r>
      <w:r>
        <w:rPr>
          <w:spacing w:val="-22"/>
          <w:w w:val="95"/>
        </w:rPr>
        <w:t> </w:t>
      </w:r>
      <w:r>
        <w:rPr>
          <w:w w:val="95"/>
        </w:rPr>
        <w:t>geles</w:t>
      </w:r>
      <w:r>
        <w:rPr>
          <w:spacing w:val="-23"/>
          <w:w w:val="95"/>
        </w:rPr>
        <w:t> </w:t>
      </w:r>
      <w:r>
        <w:rPr>
          <w:w w:val="95"/>
        </w:rPr>
        <w:t>de</w:t>
      </w:r>
      <w:r>
        <w:rPr>
          <w:spacing w:val="-21"/>
          <w:w w:val="95"/>
        </w:rPr>
        <w:t> </w:t>
      </w:r>
      <w:r>
        <w:rPr>
          <w:w w:val="95"/>
        </w:rPr>
        <w:t>agarosa</w:t>
      </w:r>
      <w:r>
        <w:rPr>
          <w:spacing w:val="-22"/>
          <w:w w:val="95"/>
        </w:rPr>
        <w:t> </w:t>
      </w:r>
      <w:r>
        <w:rPr>
          <w:w w:val="95"/>
        </w:rPr>
        <w:t>al</w:t>
      </w:r>
      <w:r>
        <w:rPr>
          <w:spacing w:val="-23"/>
          <w:w w:val="95"/>
        </w:rPr>
        <w:t> </w:t>
      </w:r>
      <w:r>
        <w:rPr>
          <w:w w:val="95"/>
        </w:rPr>
        <w:t>1.5</w:t>
      </w:r>
      <w:r>
        <w:rPr>
          <w:spacing w:val="-21"/>
          <w:w w:val="95"/>
        </w:rPr>
        <w:t> </w:t>
      </w:r>
      <w:r>
        <w:rPr>
          <w:w w:val="95"/>
        </w:rPr>
        <w:t>%</w:t>
      </w:r>
      <w:r>
        <w:rPr>
          <w:spacing w:val="-22"/>
          <w:w w:val="95"/>
        </w:rPr>
        <w:t> </w:t>
      </w:r>
      <w:r>
        <w:rPr>
          <w:w w:val="95"/>
        </w:rPr>
        <w:t>con</w:t>
      </w:r>
      <w:r>
        <w:rPr>
          <w:spacing w:val="-22"/>
          <w:w w:val="95"/>
        </w:rPr>
        <w:t> </w:t>
      </w:r>
      <w:r>
        <w:rPr>
          <w:w w:val="95"/>
        </w:rPr>
        <w:t>TAE 0.5X.</w:t>
      </w:r>
      <w:r>
        <w:rPr>
          <w:spacing w:val="-35"/>
          <w:w w:val="95"/>
        </w:rPr>
        <w:t> </w:t>
      </w:r>
      <w:r>
        <w:rPr>
          <w:w w:val="95"/>
        </w:rPr>
        <w:t>El</w:t>
      </w:r>
      <w:r>
        <w:rPr>
          <w:spacing w:val="-36"/>
          <w:w w:val="95"/>
        </w:rPr>
        <w:t> </w:t>
      </w:r>
      <w:r>
        <w:rPr>
          <w:w w:val="95"/>
        </w:rPr>
        <w:t>gen</w:t>
      </w:r>
      <w:r>
        <w:rPr>
          <w:spacing w:val="-35"/>
          <w:w w:val="95"/>
        </w:rPr>
        <w:t> </w:t>
      </w:r>
      <w:r>
        <w:rPr>
          <w:w w:val="95"/>
        </w:rPr>
        <w:t>de</w:t>
      </w:r>
      <w:r>
        <w:rPr>
          <w:spacing w:val="-35"/>
          <w:w w:val="95"/>
        </w:rPr>
        <w:t> </w:t>
      </w:r>
      <w:r>
        <w:rPr>
          <w:w w:val="95"/>
        </w:rPr>
        <w:t>la</w:t>
      </w:r>
      <w:r>
        <w:rPr>
          <w:spacing w:val="-35"/>
          <w:w w:val="95"/>
        </w:rPr>
        <w:t> </w:t>
      </w:r>
      <w:r>
        <w:rPr>
          <w:w w:val="95"/>
        </w:rPr>
        <w:t>ciclofilina</w:t>
      </w:r>
      <w:r>
        <w:rPr>
          <w:spacing w:val="-37"/>
          <w:w w:val="95"/>
        </w:rPr>
        <w:t> </w:t>
      </w:r>
      <w:r>
        <w:rPr>
          <w:w w:val="95"/>
        </w:rPr>
        <w:t>(CYC)</w:t>
      </w:r>
      <w:r>
        <w:rPr>
          <w:spacing w:val="-35"/>
          <w:w w:val="95"/>
        </w:rPr>
        <w:t> </w:t>
      </w:r>
      <w:r>
        <w:rPr>
          <w:w w:val="95"/>
        </w:rPr>
        <w:t>se</w:t>
      </w:r>
      <w:r>
        <w:rPr>
          <w:spacing w:val="-35"/>
          <w:w w:val="95"/>
        </w:rPr>
        <w:t> </w:t>
      </w:r>
      <w:r>
        <w:rPr>
          <w:w w:val="95"/>
        </w:rPr>
        <w:t>uso</w:t>
      </w:r>
      <w:r>
        <w:rPr>
          <w:spacing w:val="-35"/>
          <w:w w:val="95"/>
        </w:rPr>
        <w:t> </w:t>
      </w:r>
      <w:r>
        <w:rPr>
          <w:w w:val="95"/>
        </w:rPr>
        <w:t>control</w:t>
      </w:r>
      <w:r>
        <w:rPr>
          <w:spacing w:val="-35"/>
          <w:w w:val="95"/>
        </w:rPr>
        <w:t> </w:t>
      </w:r>
      <w:r>
        <w:rPr>
          <w:w w:val="95"/>
        </w:rPr>
        <w:t>endógeno</w:t>
      </w:r>
      <w:r>
        <w:rPr>
          <w:spacing w:val="-35"/>
          <w:w w:val="95"/>
        </w:rPr>
        <w:t> </w:t>
      </w:r>
      <w:r>
        <w:rPr>
          <w:w w:val="95"/>
        </w:rPr>
        <w:t>de</w:t>
      </w:r>
      <w:r>
        <w:rPr>
          <w:spacing w:val="-35"/>
          <w:w w:val="95"/>
        </w:rPr>
        <w:t> </w:t>
      </w:r>
      <w:r>
        <w:rPr>
          <w:spacing w:val="2"/>
          <w:w w:val="95"/>
        </w:rPr>
        <w:t>expresión</w:t>
      </w:r>
      <w:r>
        <w:rPr>
          <w:spacing w:val="-35"/>
          <w:w w:val="95"/>
        </w:rPr>
        <w:t> </w:t>
      </w:r>
      <w:r>
        <w:rPr>
          <w:w w:val="95"/>
        </w:rPr>
        <w:t>con</w:t>
      </w:r>
      <w:r>
        <w:rPr>
          <w:spacing w:val="-35"/>
          <w:w w:val="95"/>
        </w:rPr>
        <w:t> </w:t>
      </w:r>
      <w:r>
        <w:rPr>
          <w:w w:val="95"/>
        </w:rPr>
        <w:t>las</w:t>
      </w:r>
      <w:r>
        <w:rPr>
          <w:spacing w:val="-36"/>
          <w:w w:val="95"/>
        </w:rPr>
        <w:t> </w:t>
      </w:r>
      <w:r>
        <w:rPr>
          <w:w w:val="95"/>
        </w:rPr>
        <w:t>mismas </w:t>
      </w:r>
      <w:r>
        <w:rPr>
          <w:w w:val="85"/>
        </w:rPr>
        <w:t>condiciones  de</w:t>
      </w:r>
      <w:r>
        <w:rPr>
          <w:spacing w:val="29"/>
          <w:w w:val="85"/>
        </w:rPr>
        <w:t> </w:t>
      </w:r>
      <w:r>
        <w:rPr>
          <w:w w:val="85"/>
        </w:rPr>
        <w:t>estandarización.</w:t>
      </w:r>
    </w:p>
    <w:p>
      <w:pPr>
        <w:pStyle w:val="BodyText"/>
      </w:pPr>
    </w:p>
    <w:p>
      <w:pPr>
        <w:pStyle w:val="BodyText"/>
      </w:pPr>
    </w:p>
    <w:p>
      <w:pPr>
        <w:pStyle w:val="BodyText"/>
        <w:spacing w:before="2"/>
        <w:rPr>
          <w:sz w:val="23"/>
        </w:rPr>
      </w:pPr>
    </w:p>
    <w:p>
      <w:pPr>
        <w:pStyle w:val="Heading3"/>
        <w:numPr>
          <w:ilvl w:val="1"/>
          <w:numId w:val="7"/>
        </w:numPr>
        <w:tabs>
          <w:tab w:pos="616" w:val="left" w:leader="none"/>
        </w:tabs>
        <w:spacing w:line="240" w:lineRule="auto" w:before="0" w:after="0"/>
        <w:ind w:left="615" w:right="0" w:hanging="350"/>
        <w:jc w:val="both"/>
        <w:rPr>
          <w:i/>
        </w:rPr>
      </w:pPr>
      <w:r>
        <w:rPr>
          <w:i/>
          <w:w w:val="95"/>
        </w:rPr>
        <w:t>RESULTADOS</w:t>
      </w:r>
    </w:p>
    <w:p>
      <w:pPr>
        <w:pStyle w:val="BodyText"/>
        <w:spacing w:before="2"/>
        <w:rPr>
          <w:b/>
          <w:i/>
          <w:sz w:val="29"/>
        </w:rPr>
      </w:pPr>
    </w:p>
    <w:p>
      <w:pPr>
        <w:pStyle w:val="BodyText"/>
        <w:spacing w:line="360" w:lineRule="auto"/>
        <w:ind w:left="265" w:right="119"/>
        <w:jc w:val="both"/>
      </w:pPr>
      <w:r>
        <w:rPr>
          <w:w w:val="90"/>
        </w:rPr>
        <w:t>Al</w:t>
      </w:r>
      <w:r>
        <w:rPr>
          <w:spacing w:val="-20"/>
          <w:w w:val="90"/>
        </w:rPr>
        <w:t> </w:t>
      </w:r>
      <w:r>
        <w:rPr>
          <w:w w:val="90"/>
        </w:rPr>
        <w:t>finalizar</w:t>
      </w:r>
      <w:r>
        <w:rPr>
          <w:spacing w:val="-19"/>
          <w:w w:val="90"/>
        </w:rPr>
        <w:t> </w:t>
      </w:r>
      <w:r>
        <w:rPr>
          <w:w w:val="90"/>
        </w:rPr>
        <w:t>los</w:t>
      </w:r>
      <w:r>
        <w:rPr>
          <w:spacing w:val="-19"/>
          <w:w w:val="90"/>
        </w:rPr>
        <w:t> </w:t>
      </w:r>
      <w:r>
        <w:rPr>
          <w:w w:val="90"/>
        </w:rPr>
        <w:t>tratamientos</w:t>
      </w:r>
      <w:r>
        <w:rPr>
          <w:spacing w:val="-19"/>
          <w:w w:val="90"/>
        </w:rPr>
        <w:t> </w:t>
      </w:r>
      <w:r>
        <w:rPr>
          <w:w w:val="90"/>
        </w:rPr>
        <w:t>se</w:t>
      </w:r>
      <w:r>
        <w:rPr>
          <w:spacing w:val="-18"/>
          <w:w w:val="90"/>
        </w:rPr>
        <w:t> </w:t>
      </w:r>
      <w:r>
        <w:rPr>
          <w:w w:val="90"/>
        </w:rPr>
        <w:t>midieron</w:t>
      </w:r>
      <w:r>
        <w:rPr>
          <w:spacing w:val="-19"/>
          <w:w w:val="90"/>
        </w:rPr>
        <w:t> </w:t>
      </w:r>
      <w:r>
        <w:rPr>
          <w:w w:val="90"/>
        </w:rPr>
        <w:t>las</w:t>
      </w:r>
      <w:r>
        <w:rPr>
          <w:spacing w:val="-19"/>
          <w:w w:val="90"/>
        </w:rPr>
        <w:t> </w:t>
      </w:r>
      <w:r>
        <w:rPr>
          <w:w w:val="90"/>
        </w:rPr>
        <w:t>concentraciones</w:t>
      </w:r>
      <w:r>
        <w:rPr>
          <w:spacing w:val="-19"/>
          <w:w w:val="90"/>
        </w:rPr>
        <w:t> </w:t>
      </w:r>
      <w:r>
        <w:rPr>
          <w:w w:val="90"/>
        </w:rPr>
        <w:t>de</w:t>
      </w:r>
      <w:r>
        <w:rPr>
          <w:spacing w:val="-18"/>
          <w:w w:val="90"/>
        </w:rPr>
        <w:t> </w:t>
      </w:r>
      <w:r>
        <w:rPr>
          <w:w w:val="90"/>
        </w:rPr>
        <w:t>serotonina</w:t>
      </w:r>
      <w:r>
        <w:rPr>
          <w:spacing w:val="-19"/>
          <w:w w:val="90"/>
        </w:rPr>
        <w:t> </w:t>
      </w:r>
      <w:r>
        <w:rPr>
          <w:w w:val="90"/>
        </w:rPr>
        <w:t>en</w:t>
      </w:r>
      <w:r>
        <w:rPr>
          <w:spacing w:val="-18"/>
          <w:w w:val="90"/>
        </w:rPr>
        <w:t> </w:t>
      </w:r>
      <w:r>
        <w:rPr>
          <w:w w:val="90"/>
        </w:rPr>
        <w:t>el</w:t>
      </w:r>
      <w:r>
        <w:rPr>
          <w:spacing w:val="-19"/>
          <w:w w:val="90"/>
        </w:rPr>
        <w:t> </w:t>
      </w:r>
      <w:r>
        <w:rPr>
          <w:w w:val="90"/>
        </w:rPr>
        <w:t>hipotálamo </w:t>
      </w:r>
      <w:r>
        <w:rPr>
          <w:w w:val="95"/>
        </w:rPr>
        <w:t>para comprobar si la inhibición de la síntesis de este neurotransmisor es debida a la administración</w:t>
      </w:r>
      <w:r>
        <w:rPr>
          <w:spacing w:val="-34"/>
          <w:w w:val="95"/>
        </w:rPr>
        <w:t> </w:t>
      </w:r>
      <w:r>
        <w:rPr>
          <w:w w:val="95"/>
        </w:rPr>
        <w:t>de</w:t>
      </w:r>
      <w:r>
        <w:rPr>
          <w:spacing w:val="-35"/>
          <w:w w:val="95"/>
        </w:rPr>
        <w:t> </w:t>
      </w:r>
      <w:r>
        <w:rPr>
          <w:w w:val="95"/>
        </w:rPr>
        <w:t>la</w:t>
      </w:r>
      <w:r>
        <w:rPr>
          <w:spacing w:val="-34"/>
          <w:w w:val="95"/>
        </w:rPr>
        <w:t> </w:t>
      </w:r>
      <w:r>
        <w:rPr>
          <w:w w:val="95"/>
        </w:rPr>
        <w:t>pCA</w:t>
      </w:r>
      <w:r>
        <w:rPr>
          <w:spacing w:val="-34"/>
          <w:w w:val="95"/>
        </w:rPr>
        <w:t> </w:t>
      </w:r>
      <w:r>
        <w:rPr>
          <w:w w:val="95"/>
        </w:rPr>
        <w:t>y</w:t>
      </w:r>
      <w:r>
        <w:rPr>
          <w:spacing w:val="-35"/>
          <w:w w:val="95"/>
        </w:rPr>
        <w:t> </w:t>
      </w:r>
      <w:r>
        <w:rPr>
          <w:w w:val="95"/>
        </w:rPr>
        <w:t>no</w:t>
      </w:r>
      <w:r>
        <w:rPr>
          <w:spacing w:val="-34"/>
          <w:w w:val="95"/>
        </w:rPr>
        <w:t> </w:t>
      </w:r>
      <w:r>
        <w:rPr>
          <w:w w:val="95"/>
        </w:rPr>
        <w:t>a</w:t>
      </w:r>
      <w:r>
        <w:rPr>
          <w:spacing w:val="-35"/>
          <w:w w:val="95"/>
        </w:rPr>
        <w:t> </w:t>
      </w:r>
      <w:r>
        <w:rPr>
          <w:w w:val="95"/>
        </w:rPr>
        <w:t>la</w:t>
      </w:r>
      <w:r>
        <w:rPr>
          <w:spacing w:val="-34"/>
          <w:w w:val="95"/>
        </w:rPr>
        <w:t> </w:t>
      </w:r>
      <w:r>
        <w:rPr>
          <w:w w:val="95"/>
        </w:rPr>
        <w:t>administración</w:t>
      </w:r>
      <w:r>
        <w:rPr>
          <w:spacing w:val="-34"/>
          <w:w w:val="95"/>
        </w:rPr>
        <w:t> </w:t>
      </w:r>
      <w:r>
        <w:rPr>
          <w:w w:val="95"/>
        </w:rPr>
        <w:t>del</w:t>
      </w:r>
      <w:r>
        <w:rPr>
          <w:spacing w:val="-34"/>
          <w:w w:val="95"/>
        </w:rPr>
        <w:t> </w:t>
      </w:r>
      <w:r>
        <w:rPr>
          <w:w w:val="95"/>
        </w:rPr>
        <w:t>vehículo</w:t>
      </w:r>
      <w:r>
        <w:rPr>
          <w:spacing w:val="-35"/>
          <w:w w:val="95"/>
        </w:rPr>
        <w:t> </w:t>
      </w:r>
      <w:r>
        <w:rPr>
          <w:w w:val="95"/>
        </w:rPr>
        <w:t>la</w:t>
      </w:r>
      <w:r>
        <w:rPr>
          <w:spacing w:val="-35"/>
          <w:w w:val="95"/>
        </w:rPr>
        <w:t> </w:t>
      </w:r>
      <w:r>
        <w:rPr>
          <w:w w:val="95"/>
        </w:rPr>
        <w:t>información</w:t>
      </w:r>
      <w:r>
        <w:rPr>
          <w:spacing w:val="-27"/>
          <w:w w:val="95"/>
        </w:rPr>
        <w:t> </w:t>
      </w:r>
      <w:r>
        <w:rPr>
          <w:w w:val="95"/>
        </w:rPr>
        <w:t>se</w:t>
      </w:r>
      <w:r>
        <w:rPr>
          <w:spacing w:val="-35"/>
          <w:w w:val="95"/>
        </w:rPr>
        <w:t> </w:t>
      </w:r>
      <w:r>
        <w:rPr>
          <w:w w:val="95"/>
        </w:rPr>
        <w:t>presenta </w:t>
      </w:r>
      <w:r>
        <w:rPr>
          <w:w w:val="90"/>
        </w:rPr>
        <w:t>en</w:t>
      </w:r>
      <w:r>
        <w:rPr>
          <w:spacing w:val="-17"/>
          <w:w w:val="90"/>
        </w:rPr>
        <w:t> </w:t>
      </w:r>
      <w:r>
        <w:rPr>
          <w:w w:val="90"/>
        </w:rPr>
        <w:t>el</w:t>
      </w:r>
      <w:r>
        <w:rPr>
          <w:spacing w:val="-18"/>
          <w:w w:val="90"/>
        </w:rPr>
        <w:t> </w:t>
      </w:r>
      <w:r>
        <w:rPr>
          <w:w w:val="90"/>
        </w:rPr>
        <w:t>cuadro</w:t>
      </w:r>
      <w:r>
        <w:rPr>
          <w:spacing w:val="-15"/>
          <w:w w:val="90"/>
        </w:rPr>
        <w:t> </w:t>
      </w:r>
      <w:r>
        <w:rPr>
          <w:w w:val="90"/>
        </w:rPr>
        <w:t>1.3.1.</w:t>
      </w:r>
    </w:p>
    <w:p>
      <w:pPr>
        <w:spacing w:line="242" w:lineRule="auto" w:before="199"/>
        <w:ind w:left="265" w:right="115" w:firstLine="0"/>
        <w:jc w:val="both"/>
        <w:rPr>
          <w:rFonts w:ascii="Times New Roman" w:hAnsi="Times New Roman"/>
          <w:sz w:val="20"/>
        </w:rPr>
      </w:pPr>
      <w:r>
        <w:rPr>
          <w:rFonts w:ascii="Times New Roman" w:hAnsi="Times New Roman"/>
          <w:b/>
          <w:color w:val="000009"/>
          <w:sz w:val="20"/>
        </w:rPr>
        <w:t>Cuadro 1.3.1. </w:t>
      </w:r>
      <w:r>
        <w:rPr>
          <w:rFonts w:ascii="Times New Roman" w:hAnsi="Times New Roman"/>
          <w:color w:val="000009"/>
          <w:sz w:val="20"/>
        </w:rPr>
        <w:t>Concentraciones de serotonina en el hipotálamo de ratas macho (ng/mg) tratadas con pCA  o con vehículo del día 30 al</w:t>
      </w:r>
      <w:r>
        <w:rPr>
          <w:rFonts w:ascii="Times New Roman" w:hAnsi="Times New Roman"/>
          <w:color w:val="000009"/>
          <w:spacing w:val="-8"/>
          <w:sz w:val="20"/>
        </w:rPr>
        <w:t> </w:t>
      </w:r>
      <w:r>
        <w:rPr>
          <w:rFonts w:ascii="Times New Roman" w:hAnsi="Times New Roman"/>
          <w:color w:val="000009"/>
          <w:sz w:val="20"/>
        </w:rPr>
        <w:t>45</w:t>
      </w:r>
    </w:p>
    <w:p>
      <w:pPr>
        <w:pStyle w:val="BodyText"/>
        <w:spacing w:before="6"/>
        <w:rPr>
          <w:rFonts w:ascii="Times New Roman"/>
          <w:sz w:val="17"/>
        </w:rPr>
      </w:pPr>
    </w:p>
    <w:tbl>
      <w:tblPr>
        <w:tblW w:w="0" w:type="auto"/>
        <w:jc w:val="left"/>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5"/>
        <w:gridCol w:w="4160"/>
      </w:tblGrid>
      <w:tr>
        <w:trPr>
          <w:trHeight w:val="338" w:hRule="exact"/>
        </w:trPr>
        <w:tc>
          <w:tcPr>
            <w:tcW w:w="4395" w:type="dxa"/>
            <w:tcBorders>
              <w:left w:val="nil"/>
            </w:tcBorders>
          </w:tcPr>
          <w:p>
            <w:pPr>
              <w:pStyle w:val="TableParagraph"/>
              <w:spacing w:line="105" w:lineRule="auto" w:before="102"/>
              <w:ind w:left="2016" w:right="2000" w:firstLine="254"/>
              <w:jc w:val="left"/>
              <w:rPr>
                <w:rFonts w:ascii="Times New Roman"/>
                <w:b/>
                <w:sz w:val="20"/>
              </w:rPr>
            </w:pPr>
            <w:r>
              <w:rPr>
                <w:rFonts w:ascii="Times New Roman"/>
                <w:b/>
                <w:color w:val="000009"/>
                <w:sz w:val="20"/>
              </w:rPr>
              <w:t>a Vh</w:t>
            </w:r>
          </w:p>
        </w:tc>
        <w:tc>
          <w:tcPr>
            <w:tcW w:w="4160" w:type="dxa"/>
            <w:tcBorders>
              <w:right w:val="nil"/>
            </w:tcBorders>
          </w:tcPr>
          <w:p>
            <w:pPr>
              <w:pStyle w:val="TableParagraph"/>
              <w:spacing w:line="105" w:lineRule="auto" w:before="102"/>
              <w:ind w:left="1821" w:right="1805" w:firstLine="398"/>
              <w:jc w:val="left"/>
              <w:rPr>
                <w:rFonts w:ascii="Times New Roman"/>
                <w:b/>
                <w:sz w:val="20"/>
              </w:rPr>
            </w:pPr>
            <w:r>
              <w:rPr>
                <w:rFonts w:ascii="Times New Roman"/>
                <w:b/>
                <w:color w:val="000009"/>
                <w:sz w:val="20"/>
              </w:rPr>
              <w:t>b pCA</w:t>
            </w:r>
          </w:p>
        </w:tc>
      </w:tr>
      <w:tr>
        <w:trPr>
          <w:trHeight w:val="293" w:hRule="exact"/>
        </w:trPr>
        <w:tc>
          <w:tcPr>
            <w:tcW w:w="4395" w:type="dxa"/>
            <w:tcBorders>
              <w:left w:val="nil"/>
            </w:tcBorders>
          </w:tcPr>
          <w:p>
            <w:pPr>
              <w:pStyle w:val="TableParagraph"/>
              <w:spacing w:before="22"/>
              <w:ind w:left="1770" w:right="1770"/>
              <w:rPr>
                <w:rFonts w:ascii="Times New Roman" w:hAnsi="Times New Roman"/>
                <w:sz w:val="20"/>
              </w:rPr>
            </w:pPr>
            <w:r>
              <w:rPr>
                <w:rFonts w:ascii="Times New Roman" w:hAnsi="Times New Roman"/>
                <w:color w:val="000009"/>
                <w:sz w:val="20"/>
              </w:rPr>
              <w:t>1.58±0.29</w:t>
            </w:r>
          </w:p>
        </w:tc>
        <w:tc>
          <w:tcPr>
            <w:tcW w:w="4160" w:type="dxa"/>
            <w:tcBorders>
              <w:right w:val="nil"/>
            </w:tcBorders>
          </w:tcPr>
          <w:p>
            <w:pPr>
              <w:pStyle w:val="TableParagraph"/>
              <w:spacing w:before="22"/>
              <w:ind w:left="1652" w:right="1652"/>
              <w:rPr>
                <w:rFonts w:ascii="Times New Roman" w:hAnsi="Times New Roman"/>
                <w:sz w:val="20"/>
              </w:rPr>
            </w:pPr>
            <w:r>
              <w:rPr>
                <w:rFonts w:ascii="Times New Roman" w:hAnsi="Times New Roman"/>
                <w:color w:val="000009"/>
                <w:sz w:val="20"/>
              </w:rPr>
              <w:t>0.88±0.04</w:t>
            </w:r>
          </w:p>
        </w:tc>
      </w:tr>
    </w:tbl>
    <w:p>
      <w:pPr>
        <w:spacing w:before="36"/>
        <w:ind w:left="265" w:right="36" w:firstLine="0"/>
        <w:jc w:val="left"/>
        <w:rPr>
          <w:rFonts w:ascii="Times New Roman" w:hAnsi="Times New Roman"/>
          <w:sz w:val="18"/>
        </w:rPr>
      </w:pPr>
      <w:r>
        <w:rPr/>
        <w:pict>
          <v:line style="position:absolute;mso-position-horizontal-relative:page;mso-position-vertical-relative:paragraph;z-index:1432;mso-wrap-distance-left:0;mso-wrap-distance-right:0" from="98.543999pt,19.882328pt" to="527.013999pt,19.882328pt" stroked="true" strokeweight=".48001pt" strokecolor="#000000">
            <w10:wrap type="topAndBottom"/>
          </v:line>
        </w:pict>
      </w:r>
      <w:r>
        <w:rPr/>
        <w:pict>
          <v:shape style="position:absolute;margin-left:132.259995pt;margin-top:7.96027pt;width:27.55pt;height:9pt;mso-position-horizontal-relative:page;mso-position-vertical-relative:paragraph;z-index:-58168" type="#_x0000_t202" filled="false" stroked="false">
            <v:textbox inset="0,0,0,0">
              <w:txbxContent>
                <w:p>
                  <w:pPr>
                    <w:tabs>
                      <w:tab w:pos="460" w:val="left" w:leader="none"/>
                    </w:tabs>
                    <w:spacing w:line="180" w:lineRule="exact" w:before="0"/>
                    <w:ind w:left="0" w:right="0" w:firstLine="0"/>
                    <w:jc w:val="left"/>
                    <w:rPr>
                      <w:rFonts w:ascii="Times New Roman"/>
                      <w:sz w:val="18"/>
                    </w:rPr>
                  </w:pPr>
                  <w:r>
                    <w:rPr>
                      <w:rFonts w:ascii="Times New Roman"/>
                      <w:color w:val="000009"/>
                      <w:sz w:val="18"/>
                    </w:rPr>
                    <w:t>n</w:t>
                    <w:tab/>
                    <w:t>n</w:t>
                  </w:r>
                </w:p>
              </w:txbxContent>
            </v:textbox>
            <w10:wrap type="none"/>
          </v:shape>
        </w:pict>
      </w:r>
      <w:r>
        <w:rPr>
          <w:rFonts w:ascii="Times New Roman" w:hAnsi="Times New Roman"/>
          <w:color w:val="000009"/>
          <w:sz w:val="18"/>
        </w:rPr>
        <w:t>M±DS. </w:t>
      </w:r>
      <w:r>
        <w:rPr>
          <w:rFonts w:ascii="Times New Roman" w:hAnsi="Times New Roman"/>
          <w:color w:val="000009"/>
          <w:position w:val="10"/>
          <w:sz w:val="18"/>
        </w:rPr>
        <w:t>a  </w:t>
      </w:r>
      <w:r>
        <w:rPr>
          <w:rFonts w:ascii="Times New Roman" w:hAnsi="Times New Roman"/>
          <w:color w:val="000009"/>
          <w:sz w:val="18"/>
        </w:rPr>
        <w:t>=3, </w:t>
      </w:r>
      <w:r>
        <w:rPr>
          <w:rFonts w:ascii="Times New Roman" w:hAnsi="Times New Roman"/>
          <w:color w:val="000009"/>
          <w:position w:val="10"/>
          <w:sz w:val="18"/>
        </w:rPr>
        <w:t>b </w:t>
      </w:r>
      <w:r>
        <w:rPr>
          <w:rFonts w:ascii="Times New Roman" w:hAnsi="Times New Roman"/>
          <w:color w:val="000009"/>
          <w:sz w:val="18"/>
        </w:rPr>
        <w:t>=5</w:t>
      </w:r>
    </w:p>
    <w:p>
      <w:pPr>
        <w:pStyle w:val="BodyText"/>
        <w:spacing w:before="3"/>
        <w:rPr>
          <w:rFonts w:ascii="Times New Roman"/>
          <w:sz w:val="15"/>
        </w:rPr>
      </w:pPr>
    </w:p>
    <w:p>
      <w:pPr>
        <w:pStyle w:val="BodyText"/>
        <w:spacing w:line="360" w:lineRule="auto" w:before="69"/>
        <w:ind w:left="265" w:right="129"/>
        <w:jc w:val="both"/>
      </w:pPr>
      <w:r>
        <w:rPr>
          <w:w w:val="95"/>
        </w:rPr>
        <w:t>Los</w:t>
      </w:r>
      <w:r>
        <w:rPr>
          <w:spacing w:val="-37"/>
          <w:w w:val="95"/>
        </w:rPr>
        <w:t> </w:t>
      </w:r>
      <w:r>
        <w:rPr>
          <w:w w:val="95"/>
        </w:rPr>
        <w:t>datos</w:t>
      </w:r>
      <w:r>
        <w:rPr>
          <w:spacing w:val="-37"/>
          <w:w w:val="95"/>
        </w:rPr>
        <w:t> </w:t>
      </w:r>
      <w:r>
        <w:rPr>
          <w:w w:val="95"/>
        </w:rPr>
        <w:t>obtenidos</w:t>
      </w:r>
      <w:r>
        <w:rPr>
          <w:spacing w:val="-37"/>
          <w:w w:val="95"/>
        </w:rPr>
        <w:t> </w:t>
      </w:r>
      <w:r>
        <w:rPr>
          <w:w w:val="95"/>
        </w:rPr>
        <w:t>muestran</w:t>
      </w:r>
      <w:r>
        <w:rPr>
          <w:spacing w:val="-37"/>
          <w:w w:val="95"/>
        </w:rPr>
        <w:t> </w:t>
      </w:r>
      <w:r>
        <w:rPr>
          <w:w w:val="95"/>
        </w:rPr>
        <w:t>que</w:t>
      </w:r>
      <w:r>
        <w:rPr>
          <w:spacing w:val="-37"/>
          <w:w w:val="95"/>
        </w:rPr>
        <w:t> </w:t>
      </w:r>
      <w:r>
        <w:rPr>
          <w:w w:val="95"/>
        </w:rPr>
        <w:t>la</w:t>
      </w:r>
      <w:r>
        <w:rPr>
          <w:spacing w:val="-34"/>
          <w:w w:val="95"/>
        </w:rPr>
        <w:t> </w:t>
      </w:r>
      <w:r>
        <w:rPr>
          <w:w w:val="95"/>
        </w:rPr>
        <w:t>inhibición</w:t>
      </w:r>
      <w:r>
        <w:rPr>
          <w:spacing w:val="-36"/>
          <w:w w:val="95"/>
        </w:rPr>
        <w:t> </w:t>
      </w:r>
      <w:r>
        <w:rPr>
          <w:w w:val="95"/>
        </w:rPr>
        <w:t>de</w:t>
      </w:r>
      <w:r>
        <w:rPr>
          <w:spacing w:val="-36"/>
          <w:w w:val="95"/>
        </w:rPr>
        <w:t> </w:t>
      </w:r>
      <w:r>
        <w:rPr>
          <w:w w:val="95"/>
        </w:rPr>
        <w:t>la</w:t>
      </w:r>
      <w:r>
        <w:rPr>
          <w:spacing w:val="-36"/>
          <w:w w:val="95"/>
        </w:rPr>
        <w:t> </w:t>
      </w:r>
      <w:r>
        <w:rPr>
          <w:w w:val="95"/>
        </w:rPr>
        <w:t>síntesis</w:t>
      </w:r>
      <w:r>
        <w:rPr>
          <w:spacing w:val="-36"/>
          <w:w w:val="95"/>
        </w:rPr>
        <w:t> </w:t>
      </w:r>
      <w:r>
        <w:rPr>
          <w:w w:val="95"/>
        </w:rPr>
        <w:t>de</w:t>
      </w:r>
      <w:r>
        <w:rPr>
          <w:spacing w:val="-37"/>
          <w:w w:val="95"/>
        </w:rPr>
        <w:t> </w:t>
      </w:r>
      <w:r>
        <w:rPr>
          <w:w w:val="95"/>
        </w:rPr>
        <w:t>serotonina</w:t>
      </w:r>
      <w:r>
        <w:rPr>
          <w:spacing w:val="-36"/>
          <w:w w:val="95"/>
        </w:rPr>
        <w:t> </w:t>
      </w:r>
      <w:r>
        <w:rPr>
          <w:w w:val="95"/>
        </w:rPr>
        <w:t>es</w:t>
      </w:r>
      <w:r>
        <w:rPr>
          <w:spacing w:val="-37"/>
          <w:w w:val="95"/>
        </w:rPr>
        <w:t> </w:t>
      </w:r>
      <w:r>
        <w:rPr>
          <w:w w:val="95"/>
        </w:rPr>
        <w:t>debida</w:t>
      </w:r>
      <w:r>
        <w:rPr>
          <w:spacing w:val="-37"/>
          <w:w w:val="95"/>
        </w:rPr>
        <w:t> </w:t>
      </w:r>
      <w:r>
        <w:rPr>
          <w:w w:val="95"/>
        </w:rPr>
        <w:t>a</w:t>
      </w:r>
      <w:r>
        <w:rPr>
          <w:spacing w:val="-37"/>
          <w:w w:val="95"/>
        </w:rPr>
        <w:t> </w:t>
      </w:r>
      <w:r>
        <w:rPr>
          <w:w w:val="95"/>
        </w:rPr>
        <w:t>la </w:t>
      </w:r>
      <w:r>
        <w:rPr>
          <w:w w:val="90"/>
        </w:rPr>
        <w:t>administración</w:t>
      </w:r>
      <w:r>
        <w:rPr>
          <w:spacing w:val="-10"/>
          <w:w w:val="90"/>
        </w:rPr>
        <w:t> </w:t>
      </w:r>
      <w:r>
        <w:rPr>
          <w:w w:val="90"/>
        </w:rPr>
        <w:t>de</w:t>
      </w:r>
      <w:r>
        <w:rPr>
          <w:spacing w:val="-10"/>
          <w:w w:val="90"/>
        </w:rPr>
        <w:t> </w:t>
      </w:r>
      <w:r>
        <w:rPr>
          <w:w w:val="90"/>
        </w:rPr>
        <w:t>la</w:t>
      </w:r>
      <w:r>
        <w:rPr>
          <w:spacing w:val="-10"/>
          <w:w w:val="90"/>
        </w:rPr>
        <w:t> </w:t>
      </w:r>
      <w:r>
        <w:rPr>
          <w:w w:val="90"/>
        </w:rPr>
        <w:t>pCA.</w:t>
      </w:r>
      <w:r>
        <w:rPr>
          <w:spacing w:val="-9"/>
          <w:w w:val="90"/>
        </w:rPr>
        <w:t> </w:t>
      </w:r>
      <w:r>
        <w:rPr>
          <w:w w:val="90"/>
        </w:rPr>
        <w:t>La</w:t>
      </w:r>
      <w:r>
        <w:rPr>
          <w:spacing w:val="-10"/>
          <w:w w:val="90"/>
        </w:rPr>
        <w:t> </w:t>
      </w:r>
      <w:r>
        <w:rPr>
          <w:w w:val="90"/>
        </w:rPr>
        <w:t>concentración</w:t>
      </w:r>
      <w:r>
        <w:rPr>
          <w:spacing w:val="-10"/>
          <w:w w:val="90"/>
        </w:rPr>
        <w:t> </w:t>
      </w:r>
      <w:r>
        <w:rPr>
          <w:w w:val="90"/>
        </w:rPr>
        <w:t>de</w:t>
      </w:r>
      <w:r>
        <w:rPr>
          <w:spacing w:val="-10"/>
          <w:w w:val="90"/>
        </w:rPr>
        <w:t> </w:t>
      </w:r>
      <w:r>
        <w:rPr>
          <w:w w:val="90"/>
        </w:rPr>
        <w:t>serotonina</w:t>
      </w:r>
      <w:r>
        <w:rPr>
          <w:spacing w:val="-10"/>
          <w:w w:val="90"/>
        </w:rPr>
        <w:t> </w:t>
      </w:r>
      <w:r>
        <w:rPr>
          <w:w w:val="90"/>
        </w:rPr>
        <w:t>en</w:t>
      </w:r>
      <w:r>
        <w:rPr>
          <w:spacing w:val="-10"/>
          <w:w w:val="90"/>
        </w:rPr>
        <w:t> </w:t>
      </w:r>
      <w:r>
        <w:rPr>
          <w:w w:val="90"/>
        </w:rPr>
        <w:t>el</w:t>
      </w:r>
      <w:r>
        <w:rPr>
          <w:spacing w:val="-9"/>
          <w:w w:val="90"/>
        </w:rPr>
        <w:t> </w:t>
      </w:r>
      <w:r>
        <w:rPr>
          <w:w w:val="90"/>
        </w:rPr>
        <w:t>grupo</w:t>
      </w:r>
      <w:r>
        <w:rPr>
          <w:spacing w:val="-12"/>
          <w:w w:val="90"/>
        </w:rPr>
        <w:t> </w:t>
      </w:r>
      <w:r>
        <w:rPr>
          <w:w w:val="90"/>
        </w:rPr>
        <w:t>tratado</w:t>
      </w:r>
      <w:r>
        <w:rPr>
          <w:spacing w:val="-10"/>
          <w:w w:val="90"/>
        </w:rPr>
        <w:t> </w:t>
      </w:r>
      <w:r>
        <w:rPr>
          <w:w w:val="90"/>
        </w:rPr>
        <w:t>con</w:t>
      </w:r>
      <w:r>
        <w:rPr>
          <w:spacing w:val="-10"/>
          <w:w w:val="90"/>
        </w:rPr>
        <w:t> </w:t>
      </w:r>
      <w:r>
        <w:rPr>
          <w:w w:val="90"/>
        </w:rPr>
        <w:t>pCA</w:t>
      </w:r>
      <w:r>
        <w:rPr>
          <w:spacing w:val="-9"/>
          <w:w w:val="90"/>
        </w:rPr>
        <w:t> </w:t>
      </w:r>
      <w:r>
        <w:rPr>
          <w:w w:val="90"/>
        </w:rPr>
        <w:t>fue </w:t>
      </w:r>
      <w:r>
        <w:rPr>
          <w:w w:val="95"/>
        </w:rPr>
        <w:t>50</w:t>
      </w:r>
      <w:r>
        <w:rPr>
          <w:spacing w:val="-42"/>
          <w:w w:val="95"/>
        </w:rPr>
        <w:t> </w:t>
      </w:r>
      <w:r>
        <w:rPr>
          <w:w w:val="95"/>
        </w:rPr>
        <w:t>%</w:t>
      </w:r>
      <w:r>
        <w:rPr>
          <w:spacing w:val="-41"/>
          <w:w w:val="95"/>
        </w:rPr>
        <w:t> </w:t>
      </w:r>
      <w:r>
        <w:rPr>
          <w:w w:val="95"/>
        </w:rPr>
        <w:t>menor</w:t>
      </w:r>
      <w:r>
        <w:rPr>
          <w:spacing w:val="-41"/>
          <w:w w:val="95"/>
        </w:rPr>
        <w:t> </w:t>
      </w:r>
      <w:r>
        <w:rPr>
          <w:w w:val="95"/>
        </w:rPr>
        <w:t>que</w:t>
      </w:r>
      <w:r>
        <w:rPr>
          <w:spacing w:val="-41"/>
          <w:w w:val="95"/>
        </w:rPr>
        <w:t> </w:t>
      </w:r>
      <w:r>
        <w:rPr>
          <w:w w:val="95"/>
        </w:rPr>
        <w:t>en</w:t>
      </w:r>
      <w:r>
        <w:rPr>
          <w:spacing w:val="-42"/>
          <w:w w:val="95"/>
        </w:rPr>
        <w:t> </w:t>
      </w:r>
      <w:r>
        <w:rPr>
          <w:w w:val="95"/>
        </w:rPr>
        <w:t>el</w:t>
      </w:r>
      <w:r>
        <w:rPr>
          <w:spacing w:val="-42"/>
          <w:w w:val="95"/>
        </w:rPr>
        <w:t> </w:t>
      </w:r>
      <w:r>
        <w:rPr>
          <w:w w:val="95"/>
        </w:rPr>
        <w:t>grupo</w:t>
      </w:r>
      <w:r>
        <w:rPr>
          <w:spacing w:val="-42"/>
          <w:w w:val="95"/>
        </w:rPr>
        <w:t> </w:t>
      </w:r>
      <w:r>
        <w:rPr>
          <w:w w:val="95"/>
        </w:rPr>
        <w:t>control.</w:t>
      </w:r>
    </w:p>
    <w:p>
      <w:pPr>
        <w:pStyle w:val="BodyText"/>
        <w:spacing w:line="360" w:lineRule="auto" w:before="202"/>
        <w:ind w:left="265" w:right="122"/>
        <w:jc w:val="both"/>
      </w:pPr>
      <w:r>
        <w:rPr>
          <w:w w:val="95"/>
        </w:rPr>
        <w:t>Una</w:t>
      </w:r>
      <w:r>
        <w:rPr>
          <w:spacing w:val="-40"/>
          <w:w w:val="95"/>
        </w:rPr>
        <w:t> </w:t>
      </w:r>
      <w:r>
        <w:rPr>
          <w:w w:val="95"/>
        </w:rPr>
        <w:t>parte</w:t>
      </w:r>
      <w:r>
        <w:rPr>
          <w:spacing w:val="-40"/>
          <w:w w:val="95"/>
        </w:rPr>
        <w:t> </w:t>
      </w:r>
      <w:r>
        <w:rPr>
          <w:w w:val="95"/>
        </w:rPr>
        <w:t>de</w:t>
      </w:r>
      <w:r>
        <w:rPr>
          <w:spacing w:val="-41"/>
          <w:w w:val="95"/>
        </w:rPr>
        <w:t> </w:t>
      </w:r>
      <w:r>
        <w:rPr>
          <w:w w:val="95"/>
        </w:rPr>
        <w:t>las</w:t>
      </w:r>
      <w:r>
        <w:rPr>
          <w:spacing w:val="-41"/>
          <w:w w:val="95"/>
        </w:rPr>
        <w:t> </w:t>
      </w:r>
      <w:r>
        <w:rPr>
          <w:w w:val="95"/>
        </w:rPr>
        <w:t>biopsias</w:t>
      </w:r>
      <w:r>
        <w:rPr>
          <w:spacing w:val="-41"/>
          <w:w w:val="95"/>
        </w:rPr>
        <w:t> </w:t>
      </w:r>
      <w:r>
        <w:rPr>
          <w:w w:val="95"/>
        </w:rPr>
        <w:t>obtenidas</w:t>
      </w:r>
      <w:r>
        <w:rPr>
          <w:spacing w:val="-41"/>
          <w:w w:val="95"/>
        </w:rPr>
        <w:t> </w:t>
      </w:r>
      <w:r>
        <w:rPr>
          <w:w w:val="95"/>
        </w:rPr>
        <w:t>se</w:t>
      </w:r>
      <w:r>
        <w:rPr>
          <w:spacing w:val="-41"/>
          <w:w w:val="95"/>
        </w:rPr>
        <w:t> </w:t>
      </w:r>
      <w:r>
        <w:rPr>
          <w:w w:val="95"/>
        </w:rPr>
        <w:t>procesó</w:t>
      </w:r>
      <w:r>
        <w:rPr>
          <w:spacing w:val="-40"/>
          <w:w w:val="95"/>
        </w:rPr>
        <w:t> </w:t>
      </w:r>
      <w:r>
        <w:rPr>
          <w:w w:val="95"/>
        </w:rPr>
        <w:t>con</w:t>
      </w:r>
      <w:r>
        <w:rPr>
          <w:spacing w:val="-41"/>
          <w:w w:val="95"/>
        </w:rPr>
        <w:t> </w:t>
      </w:r>
      <w:r>
        <w:rPr>
          <w:w w:val="95"/>
        </w:rPr>
        <w:t>la</w:t>
      </w:r>
      <w:r>
        <w:rPr>
          <w:spacing w:val="-40"/>
          <w:w w:val="95"/>
        </w:rPr>
        <w:t> </w:t>
      </w:r>
      <w:r>
        <w:rPr>
          <w:w w:val="95"/>
        </w:rPr>
        <w:t>técnica</w:t>
      </w:r>
      <w:r>
        <w:rPr>
          <w:spacing w:val="-40"/>
          <w:w w:val="95"/>
        </w:rPr>
        <w:t> </w:t>
      </w:r>
      <w:r>
        <w:rPr>
          <w:w w:val="95"/>
        </w:rPr>
        <w:t>de</w:t>
      </w:r>
      <w:r>
        <w:rPr>
          <w:spacing w:val="-40"/>
          <w:w w:val="95"/>
        </w:rPr>
        <w:t> </w:t>
      </w:r>
      <w:r>
        <w:rPr>
          <w:w w:val="95"/>
        </w:rPr>
        <w:t>TUNEL</w:t>
      </w:r>
      <w:r>
        <w:rPr>
          <w:spacing w:val="-40"/>
          <w:w w:val="95"/>
        </w:rPr>
        <w:t> </w:t>
      </w:r>
      <w:r>
        <w:rPr>
          <w:w w:val="95"/>
        </w:rPr>
        <w:t>para</w:t>
      </w:r>
      <w:r>
        <w:rPr>
          <w:spacing w:val="-34"/>
          <w:w w:val="95"/>
        </w:rPr>
        <w:t> </w:t>
      </w:r>
      <w:r>
        <w:rPr>
          <w:w w:val="95"/>
        </w:rPr>
        <w:t>identificar</w:t>
      </w:r>
      <w:r>
        <w:rPr>
          <w:spacing w:val="-40"/>
          <w:w w:val="95"/>
        </w:rPr>
        <w:t> </w:t>
      </w:r>
      <w:r>
        <w:rPr>
          <w:w w:val="95"/>
        </w:rPr>
        <w:t>a </w:t>
      </w:r>
      <w:r>
        <w:rPr>
          <w:w w:val="90"/>
        </w:rPr>
        <w:t>los</w:t>
      </w:r>
      <w:r>
        <w:rPr>
          <w:spacing w:val="-12"/>
          <w:w w:val="90"/>
        </w:rPr>
        <w:t> </w:t>
      </w:r>
      <w:r>
        <w:rPr>
          <w:w w:val="90"/>
        </w:rPr>
        <w:t>individuos</w:t>
      </w:r>
      <w:r>
        <w:rPr>
          <w:spacing w:val="-12"/>
          <w:w w:val="90"/>
        </w:rPr>
        <w:t> </w:t>
      </w:r>
      <w:r>
        <w:rPr>
          <w:w w:val="90"/>
        </w:rPr>
        <w:t>con</w:t>
      </w:r>
      <w:r>
        <w:rPr>
          <w:spacing w:val="-12"/>
          <w:w w:val="90"/>
        </w:rPr>
        <w:t> </w:t>
      </w:r>
      <w:r>
        <w:rPr>
          <w:w w:val="90"/>
        </w:rPr>
        <w:t>baja</w:t>
      </w:r>
      <w:r>
        <w:rPr>
          <w:spacing w:val="-12"/>
          <w:w w:val="90"/>
        </w:rPr>
        <w:t> </w:t>
      </w:r>
      <w:r>
        <w:rPr>
          <w:w w:val="90"/>
        </w:rPr>
        <w:t>y</w:t>
      </w:r>
      <w:r>
        <w:rPr>
          <w:spacing w:val="-12"/>
          <w:w w:val="90"/>
        </w:rPr>
        <w:t> </w:t>
      </w:r>
      <w:r>
        <w:rPr>
          <w:w w:val="90"/>
        </w:rPr>
        <w:t>alta</w:t>
      </w:r>
      <w:r>
        <w:rPr>
          <w:spacing w:val="-12"/>
          <w:w w:val="90"/>
        </w:rPr>
        <w:t> </w:t>
      </w:r>
      <w:r>
        <w:rPr>
          <w:w w:val="90"/>
        </w:rPr>
        <w:t>susceptibilidad,</w:t>
      </w:r>
      <w:r>
        <w:rPr>
          <w:spacing w:val="-12"/>
          <w:w w:val="90"/>
        </w:rPr>
        <w:t> </w:t>
      </w:r>
      <w:r>
        <w:rPr>
          <w:w w:val="90"/>
        </w:rPr>
        <w:t>en</w:t>
      </w:r>
      <w:r>
        <w:rPr>
          <w:spacing w:val="-12"/>
          <w:w w:val="90"/>
        </w:rPr>
        <w:t> </w:t>
      </w:r>
      <w:r>
        <w:rPr>
          <w:w w:val="90"/>
        </w:rPr>
        <w:t>la</w:t>
      </w:r>
      <w:r>
        <w:rPr>
          <w:spacing w:val="-12"/>
          <w:w w:val="90"/>
        </w:rPr>
        <w:t> </w:t>
      </w:r>
      <w:r>
        <w:rPr>
          <w:w w:val="90"/>
        </w:rPr>
        <w:t>figura</w:t>
      </w:r>
      <w:r>
        <w:rPr>
          <w:spacing w:val="-12"/>
          <w:w w:val="90"/>
        </w:rPr>
        <w:t> </w:t>
      </w:r>
      <w:r>
        <w:rPr>
          <w:w w:val="90"/>
        </w:rPr>
        <w:t>1.3.1,</w:t>
      </w:r>
      <w:r>
        <w:rPr>
          <w:spacing w:val="-12"/>
          <w:w w:val="90"/>
        </w:rPr>
        <w:t> </w:t>
      </w:r>
      <w:r>
        <w:rPr>
          <w:w w:val="90"/>
        </w:rPr>
        <w:t>se</w:t>
      </w:r>
      <w:r>
        <w:rPr>
          <w:spacing w:val="-12"/>
          <w:w w:val="90"/>
        </w:rPr>
        <w:t> </w:t>
      </w:r>
      <w:r>
        <w:rPr>
          <w:w w:val="90"/>
        </w:rPr>
        <w:t>observa</w:t>
      </w:r>
      <w:r>
        <w:rPr>
          <w:spacing w:val="-12"/>
          <w:w w:val="90"/>
        </w:rPr>
        <w:t> </w:t>
      </w:r>
      <w:r>
        <w:rPr>
          <w:w w:val="90"/>
        </w:rPr>
        <w:t>un</w:t>
      </w:r>
      <w:r>
        <w:rPr>
          <w:spacing w:val="-12"/>
          <w:w w:val="90"/>
        </w:rPr>
        <w:t> </w:t>
      </w:r>
      <w:r>
        <w:rPr>
          <w:w w:val="90"/>
        </w:rPr>
        <w:t>individuo</w:t>
      </w:r>
      <w:r>
        <w:rPr>
          <w:spacing w:val="-12"/>
          <w:w w:val="90"/>
        </w:rPr>
        <w:t> </w:t>
      </w:r>
      <w:r>
        <w:rPr>
          <w:w w:val="90"/>
        </w:rPr>
        <w:t>(A) </w:t>
      </w:r>
      <w:r>
        <w:rPr>
          <w:w w:val="95"/>
        </w:rPr>
        <w:t>con pocas células muertas y en (B) un individuo con muchas células muertas por apoptosis.</w:t>
      </w:r>
    </w:p>
    <w:p>
      <w:pPr>
        <w:spacing w:after="0" w:line="360" w:lineRule="auto"/>
        <w:jc w:val="both"/>
        <w:sectPr>
          <w:footerReference w:type="default" r:id="rId37"/>
          <w:pgSz w:w="12240" w:h="15840"/>
          <w:pgMar w:footer="1680" w:header="0" w:top="1500" w:bottom="1860" w:left="1720" w:right="1580"/>
        </w:sectPr>
      </w:pPr>
    </w:p>
    <w:p>
      <w:pPr>
        <w:pStyle w:val="BodyText"/>
        <w:rPr>
          <w:sz w:val="20"/>
        </w:rPr>
      </w:pPr>
    </w:p>
    <w:p>
      <w:pPr>
        <w:pStyle w:val="BodyText"/>
        <w:spacing w:before="4"/>
        <w:rPr>
          <w:sz w:val="22"/>
        </w:rPr>
      </w:pPr>
    </w:p>
    <w:p>
      <w:pPr>
        <w:pStyle w:val="BodyText"/>
        <w:ind w:left="405"/>
        <w:rPr>
          <w:sz w:val="20"/>
        </w:rPr>
      </w:pPr>
      <w:r>
        <w:rPr>
          <w:sz w:val="20"/>
        </w:rPr>
        <w:drawing>
          <wp:inline distT="0" distB="0" distL="0" distR="0">
            <wp:extent cx="5248925" cy="1704213"/>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39" cstate="print"/>
                    <a:stretch>
                      <a:fillRect/>
                    </a:stretch>
                  </pic:blipFill>
                  <pic:spPr>
                    <a:xfrm>
                      <a:off x="0" y="0"/>
                      <a:ext cx="5248925" cy="1704213"/>
                    </a:xfrm>
                    <a:prstGeom prst="rect">
                      <a:avLst/>
                    </a:prstGeom>
                  </pic:spPr>
                </pic:pic>
              </a:graphicData>
            </a:graphic>
          </wp:inline>
        </w:drawing>
      </w:r>
      <w:r>
        <w:rPr>
          <w:sz w:val="20"/>
        </w:rPr>
      </w:r>
    </w:p>
    <w:p>
      <w:pPr>
        <w:pStyle w:val="BodyText"/>
        <w:spacing w:before="5"/>
        <w:rPr>
          <w:sz w:val="23"/>
        </w:rPr>
      </w:pPr>
    </w:p>
    <w:p>
      <w:pPr>
        <w:pStyle w:val="BodyText"/>
        <w:spacing w:line="360" w:lineRule="auto" w:before="69"/>
        <w:ind w:left="265" w:right="136"/>
        <w:jc w:val="both"/>
      </w:pPr>
      <w:r>
        <w:rPr>
          <w:w w:val="95"/>
        </w:rPr>
        <w:t>Figura</w:t>
      </w:r>
      <w:r>
        <w:rPr>
          <w:spacing w:val="-21"/>
          <w:w w:val="95"/>
        </w:rPr>
        <w:t> </w:t>
      </w:r>
      <w:r>
        <w:rPr>
          <w:w w:val="95"/>
        </w:rPr>
        <w:t>1.3.1.</w:t>
      </w:r>
      <w:r>
        <w:rPr>
          <w:spacing w:val="-21"/>
          <w:w w:val="95"/>
        </w:rPr>
        <w:t> </w:t>
      </w:r>
      <w:r>
        <w:rPr>
          <w:w w:val="95"/>
        </w:rPr>
        <w:t>Fotografías</w:t>
      </w:r>
      <w:r>
        <w:rPr>
          <w:spacing w:val="-21"/>
          <w:w w:val="95"/>
        </w:rPr>
        <w:t> </w:t>
      </w:r>
      <w:r>
        <w:rPr>
          <w:w w:val="95"/>
        </w:rPr>
        <w:t>de</w:t>
      </w:r>
      <w:r>
        <w:rPr>
          <w:spacing w:val="-21"/>
          <w:w w:val="95"/>
        </w:rPr>
        <w:t> </w:t>
      </w:r>
      <w:r>
        <w:rPr>
          <w:w w:val="95"/>
        </w:rPr>
        <w:t>cortes</w:t>
      </w:r>
      <w:r>
        <w:rPr>
          <w:spacing w:val="-21"/>
          <w:w w:val="95"/>
        </w:rPr>
        <w:t> </w:t>
      </w:r>
      <w:r>
        <w:rPr>
          <w:w w:val="95"/>
        </w:rPr>
        <w:t>de</w:t>
      </w:r>
      <w:r>
        <w:rPr>
          <w:spacing w:val="-22"/>
          <w:w w:val="95"/>
        </w:rPr>
        <w:t> </w:t>
      </w:r>
      <w:r>
        <w:rPr>
          <w:w w:val="95"/>
        </w:rPr>
        <w:t>testículo</w:t>
      </w:r>
      <w:r>
        <w:rPr>
          <w:spacing w:val="-21"/>
          <w:w w:val="95"/>
        </w:rPr>
        <w:t> </w:t>
      </w:r>
      <w:r>
        <w:rPr>
          <w:w w:val="95"/>
        </w:rPr>
        <w:t>de</w:t>
      </w:r>
      <w:r>
        <w:rPr>
          <w:spacing w:val="-21"/>
          <w:w w:val="95"/>
        </w:rPr>
        <w:t> </w:t>
      </w:r>
      <w:r>
        <w:rPr>
          <w:w w:val="95"/>
        </w:rPr>
        <w:t>rata</w:t>
      </w:r>
      <w:r>
        <w:rPr>
          <w:spacing w:val="-22"/>
          <w:w w:val="95"/>
        </w:rPr>
        <w:t> </w:t>
      </w:r>
      <w:r>
        <w:rPr>
          <w:w w:val="95"/>
        </w:rPr>
        <w:t>de</w:t>
      </w:r>
      <w:r>
        <w:rPr>
          <w:spacing w:val="-21"/>
          <w:w w:val="95"/>
        </w:rPr>
        <w:t> </w:t>
      </w:r>
      <w:r>
        <w:rPr>
          <w:w w:val="95"/>
        </w:rPr>
        <w:t>45</w:t>
      </w:r>
      <w:r>
        <w:rPr>
          <w:spacing w:val="-21"/>
          <w:w w:val="95"/>
        </w:rPr>
        <w:t> </w:t>
      </w:r>
      <w:r>
        <w:rPr>
          <w:w w:val="95"/>
        </w:rPr>
        <w:t>días</w:t>
      </w:r>
      <w:r>
        <w:rPr>
          <w:spacing w:val="-21"/>
          <w:w w:val="95"/>
        </w:rPr>
        <w:t> </w:t>
      </w:r>
      <w:r>
        <w:rPr>
          <w:w w:val="95"/>
        </w:rPr>
        <w:t>de</w:t>
      </w:r>
      <w:r>
        <w:rPr>
          <w:spacing w:val="-21"/>
          <w:w w:val="95"/>
        </w:rPr>
        <w:t> </w:t>
      </w:r>
      <w:r>
        <w:rPr>
          <w:w w:val="95"/>
        </w:rPr>
        <w:t>edad,</w:t>
      </w:r>
      <w:r>
        <w:rPr>
          <w:spacing w:val="-22"/>
          <w:w w:val="95"/>
        </w:rPr>
        <w:t> </w:t>
      </w:r>
      <w:r>
        <w:rPr>
          <w:w w:val="95"/>
        </w:rPr>
        <w:t>procesados mediante</w:t>
      </w:r>
      <w:r>
        <w:rPr>
          <w:spacing w:val="-30"/>
          <w:w w:val="95"/>
        </w:rPr>
        <w:t> </w:t>
      </w:r>
      <w:r>
        <w:rPr>
          <w:w w:val="95"/>
        </w:rPr>
        <w:t>la</w:t>
      </w:r>
      <w:r>
        <w:rPr>
          <w:spacing w:val="-31"/>
          <w:w w:val="95"/>
        </w:rPr>
        <w:t> </w:t>
      </w:r>
      <w:r>
        <w:rPr>
          <w:w w:val="95"/>
        </w:rPr>
        <w:t>técnica</w:t>
      </w:r>
      <w:r>
        <w:rPr>
          <w:spacing w:val="-29"/>
          <w:w w:val="95"/>
        </w:rPr>
        <w:t> </w:t>
      </w:r>
      <w:r>
        <w:rPr>
          <w:w w:val="95"/>
        </w:rPr>
        <w:t>de</w:t>
      </w:r>
      <w:r>
        <w:rPr>
          <w:spacing w:val="-31"/>
          <w:w w:val="95"/>
        </w:rPr>
        <w:t> </w:t>
      </w:r>
      <w:r>
        <w:rPr>
          <w:w w:val="95"/>
        </w:rPr>
        <w:t>TUNEL.</w:t>
      </w:r>
      <w:r>
        <w:rPr>
          <w:spacing w:val="-30"/>
          <w:w w:val="95"/>
        </w:rPr>
        <w:t> </w:t>
      </w:r>
      <w:r>
        <w:rPr>
          <w:w w:val="95"/>
        </w:rPr>
        <w:t>(A)</w:t>
      </w:r>
      <w:r>
        <w:rPr>
          <w:spacing w:val="-31"/>
          <w:w w:val="95"/>
        </w:rPr>
        <w:t> </w:t>
      </w:r>
      <w:r>
        <w:rPr>
          <w:w w:val="95"/>
        </w:rPr>
        <w:t>individuo</w:t>
      </w:r>
      <w:r>
        <w:rPr>
          <w:spacing w:val="-30"/>
          <w:w w:val="95"/>
        </w:rPr>
        <w:t> </w:t>
      </w:r>
      <w:r>
        <w:rPr>
          <w:w w:val="95"/>
        </w:rPr>
        <w:t>con</w:t>
      </w:r>
      <w:r>
        <w:rPr>
          <w:spacing w:val="-30"/>
          <w:w w:val="95"/>
        </w:rPr>
        <w:t> </w:t>
      </w:r>
      <w:r>
        <w:rPr>
          <w:w w:val="95"/>
        </w:rPr>
        <w:t>baja</w:t>
      </w:r>
      <w:r>
        <w:rPr>
          <w:spacing w:val="-29"/>
          <w:w w:val="95"/>
        </w:rPr>
        <w:t> </w:t>
      </w:r>
      <w:r>
        <w:rPr>
          <w:w w:val="95"/>
        </w:rPr>
        <w:t>susceptibilidad</w:t>
      </w:r>
      <w:r>
        <w:rPr>
          <w:spacing w:val="-30"/>
          <w:w w:val="95"/>
        </w:rPr>
        <w:t> </w:t>
      </w:r>
      <w:r>
        <w:rPr>
          <w:w w:val="95"/>
        </w:rPr>
        <w:t>y</w:t>
      </w:r>
      <w:r>
        <w:rPr>
          <w:spacing w:val="-31"/>
          <w:w w:val="95"/>
        </w:rPr>
        <w:t> </w:t>
      </w:r>
      <w:r>
        <w:rPr>
          <w:w w:val="95"/>
        </w:rPr>
        <w:t>(B)</w:t>
      </w:r>
      <w:r>
        <w:rPr>
          <w:spacing w:val="-30"/>
          <w:w w:val="95"/>
        </w:rPr>
        <w:t> </w:t>
      </w:r>
      <w:r>
        <w:rPr>
          <w:w w:val="95"/>
        </w:rPr>
        <w:t>individuo</w:t>
      </w:r>
      <w:r>
        <w:rPr>
          <w:spacing w:val="-29"/>
          <w:w w:val="95"/>
        </w:rPr>
        <w:t> </w:t>
      </w:r>
      <w:r>
        <w:rPr>
          <w:w w:val="95"/>
        </w:rPr>
        <w:t>con </w:t>
      </w:r>
      <w:r>
        <w:rPr>
          <w:w w:val="90"/>
        </w:rPr>
        <w:t>alta</w:t>
      </w:r>
      <w:r>
        <w:rPr>
          <w:spacing w:val="-20"/>
          <w:w w:val="90"/>
        </w:rPr>
        <w:t> </w:t>
      </w:r>
      <w:r>
        <w:rPr>
          <w:w w:val="90"/>
        </w:rPr>
        <w:t>susceptibilidad</w:t>
      </w:r>
      <w:r>
        <w:rPr>
          <w:spacing w:val="-18"/>
          <w:w w:val="90"/>
        </w:rPr>
        <w:t> </w:t>
      </w:r>
      <w:r>
        <w:rPr>
          <w:w w:val="90"/>
        </w:rPr>
        <w:t>a</w:t>
      </w:r>
      <w:r>
        <w:rPr>
          <w:spacing w:val="-20"/>
          <w:w w:val="90"/>
        </w:rPr>
        <w:t> </w:t>
      </w:r>
      <w:r>
        <w:rPr>
          <w:w w:val="90"/>
        </w:rPr>
        <w:t>la</w:t>
      </w:r>
      <w:r>
        <w:rPr>
          <w:spacing w:val="-19"/>
          <w:w w:val="90"/>
        </w:rPr>
        <w:t> </w:t>
      </w:r>
      <w:r>
        <w:rPr>
          <w:w w:val="90"/>
        </w:rPr>
        <w:t>muerte</w:t>
      </w:r>
      <w:r>
        <w:rPr>
          <w:spacing w:val="-20"/>
          <w:w w:val="90"/>
        </w:rPr>
        <w:t> </w:t>
      </w:r>
      <w:r>
        <w:rPr>
          <w:w w:val="90"/>
        </w:rPr>
        <w:t>de</w:t>
      </w:r>
      <w:r>
        <w:rPr>
          <w:spacing w:val="-20"/>
          <w:w w:val="90"/>
        </w:rPr>
        <w:t> </w:t>
      </w:r>
      <w:r>
        <w:rPr>
          <w:w w:val="90"/>
        </w:rPr>
        <w:t>las</w:t>
      </w:r>
      <w:r>
        <w:rPr>
          <w:spacing w:val="-20"/>
          <w:w w:val="90"/>
        </w:rPr>
        <w:t> </w:t>
      </w:r>
      <w:r>
        <w:rPr>
          <w:w w:val="90"/>
        </w:rPr>
        <w:t>células</w:t>
      </w:r>
      <w:r>
        <w:rPr>
          <w:spacing w:val="-20"/>
          <w:w w:val="90"/>
        </w:rPr>
        <w:t> </w:t>
      </w:r>
      <w:r>
        <w:rPr>
          <w:w w:val="90"/>
        </w:rPr>
        <w:t>germinales</w:t>
      </w:r>
      <w:r>
        <w:rPr>
          <w:spacing w:val="-19"/>
          <w:w w:val="90"/>
        </w:rPr>
        <w:t> </w:t>
      </w:r>
      <w:r>
        <w:rPr>
          <w:w w:val="90"/>
        </w:rPr>
        <w:t>por</w:t>
      </w:r>
      <w:r>
        <w:rPr>
          <w:spacing w:val="-20"/>
          <w:w w:val="90"/>
        </w:rPr>
        <w:t> </w:t>
      </w:r>
      <w:r>
        <w:rPr>
          <w:w w:val="90"/>
        </w:rPr>
        <w:t>apoptosis.</w:t>
      </w:r>
      <w:r>
        <w:rPr>
          <w:spacing w:val="-19"/>
          <w:w w:val="90"/>
        </w:rPr>
        <w:t> </w:t>
      </w:r>
      <w:r>
        <w:rPr>
          <w:w w:val="90"/>
        </w:rPr>
        <w:t>400X.</w:t>
      </w:r>
    </w:p>
    <w:p>
      <w:pPr>
        <w:pStyle w:val="BodyText"/>
      </w:pPr>
    </w:p>
    <w:p>
      <w:pPr>
        <w:pStyle w:val="BodyText"/>
      </w:pPr>
    </w:p>
    <w:p>
      <w:pPr>
        <w:pStyle w:val="BodyText"/>
        <w:spacing w:before="2"/>
        <w:rPr>
          <w:sz w:val="23"/>
        </w:rPr>
      </w:pPr>
    </w:p>
    <w:p>
      <w:pPr>
        <w:pStyle w:val="BodyText"/>
        <w:spacing w:line="360" w:lineRule="auto"/>
        <w:ind w:left="265" w:right="123"/>
        <w:jc w:val="both"/>
      </w:pPr>
      <w:r>
        <w:rPr>
          <w:w w:val="95"/>
        </w:rPr>
        <w:t>La</w:t>
      </w:r>
      <w:r>
        <w:rPr>
          <w:spacing w:val="-25"/>
          <w:w w:val="95"/>
        </w:rPr>
        <w:t> </w:t>
      </w:r>
      <w:r>
        <w:rPr>
          <w:w w:val="95"/>
        </w:rPr>
        <w:t>clasificación</w:t>
      </w:r>
      <w:r>
        <w:rPr>
          <w:spacing w:val="-25"/>
          <w:w w:val="95"/>
        </w:rPr>
        <w:t> </w:t>
      </w:r>
      <w:r>
        <w:rPr>
          <w:w w:val="95"/>
        </w:rPr>
        <w:t>de</w:t>
      </w:r>
      <w:r>
        <w:rPr>
          <w:spacing w:val="-26"/>
          <w:w w:val="95"/>
        </w:rPr>
        <w:t> </w:t>
      </w:r>
      <w:r>
        <w:rPr>
          <w:w w:val="95"/>
        </w:rPr>
        <w:t>los</w:t>
      </w:r>
      <w:r>
        <w:rPr>
          <w:spacing w:val="-26"/>
          <w:w w:val="95"/>
        </w:rPr>
        <w:t> </w:t>
      </w:r>
      <w:r>
        <w:rPr>
          <w:w w:val="95"/>
        </w:rPr>
        <w:t>animales</w:t>
      </w:r>
      <w:r>
        <w:rPr>
          <w:spacing w:val="-26"/>
          <w:w w:val="95"/>
        </w:rPr>
        <w:t> </w:t>
      </w:r>
      <w:r>
        <w:rPr>
          <w:w w:val="95"/>
        </w:rPr>
        <w:t>con</w:t>
      </w:r>
      <w:r>
        <w:rPr>
          <w:spacing w:val="-25"/>
          <w:w w:val="95"/>
        </w:rPr>
        <w:t> </w:t>
      </w:r>
      <w:r>
        <w:rPr>
          <w:w w:val="95"/>
        </w:rPr>
        <w:t>una</w:t>
      </w:r>
      <w:r>
        <w:rPr>
          <w:spacing w:val="-26"/>
          <w:w w:val="95"/>
        </w:rPr>
        <w:t> </w:t>
      </w:r>
      <w:r>
        <w:rPr>
          <w:w w:val="95"/>
        </w:rPr>
        <w:t>baja</w:t>
      </w:r>
      <w:r>
        <w:rPr>
          <w:spacing w:val="-25"/>
          <w:w w:val="95"/>
        </w:rPr>
        <w:t> </w:t>
      </w:r>
      <w:r>
        <w:rPr>
          <w:w w:val="95"/>
        </w:rPr>
        <w:t>o</w:t>
      </w:r>
      <w:r>
        <w:rPr>
          <w:spacing w:val="-26"/>
          <w:w w:val="95"/>
        </w:rPr>
        <w:t> </w:t>
      </w:r>
      <w:r>
        <w:rPr>
          <w:w w:val="95"/>
        </w:rPr>
        <w:t>una</w:t>
      </w:r>
      <w:r>
        <w:rPr>
          <w:spacing w:val="-25"/>
          <w:w w:val="95"/>
        </w:rPr>
        <w:t> </w:t>
      </w:r>
      <w:r>
        <w:rPr>
          <w:w w:val="95"/>
        </w:rPr>
        <w:t>alta</w:t>
      </w:r>
      <w:r>
        <w:rPr>
          <w:spacing w:val="-26"/>
          <w:w w:val="95"/>
        </w:rPr>
        <w:t> </w:t>
      </w:r>
      <w:r>
        <w:rPr>
          <w:w w:val="95"/>
        </w:rPr>
        <w:t>susceptibilidad</w:t>
      </w:r>
      <w:r>
        <w:rPr>
          <w:spacing w:val="-26"/>
          <w:w w:val="95"/>
        </w:rPr>
        <w:t> </w:t>
      </w:r>
      <w:r>
        <w:rPr>
          <w:w w:val="95"/>
        </w:rPr>
        <w:t>a</w:t>
      </w:r>
      <w:r>
        <w:rPr>
          <w:spacing w:val="-25"/>
          <w:w w:val="95"/>
        </w:rPr>
        <w:t> </w:t>
      </w:r>
      <w:r>
        <w:rPr>
          <w:w w:val="95"/>
        </w:rPr>
        <w:t>los</w:t>
      </w:r>
      <w:r>
        <w:rPr>
          <w:spacing w:val="-26"/>
          <w:w w:val="95"/>
        </w:rPr>
        <w:t> </w:t>
      </w:r>
      <w:r>
        <w:rPr>
          <w:w w:val="95"/>
        </w:rPr>
        <w:t>eventos</w:t>
      </w:r>
      <w:r>
        <w:rPr>
          <w:spacing w:val="-26"/>
          <w:w w:val="95"/>
        </w:rPr>
        <w:t> </w:t>
      </w:r>
      <w:r>
        <w:rPr>
          <w:w w:val="95"/>
        </w:rPr>
        <w:t>de </w:t>
      </w:r>
      <w:r>
        <w:rPr>
          <w:w w:val="90"/>
        </w:rPr>
        <w:t>muerte</w:t>
      </w:r>
      <w:r>
        <w:rPr>
          <w:spacing w:val="-5"/>
          <w:w w:val="90"/>
        </w:rPr>
        <w:t> </w:t>
      </w:r>
      <w:r>
        <w:rPr>
          <w:w w:val="90"/>
        </w:rPr>
        <w:t>celular</w:t>
      </w:r>
      <w:r>
        <w:rPr>
          <w:spacing w:val="-3"/>
          <w:w w:val="90"/>
        </w:rPr>
        <w:t> </w:t>
      </w:r>
      <w:r>
        <w:rPr>
          <w:w w:val="90"/>
        </w:rPr>
        <w:t>por</w:t>
      </w:r>
      <w:r>
        <w:rPr>
          <w:spacing w:val="-3"/>
          <w:w w:val="90"/>
        </w:rPr>
        <w:t> </w:t>
      </w:r>
      <w:r>
        <w:rPr>
          <w:w w:val="90"/>
        </w:rPr>
        <w:t>apoptosis</w:t>
      </w:r>
      <w:r>
        <w:rPr>
          <w:spacing w:val="-5"/>
          <w:w w:val="90"/>
        </w:rPr>
        <w:t> </w:t>
      </w:r>
      <w:r>
        <w:rPr>
          <w:w w:val="90"/>
        </w:rPr>
        <w:t>se</w:t>
      </w:r>
      <w:r>
        <w:rPr>
          <w:spacing w:val="-5"/>
          <w:w w:val="90"/>
        </w:rPr>
        <w:t> </w:t>
      </w:r>
      <w:r>
        <w:rPr>
          <w:w w:val="90"/>
        </w:rPr>
        <w:t>hizo</w:t>
      </w:r>
      <w:r>
        <w:rPr>
          <w:spacing w:val="-5"/>
          <w:w w:val="90"/>
        </w:rPr>
        <w:t> </w:t>
      </w:r>
      <w:r>
        <w:rPr>
          <w:w w:val="90"/>
        </w:rPr>
        <w:t>conforme</w:t>
      </w:r>
      <w:r>
        <w:rPr>
          <w:spacing w:val="-4"/>
          <w:w w:val="90"/>
        </w:rPr>
        <w:t> </w:t>
      </w:r>
      <w:r>
        <w:rPr>
          <w:w w:val="90"/>
        </w:rPr>
        <w:t>al</w:t>
      </w:r>
      <w:r>
        <w:rPr>
          <w:spacing w:val="-4"/>
          <w:w w:val="90"/>
        </w:rPr>
        <w:t> </w:t>
      </w:r>
      <w:r>
        <w:rPr>
          <w:w w:val="90"/>
        </w:rPr>
        <w:t>número</w:t>
      </w:r>
      <w:r>
        <w:rPr>
          <w:spacing w:val="-4"/>
          <w:w w:val="90"/>
        </w:rPr>
        <w:t> </w:t>
      </w:r>
      <w:r>
        <w:rPr>
          <w:w w:val="90"/>
        </w:rPr>
        <w:t>de</w:t>
      </w:r>
      <w:r>
        <w:rPr>
          <w:spacing w:val="-5"/>
          <w:w w:val="90"/>
        </w:rPr>
        <w:t> </w:t>
      </w:r>
      <w:r>
        <w:rPr>
          <w:w w:val="90"/>
        </w:rPr>
        <w:t>células</w:t>
      </w:r>
      <w:r>
        <w:rPr>
          <w:spacing w:val="-4"/>
          <w:w w:val="90"/>
        </w:rPr>
        <w:t> </w:t>
      </w:r>
      <w:r>
        <w:rPr>
          <w:w w:val="90"/>
        </w:rPr>
        <w:t>muertas</w:t>
      </w:r>
      <w:r>
        <w:rPr>
          <w:spacing w:val="-6"/>
          <w:w w:val="90"/>
        </w:rPr>
        <w:t> </w:t>
      </w:r>
      <w:r>
        <w:rPr>
          <w:w w:val="90"/>
        </w:rPr>
        <w:t>encontradas </w:t>
      </w:r>
      <w:r>
        <w:rPr>
          <w:w w:val="95"/>
        </w:rPr>
        <w:t>en</w:t>
      </w:r>
      <w:r>
        <w:rPr>
          <w:spacing w:val="-15"/>
          <w:w w:val="95"/>
        </w:rPr>
        <w:t> </w:t>
      </w:r>
      <w:r>
        <w:rPr>
          <w:w w:val="95"/>
        </w:rPr>
        <w:t>10</w:t>
      </w:r>
      <w:r>
        <w:rPr>
          <w:spacing w:val="-16"/>
          <w:w w:val="95"/>
        </w:rPr>
        <w:t> </w:t>
      </w:r>
      <w:r>
        <w:rPr>
          <w:w w:val="95"/>
        </w:rPr>
        <w:t>túbulos</w:t>
      </w:r>
      <w:r>
        <w:rPr>
          <w:spacing w:val="-16"/>
          <w:w w:val="95"/>
        </w:rPr>
        <w:t> </w:t>
      </w:r>
      <w:r>
        <w:rPr>
          <w:w w:val="95"/>
        </w:rPr>
        <w:t>seminíferos</w:t>
      </w:r>
      <w:r>
        <w:rPr>
          <w:spacing w:val="-16"/>
          <w:w w:val="95"/>
        </w:rPr>
        <w:t> </w:t>
      </w:r>
      <w:r>
        <w:rPr>
          <w:w w:val="95"/>
        </w:rPr>
        <w:t>por</w:t>
      </w:r>
      <w:r>
        <w:rPr>
          <w:spacing w:val="-16"/>
          <w:w w:val="95"/>
        </w:rPr>
        <w:t> </w:t>
      </w:r>
      <w:r>
        <w:rPr>
          <w:w w:val="95"/>
        </w:rPr>
        <w:t>individuo,</w:t>
      </w:r>
      <w:r>
        <w:rPr>
          <w:spacing w:val="-15"/>
          <w:w w:val="95"/>
        </w:rPr>
        <w:t> </w:t>
      </w:r>
      <w:r>
        <w:rPr>
          <w:w w:val="95"/>
        </w:rPr>
        <w:t>además</w:t>
      </w:r>
      <w:r>
        <w:rPr>
          <w:spacing w:val="-16"/>
          <w:w w:val="95"/>
        </w:rPr>
        <w:t> </w:t>
      </w:r>
      <w:r>
        <w:rPr>
          <w:w w:val="95"/>
        </w:rPr>
        <w:t>se</w:t>
      </w:r>
      <w:r>
        <w:rPr>
          <w:spacing w:val="-15"/>
          <w:w w:val="95"/>
        </w:rPr>
        <w:t> </w:t>
      </w:r>
      <w:r>
        <w:rPr>
          <w:w w:val="95"/>
        </w:rPr>
        <w:t>crearon</w:t>
      </w:r>
      <w:r>
        <w:rPr>
          <w:spacing w:val="-15"/>
          <w:w w:val="95"/>
        </w:rPr>
        <w:t> </w:t>
      </w:r>
      <w:r>
        <w:rPr>
          <w:w w:val="95"/>
        </w:rPr>
        <w:t>categorías</w:t>
      </w:r>
      <w:r>
        <w:rPr>
          <w:spacing w:val="-17"/>
          <w:w w:val="95"/>
        </w:rPr>
        <w:t> </w:t>
      </w:r>
      <w:r>
        <w:rPr>
          <w:w w:val="95"/>
        </w:rPr>
        <w:t>con</w:t>
      </w:r>
      <w:r>
        <w:rPr>
          <w:spacing w:val="-15"/>
          <w:w w:val="95"/>
        </w:rPr>
        <w:t> </w:t>
      </w:r>
      <w:r>
        <w:rPr>
          <w:spacing w:val="5"/>
          <w:w w:val="95"/>
        </w:rPr>
        <w:t>base</w:t>
      </w:r>
      <w:r>
        <w:rPr>
          <w:spacing w:val="-16"/>
          <w:w w:val="95"/>
        </w:rPr>
        <w:t> </w:t>
      </w:r>
      <w:r>
        <w:rPr>
          <w:w w:val="95"/>
        </w:rPr>
        <w:t>en</w:t>
      </w:r>
      <w:r>
        <w:rPr>
          <w:spacing w:val="-15"/>
          <w:w w:val="95"/>
        </w:rPr>
        <w:t> </w:t>
      </w:r>
      <w:r>
        <w:rPr>
          <w:w w:val="95"/>
        </w:rPr>
        <w:t>la </w:t>
      </w:r>
      <w:r>
        <w:rPr>
          <w:w w:val="90"/>
        </w:rPr>
        <w:t>morfología</w:t>
      </w:r>
      <w:r>
        <w:rPr>
          <w:spacing w:val="-17"/>
          <w:w w:val="90"/>
        </w:rPr>
        <w:t> </w:t>
      </w:r>
      <w:r>
        <w:rPr>
          <w:w w:val="90"/>
        </w:rPr>
        <w:t>del</w:t>
      </w:r>
      <w:r>
        <w:rPr>
          <w:spacing w:val="-17"/>
          <w:w w:val="90"/>
        </w:rPr>
        <w:t> </w:t>
      </w:r>
      <w:r>
        <w:rPr>
          <w:w w:val="90"/>
        </w:rPr>
        <w:t>túbulo</w:t>
      </w:r>
      <w:r>
        <w:rPr>
          <w:spacing w:val="-15"/>
          <w:w w:val="90"/>
        </w:rPr>
        <w:t> </w:t>
      </w:r>
      <w:r>
        <w:rPr>
          <w:w w:val="90"/>
        </w:rPr>
        <w:t>seminífero,</w:t>
      </w:r>
      <w:r>
        <w:rPr>
          <w:spacing w:val="-15"/>
          <w:w w:val="90"/>
        </w:rPr>
        <w:t> </w:t>
      </w:r>
      <w:r>
        <w:rPr>
          <w:w w:val="90"/>
        </w:rPr>
        <w:t>en</w:t>
      </w:r>
      <w:r>
        <w:rPr>
          <w:spacing w:val="-15"/>
          <w:w w:val="90"/>
        </w:rPr>
        <w:t> </w:t>
      </w:r>
      <w:r>
        <w:rPr>
          <w:w w:val="90"/>
        </w:rPr>
        <w:t>la</w:t>
      </w:r>
      <w:r>
        <w:rPr>
          <w:spacing w:val="-17"/>
          <w:w w:val="90"/>
        </w:rPr>
        <w:t> </w:t>
      </w:r>
      <w:r>
        <w:rPr>
          <w:w w:val="90"/>
        </w:rPr>
        <w:t>figura</w:t>
      </w:r>
      <w:r>
        <w:rPr>
          <w:spacing w:val="-17"/>
          <w:w w:val="90"/>
        </w:rPr>
        <w:t> </w:t>
      </w:r>
      <w:r>
        <w:rPr>
          <w:w w:val="90"/>
        </w:rPr>
        <w:t>1.3.2</w:t>
      </w:r>
      <w:r>
        <w:rPr>
          <w:spacing w:val="-15"/>
          <w:w w:val="90"/>
        </w:rPr>
        <w:t> </w:t>
      </w:r>
      <w:r>
        <w:rPr>
          <w:w w:val="90"/>
        </w:rPr>
        <w:t>se</w:t>
      </w:r>
      <w:r>
        <w:rPr>
          <w:spacing w:val="-15"/>
          <w:w w:val="90"/>
        </w:rPr>
        <w:t> </w:t>
      </w:r>
      <w:r>
        <w:rPr>
          <w:w w:val="90"/>
        </w:rPr>
        <w:t>presenta</w:t>
      </w:r>
      <w:r>
        <w:rPr>
          <w:spacing w:val="-17"/>
          <w:w w:val="90"/>
        </w:rPr>
        <w:t> </w:t>
      </w:r>
      <w:r>
        <w:rPr>
          <w:w w:val="90"/>
        </w:rPr>
        <w:t>la</w:t>
      </w:r>
      <w:r>
        <w:rPr>
          <w:spacing w:val="-15"/>
          <w:w w:val="90"/>
        </w:rPr>
        <w:t> </w:t>
      </w:r>
      <w:r>
        <w:rPr>
          <w:w w:val="90"/>
        </w:rPr>
        <w:t>distribución</w:t>
      </w:r>
      <w:r>
        <w:rPr>
          <w:spacing w:val="-15"/>
          <w:w w:val="90"/>
        </w:rPr>
        <w:t> </w:t>
      </w:r>
      <w:r>
        <w:rPr>
          <w:w w:val="90"/>
        </w:rPr>
        <w:t>de</w:t>
      </w:r>
      <w:r>
        <w:rPr>
          <w:spacing w:val="-17"/>
          <w:w w:val="90"/>
        </w:rPr>
        <w:t> </w:t>
      </w:r>
      <w:r>
        <w:rPr>
          <w:w w:val="90"/>
        </w:rPr>
        <w:t>los</w:t>
      </w:r>
      <w:r>
        <w:rPr>
          <w:spacing w:val="-16"/>
          <w:w w:val="90"/>
        </w:rPr>
        <w:t> </w:t>
      </w:r>
      <w:r>
        <w:rPr>
          <w:w w:val="90"/>
        </w:rPr>
        <w:t>grupos según</w:t>
      </w:r>
      <w:r>
        <w:rPr>
          <w:spacing w:val="-22"/>
          <w:w w:val="90"/>
        </w:rPr>
        <w:t> </w:t>
      </w:r>
      <w:r>
        <w:rPr>
          <w:w w:val="90"/>
        </w:rPr>
        <w:t>su</w:t>
      </w:r>
      <w:r>
        <w:rPr>
          <w:spacing w:val="-22"/>
          <w:w w:val="90"/>
        </w:rPr>
        <w:t> </w:t>
      </w:r>
      <w:r>
        <w:rPr>
          <w:w w:val="90"/>
        </w:rPr>
        <w:t>susceptibilidad</w:t>
      </w:r>
      <w:r>
        <w:rPr>
          <w:spacing w:val="-22"/>
          <w:w w:val="90"/>
        </w:rPr>
        <w:t> </w:t>
      </w:r>
      <w:r>
        <w:rPr>
          <w:w w:val="90"/>
        </w:rPr>
        <w:t>y</w:t>
      </w:r>
      <w:r>
        <w:rPr>
          <w:spacing w:val="-23"/>
          <w:w w:val="90"/>
        </w:rPr>
        <w:t> </w:t>
      </w:r>
      <w:r>
        <w:rPr>
          <w:w w:val="90"/>
        </w:rPr>
        <w:t>el</w:t>
      </w:r>
      <w:r>
        <w:rPr>
          <w:spacing w:val="-23"/>
          <w:w w:val="90"/>
        </w:rPr>
        <w:t> </w:t>
      </w:r>
      <w:r>
        <w:rPr>
          <w:w w:val="90"/>
        </w:rPr>
        <w:t>tratamiento.</w:t>
      </w:r>
    </w:p>
    <w:p>
      <w:pPr>
        <w:pStyle w:val="BodyText"/>
        <w:spacing w:before="3"/>
        <w:rPr>
          <w:sz w:val="14"/>
        </w:rPr>
      </w:pPr>
      <w:r>
        <w:rPr/>
        <w:drawing>
          <wp:anchor distT="0" distB="0" distL="0" distR="0" allowOverlap="1" layoutInCell="1" locked="0" behindDoc="0" simplePos="0" relativeHeight="1480">
            <wp:simplePos x="0" y="0"/>
            <wp:positionH relativeFrom="page">
              <wp:posOffset>1649729</wp:posOffset>
            </wp:positionH>
            <wp:positionV relativeFrom="paragraph">
              <wp:posOffset>129081</wp:posOffset>
            </wp:positionV>
            <wp:extent cx="4666970" cy="2121408"/>
            <wp:effectExtent l="0" t="0" r="0" b="0"/>
            <wp:wrapTopAndBottom/>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40" cstate="print"/>
                    <a:stretch>
                      <a:fillRect/>
                    </a:stretch>
                  </pic:blipFill>
                  <pic:spPr>
                    <a:xfrm>
                      <a:off x="0" y="0"/>
                      <a:ext cx="4666970" cy="2121408"/>
                    </a:xfrm>
                    <a:prstGeom prst="rect">
                      <a:avLst/>
                    </a:prstGeom>
                  </pic:spPr>
                </pic:pic>
              </a:graphicData>
            </a:graphic>
          </wp:anchor>
        </w:drawing>
      </w:r>
    </w:p>
    <w:p>
      <w:pPr>
        <w:pStyle w:val="BodyText"/>
        <w:rPr>
          <w:sz w:val="26"/>
        </w:rPr>
      </w:pPr>
    </w:p>
    <w:p>
      <w:pPr>
        <w:pStyle w:val="BodyText"/>
        <w:spacing w:line="360" w:lineRule="auto"/>
        <w:ind w:left="265" w:right="134"/>
        <w:jc w:val="both"/>
      </w:pPr>
      <w:r>
        <w:rPr>
          <w:w w:val="90"/>
        </w:rPr>
        <w:t>Figura</w:t>
      </w:r>
      <w:r>
        <w:rPr>
          <w:spacing w:val="-13"/>
          <w:w w:val="90"/>
        </w:rPr>
        <w:t> </w:t>
      </w:r>
      <w:r>
        <w:rPr>
          <w:w w:val="90"/>
        </w:rPr>
        <w:t>1.3.2.</w:t>
      </w:r>
      <w:r>
        <w:rPr>
          <w:spacing w:val="-14"/>
          <w:w w:val="90"/>
        </w:rPr>
        <w:t> </w:t>
      </w:r>
      <w:r>
        <w:rPr>
          <w:w w:val="90"/>
        </w:rPr>
        <w:t>Número</w:t>
      </w:r>
      <w:r>
        <w:rPr>
          <w:spacing w:val="-13"/>
          <w:w w:val="90"/>
        </w:rPr>
        <w:t> </w:t>
      </w:r>
      <w:r>
        <w:rPr>
          <w:w w:val="90"/>
        </w:rPr>
        <w:t>de</w:t>
      </w:r>
      <w:r>
        <w:rPr>
          <w:spacing w:val="-14"/>
          <w:w w:val="90"/>
        </w:rPr>
        <w:t> </w:t>
      </w:r>
      <w:r>
        <w:rPr>
          <w:w w:val="90"/>
        </w:rPr>
        <w:t>células</w:t>
      </w:r>
      <w:r>
        <w:rPr>
          <w:spacing w:val="-15"/>
          <w:w w:val="90"/>
        </w:rPr>
        <w:t> </w:t>
      </w:r>
      <w:r>
        <w:rPr>
          <w:w w:val="90"/>
        </w:rPr>
        <w:t>germinales</w:t>
      </w:r>
      <w:r>
        <w:rPr>
          <w:spacing w:val="-15"/>
          <w:w w:val="90"/>
        </w:rPr>
        <w:t> </w:t>
      </w:r>
      <w:r>
        <w:rPr>
          <w:w w:val="90"/>
        </w:rPr>
        <w:t>muertas</w:t>
      </w:r>
      <w:r>
        <w:rPr>
          <w:spacing w:val="-15"/>
          <w:w w:val="90"/>
        </w:rPr>
        <w:t> </w:t>
      </w:r>
      <w:r>
        <w:rPr>
          <w:w w:val="90"/>
        </w:rPr>
        <w:t>por</w:t>
      </w:r>
      <w:r>
        <w:rPr>
          <w:spacing w:val="-14"/>
          <w:w w:val="90"/>
        </w:rPr>
        <w:t> </w:t>
      </w:r>
      <w:r>
        <w:rPr>
          <w:w w:val="90"/>
        </w:rPr>
        <w:t>apoptosis,</w:t>
      </w:r>
      <w:r>
        <w:rPr>
          <w:spacing w:val="-13"/>
          <w:w w:val="90"/>
        </w:rPr>
        <w:t> </w:t>
      </w:r>
      <w:r>
        <w:rPr>
          <w:w w:val="90"/>
        </w:rPr>
        <w:t>agrupadas</w:t>
      </w:r>
      <w:r>
        <w:rPr>
          <w:spacing w:val="-15"/>
          <w:w w:val="90"/>
        </w:rPr>
        <w:t> </w:t>
      </w:r>
      <w:r>
        <w:rPr>
          <w:w w:val="90"/>
        </w:rPr>
        <w:t>de</w:t>
      </w:r>
      <w:r>
        <w:rPr>
          <w:spacing w:val="-13"/>
          <w:w w:val="90"/>
        </w:rPr>
        <w:t> </w:t>
      </w:r>
      <w:r>
        <w:rPr>
          <w:w w:val="90"/>
        </w:rPr>
        <w:t>acuerdo a</w:t>
      </w:r>
      <w:r>
        <w:rPr>
          <w:spacing w:val="-15"/>
          <w:w w:val="90"/>
        </w:rPr>
        <w:t> </w:t>
      </w:r>
      <w:r>
        <w:rPr>
          <w:w w:val="90"/>
        </w:rPr>
        <w:t>su</w:t>
      </w:r>
      <w:r>
        <w:rPr>
          <w:spacing w:val="-16"/>
          <w:w w:val="90"/>
        </w:rPr>
        <w:t> </w:t>
      </w:r>
      <w:r>
        <w:rPr>
          <w:w w:val="90"/>
        </w:rPr>
        <w:t>susceptibilidad</w:t>
      </w:r>
      <w:r>
        <w:rPr>
          <w:spacing w:val="-16"/>
          <w:w w:val="90"/>
        </w:rPr>
        <w:t> </w:t>
      </w:r>
      <w:r>
        <w:rPr>
          <w:w w:val="90"/>
        </w:rPr>
        <w:t>(baja</w:t>
      </w:r>
      <w:r>
        <w:rPr>
          <w:spacing w:val="-15"/>
          <w:w w:val="90"/>
        </w:rPr>
        <w:t> </w:t>
      </w:r>
      <w:r>
        <w:rPr>
          <w:w w:val="90"/>
        </w:rPr>
        <w:t>o</w:t>
      </w:r>
      <w:r>
        <w:rPr>
          <w:spacing w:val="-15"/>
          <w:w w:val="90"/>
        </w:rPr>
        <w:t> </w:t>
      </w:r>
      <w:r>
        <w:rPr>
          <w:w w:val="90"/>
        </w:rPr>
        <w:t>alta)</w:t>
      </w:r>
      <w:r>
        <w:rPr>
          <w:spacing w:val="-15"/>
          <w:w w:val="90"/>
        </w:rPr>
        <w:t> </w:t>
      </w:r>
      <w:r>
        <w:rPr>
          <w:w w:val="90"/>
        </w:rPr>
        <w:t>y</w:t>
      </w:r>
      <w:r>
        <w:rPr>
          <w:spacing w:val="-17"/>
          <w:w w:val="90"/>
        </w:rPr>
        <w:t> </w:t>
      </w:r>
      <w:r>
        <w:rPr>
          <w:w w:val="90"/>
        </w:rPr>
        <w:t>por</w:t>
      </w:r>
      <w:r>
        <w:rPr>
          <w:spacing w:val="-15"/>
          <w:w w:val="90"/>
        </w:rPr>
        <w:t> </w:t>
      </w:r>
      <w:r>
        <w:rPr>
          <w:w w:val="90"/>
        </w:rPr>
        <w:t>tratamiento.</w:t>
      </w:r>
      <w:r>
        <w:rPr>
          <w:spacing w:val="-16"/>
          <w:w w:val="90"/>
        </w:rPr>
        <w:t> </w:t>
      </w:r>
      <w:r>
        <w:rPr>
          <w:w w:val="90"/>
        </w:rPr>
        <w:t>Los</w:t>
      </w:r>
      <w:r>
        <w:rPr>
          <w:spacing w:val="-17"/>
          <w:w w:val="90"/>
        </w:rPr>
        <w:t> </w:t>
      </w:r>
      <w:r>
        <w:rPr>
          <w:w w:val="90"/>
        </w:rPr>
        <w:t>túbulos</w:t>
      </w:r>
      <w:r>
        <w:rPr>
          <w:spacing w:val="-15"/>
          <w:w w:val="90"/>
        </w:rPr>
        <w:t> </w:t>
      </w:r>
      <w:r>
        <w:rPr>
          <w:w w:val="90"/>
        </w:rPr>
        <w:t>se</w:t>
      </w:r>
      <w:r>
        <w:rPr>
          <w:spacing w:val="-15"/>
          <w:w w:val="90"/>
        </w:rPr>
        <w:t> </w:t>
      </w:r>
      <w:r>
        <w:rPr>
          <w:w w:val="90"/>
        </w:rPr>
        <w:t>clasificaron</w:t>
      </w:r>
      <w:r>
        <w:rPr>
          <w:spacing w:val="-15"/>
          <w:w w:val="90"/>
        </w:rPr>
        <w:t> </w:t>
      </w:r>
      <w:r>
        <w:rPr>
          <w:w w:val="90"/>
        </w:rPr>
        <w:t>por</w:t>
      </w:r>
      <w:r>
        <w:rPr>
          <w:spacing w:val="-16"/>
          <w:w w:val="90"/>
        </w:rPr>
        <w:t> </w:t>
      </w:r>
      <w:r>
        <w:rPr>
          <w:w w:val="90"/>
        </w:rPr>
        <w:t>tamaño</w:t>
      </w:r>
      <w:r>
        <w:rPr>
          <w:spacing w:val="-15"/>
          <w:w w:val="90"/>
        </w:rPr>
        <w:t> </w:t>
      </w:r>
      <w:r>
        <w:rPr>
          <w:w w:val="90"/>
        </w:rPr>
        <w:t>y</w:t>
      </w:r>
    </w:p>
    <w:p>
      <w:pPr>
        <w:spacing w:after="0" w:line="360" w:lineRule="auto"/>
        <w:jc w:val="both"/>
        <w:sectPr>
          <w:footerReference w:type="default" r:id="rId38"/>
          <w:pgSz w:w="12240" w:h="15840"/>
          <w:pgMar w:footer="1680" w:header="0" w:top="1500" w:bottom="1860" w:left="1720" w:right="1580"/>
          <w:pgNumType w:start="71"/>
        </w:sectPr>
      </w:pPr>
    </w:p>
    <w:p>
      <w:pPr>
        <w:pStyle w:val="BodyText"/>
        <w:rPr>
          <w:sz w:val="20"/>
        </w:rPr>
      </w:pPr>
    </w:p>
    <w:p>
      <w:pPr>
        <w:pStyle w:val="BodyText"/>
        <w:spacing w:before="2"/>
        <w:rPr>
          <w:sz w:val="16"/>
        </w:rPr>
      </w:pPr>
    </w:p>
    <w:p>
      <w:pPr>
        <w:pStyle w:val="BodyText"/>
        <w:spacing w:line="360" w:lineRule="auto" w:before="69"/>
        <w:ind w:left="265" w:right="120"/>
        <w:jc w:val="both"/>
      </w:pPr>
      <w:r>
        <w:rPr>
          <w:w w:val="95"/>
        </w:rPr>
        <w:t>forma,</w:t>
      </w:r>
      <w:r>
        <w:rPr>
          <w:spacing w:val="-30"/>
          <w:w w:val="95"/>
        </w:rPr>
        <w:t> </w:t>
      </w:r>
      <w:r>
        <w:rPr>
          <w:w w:val="95"/>
        </w:rPr>
        <w:t>los</w:t>
      </w:r>
      <w:r>
        <w:rPr>
          <w:spacing w:val="-30"/>
          <w:w w:val="95"/>
        </w:rPr>
        <w:t> </w:t>
      </w:r>
      <w:r>
        <w:rPr>
          <w:w w:val="95"/>
        </w:rPr>
        <w:t>del</w:t>
      </w:r>
      <w:r>
        <w:rPr>
          <w:spacing w:val="-32"/>
          <w:w w:val="95"/>
        </w:rPr>
        <w:t> </w:t>
      </w:r>
      <w:r>
        <w:rPr>
          <w:w w:val="95"/>
        </w:rPr>
        <w:t>tipo</w:t>
      </w:r>
      <w:r>
        <w:rPr>
          <w:spacing w:val="-30"/>
          <w:w w:val="95"/>
        </w:rPr>
        <w:t> </w:t>
      </w:r>
      <w:r>
        <w:rPr>
          <w:w w:val="95"/>
        </w:rPr>
        <w:t>1,</w:t>
      </w:r>
      <w:r>
        <w:rPr>
          <w:spacing w:val="-31"/>
          <w:w w:val="95"/>
        </w:rPr>
        <w:t> </w:t>
      </w:r>
      <w:r>
        <w:rPr>
          <w:w w:val="95"/>
        </w:rPr>
        <w:t>redondos</w:t>
      </w:r>
      <w:r>
        <w:rPr>
          <w:spacing w:val="-30"/>
          <w:w w:val="95"/>
        </w:rPr>
        <w:t> </w:t>
      </w:r>
      <w:r>
        <w:rPr>
          <w:w w:val="95"/>
        </w:rPr>
        <w:t>y</w:t>
      </w:r>
      <w:r>
        <w:rPr>
          <w:spacing w:val="-30"/>
          <w:w w:val="95"/>
        </w:rPr>
        <w:t> </w:t>
      </w:r>
      <w:r>
        <w:rPr>
          <w:w w:val="95"/>
        </w:rPr>
        <w:t>pequeños,</w:t>
      </w:r>
      <w:r>
        <w:rPr>
          <w:spacing w:val="-31"/>
          <w:w w:val="95"/>
        </w:rPr>
        <w:t> </w:t>
      </w:r>
      <w:r>
        <w:rPr>
          <w:w w:val="95"/>
        </w:rPr>
        <w:t>los</w:t>
      </w:r>
      <w:r>
        <w:rPr>
          <w:spacing w:val="-30"/>
          <w:w w:val="95"/>
        </w:rPr>
        <w:t> </w:t>
      </w:r>
      <w:r>
        <w:rPr>
          <w:w w:val="95"/>
        </w:rPr>
        <w:t>del</w:t>
      </w:r>
      <w:r>
        <w:rPr>
          <w:spacing w:val="-30"/>
          <w:w w:val="95"/>
        </w:rPr>
        <w:t> </w:t>
      </w:r>
      <w:r>
        <w:rPr>
          <w:w w:val="95"/>
        </w:rPr>
        <w:t>tipo</w:t>
      </w:r>
      <w:r>
        <w:rPr>
          <w:spacing w:val="-30"/>
          <w:w w:val="95"/>
        </w:rPr>
        <w:t> </w:t>
      </w:r>
      <w:r>
        <w:rPr>
          <w:w w:val="95"/>
        </w:rPr>
        <w:t>2,</w:t>
      </w:r>
      <w:r>
        <w:rPr>
          <w:spacing w:val="-30"/>
          <w:w w:val="95"/>
        </w:rPr>
        <w:t> </w:t>
      </w:r>
      <w:r>
        <w:rPr>
          <w:w w:val="95"/>
        </w:rPr>
        <w:t>mismo</w:t>
      </w:r>
      <w:r>
        <w:rPr>
          <w:spacing w:val="-31"/>
          <w:w w:val="95"/>
        </w:rPr>
        <w:t> </w:t>
      </w:r>
      <w:r>
        <w:rPr>
          <w:w w:val="95"/>
        </w:rPr>
        <w:t>tamaño</w:t>
      </w:r>
      <w:r>
        <w:rPr>
          <w:spacing w:val="-30"/>
          <w:w w:val="95"/>
        </w:rPr>
        <w:t> </w:t>
      </w:r>
      <w:r>
        <w:rPr>
          <w:w w:val="95"/>
        </w:rPr>
        <w:t>que</w:t>
      </w:r>
      <w:r>
        <w:rPr>
          <w:spacing w:val="-31"/>
          <w:w w:val="95"/>
        </w:rPr>
        <w:t> </w:t>
      </w:r>
      <w:r>
        <w:rPr>
          <w:w w:val="95"/>
        </w:rPr>
        <w:t>los</w:t>
      </w:r>
      <w:r>
        <w:rPr>
          <w:spacing w:val="-30"/>
          <w:w w:val="95"/>
        </w:rPr>
        <w:t> </w:t>
      </w:r>
      <w:r>
        <w:rPr>
          <w:w w:val="95"/>
        </w:rPr>
        <w:t>de</w:t>
      </w:r>
      <w:r>
        <w:rPr>
          <w:spacing w:val="-30"/>
          <w:w w:val="95"/>
        </w:rPr>
        <w:t> </w:t>
      </w:r>
      <w:r>
        <w:rPr>
          <w:w w:val="95"/>
        </w:rPr>
        <w:t>tipo</w:t>
      </w:r>
      <w:r>
        <w:rPr>
          <w:spacing w:val="-30"/>
          <w:w w:val="95"/>
        </w:rPr>
        <w:t> </w:t>
      </w:r>
      <w:r>
        <w:rPr>
          <w:w w:val="95"/>
        </w:rPr>
        <w:t>1 pero</w:t>
      </w:r>
      <w:r>
        <w:rPr>
          <w:spacing w:val="-37"/>
          <w:w w:val="95"/>
        </w:rPr>
        <w:t> </w:t>
      </w:r>
      <w:r>
        <w:rPr>
          <w:w w:val="95"/>
        </w:rPr>
        <w:t>levemente</w:t>
      </w:r>
      <w:r>
        <w:rPr>
          <w:spacing w:val="-37"/>
          <w:w w:val="95"/>
        </w:rPr>
        <w:t> </w:t>
      </w:r>
      <w:r>
        <w:rPr>
          <w:w w:val="95"/>
        </w:rPr>
        <w:t>elípticos,</w:t>
      </w:r>
      <w:r>
        <w:rPr>
          <w:spacing w:val="-37"/>
          <w:w w:val="95"/>
        </w:rPr>
        <w:t> </w:t>
      </w:r>
      <w:r>
        <w:rPr>
          <w:w w:val="95"/>
        </w:rPr>
        <w:t>los</w:t>
      </w:r>
      <w:r>
        <w:rPr>
          <w:spacing w:val="-37"/>
          <w:w w:val="95"/>
        </w:rPr>
        <w:t> </w:t>
      </w:r>
      <w:r>
        <w:rPr>
          <w:w w:val="95"/>
        </w:rPr>
        <w:t>de</w:t>
      </w:r>
      <w:r>
        <w:rPr>
          <w:spacing w:val="-37"/>
          <w:w w:val="95"/>
        </w:rPr>
        <w:t> </w:t>
      </w:r>
      <w:r>
        <w:rPr>
          <w:w w:val="95"/>
        </w:rPr>
        <w:t>tipo</w:t>
      </w:r>
      <w:r>
        <w:rPr>
          <w:spacing w:val="-37"/>
          <w:w w:val="95"/>
        </w:rPr>
        <w:t> </w:t>
      </w:r>
      <w:r>
        <w:rPr>
          <w:w w:val="95"/>
        </w:rPr>
        <w:t>3</w:t>
      </w:r>
      <w:r>
        <w:rPr>
          <w:spacing w:val="-36"/>
          <w:w w:val="95"/>
        </w:rPr>
        <w:t> </w:t>
      </w:r>
      <w:r>
        <w:rPr>
          <w:w w:val="95"/>
        </w:rPr>
        <w:t>y</w:t>
      </w:r>
      <w:r>
        <w:rPr>
          <w:spacing w:val="-37"/>
          <w:w w:val="95"/>
        </w:rPr>
        <w:t> </w:t>
      </w:r>
      <w:r>
        <w:rPr>
          <w:w w:val="95"/>
        </w:rPr>
        <w:t>4</w:t>
      </w:r>
      <w:r>
        <w:rPr>
          <w:spacing w:val="-37"/>
          <w:w w:val="95"/>
        </w:rPr>
        <w:t> </w:t>
      </w:r>
      <w:r>
        <w:rPr>
          <w:w w:val="95"/>
        </w:rPr>
        <w:t>alargados,</w:t>
      </w:r>
      <w:r>
        <w:rPr>
          <w:spacing w:val="-37"/>
          <w:w w:val="95"/>
        </w:rPr>
        <w:t> </w:t>
      </w:r>
      <w:r>
        <w:rPr>
          <w:w w:val="95"/>
        </w:rPr>
        <w:t>del</w:t>
      </w:r>
      <w:r>
        <w:rPr>
          <w:spacing w:val="-37"/>
          <w:w w:val="95"/>
        </w:rPr>
        <w:t> </w:t>
      </w:r>
      <w:r>
        <w:rPr>
          <w:w w:val="95"/>
        </w:rPr>
        <w:t>doble</w:t>
      </w:r>
      <w:r>
        <w:rPr>
          <w:spacing w:val="-37"/>
          <w:w w:val="95"/>
        </w:rPr>
        <w:t> </w:t>
      </w:r>
      <w:r>
        <w:rPr>
          <w:w w:val="95"/>
        </w:rPr>
        <w:t>de</w:t>
      </w:r>
      <w:r>
        <w:rPr>
          <w:spacing w:val="-37"/>
          <w:w w:val="95"/>
        </w:rPr>
        <w:t> </w:t>
      </w:r>
      <w:r>
        <w:rPr>
          <w:w w:val="95"/>
        </w:rPr>
        <w:t>tamaño</w:t>
      </w:r>
      <w:r>
        <w:rPr>
          <w:spacing w:val="-37"/>
          <w:w w:val="95"/>
        </w:rPr>
        <w:t> </w:t>
      </w:r>
      <w:r>
        <w:rPr>
          <w:w w:val="95"/>
        </w:rPr>
        <w:t>que</w:t>
      </w:r>
      <w:r>
        <w:rPr>
          <w:spacing w:val="-37"/>
          <w:w w:val="95"/>
        </w:rPr>
        <w:t> </w:t>
      </w:r>
      <w:r>
        <w:rPr>
          <w:w w:val="95"/>
        </w:rPr>
        <w:t>los</w:t>
      </w:r>
      <w:r>
        <w:rPr>
          <w:spacing w:val="-37"/>
          <w:w w:val="95"/>
        </w:rPr>
        <w:t> </w:t>
      </w:r>
      <w:r>
        <w:rPr>
          <w:w w:val="95"/>
        </w:rPr>
        <w:t>del</w:t>
      </w:r>
      <w:r>
        <w:rPr>
          <w:spacing w:val="-37"/>
          <w:w w:val="95"/>
        </w:rPr>
        <w:t> </w:t>
      </w:r>
      <w:r>
        <w:rPr>
          <w:w w:val="95"/>
        </w:rPr>
        <w:t>ti</w:t>
      </w:r>
      <w:r>
        <w:rPr>
          <w:spacing w:val="-56"/>
          <w:w w:val="95"/>
        </w:rPr>
        <w:t> </w:t>
      </w:r>
      <w:r>
        <w:rPr>
          <w:w w:val="95"/>
        </w:rPr>
        <w:t>pos 1 y</w:t>
      </w:r>
      <w:r>
        <w:rPr>
          <w:spacing w:val="-46"/>
          <w:w w:val="95"/>
        </w:rPr>
        <w:t> </w:t>
      </w:r>
      <w:r>
        <w:rPr>
          <w:w w:val="95"/>
        </w:rPr>
        <w:t>2.</w:t>
      </w:r>
    </w:p>
    <w:p>
      <w:pPr>
        <w:pStyle w:val="BodyText"/>
      </w:pPr>
    </w:p>
    <w:p>
      <w:pPr>
        <w:pStyle w:val="BodyText"/>
      </w:pPr>
    </w:p>
    <w:p>
      <w:pPr>
        <w:pStyle w:val="BodyText"/>
        <w:spacing w:before="2"/>
        <w:rPr>
          <w:sz w:val="23"/>
        </w:rPr>
      </w:pPr>
    </w:p>
    <w:p>
      <w:pPr>
        <w:pStyle w:val="BodyText"/>
        <w:spacing w:line="360" w:lineRule="auto"/>
        <w:ind w:left="265" w:right="125"/>
        <w:jc w:val="both"/>
      </w:pPr>
      <w:r>
        <w:rPr>
          <w:w w:val="90"/>
        </w:rPr>
        <w:t>Una</w:t>
      </w:r>
      <w:r>
        <w:rPr>
          <w:spacing w:val="-12"/>
          <w:w w:val="90"/>
        </w:rPr>
        <w:t> </w:t>
      </w:r>
      <w:r>
        <w:rPr>
          <w:w w:val="90"/>
        </w:rPr>
        <w:t>vez</w:t>
      </w:r>
      <w:r>
        <w:rPr>
          <w:spacing w:val="-14"/>
          <w:w w:val="90"/>
        </w:rPr>
        <w:t> </w:t>
      </w:r>
      <w:r>
        <w:rPr>
          <w:w w:val="90"/>
        </w:rPr>
        <w:t>identificados</w:t>
      </w:r>
      <w:r>
        <w:rPr>
          <w:spacing w:val="-14"/>
          <w:w w:val="90"/>
        </w:rPr>
        <w:t> </w:t>
      </w:r>
      <w:r>
        <w:rPr>
          <w:w w:val="90"/>
        </w:rPr>
        <w:t>los</w:t>
      </w:r>
      <w:r>
        <w:rPr>
          <w:spacing w:val="-12"/>
          <w:w w:val="90"/>
        </w:rPr>
        <w:t> </w:t>
      </w:r>
      <w:r>
        <w:rPr>
          <w:w w:val="90"/>
        </w:rPr>
        <w:t>animales</w:t>
      </w:r>
      <w:r>
        <w:rPr>
          <w:spacing w:val="-12"/>
          <w:w w:val="90"/>
        </w:rPr>
        <w:t> </w:t>
      </w:r>
      <w:r>
        <w:rPr>
          <w:w w:val="90"/>
        </w:rPr>
        <w:t>con</w:t>
      </w:r>
      <w:r>
        <w:rPr>
          <w:spacing w:val="-14"/>
          <w:w w:val="90"/>
        </w:rPr>
        <w:t> </w:t>
      </w:r>
      <w:r>
        <w:rPr>
          <w:w w:val="90"/>
        </w:rPr>
        <w:t>una</w:t>
      </w:r>
      <w:r>
        <w:rPr>
          <w:spacing w:val="-12"/>
          <w:w w:val="90"/>
        </w:rPr>
        <w:t> </w:t>
      </w:r>
      <w:r>
        <w:rPr>
          <w:w w:val="90"/>
        </w:rPr>
        <w:t>baja</w:t>
      </w:r>
      <w:r>
        <w:rPr>
          <w:spacing w:val="-12"/>
          <w:w w:val="90"/>
        </w:rPr>
        <w:t> </w:t>
      </w:r>
      <w:r>
        <w:rPr>
          <w:w w:val="90"/>
        </w:rPr>
        <w:t>o</w:t>
      </w:r>
      <w:r>
        <w:rPr>
          <w:spacing w:val="-14"/>
          <w:w w:val="90"/>
        </w:rPr>
        <w:t> </w:t>
      </w:r>
      <w:r>
        <w:rPr>
          <w:w w:val="90"/>
        </w:rPr>
        <w:t>alta</w:t>
      </w:r>
      <w:r>
        <w:rPr>
          <w:spacing w:val="-12"/>
          <w:w w:val="90"/>
        </w:rPr>
        <w:t> </w:t>
      </w:r>
      <w:r>
        <w:rPr>
          <w:w w:val="90"/>
        </w:rPr>
        <w:t>susceptibilidad</w:t>
      </w:r>
      <w:r>
        <w:rPr>
          <w:spacing w:val="-14"/>
          <w:w w:val="90"/>
        </w:rPr>
        <w:t> </w:t>
      </w:r>
      <w:r>
        <w:rPr>
          <w:w w:val="90"/>
        </w:rPr>
        <w:t>a</w:t>
      </w:r>
      <w:r>
        <w:rPr>
          <w:spacing w:val="-14"/>
          <w:w w:val="90"/>
        </w:rPr>
        <w:t> </w:t>
      </w:r>
      <w:r>
        <w:rPr>
          <w:w w:val="90"/>
        </w:rPr>
        <w:t>la</w:t>
      </w:r>
      <w:r>
        <w:rPr>
          <w:spacing w:val="-12"/>
          <w:w w:val="90"/>
        </w:rPr>
        <w:t> </w:t>
      </w:r>
      <w:r>
        <w:rPr>
          <w:w w:val="90"/>
        </w:rPr>
        <w:t>apoptosis</w:t>
      </w:r>
      <w:r>
        <w:rPr>
          <w:spacing w:val="-14"/>
          <w:w w:val="90"/>
        </w:rPr>
        <w:t> </w:t>
      </w:r>
      <w:r>
        <w:rPr>
          <w:w w:val="90"/>
        </w:rPr>
        <w:t>de</w:t>
      </w:r>
      <w:r>
        <w:rPr>
          <w:spacing w:val="-14"/>
          <w:w w:val="90"/>
        </w:rPr>
        <w:t> </w:t>
      </w:r>
      <w:r>
        <w:rPr>
          <w:w w:val="90"/>
        </w:rPr>
        <w:t>las células</w:t>
      </w:r>
      <w:r>
        <w:rPr>
          <w:spacing w:val="-14"/>
          <w:w w:val="90"/>
        </w:rPr>
        <w:t> </w:t>
      </w:r>
      <w:r>
        <w:rPr>
          <w:w w:val="90"/>
        </w:rPr>
        <w:t>germinales,</w:t>
      </w:r>
      <w:r>
        <w:rPr>
          <w:spacing w:val="-12"/>
          <w:w w:val="90"/>
        </w:rPr>
        <w:t> </w:t>
      </w:r>
      <w:r>
        <w:rPr>
          <w:w w:val="90"/>
        </w:rPr>
        <w:t>se</w:t>
      </w:r>
      <w:r>
        <w:rPr>
          <w:spacing w:val="-14"/>
          <w:w w:val="90"/>
        </w:rPr>
        <w:t> </w:t>
      </w:r>
      <w:r>
        <w:rPr>
          <w:w w:val="90"/>
        </w:rPr>
        <w:t>identificaron</w:t>
      </w:r>
      <w:r>
        <w:rPr>
          <w:spacing w:val="-14"/>
          <w:w w:val="90"/>
        </w:rPr>
        <w:t> </w:t>
      </w:r>
      <w:r>
        <w:rPr>
          <w:w w:val="90"/>
        </w:rPr>
        <w:t>las</w:t>
      </w:r>
      <w:r>
        <w:rPr>
          <w:spacing w:val="-12"/>
          <w:w w:val="90"/>
        </w:rPr>
        <w:t> </w:t>
      </w:r>
      <w:r>
        <w:rPr>
          <w:w w:val="90"/>
        </w:rPr>
        <w:t>diferencias</w:t>
      </w:r>
      <w:r>
        <w:rPr>
          <w:spacing w:val="-12"/>
          <w:w w:val="90"/>
        </w:rPr>
        <w:t> </w:t>
      </w:r>
      <w:r>
        <w:rPr>
          <w:w w:val="90"/>
        </w:rPr>
        <w:t>en</w:t>
      </w:r>
      <w:r>
        <w:rPr>
          <w:spacing w:val="-14"/>
          <w:w w:val="90"/>
        </w:rPr>
        <w:t> </w:t>
      </w:r>
      <w:r>
        <w:rPr>
          <w:w w:val="90"/>
        </w:rPr>
        <w:t>la</w:t>
      </w:r>
      <w:r>
        <w:rPr>
          <w:spacing w:val="-11"/>
          <w:w w:val="90"/>
        </w:rPr>
        <w:t> </w:t>
      </w:r>
      <w:r>
        <w:rPr>
          <w:w w:val="90"/>
        </w:rPr>
        <w:t>expresión</w:t>
      </w:r>
      <w:r>
        <w:rPr>
          <w:spacing w:val="-11"/>
          <w:w w:val="90"/>
        </w:rPr>
        <w:t> </w:t>
      </w:r>
      <w:r>
        <w:rPr>
          <w:w w:val="90"/>
        </w:rPr>
        <w:t>de</w:t>
      </w:r>
      <w:r>
        <w:rPr>
          <w:spacing w:val="-14"/>
          <w:w w:val="90"/>
        </w:rPr>
        <w:t> </w:t>
      </w:r>
      <w:r>
        <w:rPr>
          <w:w w:val="90"/>
        </w:rPr>
        <w:t>los</w:t>
      </w:r>
      <w:r>
        <w:rPr>
          <w:spacing w:val="-14"/>
          <w:w w:val="90"/>
        </w:rPr>
        <w:t> </w:t>
      </w:r>
      <w:r>
        <w:rPr>
          <w:w w:val="90"/>
        </w:rPr>
        <w:t>genes</w:t>
      </w:r>
      <w:r>
        <w:rPr>
          <w:spacing w:val="-14"/>
          <w:w w:val="90"/>
        </w:rPr>
        <w:t> </w:t>
      </w:r>
      <w:r>
        <w:rPr>
          <w:w w:val="90"/>
        </w:rPr>
        <w:t>de</w:t>
      </w:r>
      <w:r>
        <w:rPr>
          <w:spacing w:val="-11"/>
          <w:w w:val="90"/>
        </w:rPr>
        <w:t> </w:t>
      </w:r>
      <w:r>
        <w:rPr>
          <w:w w:val="90"/>
        </w:rPr>
        <w:t>interés. </w:t>
      </w:r>
      <w:r>
        <w:rPr>
          <w:w w:val="95"/>
        </w:rPr>
        <w:t>En</w:t>
      </w:r>
      <w:r>
        <w:rPr>
          <w:spacing w:val="-12"/>
          <w:w w:val="95"/>
        </w:rPr>
        <w:t> </w:t>
      </w:r>
      <w:r>
        <w:rPr>
          <w:w w:val="95"/>
        </w:rPr>
        <w:t>la</w:t>
      </w:r>
      <w:r>
        <w:rPr>
          <w:spacing w:val="-12"/>
          <w:w w:val="95"/>
        </w:rPr>
        <w:t> </w:t>
      </w:r>
      <w:r>
        <w:rPr>
          <w:w w:val="95"/>
        </w:rPr>
        <w:t>figura</w:t>
      </w:r>
      <w:r>
        <w:rPr>
          <w:spacing w:val="-11"/>
          <w:w w:val="95"/>
        </w:rPr>
        <w:t> </w:t>
      </w:r>
      <w:r>
        <w:rPr>
          <w:w w:val="95"/>
        </w:rPr>
        <w:t>1.3.3</w:t>
      </w:r>
      <w:r>
        <w:rPr>
          <w:spacing w:val="-10"/>
          <w:w w:val="95"/>
        </w:rPr>
        <w:t> </w:t>
      </w:r>
      <w:r>
        <w:rPr>
          <w:w w:val="95"/>
        </w:rPr>
        <w:t>se</w:t>
      </w:r>
      <w:r>
        <w:rPr>
          <w:spacing w:val="-11"/>
          <w:w w:val="95"/>
        </w:rPr>
        <w:t> </w:t>
      </w:r>
      <w:r>
        <w:rPr>
          <w:w w:val="95"/>
        </w:rPr>
        <w:t>presentan</w:t>
      </w:r>
      <w:r>
        <w:rPr>
          <w:spacing w:val="-11"/>
          <w:w w:val="95"/>
        </w:rPr>
        <w:t> </w:t>
      </w:r>
      <w:r>
        <w:rPr>
          <w:w w:val="95"/>
        </w:rPr>
        <w:t>los</w:t>
      </w:r>
      <w:r>
        <w:rPr>
          <w:spacing w:val="-12"/>
          <w:w w:val="95"/>
        </w:rPr>
        <w:t> </w:t>
      </w:r>
      <w:r>
        <w:rPr>
          <w:w w:val="95"/>
        </w:rPr>
        <w:t>amplificados</w:t>
      </w:r>
      <w:r>
        <w:rPr>
          <w:spacing w:val="-12"/>
          <w:w w:val="95"/>
        </w:rPr>
        <w:t> </w:t>
      </w:r>
      <w:r>
        <w:rPr>
          <w:w w:val="95"/>
        </w:rPr>
        <w:t>de</w:t>
      </w:r>
      <w:r>
        <w:rPr>
          <w:spacing w:val="-11"/>
          <w:w w:val="95"/>
        </w:rPr>
        <w:t> </w:t>
      </w:r>
      <w:r>
        <w:rPr>
          <w:w w:val="95"/>
        </w:rPr>
        <w:t>tres</w:t>
      </w:r>
      <w:r>
        <w:rPr>
          <w:spacing w:val="-5"/>
          <w:w w:val="95"/>
        </w:rPr>
        <w:t> </w:t>
      </w:r>
      <w:r>
        <w:rPr>
          <w:w w:val="95"/>
        </w:rPr>
        <w:t>de</w:t>
      </w:r>
      <w:r>
        <w:rPr>
          <w:spacing w:val="-11"/>
          <w:w w:val="95"/>
        </w:rPr>
        <w:t> </w:t>
      </w:r>
      <w:r>
        <w:rPr>
          <w:w w:val="95"/>
        </w:rPr>
        <w:t>los</w:t>
      </w:r>
      <w:r>
        <w:rPr>
          <w:spacing w:val="-12"/>
          <w:w w:val="95"/>
        </w:rPr>
        <w:t> </w:t>
      </w:r>
      <w:r>
        <w:rPr>
          <w:w w:val="95"/>
        </w:rPr>
        <w:t>genes</w:t>
      </w:r>
      <w:r>
        <w:rPr>
          <w:spacing w:val="-12"/>
          <w:w w:val="95"/>
        </w:rPr>
        <w:t> </w:t>
      </w:r>
      <w:r>
        <w:rPr>
          <w:w w:val="95"/>
        </w:rPr>
        <w:t>de</w:t>
      </w:r>
      <w:r>
        <w:rPr>
          <w:spacing w:val="-11"/>
          <w:w w:val="95"/>
        </w:rPr>
        <w:t> </w:t>
      </w:r>
      <w:r>
        <w:rPr>
          <w:w w:val="95"/>
        </w:rPr>
        <w:t>interés</w:t>
      </w:r>
      <w:r>
        <w:rPr>
          <w:spacing w:val="-12"/>
          <w:w w:val="95"/>
        </w:rPr>
        <w:t> </w:t>
      </w:r>
      <w:r>
        <w:rPr>
          <w:w w:val="95"/>
        </w:rPr>
        <w:t>más</w:t>
      </w:r>
      <w:r>
        <w:rPr>
          <w:spacing w:val="-11"/>
          <w:w w:val="95"/>
        </w:rPr>
        <w:t> </w:t>
      </w:r>
      <w:r>
        <w:rPr>
          <w:w w:val="95"/>
        </w:rPr>
        <w:t>el </w:t>
      </w:r>
      <w:r>
        <w:rPr>
          <w:w w:val="90"/>
        </w:rPr>
        <w:t>control</w:t>
      </w:r>
      <w:r>
        <w:rPr>
          <w:spacing w:val="-26"/>
          <w:w w:val="90"/>
        </w:rPr>
        <w:t> </w:t>
      </w:r>
      <w:r>
        <w:rPr>
          <w:w w:val="90"/>
        </w:rPr>
        <w:t>endógeno</w:t>
      </w:r>
      <w:r>
        <w:rPr>
          <w:spacing w:val="-26"/>
          <w:w w:val="90"/>
        </w:rPr>
        <w:t> </w:t>
      </w:r>
      <w:r>
        <w:rPr>
          <w:w w:val="90"/>
        </w:rPr>
        <w:t>de</w:t>
      </w:r>
      <w:r>
        <w:rPr>
          <w:spacing w:val="-25"/>
          <w:w w:val="90"/>
        </w:rPr>
        <w:t> </w:t>
      </w:r>
      <w:r>
        <w:rPr>
          <w:w w:val="90"/>
        </w:rPr>
        <w:t>expresión</w:t>
      </w:r>
      <w:r>
        <w:rPr>
          <w:spacing w:val="-26"/>
          <w:w w:val="90"/>
        </w:rPr>
        <w:t> </w:t>
      </w:r>
      <w:r>
        <w:rPr>
          <w:w w:val="90"/>
        </w:rPr>
        <w:t>(CYC).</w:t>
      </w:r>
    </w:p>
    <w:p>
      <w:pPr>
        <w:pStyle w:val="BodyText"/>
        <w:spacing w:before="5"/>
        <w:rPr>
          <w:sz w:val="14"/>
        </w:rPr>
      </w:pPr>
      <w:r>
        <w:rPr/>
        <w:drawing>
          <wp:anchor distT="0" distB="0" distL="0" distR="0" allowOverlap="1" layoutInCell="1" locked="0" behindDoc="0" simplePos="0" relativeHeight="1504">
            <wp:simplePos x="0" y="0"/>
            <wp:positionH relativeFrom="page">
              <wp:posOffset>2096135</wp:posOffset>
            </wp:positionH>
            <wp:positionV relativeFrom="paragraph">
              <wp:posOffset>130351</wp:posOffset>
            </wp:positionV>
            <wp:extent cx="3748418" cy="3713226"/>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41" cstate="print"/>
                    <a:stretch>
                      <a:fillRect/>
                    </a:stretch>
                  </pic:blipFill>
                  <pic:spPr>
                    <a:xfrm>
                      <a:off x="0" y="0"/>
                      <a:ext cx="3748418" cy="3713226"/>
                    </a:xfrm>
                    <a:prstGeom prst="rect">
                      <a:avLst/>
                    </a:prstGeom>
                  </pic:spPr>
                </pic:pic>
              </a:graphicData>
            </a:graphic>
          </wp:anchor>
        </w:drawing>
      </w:r>
    </w:p>
    <w:p>
      <w:pPr>
        <w:pStyle w:val="BodyText"/>
        <w:spacing w:before="5"/>
        <w:rPr>
          <w:sz w:val="28"/>
        </w:rPr>
      </w:pPr>
    </w:p>
    <w:p>
      <w:pPr>
        <w:pStyle w:val="BodyText"/>
        <w:spacing w:line="360" w:lineRule="auto"/>
        <w:ind w:left="265" w:right="134"/>
        <w:jc w:val="both"/>
      </w:pPr>
      <w:r>
        <w:rPr>
          <w:w w:val="95"/>
        </w:rPr>
        <w:t>Figura</w:t>
      </w:r>
      <w:r>
        <w:rPr>
          <w:spacing w:val="-31"/>
          <w:w w:val="95"/>
        </w:rPr>
        <w:t> </w:t>
      </w:r>
      <w:r>
        <w:rPr>
          <w:w w:val="95"/>
        </w:rPr>
        <w:t>1.3.3.</w:t>
      </w:r>
      <w:r>
        <w:rPr>
          <w:spacing w:val="-31"/>
          <w:w w:val="95"/>
        </w:rPr>
        <w:t> </w:t>
      </w:r>
      <w:r>
        <w:rPr>
          <w:w w:val="95"/>
        </w:rPr>
        <w:t>Expresión</w:t>
      </w:r>
      <w:r>
        <w:rPr>
          <w:spacing w:val="-31"/>
          <w:w w:val="95"/>
        </w:rPr>
        <w:t> </w:t>
      </w:r>
      <w:r>
        <w:rPr>
          <w:w w:val="95"/>
        </w:rPr>
        <w:t>del</w:t>
      </w:r>
      <w:r>
        <w:rPr>
          <w:spacing w:val="-32"/>
          <w:w w:val="95"/>
        </w:rPr>
        <w:t> </w:t>
      </w:r>
      <w:r>
        <w:rPr>
          <w:w w:val="95"/>
        </w:rPr>
        <w:t>ARNm</w:t>
      </w:r>
      <w:r>
        <w:rPr>
          <w:spacing w:val="-31"/>
          <w:w w:val="95"/>
        </w:rPr>
        <w:t> </w:t>
      </w:r>
      <w:r>
        <w:rPr>
          <w:w w:val="95"/>
        </w:rPr>
        <w:t>de</w:t>
      </w:r>
      <w:r>
        <w:rPr>
          <w:spacing w:val="-31"/>
          <w:w w:val="95"/>
        </w:rPr>
        <w:t> </w:t>
      </w:r>
      <w:r>
        <w:rPr>
          <w:w w:val="95"/>
        </w:rPr>
        <w:t>los</w:t>
      </w:r>
      <w:r>
        <w:rPr>
          <w:spacing w:val="-32"/>
          <w:w w:val="95"/>
        </w:rPr>
        <w:t> </w:t>
      </w:r>
      <w:r>
        <w:rPr>
          <w:w w:val="95"/>
        </w:rPr>
        <w:t>genes</w:t>
      </w:r>
      <w:r>
        <w:rPr>
          <w:spacing w:val="-32"/>
          <w:w w:val="95"/>
        </w:rPr>
        <w:t> </w:t>
      </w:r>
      <w:r>
        <w:rPr>
          <w:w w:val="95"/>
        </w:rPr>
        <w:t>CYC,</w:t>
      </w:r>
      <w:r>
        <w:rPr>
          <w:spacing w:val="-31"/>
          <w:w w:val="95"/>
        </w:rPr>
        <w:t> </w:t>
      </w:r>
      <w:r>
        <w:rPr>
          <w:w w:val="95"/>
        </w:rPr>
        <w:t>3βHSD,</w:t>
      </w:r>
      <w:r>
        <w:rPr>
          <w:spacing w:val="-31"/>
          <w:w w:val="95"/>
        </w:rPr>
        <w:t> </w:t>
      </w:r>
      <w:r>
        <w:rPr>
          <w:w w:val="95"/>
        </w:rPr>
        <w:t>BCL2</w:t>
      </w:r>
      <w:r>
        <w:rPr>
          <w:spacing w:val="-31"/>
          <w:w w:val="95"/>
        </w:rPr>
        <w:t> </w:t>
      </w:r>
      <w:r>
        <w:rPr>
          <w:w w:val="95"/>
        </w:rPr>
        <w:t>y</w:t>
      </w:r>
      <w:r>
        <w:rPr>
          <w:spacing w:val="-32"/>
          <w:w w:val="95"/>
        </w:rPr>
        <w:t> </w:t>
      </w:r>
      <w:r>
        <w:rPr>
          <w:w w:val="95"/>
        </w:rPr>
        <w:t>BAX</w:t>
      </w:r>
      <w:r>
        <w:rPr>
          <w:spacing w:val="-31"/>
          <w:w w:val="95"/>
        </w:rPr>
        <w:t> </w:t>
      </w:r>
      <w:r>
        <w:rPr>
          <w:w w:val="95"/>
        </w:rPr>
        <w:t>en</w:t>
      </w:r>
      <w:r>
        <w:rPr>
          <w:spacing w:val="-33"/>
          <w:w w:val="95"/>
        </w:rPr>
        <w:t> </w:t>
      </w:r>
      <w:r>
        <w:rPr>
          <w:w w:val="95"/>
        </w:rPr>
        <w:t>testículos de ratas con baja o alta susceptibilidad a la apoptosis de las células germinales. Los amplificados</w:t>
      </w:r>
      <w:r>
        <w:rPr>
          <w:spacing w:val="-28"/>
          <w:w w:val="95"/>
        </w:rPr>
        <w:t> </w:t>
      </w:r>
      <w:r>
        <w:rPr>
          <w:w w:val="95"/>
        </w:rPr>
        <w:t>se</w:t>
      </w:r>
      <w:r>
        <w:rPr>
          <w:spacing w:val="-27"/>
          <w:w w:val="95"/>
        </w:rPr>
        <w:t> </w:t>
      </w:r>
      <w:r>
        <w:rPr>
          <w:w w:val="95"/>
        </w:rPr>
        <w:t>cargaron</w:t>
      </w:r>
      <w:r>
        <w:rPr>
          <w:spacing w:val="-28"/>
          <w:w w:val="95"/>
        </w:rPr>
        <w:t> </w:t>
      </w:r>
      <w:r>
        <w:rPr>
          <w:w w:val="95"/>
        </w:rPr>
        <w:t>pareados,</w:t>
      </w:r>
      <w:r>
        <w:rPr>
          <w:spacing w:val="-29"/>
          <w:w w:val="95"/>
        </w:rPr>
        <w:t> </w:t>
      </w:r>
      <w:r>
        <w:rPr>
          <w:w w:val="95"/>
        </w:rPr>
        <w:t>un</w:t>
      </w:r>
      <w:r>
        <w:rPr>
          <w:spacing w:val="-28"/>
          <w:w w:val="95"/>
        </w:rPr>
        <w:t> </w:t>
      </w:r>
      <w:r>
        <w:rPr>
          <w:w w:val="95"/>
        </w:rPr>
        <w:t>individuo</w:t>
      </w:r>
      <w:r>
        <w:rPr>
          <w:spacing w:val="-28"/>
          <w:w w:val="95"/>
        </w:rPr>
        <w:t> </w:t>
      </w:r>
      <w:r>
        <w:rPr>
          <w:w w:val="95"/>
        </w:rPr>
        <w:t>con</w:t>
      </w:r>
      <w:r>
        <w:rPr>
          <w:spacing w:val="-29"/>
          <w:w w:val="95"/>
        </w:rPr>
        <w:t> </w:t>
      </w:r>
      <w:r>
        <w:rPr>
          <w:w w:val="95"/>
        </w:rPr>
        <w:t>baja</w:t>
      </w:r>
      <w:r>
        <w:rPr>
          <w:spacing w:val="-29"/>
          <w:w w:val="95"/>
        </w:rPr>
        <w:t> </w:t>
      </w:r>
      <w:r>
        <w:rPr>
          <w:w w:val="95"/>
        </w:rPr>
        <w:t>y</w:t>
      </w:r>
      <w:r>
        <w:rPr>
          <w:spacing w:val="-28"/>
          <w:w w:val="95"/>
        </w:rPr>
        <w:t> </w:t>
      </w:r>
      <w:r>
        <w:rPr>
          <w:w w:val="95"/>
        </w:rPr>
        <w:t>uno</w:t>
      </w:r>
      <w:r>
        <w:rPr>
          <w:spacing w:val="-29"/>
          <w:w w:val="95"/>
        </w:rPr>
        <w:t> </w:t>
      </w:r>
      <w:r>
        <w:rPr>
          <w:w w:val="95"/>
        </w:rPr>
        <w:t>con</w:t>
      </w:r>
      <w:r>
        <w:rPr>
          <w:spacing w:val="-28"/>
          <w:w w:val="95"/>
        </w:rPr>
        <w:t> </w:t>
      </w:r>
      <w:r>
        <w:rPr>
          <w:w w:val="95"/>
        </w:rPr>
        <w:t>alta</w:t>
      </w:r>
      <w:r>
        <w:rPr>
          <w:spacing w:val="-29"/>
          <w:w w:val="95"/>
        </w:rPr>
        <w:t> </w:t>
      </w:r>
      <w:r>
        <w:rPr>
          <w:w w:val="95"/>
        </w:rPr>
        <w:t>susceptibilidad </w:t>
      </w:r>
      <w:r>
        <w:rPr>
          <w:w w:val="90"/>
        </w:rPr>
        <w:t>para cada</w:t>
      </w:r>
      <w:r>
        <w:rPr>
          <w:spacing w:val="-40"/>
          <w:w w:val="90"/>
        </w:rPr>
        <w:t> </w:t>
      </w:r>
      <w:r>
        <w:rPr>
          <w:w w:val="90"/>
        </w:rPr>
        <w:t>gen.</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1"/>
        <w:jc w:val="both"/>
      </w:pPr>
      <w:r>
        <w:rPr>
          <w:w w:val="95"/>
        </w:rPr>
        <w:t>La</w:t>
      </w:r>
      <w:r>
        <w:rPr>
          <w:spacing w:val="-26"/>
          <w:w w:val="95"/>
        </w:rPr>
        <w:t> </w:t>
      </w:r>
      <w:r>
        <w:rPr>
          <w:w w:val="95"/>
        </w:rPr>
        <w:t>expresión</w:t>
      </w:r>
      <w:r>
        <w:rPr>
          <w:spacing w:val="-26"/>
          <w:w w:val="95"/>
        </w:rPr>
        <w:t> </w:t>
      </w:r>
      <w:r>
        <w:rPr>
          <w:w w:val="95"/>
        </w:rPr>
        <w:t>del</w:t>
      </w:r>
      <w:r>
        <w:rPr>
          <w:spacing w:val="-26"/>
          <w:w w:val="95"/>
        </w:rPr>
        <w:t> </w:t>
      </w:r>
      <w:r>
        <w:rPr>
          <w:w w:val="95"/>
        </w:rPr>
        <w:t>gen</w:t>
      </w:r>
      <w:r>
        <w:rPr>
          <w:spacing w:val="-26"/>
          <w:w w:val="95"/>
        </w:rPr>
        <w:t> </w:t>
      </w:r>
      <w:r>
        <w:rPr>
          <w:w w:val="95"/>
        </w:rPr>
        <w:t>BAX</w:t>
      </w:r>
      <w:r>
        <w:rPr>
          <w:spacing w:val="-27"/>
          <w:w w:val="95"/>
        </w:rPr>
        <w:t> </w:t>
      </w:r>
      <w:r>
        <w:rPr>
          <w:w w:val="95"/>
        </w:rPr>
        <w:t>fue</w:t>
      </w:r>
      <w:r>
        <w:rPr>
          <w:spacing w:val="-26"/>
          <w:w w:val="95"/>
        </w:rPr>
        <w:t> </w:t>
      </w:r>
      <w:r>
        <w:rPr>
          <w:w w:val="95"/>
        </w:rPr>
        <w:t>mayor</w:t>
      </w:r>
      <w:r>
        <w:rPr>
          <w:spacing w:val="-27"/>
          <w:w w:val="95"/>
        </w:rPr>
        <w:t> </w:t>
      </w:r>
      <w:r>
        <w:rPr>
          <w:w w:val="95"/>
        </w:rPr>
        <w:t>(intensidad</w:t>
      </w:r>
      <w:r>
        <w:rPr>
          <w:spacing w:val="-26"/>
          <w:w w:val="95"/>
        </w:rPr>
        <w:t> </w:t>
      </w:r>
      <w:r>
        <w:rPr>
          <w:w w:val="95"/>
        </w:rPr>
        <w:t>de</w:t>
      </w:r>
      <w:r>
        <w:rPr>
          <w:spacing w:val="-26"/>
          <w:w w:val="95"/>
        </w:rPr>
        <w:t> </w:t>
      </w:r>
      <w:r>
        <w:rPr>
          <w:w w:val="95"/>
        </w:rPr>
        <w:t>banda)</w:t>
      </w:r>
      <w:r>
        <w:rPr>
          <w:spacing w:val="-27"/>
          <w:w w:val="95"/>
        </w:rPr>
        <w:t> </w:t>
      </w:r>
      <w:r>
        <w:rPr>
          <w:w w:val="95"/>
        </w:rPr>
        <w:t>en</w:t>
      </w:r>
      <w:r>
        <w:rPr>
          <w:spacing w:val="-26"/>
          <w:w w:val="95"/>
        </w:rPr>
        <w:t> </w:t>
      </w:r>
      <w:r>
        <w:rPr>
          <w:w w:val="95"/>
        </w:rPr>
        <w:t>el</w:t>
      </w:r>
      <w:r>
        <w:rPr>
          <w:spacing w:val="-27"/>
          <w:w w:val="95"/>
        </w:rPr>
        <w:t> </w:t>
      </w:r>
      <w:r>
        <w:rPr>
          <w:w w:val="95"/>
        </w:rPr>
        <w:t>individuo</w:t>
      </w:r>
      <w:r>
        <w:rPr>
          <w:spacing w:val="-26"/>
          <w:w w:val="95"/>
        </w:rPr>
        <w:t> </w:t>
      </w:r>
      <w:r>
        <w:rPr>
          <w:w w:val="95"/>
        </w:rPr>
        <w:t>que</w:t>
      </w:r>
      <w:r>
        <w:rPr>
          <w:spacing w:val="-27"/>
          <w:w w:val="95"/>
        </w:rPr>
        <w:t> </w:t>
      </w:r>
      <w:r>
        <w:rPr>
          <w:w w:val="95"/>
        </w:rPr>
        <w:t>presenta </w:t>
      </w:r>
      <w:r>
        <w:rPr>
          <w:w w:val="90"/>
        </w:rPr>
        <w:t>una</w:t>
      </w:r>
      <w:r>
        <w:rPr>
          <w:spacing w:val="-15"/>
          <w:w w:val="90"/>
        </w:rPr>
        <w:t> </w:t>
      </w:r>
      <w:r>
        <w:rPr>
          <w:w w:val="90"/>
        </w:rPr>
        <w:t>alta</w:t>
      </w:r>
      <w:r>
        <w:rPr>
          <w:spacing w:val="-15"/>
          <w:w w:val="90"/>
        </w:rPr>
        <w:t> </w:t>
      </w:r>
      <w:r>
        <w:rPr>
          <w:w w:val="90"/>
        </w:rPr>
        <w:t>susceptibilidad</w:t>
      </w:r>
      <w:r>
        <w:rPr>
          <w:spacing w:val="-15"/>
          <w:w w:val="90"/>
        </w:rPr>
        <w:t> </w:t>
      </w:r>
      <w:r>
        <w:rPr>
          <w:w w:val="90"/>
        </w:rPr>
        <w:t>a</w:t>
      </w:r>
      <w:r>
        <w:rPr>
          <w:spacing w:val="-15"/>
          <w:w w:val="90"/>
        </w:rPr>
        <w:t> </w:t>
      </w:r>
      <w:r>
        <w:rPr>
          <w:w w:val="90"/>
        </w:rPr>
        <w:t>la</w:t>
      </w:r>
      <w:r>
        <w:rPr>
          <w:spacing w:val="-15"/>
          <w:w w:val="90"/>
        </w:rPr>
        <w:t> </w:t>
      </w:r>
      <w:r>
        <w:rPr>
          <w:w w:val="90"/>
        </w:rPr>
        <w:t>apoptosis</w:t>
      </w:r>
      <w:r>
        <w:rPr>
          <w:spacing w:val="-15"/>
          <w:w w:val="90"/>
        </w:rPr>
        <w:t> </w:t>
      </w:r>
      <w:r>
        <w:rPr>
          <w:w w:val="90"/>
        </w:rPr>
        <w:t>de</w:t>
      </w:r>
      <w:r>
        <w:rPr>
          <w:spacing w:val="-16"/>
          <w:w w:val="90"/>
        </w:rPr>
        <w:t> </w:t>
      </w:r>
      <w:r>
        <w:rPr>
          <w:w w:val="90"/>
        </w:rPr>
        <w:t>la</w:t>
      </w:r>
      <w:r>
        <w:rPr>
          <w:spacing w:val="-15"/>
          <w:w w:val="90"/>
        </w:rPr>
        <w:t> </w:t>
      </w:r>
      <w:r>
        <w:rPr>
          <w:w w:val="90"/>
        </w:rPr>
        <w:t>células</w:t>
      </w:r>
      <w:r>
        <w:rPr>
          <w:spacing w:val="-15"/>
          <w:w w:val="90"/>
        </w:rPr>
        <w:t> </w:t>
      </w:r>
      <w:r>
        <w:rPr>
          <w:w w:val="90"/>
        </w:rPr>
        <w:t>germinales</w:t>
      </w:r>
      <w:r>
        <w:rPr>
          <w:spacing w:val="-15"/>
          <w:w w:val="90"/>
        </w:rPr>
        <w:t> </w:t>
      </w:r>
      <w:r>
        <w:rPr>
          <w:w w:val="90"/>
        </w:rPr>
        <w:t>comparado</w:t>
      </w:r>
      <w:r>
        <w:rPr>
          <w:spacing w:val="-15"/>
          <w:w w:val="90"/>
        </w:rPr>
        <w:t> </w:t>
      </w:r>
      <w:r>
        <w:rPr>
          <w:w w:val="90"/>
        </w:rPr>
        <w:t>con</w:t>
      </w:r>
      <w:r>
        <w:rPr>
          <w:spacing w:val="-15"/>
          <w:w w:val="90"/>
        </w:rPr>
        <w:t> </w:t>
      </w:r>
      <w:r>
        <w:rPr>
          <w:w w:val="90"/>
        </w:rPr>
        <w:t>el</w:t>
      </w:r>
      <w:r>
        <w:rPr>
          <w:spacing w:val="-1"/>
          <w:w w:val="90"/>
        </w:rPr>
        <w:t> </w:t>
      </w:r>
      <w:r>
        <w:rPr>
          <w:w w:val="90"/>
        </w:rPr>
        <w:t>individuo con</w:t>
      </w:r>
      <w:r>
        <w:rPr>
          <w:spacing w:val="-15"/>
          <w:w w:val="90"/>
        </w:rPr>
        <w:t> </w:t>
      </w:r>
      <w:r>
        <w:rPr>
          <w:w w:val="90"/>
        </w:rPr>
        <w:t>baja</w:t>
      </w:r>
      <w:r>
        <w:rPr>
          <w:spacing w:val="-14"/>
          <w:w w:val="90"/>
        </w:rPr>
        <w:t> </w:t>
      </w:r>
      <w:r>
        <w:rPr>
          <w:w w:val="90"/>
        </w:rPr>
        <w:t>susceptibilidad.</w:t>
      </w:r>
      <w:r>
        <w:rPr>
          <w:spacing w:val="-14"/>
          <w:w w:val="90"/>
        </w:rPr>
        <w:t> </w:t>
      </w:r>
      <w:r>
        <w:rPr>
          <w:w w:val="90"/>
        </w:rPr>
        <w:t>La</w:t>
      </w:r>
      <w:r>
        <w:rPr>
          <w:spacing w:val="-15"/>
          <w:w w:val="90"/>
        </w:rPr>
        <w:t> </w:t>
      </w:r>
      <w:r>
        <w:rPr>
          <w:w w:val="90"/>
        </w:rPr>
        <w:t>expresión</w:t>
      </w:r>
      <w:r>
        <w:rPr>
          <w:spacing w:val="-14"/>
          <w:w w:val="90"/>
        </w:rPr>
        <w:t> </w:t>
      </w:r>
      <w:r>
        <w:rPr>
          <w:w w:val="90"/>
        </w:rPr>
        <w:t>de</w:t>
      </w:r>
      <w:r>
        <w:rPr>
          <w:spacing w:val="-15"/>
          <w:w w:val="90"/>
        </w:rPr>
        <w:t> </w:t>
      </w:r>
      <w:r>
        <w:rPr>
          <w:w w:val="90"/>
        </w:rPr>
        <w:t>los</w:t>
      </w:r>
      <w:r>
        <w:rPr>
          <w:spacing w:val="-15"/>
          <w:w w:val="90"/>
        </w:rPr>
        <w:t> </w:t>
      </w:r>
      <w:r>
        <w:rPr>
          <w:w w:val="90"/>
        </w:rPr>
        <w:t>genes</w:t>
      </w:r>
      <w:r>
        <w:rPr>
          <w:spacing w:val="-14"/>
          <w:w w:val="90"/>
        </w:rPr>
        <w:t> </w:t>
      </w:r>
      <w:r>
        <w:rPr>
          <w:w w:val="90"/>
        </w:rPr>
        <w:t>CYC,</w:t>
      </w:r>
      <w:r>
        <w:rPr>
          <w:spacing w:val="-14"/>
          <w:w w:val="90"/>
        </w:rPr>
        <w:t> </w:t>
      </w:r>
      <w:r>
        <w:rPr>
          <w:w w:val="90"/>
        </w:rPr>
        <w:t>3βHSD</w:t>
      </w:r>
      <w:r>
        <w:rPr>
          <w:spacing w:val="-14"/>
          <w:w w:val="90"/>
        </w:rPr>
        <w:t> </w:t>
      </w:r>
      <w:r>
        <w:rPr>
          <w:w w:val="90"/>
        </w:rPr>
        <w:t>y</w:t>
      </w:r>
      <w:r>
        <w:rPr>
          <w:spacing w:val="-14"/>
          <w:w w:val="90"/>
        </w:rPr>
        <w:t> </w:t>
      </w:r>
      <w:r>
        <w:rPr>
          <w:spacing w:val="4"/>
          <w:w w:val="90"/>
        </w:rPr>
        <w:t>BCL-2</w:t>
      </w:r>
      <w:r>
        <w:rPr>
          <w:spacing w:val="-14"/>
          <w:w w:val="90"/>
        </w:rPr>
        <w:t> </w:t>
      </w:r>
      <w:r>
        <w:rPr>
          <w:w w:val="90"/>
        </w:rPr>
        <w:t>fue</w:t>
      </w:r>
      <w:r>
        <w:rPr>
          <w:spacing w:val="-14"/>
          <w:w w:val="90"/>
        </w:rPr>
        <w:t> </w:t>
      </w:r>
      <w:r>
        <w:rPr>
          <w:w w:val="90"/>
        </w:rPr>
        <w:t>similar</w:t>
      </w:r>
      <w:r>
        <w:rPr>
          <w:spacing w:val="-14"/>
          <w:w w:val="90"/>
        </w:rPr>
        <w:t> </w:t>
      </w:r>
      <w:r>
        <w:rPr>
          <w:w w:val="90"/>
        </w:rPr>
        <w:t>entre los</w:t>
      </w:r>
      <w:r>
        <w:rPr>
          <w:spacing w:val="-19"/>
          <w:w w:val="90"/>
        </w:rPr>
        <w:t> </w:t>
      </w:r>
      <w:r>
        <w:rPr>
          <w:w w:val="90"/>
        </w:rPr>
        <w:t>individuos</w:t>
      </w:r>
      <w:r>
        <w:rPr>
          <w:spacing w:val="-17"/>
          <w:w w:val="90"/>
        </w:rPr>
        <w:t> </w:t>
      </w:r>
      <w:r>
        <w:rPr>
          <w:w w:val="90"/>
        </w:rPr>
        <w:t>con</w:t>
      </w:r>
      <w:r>
        <w:rPr>
          <w:spacing w:val="-17"/>
          <w:w w:val="90"/>
        </w:rPr>
        <w:t> </w:t>
      </w:r>
      <w:r>
        <w:rPr>
          <w:w w:val="90"/>
        </w:rPr>
        <w:t>baja</w:t>
      </w:r>
      <w:r>
        <w:rPr>
          <w:spacing w:val="-18"/>
          <w:w w:val="90"/>
        </w:rPr>
        <w:t> </w:t>
      </w:r>
      <w:r>
        <w:rPr>
          <w:w w:val="90"/>
        </w:rPr>
        <w:t>o</w:t>
      </w:r>
      <w:r>
        <w:rPr>
          <w:spacing w:val="-17"/>
          <w:w w:val="90"/>
        </w:rPr>
        <w:t> </w:t>
      </w:r>
      <w:r>
        <w:rPr>
          <w:w w:val="90"/>
        </w:rPr>
        <w:t>alta</w:t>
      </w:r>
      <w:r>
        <w:rPr>
          <w:spacing w:val="-18"/>
          <w:w w:val="90"/>
        </w:rPr>
        <w:t> </w:t>
      </w:r>
      <w:r>
        <w:rPr>
          <w:w w:val="90"/>
        </w:rPr>
        <w:t>susceptibilidad</w:t>
      </w:r>
      <w:r>
        <w:rPr>
          <w:spacing w:val="-17"/>
          <w:w w:val="90"/>
        </w:rPr>
        <w:t> </w:t>
      </w:r>
      <w:r>
        <w:rPr>
          <w:w w:val="90"/>
        </w:rPr>
        <w:t>a</w:t>
      </w:r>
      <w:r>
        <w:rPr>
          <w:spacing w:val="-18"/>
          <w:w w:val="90"/>
        </w:rPr>
        <w:t> </w:t>
      </w:r>
      <w:r>
        <w:rPr>
          <w:w w:val="90"/>
        </w:rPr>
        <w:t>la</w:t>
      </w:r>
      <w:r>
        <w:rPr>
          <w:spacing w:val="-17"/>
          <w:w w:val="90"/>
        </w:rPr>
        <w:t> </w:t>
      </w:r>
      <w:r>
        <w:rPr>
          <w:w w:val="90"/>
        </w:rPr>
        <w:t>apoptosis</w:t>
      </w:r>
      <w:r>
        <w:rPr>
          <w:spacing w:val="-19"/>
          <w:w w:val="90"/>
        </w:rPr>
        <w:t> </w:t>
      </w:r>
      <w:r>
        <w:rPr>
          <w:w w:val="90"/>
        </w:rPr>
        <w:t>de</w:t>
      </w:r>
      <w:r>
        <w:rPr>
          <w:spacing w:val="-18"/>
          <w:w w:val="90"/>
        </w:rPr>
        <w:t> </w:t>
      </w:r>
      <w:r>
        <w:rPr>
          <w:w w:val="90"/>
        </w:rPr>
        <w:t>las</w:t>
      </w:r>
      <w:r>
        <w:rPr>
          <w:spacing w:val="-19"/>
          <w:w w:val="90"/>
        </w:rPr>
        <w:t> </w:t>
      </w:r>
      <w:r>
        <w:rPr>
          <w:w w:val="90"/>
        </w:rPr>
        <w:t>células</w:t>
      </w:r>
      <w:r>
        <w:rPr>
          <w:spacing w:val="-19"/>
          <w:w w:val="90"/>
        </w:rPr>
        <w:t> </w:t>
      </w:r>
      <w:r>
        <w:rPr>
          <w:w w:val="90"/>
        </w:rPr>
        <w:t>germinales.</w:t>
      </w:r>
    </w:p>
    <w:p>
      <w:pPr>
        <w:pStyle w:val="BodyText"/>
      </w:pPr>
    </w:p>
    <w:p>
      <w:pPr>
        <w:pStyle w:val="BodyText"/>
      </w:pPr>
    </w:p>
    <w:p>
      <w:pPr>
        <w:pStyle w:val="BodyText"/>
        <w:spacing w:before="2"/>
        <w:rPr>
          <w:sz w:val="23"/>
        </w:rPr>
      </w:pPr>
    </w:p>
    <w:p>
      <w:pPr>
        <w:pStyle w:val="Heading3"/>
        <w:numPr>
          <w:ilvl w:val="1"/>
          <w:numId w:val="7"/>
        </w:numPr>
        <w:tabs>
          <w:tab w:pos="616" w:val="left" w:leader="none"/>
        </w:tabs>
        <w:spacing w:line="240" w:lineRule="auto" w:before="0" w:after="0"/>
        <w:ind w:left="615" w:right="0" w:hanging="350"/>
        <w:jc w:val="both"/>
        <w:rPr>
          <w:i/>
        </w:rPr>
      </w:pPr>
      <w:r>
        <w:rPr>
          <w:i/>
          <w:w w:val="95"/>
        </w:rPr>
        <w:t>DISCUSIÓN</w:t>
      </w:r>
    </w:p>
    <w:p>
      <w:pPr>
        <w:pStyle w:val="BodyText"/>
        <w:spacing w:before="5"/>
        <w:rPr>
          <w:b/>
          <w:i/>
          <w:sz w:val="29"/>
        </w:rPr>
      </w:pPr>
    </w:p>
    <w:p>
      <w:pPr>
        <w:pStyle w:val="BodyText"/>
        <w:spacing w:line="360" w:lineRule="auto"/>
        <w:ind w:left="265" w:right="124"/>
        <w:jc w:val="both"/>
      </w:pPr>
      <w:r>
        <w:rPr>
          <w:w w:val="95"/>
        </w:rPr>
        <w:t>La</w:t>
      </w:r>
      <w:r>
        <w:rPr>
          <w:spacing w:val="-35"/>
          <w:w w:val="95"/>
        </w:rPr>
        <w:t> </w:t>
      </w:r>
      <w:r>
        <w:rPr>
          <w:w w:val="95"/>
        </w:rPr>
        <w:t>administración</w:t>
      </w:r>
      <w:r>
        <w:rPr>
          <w:spacing w:val="-35"/>
          <w:w w:val="95"/>
        </w:rPr>
        <w:t> </w:t>
      </w:r>
      <w:r>
        <w:rPr>
          <w:w w:val="95"/>
        </w:rPr>
        <w:t>de</w:t>
      </w:r>
      <w:r>
        <w:rPr>
          <w:spacing w:val="-35"/>
          <w:w w:val="95"/>
        </w:rPr>
        <w:t> </w:t>
      </w:r>
      <w:r>
        <w:rPr>
          <w:w w:val="95"/>
        </w:rPr>
        <w:t>pCA</w:t>
      </w:r>
      <w:r>
        <w:rPr>
          <w:spacing w:val="-35"/>
          <w:w w:val="95"/>
        </w:rPr>
        <w:t> </w:t>
      </w:r>
      <w:r>
        <w:rPr>
          <w:w w:val="95"/>
        </w:rPr>
        <w:t>induce</w:t>
      </w:r>
      <w:r>
        <w:rPr>
          <w:spacing w:val="-35"/>
          <w:w w:val="95"/>
        </w:rPr>
        <w:t> </w:t>
      </w:r>
      <w:r>
        <w:rPr>
          <w:w w:val="95"/>
        </w:rPr>
        <w:t>la</w:t>
      </w:r>
      <w:r>
        <w:rPr>
          <w:spacing w:val="-36"/>
          <w:w w:val="95"/>
        </w:rPr>
        <w:t> </w:t>
      </w:r>
      <w:r>
        <w:rPr>
          <w:w w:val="95"/>
        </w:rPr>
        <w:t>inhibición</w:t>
      </w:r>
      <w:r>
        <w:rPr>
          <w:spacing w:val="-35"/>
          <w:w w:val="95"/>
        </w:rPr>
        <w:t> </w:t>
      </w:r>
      <w:r>
        <w:rPr>
          <w:w w:val="95"/>
        </w:rPr>
        <w:t>de</w:t>
      </w:r>
      <w:r>
        <w:rPr>
          <w:spacing w:val="-35"/>
          <w:w w:val="95"/>
        </w:rPr>
        <w:t> </w:t>
      </w:r>
      <w:r>
        <w:rPr>
          <w:w w:val="95"/>
        </w:rPr>
        <w:t>la</w:t>
      </w:r>
      <w:r>
        <w:rPr>
          <w:spacing w:val="-31"/>
          <w:w w:val="95"/>
        </w:rPr>
        <w:t> </w:t>
      </w:r>
      <w:r>
        <w:rPr>
          <w:w w:val="95"/>
        </w:rPr>
        <w:t>síntesis</w:t>
      </w:r>
      <w:r>
        <w:rPr>
          <w:spacing w:val="-36"/>
          <w:w w:val="95"/>
        </w:rPr>
        <w:t> </w:t>
      </w:r>
      <w:r>
        <w:rPr>
          <w:w w:val="95"/>
        </w:rPr>
        <w:t>de</w:t>
      </w:r>
      <w:r>
        <w:rPr>
          <w:spacing w:val="-35"/>
          <w:w w:val="95"/>
        </w:rPr>
        <w:t> </w:t>
      </w:r>
      <w:r>
        <w:rPr>
          <w:w w:val="95"/>
        </w:rPr>
        <w:t>serotonina</w:t>
      </w:r>
      <w:r>
        <w:rPr>
          <w:spacing w:val="-35"/>
          <w:w w:val="95"/>
        </w:rPr>
        <w:t> </w:t>
      </w:r>
      <w:r>
        <w:rPr>
          <w:w w:val="95"/>
        </w:rPr>
        <w:t>y</w:t>
      </w:r>
      <w:r>
        <w:rPr>
          <w:spacing w:val="-36"/>
          <w:w w:val="95"/>
        </w:rPr>
        <w:t> </w:t>
      </w:r>
      <w:r>
        <w:rPr>
          <w:w w:val="95"/>
        </w:rPr>
        <w:t>muerte</w:t>
      </w:r>
      <w:r>
        <w:rPr>
          <w:spacing w:val="-35"/>
          <w:w w:val="95"/>
        </w:rPr>
        <w:t> </w:t>
      </w:r>
      <w:r>
        <w:rPr>
          <w:w w:val="95"/>
        </w:rPr>
        <w:t>de</w:t>
      </w:r>
      <w:r>
        <w:rPr>
          <w:spacing w:val="-36"/>
          <w:w w:val="95"/>
        </w:rPr>
        <w:t> </w:t>
      </w:r>
      <w:r>
        <w:rPr>
          <w:w w:val="95"/>
        </w:rPr>
        <w:t>las células</w:t>
      </w:r>
      <w:r>
        <w:rPr>
          <w:spacing w:val="-29"/>
          <w:w w:val="95"/>
        </w:rPr>
        <w:t> </w:t>
      </w:r>
      <w:r>
        <w:rPr>
          <w:w w:val="95"/>
        </w:rPr>
        <w:t>germinales</w:t>
      </w:r>
      <w:r>
        <w:rPr>
          <w:spacing w:val="-29"/>
          <w:w w:val="95"/>
        </w:rPr>
        <w:t> </w:t>
      </w:r>
      <w:r>
        <w:rPr>
          <w:w w:val="95"/>
        </w:rPr>
        <w:t>testiculares</w:t>
      </w:r>
      <w:r>
        <w:rPr>
          <w:spacing w:val="-29"/>
          <w:w w:val="95"/>
        </w:rPr>
        <w:t> </w:t>
      </w:r>
      <w:r>
        <w:rPr>
          <w:w w:val="95"/>
        </w:rPr>
        <w:t>(Aragón</w:t>
      </w:r>
      <w:r>
        <w:rPr>
          <w:spacing w:val="-29"/>
          <w:w w:val="95"/>
        </w:rPr>
        <w:t> </w:t>
      </w:r>
      <w:r>
        <w:rPr>
          <w:w w:val="95"/>
        </w:rPr>
        <w:t>et</w:t>
      </w:r>
      <w:r>
        <w:rPr>
          <w:spacing w:val="-28"/>
          <w:w w:val="95"/>
        </w:rPr>
        <w:t> </w:t>
      </w:r>
      <w:r>
        <w:rPr>
          <w:w w:val="95"/>
        </w:rPr>
        <w:t>al,</w:t>
      </w:r>
      <w:r>
        <w:rPr>
          <w:spacing w:val="-29"/>
          <w:w w:val="95"/>
        </w:rPr>
        <w:t> </w:t>
      </w:r>
      <w:r>
        <w:rPr>
          <w:w w:val="95"/>
        </w:rPr>
        <w:t>2005).</w:t>
      </w:r>
      <w:r>
        <w:rPr>
          <w:spacing w:val="-29"/>
          <w:w w:val="95"/>
        </w:rPr>
        <w:t> </w:t>
      </w:r>
      <w:r>
        <w:rPr>
          <w:w w:val="95"/>
        </w:rPr>
        <w:t>No</w:t>
      </w:r>
      <w:r>
        <w:rPr>
          <w:spacing w:val="-29"/>
          <w:w w:val="95"/>
        </w:rPr>
        <w:t> </w:t>
      </w:r>
      <w:r>
        <w:rPr>
          <w:w w:val="95"/>
        </w:rPr>
        <w:t>todos</w:t>
      </w:r>
      <w:r>
        <w:rPr>
          <w:spacing w:val="-29"/>
          <w:w w:val="95"/>
        </w:rPr>
        <w:t> </w:t>
      </w:r>
      <w:r>
        <w:rPr>
          <w:w w:val="95"/>
        </w:rPr>
        <w:t>los</w:t>
      </w:r>
      <w:r>
        <w:rPr>
          <w:spacing w:val="-29"/>
          <w:w w:val="95"/>
        </w:rPr>
        <w:t> </w:t>
      </w:r>
      <w:r>
        <w:rPr>
          <w:w w:val="95"/>
        </w:rPr>
        <w:t>animales</w:t>
      </w:r>
      <w:r>
        <w:rPr>
          <w:spacing w:val="-29"/>
          <w:w w:val="95"/>
        </w:rPr>
        <w:t> </w:t>
      </w:r>
      <w:r>
        <w:rPr>
          <w:w w:val="95"/>
        </w:rPr>
        <w:t>tratados</w:t>
      </w:r>
      <w:r>
        <w:rPr>
          <w:spacing w:val="-29"/>
          <w:w w:val="95"/>
        </w:rPr>
        <w:t> </w:t>
      </w:r>
      <w:r>
        <w:rPr>
          <w:w w:val="95"/>
        </w:rPr>
        <w:t>con </w:t>
      </w:r>
      <w:r>
        <w:rPr>
          <w:w w:val="90"/>
        </w:rPr>
        <w:t>pCA</w:t>
      </w:r>
      <w:r>
        <w:rPr>
          <w:spacing w:val="-12"/>
          <w:w w:val="90"/>
        </w:rPr>
        <w:t> </w:t>
      </w:r>
      <w:r>
        <w:rPr>
          <w:w w:val="90"/>
        </w:rPr>
        <w:t>exhiben</w:t>
      </w:r>
      <w:r>
        <w:rPr>
          <w:spacing w:val="-10"/>
          <w:w w:val="90"/>
        </w:rPr>
        <w:t> </w:t>
      </w:r>
      <w:r>
        <w:rPr>
          <w:w w:val="90"/>
        </w:rPr>
        <w:t>la</w:t>
      </w:r>
      <w:r>
        <w:rPr>
          <w:spacing w:val="-11"/>
          <w:w w:val="90"/>
        </w:rPr>
        <w:t> </w:t>
      </w:r>
      <w:r>
        <w:rPr>
          <w:w w:val="90"/>
        </w:rPr>
        <w:t>misma</w:t>
      </w:r>
      <w:r>
        <w:rPr>
          <w:spacing w:val="-10"/>
          <w:w w:val="90"/>
        </w:rPr>
        <w:t> </w:t>
      </w:r>
      <w:r>
        <w:rPr>
          <w:w w:val="90"/>
        </w:rPr>
        <w:t>intensidad</w:t>
      </w:r>
      <w:r>
        <w:rPr>
          <w:spacing w:val="-10"/>
          <w:w w:val="90"/>
        </w:rPr>
        <w:t> </w:t>
      </w:r>
      <w:r>
        <w:rPr>
          <w:w w:val="90"/>
        </w:rPr>
        <w:t>en</w:t>
      </w:r>
      <w:r>
        <w:rPr>
          <w:spacing w:val="-10"/>
          <w:w w:val="90"/>
        </w:rPr>
        <w:t> </w:t>
      </w:r>
      <w:r>
        <w:rPr>
          <w:w w:val="90"/>
        </w:rPr>
        <w:t>cuanto</w:t>
      </w:r>
      <w:r>
        <w:rPr>
          <w:spacing w:val="-10"/>
          <w:w w:val="90"/>
        </w:rPr>
        <w:t> </w:t>
      </w:r>
      <w:r>
        <w:rPr>
          <w:w w:val="90"/>
        </w:rPr>
        <w:t>al</w:t>
      </w:r>
      <w:r>
        <w:rPr>
          <w:spacing w:val="-11"/>
          <w:w w:val="90"/>
        </w:rPr>
        <w:t> </w:t>
      </w:r>
      <w:r>
        <w:rPr>
          <w:w w:val="90"/>
        </w:rPr>
        <w:t>número</w:t>
      </w:r>
      <w:r>
        <w:rPr>
          <w:spacing w:val="-10"/>
          <w:w w:val="90"/>
        </w:rPr>
        <w:t> </w:t>
      </w:r>
      <w:r>
        <w:rPr>
          <w:w w:val="90"/>
        </w:rPr>
        <w:t>de</w:t>
      </w:r>
      <w:r>
        <w:rPr>
          <w:spacing w:val="-10"/>
          <w:w w:val="90"/>
        </w:rPr>
        <w:t> </w:t>
      </w:r>
      <w:r>
        <w:rPr>
          <w:w w:val="90"/>
        </w:rPr>
        <w:t>células</w:t>
      </w:r>
      <w:r>
        <w:rPr>
          <w:spacing w:val="-13"/>
          <w:w w:val="90"/>
        </w:rPr>
        <w:t> </w:t>
      </w:r>
      <w:r>
        <w:rPr>
          <w:w w:val="90"/>
        </w:rPr>
        <w:t>muertas,</w:t>
      </w:r>
      <w:r>
        <w:rPr>
          <w:spacing w:val="-13"/>
          <w:w w:val="90"/>
        </w:rPr>
        <w:t> </w:t>
      </w:r>
      <w:r>
        <w:rPr>
          <w:w w:val="90"/>
        </w:rPr>
        <w:t>es</w:t>
      </w:r>
      <w:r>
        <w:rPr>
          <w:spacing w:val="-11"/>
          <w:w w:val="90"/>
        </w:rPr>
        <w:t> </w:t>
      </w:r>
      <w:r>
        <w:rPr>
          <w:w w:val="90"/>
        </w:rPr>
        <w:t>decir,</w:t>
      </w:r>
      <w:r>
        <w:rPr>
          <w:spacing w:val="-10"/>
          <w:w w:val="90"/>
        </w:rPr>
        <w:t> </w:t>
      </w:r>
      <w:r>
        <w:rPr>
          <w:w w:val="90"/>
        </w:rPr>
        <w:t>existe una</w:t>
      </w:r>
      <w:r>
        <w:rPr>
          <w:spacing w:val="-23"/>
          <w:w w:val="90"/>
        </w:rPr>
        <w:t> </w:t>
      </w:r>
      <w:r>
        <w:rPr>
          <w:w w:val="90"/>
        </w:rPr>
        <w:t>variación</w:t>
      </w:r>
      <w:r>
        <w:rPr>
          <w:spacing w:val="-23"/>
          <w:w w:val="90"/>
        </w:rPr>
        <w:t> </w:t>
      </w:r>
      <w:r>
        <w:rPr>
          <w:w w:val="90"/>
        </w:rPr>
        <w:t>interindividual</w:t>
      </w:r>
      <w:r>
        <w:rPr>
          <w:spacing w:val="-23"/>
          <w:w w:val="90"/>
        </w:rPr>
        <w:t> </w:t>
      </w:r>
      <w:r>
        <w:rPr>
          <w:w w:val="90"/>
        </w:rPr>
        <w:t>en</w:t>
      </w:r>
      <w:r>
        <w:rPr>
          <w:spacing w:val="-23"/>
          <w:w w:val="90"/>
        </w:rPr>
        <w:t> </w:t>
      </w:r>
      <w:r>
        <w:rPr>
          <w:w w:val="90"/>
        </w:rPr>
        <w:t>la</w:t>
      </w:r>
      <w:r>
        <w:rPr>
          <w:spacing w:val="-25"/>
          <w:w w:val="90"/>
        </w:rPr>
        <w:t> </w:t>
      </w:r>
      <w:r>
        <w:rPr>
          <w:spacing w:val="2"/>
          <w:w w:val="90"/>
        </w:rPr>
        <w:t>respuesta</w:t>
      </w:r>
      <w:r>
        <w:rPr>
          <w:spacing w:val="-22"/>
          <w:w w:val="90"/>
        </w:rPr>
        <w:t> </w:t>
      </w:r>
      <w:r>
        <w:rPr>
          <w:w w:val="90"/>
        </w:rPr>
        <w:t>al</w:t>
      </w:r>
      <w:r>
        <w:rPr>
          <w:spacing w:val="-24"/>
          <w:w w:val="90"/>
        </w:rPr>
        <w:t> </w:t>
      </w:r>
      <w:r>
        <w:rPr>
          <w:w w:val="90"/>
        </w:rPr>
        <w:t>fármaco</w:t>
      </w:r>
      <w:r>
        <w:rPr>
          <w:spacing w:val="-23"/>
          <w:w w:val="90"/>
        </w:rPr>
        <w:t> </w:t>
      </w:r>
      <w:r>
        <w:rPr>
          <w:w w:val="90"/>
        </w:rPr>
        <w:t>(observación</w:t>
      </w:r>
      <w:r>
        <w:rPr>
          <w:spacing w:val="-23"/>
          <w:w w:val="90"/>
        </w:rPr>
        <w:t> </w:t>
      </w:r>
      <w:r>
        <w:rPr>
          <w:w w:val="90"/>
        </w:rPr>
        <w:t>no</w:t>
      </w:r>
      <w:r>
        <w:rPr>
          <w:spacing w:val="-22"/>
          <w:w w:val="90"/>
        </w:rPr>
        <w:t> </w:t>
      </w:r>
      <w:r>
        <w:rPr>
          <w:w w:val="90"/>
        </w:rPr>
        <w:t>publicada).</w:t>
      </w:r>
    </w:p>
    <w:p>
      <w:pPr>
        <w:pStyle w:val="BodyText"/>
        <w:spacing w:line="360" w:lineRule="auto" w:before="204"/>
        <w:ind w:left="265" w:right="133"/>
        <w:jc w:val="both"/>
      </w:pPr>
      <w:r>
        <w:rPr>
          <w:w w:val="90"/>
        </w:rPr>
        <w:t>Al</w:t>
      </w:r>
      <w:r>
        <w:rPr>
          <w:spacing w:val="-9"/>
          <w:w w:val="90"/>
        </w:rPr>
        <w:t> </w:t>
      </w:r>
      <w:r>
        <w:rPr>
          <w:w w:val="90"/>
        </w:rPr>
        <w:t>inicio</w:t>
      </w:r>
      <w:r>
        <w:rPr>
          <w:spacing w:val="-10"/>
          <w:w w:val="90"/>
        </w:rPr>
        <w:t> </w:t>
      </w:r>
      <w:r>
        <w:rPr>
          <w:w w:val="90"/>
        </w:rPr>
        <w:t>de</w:t>
      </w:r>
      <w:r>
        <w:rPr>
          <w:spacing w:val="-9"/>
          <w:w w:val="90"/>
        </w:rPr>
        <w:t> </w:t>
      </w:r>
      <w:r>
        <w:rPr>
          <w:w w:val="90"/>
        </w:rPr>
        <w:t>la</w:t>
      </w:r>
      <w:r>
        <w:rPr>
          <w:spacing w:val="-9"/>
          <w:w w:val="90"/>
        </w:rPr>
        <w:t> </w:t>
      </w:r>
      <w:r>
        <w:rPr>
          <w:w w:val="90"/>
        </w:rPr>
        <w:t>espermatogénesis</w:t>
      </w:r>
      <w:r>
        <w:rPr>
          <w:spacing w:val="-9"/>
          <w:w w:val="90"/>
        </w:rPr>
        <w:t> </w:t>
      </w:r>
      <w:r>
        <w:rPr>
          <w:w w:val="90"/>
        </w:rPr>
        <w:t>se</w:t>
      </w:r>
      <w:r>
        <w:rPr>
          <w:spacing w:val="-9"/>
          <w:w w:val="90"/>
        </w:rPr>
        <w:t> </w:t>
      </w:r>
      <w:r>
        <w:rPr>
          <w:w w:val="90"/>
        </w:rPr>
        <w:t>presenta</w:t>
      </w:r>
      <w:r>
        <w:rPr>
          <w:spacing w:val="-9"/>
          <w:w w:val="90"/>
        </w:rPr>
        <w:t> </w:t>
      </w:r>
      <w:r>
        <w:rPr>
          <w:w w:val="90"/>
        </w:rPr>
        <w:t>una</w:t>
      </w:r>
      <w:r>
        <w:rPr>
          <w:spacing w:val="-9"/>
          <w:w w:val="90"/>
        </w:rPr>
        <w:t> </w:t>
      </w:r>
      <w:r>
        <w:rPr>
          <w:w w:val="90"/>
        </w:rPr>
        <w:t>ola</w:t>
      </w:r>
      <w:r>
        <w:rPr>
          <w:spacing w:val="-9"/>
          <w:w w:val="90"/>
        </w:rPr>
        <w:t> </w:t>
      </w:r>
      <w:r>
        <w:rPr>
          <w:w w:val="90"/>
        </w:rPr>
        <w:t>de</w:t>
      </w:r>
      <w:r>
        <w:rPr>
          <w:spacing w:val="-9"/>
          <w:w w:val="90"/>
        </w:rPr>
        <w:t> </w:t>
      </w:r>
      <w:r>
        <w:rPr>
          <w:w w:val="90"/>
        </w:rPr>
        <w:t>muerte</w:t>
      </w:r>
      <w:r>
        <w:rPr>
          <w:spacing w:val="-9"/>
          <w:w w:val="90"/>
        </w:rPr>
        <w:t> </w:t>
      </w:r>
      <w:r>
        <w:rPr>
          <w:w w:val="90"/>
        </w:rPr>
        <w:t>de</w:t>
      </w:r>
      <w:r>
        <w:rPr>
          <w:spacing w:val="-9"/>
          <w:w w:val="90"/>
        </w:rPr>
        <w:t> </w:t>
      </w:r>
      <w:r>
        <w:rPr>
          <w:w w:val="90"/>
        </w:rPr>
        <w:t>las</w:t>
      </w:r>
      <w:r>
        <w:rPr>
          <w:spacing w:val="-9"/>
          <w:w w:val="90"/>
        </w:rPr>
        <w:t> </w:t>
      </w:r>
      <w:r>
        <w:rPr>
          <w:w w:val="90"/>
        </w:rPr>
        <w:t>células</w:t>
      </w:r>
      <w:r>
        <w:rPr>
          <w:spacing w:val="-9"/>
          <w:w w:val="90"/>
        </w:rPr>
        <w:t> </w:t>
      </w:r>
      <w:r>
        <w:rPr>
          <w:w w:val="90"/>
        </w:rPr>
        <w:t>germinales, </w:t>
      </w:r>
      <w:r>
        <w:rPr>
          <w:w w:val="95"/>
        </w:rPr>
        <w:t>la</w:t>
      </w:r>
      <w:r>
        <w:rPr>
          <w:spacing w:val="-37"/>
          <w:w w:val="95"/>
        </w:rPr>
        <w:t> </w:t>
      </w:r>
      <w:r>
        <w:rPr>
          <w:w w:val="95"/>
        </w:rPr>
        <w:t>cual</w:t>
      </w:r>
      <w:r>
        <w:rPr>
          <w:spacing w:val="-38"/>
          <w:w w:val="95"/>
        </w:rPr>
        <w:t> </w:t>
      </w:r>
      <w:r>
        <w:rPr>
          <w:w w:val="95"/>
        </w:rPr>
        <w:t>se</w:t>
      </w:r>
      <w:r>
        <w:rPr>
          <w:spacing w:val="-38"/>
          <w:w w:val="95"/>
        </w:rPr>
        <w:t> </w:t>
      </w:r>
      <w:r>
        <w:rPr>
          <w:w w:val="95"/>
        </w:rPr>
        <w:t>considera</w:t>
      </w:r>
      <w:r>
        <w:rPr>
          <w:spacing w:val="-38"/>
          <w:w w:val="95"/>
        </w:rPr>
        <w:t> </w:t>
      </w:r>
      <w:r>
        <w:rPr>
          <w:w w:val="95"/>
        </w:rPr>
        <w:t>necesaria</w:t>
      </w:r>
      <w:r>
        <w:rPr>
          <w:spacing w:val="-38"/>
          <w:w w:val="95"/>
        </w:rPr>
        <w:t> </w:t>
      </w:r>
      <w:r>
        <w:rPr>
          <w:w w:val="95"/>
        </w:rPr>
        <w:t>para</w:t>
      </w:r>
      <w:r>
        <w:rPr>
          <w:spacing w:val="-38"/>
          <w:w w:val="95"/>
        </w:rPr>
        <w:t> </w:t>
      </w:r>
      <w:r>
        <w:rPr>
          <w:w w:val="95"/>
        </w:rPr>
        <w:t>el</w:t>
      </w:r>
      <w:r>
        <w:rPr>
          <w:spacing w:val="-38"/>
          <w:w w:val="95"/>
        </w:rPr>
        <w:t> </w:t>
      </w:r>
      <w:r>
        <w:rPr>
          <w:w w:val="95"/>
        </w:rPr>
        <w:t>desarrollo</w:t>
      </w:r>
      <w:r>
        <w:rPr>
          <w:spacing w:val="-38"/>
          <w:w w:val="95"/>
        </w:rPr>
        <w:t> </w:t>
      </w:r>
      <w:r>
        <w:rPr>
          <w:w w:val="95"/>
        </w:rPr>
        <w:t>normal</w:t>
      </w:r>
      <w:r>
        <w:rPr>
          <w:spacing w:val="-38"/>
          <w:w w:val="95"/>
        </w:rPr>
        <w:t> </w:t>
      </w:r>
      <w:r>
        <w:rPr>
          <w:w w:val="95"/>
        </w:rPr>
        <w:t>de</w:t>
      </w:r>
      <w:r>
        <w:rPr>
          <w:spacing w:val="-38"/>
          <w:w w:val="95"/>
        </w:rPr>
        <w:t> </w:t>
      </w:r>
      <w:r>
        <w:rPr>
          <w:w w:val="95"/>
        </w:rPr>
        <w:t>la</w:t>
      </w:r>
      <w:r>
        <w:rPr>
          <w:spacing w:val="-38"/>
          <w:w w:val="95"/>
        </w:rPr>
        <w:t> </w:t>
      </w:r>
      <w:r>
        <w:rPr>
          <w:w w:val="95"/>
        </w:rPr>
        <w:t>espermatogénesis</w:t>
      </w:r>
      <w:r>
        <w:rPr>
          <w:spacing w:val="-38"/>
          <w:w w:val="95"/>
        </w:rPr>
        <w:t> </w:t>
      </w:r>
      <w:r>
        <w:rPr>
          <w:w w:val="95"/>
        </w:rPr>
        <w:t>(Billig</w:t>
      </w:r>
      <w:r>
        <w:rPr>
          <w:spacing w:val="-38"/>
          <w:w w:val="95"/>
        </w:rPr>
        <w:t> </w:t>
      </w:r>
      <w:r>
        <w:rPr>
          <w:w w:val="95"/>
        </w:rPr>
        <w:t>et </w:t>
      </w:r>
      <w:r>
        <w:rPr>
          <w:w w:val="90"/>
        </w:rPr>
        <w:t>al,</w:t>
      </w:r>
      <w:r>
        <w:rPr>
          <w:spacing w:val="-14"/>
          <w:w w:val="90"/>
        </w:rPr>
        <w:t> </w:t>
      </w:r>
      <w:r>
        <w:rPr>
          <w:w w:val="90"/>
        </w:rPr>
        <w:t>1995;</w:t>
      </w:r>
      <w:r>
        <w:rPr>
          <w:spacing w:val="-14"/>
          <w:w w:val="90"/>
        </w:rPr>
        <w:t> </w:t>
      </w:r>
      <w:r>
        <w:rPr>
          <w:w w:val="90"/>
        </w:rPr>
        <w:t>Rodriguez</w:t>
      </w:r>
      <w:r>
        <w:rPr>
          <w:spacing w:val="-14"/>
          <w:w w:val="90"/>
        </w:rPr>
        <w:t> </w:t>
      </w:r>
      <w:r>
        <w:rPr>
          <w:w w:val="90"/>
        </w:rPr>
        <w:t>et</w:t>
      </w:r>
      <w:r>
        <w:rPr>
          <w:spacing w:val="-14"/>
          <w:w w:val="90"/>
        </w:rPr>
        <w:t> </w:t>
      </w:r>
      <w:r>
        <w:rPr>
          <w:w w:val="90"/>
        </w:rPr>
        <w:t>al,</w:t>
      </w:r>
      <w:r>
        <w:rPr>
          <w:spacing w:val="-14"/>
          <w:w w:val="90"/>
        </w:rPr>
        <w:t> </w:t>
      </w:r>
      <w:r>
        <w:rPr>
          <w:spacing w:val="2"/>
          <w:w w:val="90"/>
        </w:rPr>
        <w:t>1997;</w:t>
      </w:r>
      <w:r>
        <w:rPr>
          <w:spacing w:val="-14"/>
          <w:w w:val="90"/>
        </w:rPr>
        <w:t> </w:t>
      </w:r>
      <w:r>
        <w:rPr>
          <w:w w:val="90"/>
        </w:rPr>
        <w:t>Jahnukainen</w:t>
      </w:r>
      <w:r>
        <w:rPr>
          <w:spacing w:val="-14"/>
          <w:w w:val="90"/>
        </w:rPr>
        <w:t> </w:t>
      </w:r>
      <w:r>
        <w:rPr>
          <w:w w:val="90"/>
        </w:rPr>
        <w:t>et</w:t>
      </w:r>
      <w:r>
        <w:rPr>
          <w:spacing w:val="-14"/>
          <w:w w:val="90"/>
        </w:rPr>
        <w:t> </w:t>
      </w:r>
      <w:r>
        <w:rPr>
          <w:w w:val="90"/>
        </w:rPr>
        <w:t>al,</w:t>
      </w:r>
      <w:r>
        <w:rPr>
          <w:spacing w:val="-14"/>
          <w:w w:val="90"/>
        </w:rPr>
        <w:t> </w:t>
      </w:r>
      <w:r>
        <w:rPr>
          <w:w w:val="90"/>
        </w:rPr>
        <w:t>2004).</w:t>
      </w:r>
      <w:r>
        <w:rPr>
          <w:spacing w:val="-13"/>
          <w:w w:val="90"/>
        </w:rPr>
        <w:t> </w:t>
      </w:r>
      <w:r>
        <w:rPr>
          <w:w w:val="90"/>
        </w:rPr>
        <w:t>Esta</w:t>
      </w:r>
      <w:r>
        <w:rPr>
          <w:spacing w:val="-14"/>
          <w:w w:val="90"/>
        </w:rPr>
        <w:t> </w:t>
      </w:r>
      <w:r>
        <w:rPr>
          <w:w w:val="90"/>
        </w:rPr>
        <w:t>ola</w:t>
      </w:r>
      <w:r>
        <w:rPr>
          <w:spacing w:val="-14"/>
          <w:w w:val="90"/>
        </w:rPr>
        <w:t> </w:t>
      </w:r>
      <w:r>
        <w:rPr>
          <w:w w:val="90"/>
        </w:rPr>
        <w:t>de</w:t>
      </w:r>
      <w:r>
        <w:rPr>
          <w:spacing w:val="-14"/>
          <w:w w:val="90"/>
        </w:rPr>
        <w:t> </w:t>
      </w:r>
      <w:r>
        <w:rPr>
          <w:w w:val="90"/>
        </w:rPr>
        <w:t>muerte</w:t>
      </w:r>
      <w:r>
        <w:rPr>
          <w:spacing w:val="-14"/>
          <w:w w:val="90"/>
        </w:rPr>
        <w:t> </w:t>
      </w:r>
      <w:r>
        <w:rPr>
          <w:w w:val="90"/>
        </w:rPr>
        <w:t>de</w:t>
      </w:r>
      <w:r>
        <w:rPr>
          <w:spacing w:val="-15"/>
          <w:w w:val="90"/>
        </w:rPr>
        <w:t> </w:t>
      </w:r>
      <w:r>
        <w:rPr>
          <w:w w:val="90"/>
        </w:rPr>
        <w:t>las</w:t>
      </w:r>
      <w:r>
        <w:rPr>
          <w:spacing w:val="-14"/>
          <w:w w:val="90"/>
        </w:rPr>
        <w:t> </w:t>
      </w:r>
      <w:r>
        <w:rPr>
          <w:w w:val="90"/>
        </w:rPr>
        <w:t>células </w:t>
      </w:r>
      <w:r>
        <w:rPr>
          <w:w w:val="95"/>
        </w:rPr>
        <w:t>germinales</w:t>
      </w:r>
      <w:r>
        <w:rPr>
          <w:spacing w:val="-23"/>
          <w:w w:val="95"/>
        </w:rPr>
        <w:t> </w:t>
      </w:r>
      <w:r>
        <w:rPr>
          <w:w w:val="95"/>
        </w:rPr>
        <w:t>es</w:t>
      </w:r>
      <w:r>
        <w:rPr>
          <w:spacing w:val="-23"/>
          <w:w w:val="95"/>
        </w:rPr>
        <w:t> </w:t>
      </w:r>
      <w:r>
        <w:rPr>
          <w:w w:val="95"/>
        </w:rPr>
        <w:t>requerida</w:t>
      </w:r>
      <w:r>
        <w:rPr>
          <w:spacing w:val="-22"/>
          <w:w w:val="95"/>
        </w:rPr>
        <w:t> </w:t>
      </w:r>
      <w:r>
        <w:rPr>
          <w:w w:val="95"/>
        </w:rPr>
        <w:t>con</w:t>
      </w:r>
      <w:r>
        <w:rPr>
          <w:spacing w:val="-22"/>
          <w:w w:val="95"/>
        </w:rPr>
        <w:t> </w:t>
      </w:r>
      <w:r>
        <w:rPr>
          <w:w w:val="95"/>
        </w:rPr>
        <w:t>el</w:t>
      </w:r>
      <w:r>
        <w:rPr>
          <w:spacing w:val="-23"/>
          <w:w w:val="95"/>
        </w:rPr>
        <w:t> </w:t>
      </w:r>
      <w:r>
        <w:rPr>
          <w:w w:val="95"/>
        </w:rPr>
        <w:t>fin</w:t>
      </w:r>
      <w:r>
        <w:rPr>
          <w:spacing w:val="-22"/>
          <w:w w:val="95"/>
        </w:rPr>
        <w:t> </w:t>
      </w:r>
      <w:r>
        <w:rPr>
          <w:w w:val="95"/>
        </w:rPr>
        <w:t>de</w:t>
      </w:r>
      <w:r>
        <w:rPr>
          <w:spacing w:val="-22"/>
          <w:w w:val="95"/>
        </w:rPr>
        <w:t> </w:t>
      </w:r>
      <w:r>
        <w:rPr>
          <w:w w:val="95"/>
        </w:rPr>
        <w:t>que</w:t>
      </w:r>
      <w:r>
        <w:rPr>
          <w:spacing w:val="-22"/>
          <w:w w:val="95"/>
        </w:rPr>
        <w:t> </w:t>
      </w:r>
      <w:r>
        <w:rPr>
          <w:w w:val="95"/>
        </w:rPr>
        <w:t>haya</w:t>
      </w:r>
      <w:r>
        <w:rPr>
          <w:spacing w:val="-22"/>
          <w:w w:val="95"/>
        </w:rPr>
        <w:t> </w:t>
      </w:r>
      <w:r>
        <w:rPr>
          <w:w w:val="95"/>
        </w:rPr>
        <w:t>un</w:t>
      </w:r>
      <w:r>
        <w:rPr>
          <w:spacing w:val="-22"/>
          <w:w w:val="95"/>
        </w:rPr>
        <w:t> </w:t>
      </w:r>
      <w:r>
        <w:rPr>
          <w:w w:val="95"/>
        </w:rPr>
        <w:t>balance</w:t>
      </w:r>
      <w:r>
        <w:rPr>
          <w:spacing w:val="-22"/>
          <w:w w:val="95"/>
        </w:rPr>
        <w:t> </w:t>
      </w:r>
      <w:r>
        <w:rPr>
          <w:w w:val="95"/>
        </w:rPr>
        <w:t>de</w:t>
      </w:r>
      <w:r>
        <w:rPr>
          <w:spacing w:val="-22"/>
          <w:w w:val="95"/>
        </w:rPr>
        <w:t> </w:t>
      </w:r>
      <w:r>
        <w:rPr>
          <w:w w:val="95"/>
        </w:rPr>
        <w:t>las</w:t>
      </w:r>
      <w:r>
        <w:rPr>
          <w:spacing w:val="-23"/>
          <w:w w:val="95"/>
        </w:rPr>
        <w:t> </w:t>
      </w:r>
      <w:r>
        <w:rPr>
          <w:w w:val="95"/>
        </w:rPr>
        <w:t>células</w:t>
      </w:r>
      <w:r>
        <w:rPr>
          <w:spacing w:val="-23"/>
          <w:w w:val="95"/>
        </w:rPr>
        <w:t> </w:t>
      </w:r>
      <w:r>
        <w:rPr>
          <w:w w:val="95"/>
        </w:rPr>
        <w:t>germinales</w:t>
      </w:r>
      <w:r>
        <w:rPr>
          <w:spacing w:val="-23"/>
          <w:w w:val="95"/>
        </w:rPr>
        <w:t> </w:t>
      </w:r>
      <w:r>
        <w:rPr>
          <w:w w:val="95"/>
        </w:rPr>
        <w:t>en maduración para que puedan ser mantenidas por las células Sertoli (Rodriguez et</w:t>
      </w:r>
      <w:r>
        <w:rPr>
          <w:spacing w:val="-40"/>
          <w:w w:val="95"/>
        </w:rPr>
        <w:t> </w:t>
      </w:r>
      <w:r>
        <w:rPr>
          <w:w w:val="95"/>
        </w:rPr>
        <w:t>al, 1997).</w:t>
      </w:r>
      <w:r>
        <w:rPr>
          <w:spacing w:val="-37"/>
          <w:w w:val="95"/>
        </w:rPr>
        <w:t> </w:t>
      </w:r>
      <w:r>
        <w:rPr>
          <w:w w:val="95"/>
        </w:rPr>
        <w:t>Durante</w:t>
      </w:r>
      <w:r>
        <w:rPr>
          <w:spacing w:val="-38"/>
          <w:w w:val="95"/>
        </w:rPr>
        <w:t> </w:t>
      </w:r>
      <w:r>
        <w:rPr>
          <w:w w:val="95"/>
        </w:rPr>
        <w:t>la</w:t>
      </w:r>
      <w:r>
        <w:rPr>
          <w:spacing w:val="-37"/>
          <w:w w:val="95"/>
        </w:rPr>
        <w:t> </w:t>
      </w:r>
      <w:r>
        <w:rPr>
          <w:w w:val="95"/>
        </w:rPr>
        <w:t>primera</w:t>
      </w:r>
      <w:r>
        <w:rPr>
          <w:spacing w:val="-38"/>
          <w:w w:val="95"/>
        </w:rPr>
        <w:t> </w:t>
      </w:r>
      <w:r>
        <w:rPr>
          <w:w w:val="95"/>
        </w:rPr>
        <w:t>ola</w:t>
      </w:r>
      <w:r>
        <w:rPr>
          <w:spacing w:val="-38"/>
          <w:w w:val="95"/>
        </w:rPr>
        <w:t> </w:t>
      </w:r>
      <w:r>
        <w:rPr>
          <w:w w:val="95"/>
        </w:rPr>
        <w:t>de</w:t>
      </w:r>
      <w:r>
        <w:rPr>
          <w:spacing w:val="-38"/>
          <w:w w:val="95"/>
        </w:rPr>
        <w:t> </w:t>
      </w:r>
      <w:r>
        <w:rPr>
          <w:w w:val="95"/>
        </w:rPr>
        <w:t>apoptosis</w:t>
      </w:r>
      <w:r>
        <w:rPr>
          <w:spacing w:val="-38"/>
          <w:w w:val="95"/>
        </w:rPr>
        <w:t> </w:t>
      </w:r>
      <w:r>
        <w:rPr>
          <w:w w:val="95"/>
        </w:rPr>
        <w:t>hay</w:t>
      </w:r>
      <w:r>
        <w:rPr>
          <w:spacing w:val="-38"/>
          <w:w w:val="95"/>
        </w:rPr>
        <w:t> </w:t>
      </w:r>
      <w:r>
        <w:rPr>
          <w:w w:val="95"/>
        </w:rPr>
        <w:t>un</w:t>
      </w:r>
      <w:r>
        <w:rPr>
          <w:spacing w:val="-38"/>
          <w:w w:val="95"/>
        </w:rPr>
        <w:t> </w:t>
      </w:r>
      <w:r>
        <w:rPr>
          <w:w w:val="95"/>
        </w:rPr>
        <w:t>aumento</w:t>
      </w:r>
      <w:r>
        <w:rPr>
          <w:spacing w:val="-37"/>
          <w:w w:val="95"/>
        </w:rPr>
        <w:t> </w:t>
      </w:r>
      <w:r>
        <w:rPr>
          <w:w w:val="95"/>
        </w:rPr>
        <w:t>en</w:t>
      </w:r>
      <w:r>
        <w:rPr>
          <w:spacing w:val="-38"/>
          <w:w w:val="95"/>
        </w:rPr>
        <w:t> </w:t>
      </w:r>
      <w:r>
        <w:rPr>
          <w:w w:val="95"/>
        </w:rPr>
        <w:t>la</w:t>
      </w:r>
      <w:r>
        <w:rPr>
          <w:spacing w:val="-38"/>
          <w:w w:val="95"/>
        </w:rPr>
        <w:t> </w:t>
      </w:r>
      <w:r>
        <w:rPr>
          <w:w w:val="95"/>
        </w:rPr>
        <w:t>expresión</w:t>
      </w:r>
      <w:r>
        <w:rPr>
          <w:spacing w:val="-38"/>
          <w:w w:val="95"/>
        </w:rPr>
        <w:t> </w:t>
      </w:r>
      <w:r>
        <w:rPr>
          <w:w w:val="95"/>
        </w:rPr>
        <w:t>de</w:t>
      </w:r>
      <w:r>
        <w:rPr>
          <w:spacing w:val="-38"/>
          <w:w w:val="95"/>
        </w:rPr>
        <w:t> </w:t>
      </w:r>
      <w:r>
        <w:rPr>
          <w:w w:val="95"/>
        </w:rPr>
        <w:t>la</w:t>
      </w:r>
      <w:r>
        <w:rPr>
          <w:spacing w:val="-38"/>
          <w:w w:val="95"/>
        </w:rPr>
        <w:t> </w:t>
      </w:r>
      <w:r>
        <w:rPr>
          <w:w w:val="95"/>
        </w:rPr>
        <w:t>proteína </w:t>
      </w:r>
      <w:r>
        <w:rPr>
          <w:w w:val="90"/>
        </w:rPr>
        <w:t>BAX</w:t>
      </w:r>
      <w:r>
        <w:rPr>
          <w:spacing w:val="-15"/>
          <w:w w:val="90"/>
        </w:rPr>
        <w:t> </w:t>
      </w:r>
      <w:r>
        <w:rPr>
          <w:w w:val="90"/>
        </w:rPr>
        <w:t>relacionada</w:t>
      </w:r>
      <w:r>
        <w:rPr>
          <w:spacing w:val="-13"/>
          <w:w w:val="90"/>
        </w:rPr>
        <w:t> </w:t>
      </w:r>
      <w:r>
        <w:rPr>
          <w:w w:val="90"/>
        </w:rPr>
        <w:t>con</w:t>
      </w:r>
      <w:r>
        <w:rPr>
          <w:spacing w:val="-16"/>
          <w:w w:val="90"/>
        </w:rPr>
        <w:t> </w:t>
      </w:r>
      <w:r>
        <w:rPr>
          <w:w w:val="90"/>
        </w:rPr>
        <w:t>el</w:t>
      </w:r>
      <w:r>
        <w:rPr>
          <w:spacing w:val="-14"/>
          <w:w w:val="90"/>
        </w:rPr>
        <w:t> </w:t>
      </w:r>
      <w:r>
        <w:rPr>
          <w:w w:val="90"/>
        </w:rPr>
        <w:t>aumento</w:t>
      </w:r>
      <w:r>
        <w:rPr>
          <w:spacing w:val="-13"/>
          <w:w w:val="90"/>
        </w:rPr>
        <w:t> </w:t>
      </w:r>
      <w:r>
        <w:rPr>
          <w:w w:val="90"/>
        </w:rPr>
        <w:t>del</w:t>
      </w:r>
      <w:r>
        <w:rPr>
          <w:spacing w:val="-14"/>
          <w:w w:val="90"/>
        </w:rPr>
        <w:t> </w:t>
      </w:r>
      <w:r>
        <w:rPr>
          <w:w w:val="90"/>
        </w:rPr>
        <w:t>número</w:t>
      </w:r>
      <w:r>
        <w:rPr>
          <w:spacing w:val="-16"/>
          <w:w w:val="90"/>
        </w:rPr>
        <w:t> </w:t>
      </w:r>
      <w:r>
        <w:rPr>
          <w:w w:val="90"/>
        </w:rPr>
        <w:t>de</w:t>
      </w:r>
      <w:r>
        <w:rPr>
          <w:spacing w:val="-13"/>
          <w:w w:val="90"/>
        </w:rPr>
        <w:t> </w:t>
      </w:r>
      <w:r>
        <w:rPr>
          <w:w w:val="90"/>
        </w:rPr>
        <w:t>células</w:t>
      </w:r>
      <w:r>
        <w:rPr>
          <w:spacing w:val="-16"/>
          <w:w w:val="90"/>
        </w:rPr>
        <w:t> </w:t>
      </w:r>
      <w:r>
        <w:rPr>
          <w:w w:val="90"/>
        </w:rPr>
        <w:t>germinales</w:t>
      </w:r>
      <w:r>
        <w:rPr>
          <w:spacing w:val="-16"/>
          <w:w w:val="90"/>
        </w:rPr>
        <w:t> </w:t>
      </w:r>
      <w:r>
        <w:rPr>
          <w:w w:val="90"/>
        </w:rPr>
        <w:t>muertas</w:t>
      </w:r>
      <w:r>
        <w:rPr>
          <w:spacing w:val="-16"/>
          <w:w w:val="90"/>
        </w:rPr>
        <w:t> </w:t>
      </w:r>
      <w:r>
        <w:rPr>
          <w:w w:val="90"/>
        </w:rPr>
        <w:t>por</w:t>
      </w:r>
      <w:r>
        <w:rPr>
          <w:spacing w:val="-13"/>
          <w:w w:val="90"/>
        </w:rPr>
        <w:t> </w:t>
      </w:r>
      <w:r>
        <w:rPr>
          <w:w w:val="90"/>
        </w:rPr>
        <w:t>apoptosis, mientras</w:t>
      </w:r>
      <w:r>
        <w:rPr>
          <w:spacing w:val="-22"/>
          <w:w w:val="90"/>
        </w:rPr>
        <w:t> </w:t>
      </w:r>
      <w:r>
        <w:rPr>
          <w:w w:val="90"/>
        </w:rPr>
        <w:t>la</w:t>
      </w:r>
      <w:r>
        <w:rPr>
          <w:spacing w:val="-20"/>
          <w:w w:val="90"/>
        </w:rPr>
        <w:t> </w:t>
      </w:r>
      <w:r>
        <w:rPr>
          <w:w w:val="90"/>
        </w:rPr>
        <w:t>proteína</w:t>
      </w:r>
      <w:r>
        <w:rPr>
          <w:spacing w:val="-20"/>
          <w:w w:val="90"/>
        </w:rPr>
        <w:t> </w:t>
      </w:r>
      <w:r>
        <w:rPr>
          <w:w w:val="90"/>
        </w:rPr>
        <w:t>BCL-2</w:t>
      </w:r>
      <w:r>
        <w:rPr>
          <w:spacing w:val="-21"/>
          <w:w w:val="90"/>
        </w:rPr>
        <w:t> </w:t>
      </w:r>
      <w:r>
        <w:rPr>
          <w:w w:val="90"/>
        </w:rPr>
        <w:t>disminuye</w:t>
      </w:r>
      <w:r>
        <w:rPr>
          <w:spacing w:val="-20"/>
          <w:w w:val="90"/>
        </w:rPr>
        <w:t> </w:t>
      </w:r>
      <w:r>
        <w:rPr>
          <w:w w:val="90"/>
        </w:rPr>
        <w:t>su</w:t>
      </w:r>
      <w:r>
        <w:rPr>
          <w:spacing w:val="-21"/>
          <w:w w:val="90"/>
        </w:rPr>
        <w:t> </w:t>
      </w:r>
      <w:r>
        <w:rPr>
          <w:w w:val="90"/>
        </w:rPr>
        <w:t>expresión</w:t>
      </w:r>
      <w:r>
        <w:rPr>
          <w:spacing w:val="-21"/>
          <w:w w:val="90"/>
        </w:rPr>
        <w:t> </w:t>
      </w:r>
      <w:r>
        <w:rPr>
          <w:w w:val="90"/>
        </w:rPr>
        <w:t>(Jahnukainen</w:t>
      </w:r>
      <w:r>
        <w:rPr>
          <w:spacing w:val="-20"/>
          <w:w w:val="90"/>
        </w:rPr>
        <w:t> </w:t>
      </w:r>
      <w:r>
        <w:rPr>
          <w:w w:val="90"/>
        </w:rPr>
        <w:t>et</w:t>
      </w:r>
      <w:r>
        <w:rPr>
          <w:spacing w:val="-21"/>
          <w:w w:val="90"/>
        </w:rPr>
        <w:t> </w:t>
      </w:r>
      <w:r>
        <w:rPr>
          <w:w w:val="90"/>
        </w:rPr>
        <w:t>al,</w:t>
      </w:r>
      <w:r>
        <w:rPr>
          <w:spacing w:val="-20"/>
          <w:w w:val="90"/>
        </w:rPr>
        <w:t> </w:t>
      </w:r>
      <w:r>
        <w:rPr>
          <w:w w:val="90"/>
        </w:rPr>
        <w:t>2004).</w:t>
      </w:r>
    </w:p>
    <w:p>
      <w:pPr>
        <w:pStyle w:val="BodyText"/>
        <w:spacing w:line="360" w:lineRule="auto" w:before="202"/>
        <w:ind w:left="265" w:right="130"/>
        <w:jc w:val="both"/>
      </w:pPr>
      <w:r>
        <w:rPr>
          <w:w w:val="90"/>
        </w:rPr>
        <w:t>Nosotros</w:t>
      </w:r>
      <w:r>
        <w:rPr>
          <w:spacing w:val="-12"/>
          <w:w w:val="90"/>
        </w:rPr>
        <w:t> </w:t>
      </w:r>
      <w:r>
        <w:rPr>
          <w:w w:val="90"/>
        </w:rPr>
        <w:t>observamos</w:t>
      </w:r>
      <w:r>
        <w:rPr>
          <w:spacing w:val="-10"/>
          <w:w w:val="90"/>
        </w:rPr>
        <w:t> </w:t>
      </w:r>
      <w:r>
        <w:rPr>
          <w:w w:val="90"/>
        </w:rPr>
        <w:t>diferencias</w:t>
      </w:r>
      <w:r>
        <w:rPr>
          <w:spacing w:val="-12"/>
          <w:w w:val="90"/>
        </w:rPr>
        <w:t> </w:t>
      </w:r>
      <w:r>
        <w:rPr>
          <w:w w:val="90"/>
        </w:rPr>
        <w:t>en</w:t>
      </w:r>
      <w:r>
        <w:rPr>
          <w:spacing w:val="-11"/>
          <w:w w:val="90"/>
        </w:rPr>
        <w:t> </w:t>
      </w:r>
      <w:r>
        <w:rPr>
          <w:w w:val="90"/>
        </w:rPr>
        <w:t>cuanto</w:t>
      </w:r>
      <w:r>
        <w:rPr>
          <w:spacing w:val="-10"/>
          <w:w w:val="90"/>
        </w:rPr>
        <w:t> </w:t>
      </w:r>
      <w:r>
        <w:rPr>
          <w:w w:val="90"/>
        </w:rPr>
        <w:t>a</w:t>
      </w:r>
      <w:r>
        <w:rPr>
          <w:spacing w:val="-11"/>
          <w:w w:val="90"/>
        </w:rPr>
        <w:t> </w:t>
      </w:r>
      <w:r>
        <w:rPr>
          <w:w w:val="90"/>
        </w:rPr>
        <w:t>la</w:t>
      </w:r>
      <w:r>
        <w:rPr>
          <w:spacing w:val="-11"/>
          <w:w w:val="90"/>
        </w:rPr>
        <w:t> </w:t>
      </w:r>
      <w:r>
        <w:rPr>
          <w:w w:val="90"/>
        </w:rPr>
        <w:t>expresión</w:t>
      </w:r>
      <w:r>
        <w:rPr>
          <w:spacing w:val="-11"/>
          <w:w w:val="90"/>
        </w:rPr>
        <w:t> </w:t>
      </w:r>
      <w:r>
        <w:rPr>
          <w:w w:val="90"/>
        </w:rPr>
        <w:t>del</w:t>
      </w:r>
      <w:r>
        <w:rPr>
          <w:spacing w:val="-10"/>
          <w:w w:val="90"/>
        </w:rPr>
        <w:t> </w:t>
      </w:r>
      <w:r>
        <w:rPr>
          <w:w w:val="90"/>
        </w:rPr>
        <w:t>gene</w:t>
      </w:r>
      <w:r>
        <w:rPr>
          <w:spacing w:val="-10"/>
          <w:w w:val="90"/>
        </w:rPr>
        <w:t> </w:t>
      </w:r>
      <w:r>
        <w:rPr>
          <w:w w:val="90"/>
        </w:rPr>
        <w:t>BAX</w:t>
      </w:r>
      <w:r>
        <w:rPr>
          <w:spacing w:val="-10"/>
          <w:w w:val="90"/>
        </w:rPr>
        <w:t> </w:t>
      </w:r>
      <w:r>
        <w:rPr>
          <w:w w:val="90"/>
        </w:rPr>
        <w:t>en</w:t>
      </w:r>
      <w:r>
        <w:rPr>
          <w:spacing w:val="-11"/>
          <w:w w:val="90"/>
        </w:rPr>
        <w:t> </w:t>
      </w:r>
      <w:r>
        <w:rPr>
          <w:w w:val="90"/>
        </w:rPr>
        <w:t>los</w:t>
      </w:r>
      <w:r>
        <w:rPr>
          <w:spacing w:val="-12"/>
          <w:w w:val="90"/>
        </w:rPr>
        <w:t> </w:t>
      </w:r>
      <w:r>
        <w:rPr>
          <w:w w:val="90"/>
        </w:rPr>
        <w:t>individuos que</w:t>
      </w:r>
      <w:r>
        <w:rPr>
          <w:spacing w:val="-14"/>
          <w:w w:val="90"/>
        </w:rPr>
        <w:t> </w:t>
      </w:r>
      <w:r>
        <w:rPr>
          <w:w w:val="90"/>
        </w:rPr>
        <w:t>presentan</w:t>
      </w:r>
      <w:r>
        <w:rPr>
          <w:spacing w:val="-12"/>
          <w:w w:val="90"/>
        </w:rPr>
        <w:t> </w:t>
      </w:r>
      <w:r>
        <w:rPr>
          <w:w w:val="90"/>
        </w:rPr>
        <w:t>una</w:t>
      </w:r>
      <w:r>
        <w:rPr>
          <w:spacing w:val="-12"/>
          <w:w w:val="90"/>
        </w:rPr>
        <w:t> </w:t>
      </w:r>
      <w:r>
        <w:rPr>
          <w:w w:val="90"/>
        </w:rPr>
        <w:t>susceptibilidad</w:t>
      </w:r>
      <w:r>
        <w:rPr>
          <w:spacing w:val="-14"/>
          <w:w w:val="90"/>
        </w:rPr>
        <w:t> </w:t>
      </w:r>
      <w:r>
        <w:rPr>
          <w:w w:val="90"/>
        </w:rPr>
        <w:t>alta</w:t>
      </w:r>
      <w:r>
        <w:rPr>
          <w:spacing w:val="-14"/>
          <w:w w:val="90"/>
        </w:rPr>
        <w:t> </w:t>
      </w:r>
      <w:r>
        <w:rPr>
          <w:w w:val="90"/>
        </w:rPr>
        <w:t>a</w:t>
      </w:r>
      <w:r>
        <w:rPr>
          <w:spacing w:val="-14"/>
          <w:w w:val="90"/>
        </w:rPr>
        <w:t> </w:t>
      </w:r>
      <w:r>
        <w:rPr>
          <w:w w:val="90"/>
        </w:rPr>
        <w:t>la</w:t>
      </w:r>
      <w:r>
        <w:rPr>
          <w:spacing w:val="-14"/>
          <w:w w:val="90"/>
        </w:rPr>
        <w:t> </w:t>
      </w:r>
      <w:r>
        <w:rPr>
          <w:w w:val="90"/>
        </w:rPr>
        <w:t>muerte</w:t>
      </w:r>
      <w:r>
        <w:rPr>
          <w:spacing w:val="-12"/>
          <w:w w:val="90"/>
        </w:rPr>
        <w:t> </w:t>
      </w:r>
      <w:r>
        <w:rPr>
          <w:w w:val="90"/>
        </w:rPr>
        <w:t>de</w:t>
      </w:r>
      <w:r>
        <w:rPr>
          <w:spacing w:val="-14"/>
          <w:w w:val="90"/>
        </w:rPr>
        <w:t> </w:t>
      </w:r>
      <w:r>
        <w:rPr>
          <w:w w:val="90"/>
        </w:rPr>
        <w:t>células</w:t>
      </w:r>
      <w:r>
        <w:rPr>
          <w:spacing w:val="-14"/>
          <w:w w:val="90"/>
        </w:rPr>
        <w:t> </w:t>
      </w:r>
      <w:r>
        <w:rPr>
          <w:w w:val="90"/>
        </w:rPr>
        <w:t>germinales</w:t>
      </w:r>
      <w:r>
        <w:rPr>
          <w:spacing w:val="-14"/>
          <w:w w:val="90"/>
        </w:rPr>
        <w:t> </w:t>
      </w:r>
      <w:r>
        <w:rPr>
          <w:w w:val="90"/>
        </w:rPr>
        <w:t>por</w:t>
      </w:r>
      <w:r>
        <w:rPr>
          <w:spacing w:val="-13"/>
          <w:w w:val="90"/>
        </w:rPr>
        <w:t> </w:t>
      </w:r>
      <w:r>
        <w:rPr>
          <w:w w:val="90"/>
        </w:rPr>
        <w:t>apoptosis,</w:t>
      </w:r>
      <w:r>
        <w:rPr>
          <w:spacing w:val="-14"/>
          <w:w w:val="90"/>
        </w:rPr>
        <w:t> </w:t>
      </w:r>
      <w:r>
        <w:rPr>
          <w:w w:val="90"/>
        </w:rPr>
        <w:t>en relación</w:t>
      </w:r>
      <w:r>
        <w:rPr>
          <w:spacing w:val="-12"/>
          <w:w w:val="90"/>
        </w:rPr>
        <w:t> </w:t>
      </w:r>
      <w:r>
        <w:rPr>
          <w:w w:val="90"/>
        </w:rPr>
        <w:t>a</w:t>
      </w:r>
      <w:r>
        <w:rPr>
          <w:spacing w:val="-14"/>
          <w:w w:val="90"/>
        </w:rPr>
        <w:t> </w:t>
      </w:r>
      <w:r>
        <w:rPr>
          <w:w w:val="90"/>
        </w:rPr>
        <w:t>los</w:t>
      </w:r>
      <w:r>
        <w:rPr>
          <w:spacing w:val="-12"/>
          <w:w w:val="90"/>
        </w:rPr>
        <w:t> </w:t>
      </w:r>
      <w:r>
        <w:rPr>
          <w:w w:val="90"/>
        </w:rPr>
        <w:t>individuos</w:t>
      </w:r>
      <w:r>
        <w:rPr>
          <w:spacing w:val="-15"/>
          <w:w w:val="90"/>
        </w:rPr>
        <w:t> </w:t>
      </w:r>
      <w:r>
        <w:rPr>
          <w:w w:val="90"/>
        </w:rPr>
        <w:t>de</w:t>
      </w:r>
      <w:r>
        <w:rPr>
          <w:spacing w:val="-12"/>
          <w:w w:val="90"/>
        </w:rPr>
        <w:t> </w:t>
      </w:r>
      <w:r>
        <w:rPr>
          <w:w w:val="90"/>
        </w:rPr>
        <w:t>susceptibilidad</w:t>
      </w:r>
      <w:r>
        <w:rPr>
          <w:spacing w:val="-12"/>
          <w:w w:val="90"/>
        </w:rPr>
        <w:t> </w:t>
      </w:r>
      <w:r>
        <w:rPr>
          <w:w w:val="90"/>
        </w:rPr>
        <w:t>baja.</w:t>
      </w:r>
      <w:r>
        <w:rPr>
          <w:spacing w:val="-12"/>
          <w:w w:val="90"/>
        </w:rPr>
        <w:t> </w:t>
      </w:r>
      <w:r>
        <w:rPr>
          <w:w w:val="90"/>
        </w:rPr>
        <w:t>Sin</w:t>
      </w:r>
      <w:r>
        <w:rPr>
          <w:spacing w:val="-12"/>
          <w:w w:val="90"/>
        </w:rPr>
        <w:t> </w:t>
      </w:r>
      <w:r>
        <w:rPr>
          <w:w w:val="90"/>
        </w:rPr>
        <w:t>embargo,</w:t>
      </w:r>
      <w:r>
        <w:rPr>
          <w:spacing w:val="-14"/>
          <w:w w:val="90"/>
        </w:rPr>
        <w:t> </w:t>
      </w:r>
      <w:r>
        <w:rPr>
          <w:w w:val="90"/>
        </w:rPr>
        <w:t>no</w:t>
      </w:r>
      <w:r>
        <w:rPr>
          <w:spacing w:val="-12"/>
          <w:w w:val="90"/>
        </w:rPr>
        <w:t> </w:t>
      </w:r>
      <w:r>
        <w:rPr>
          <w:w w:val="90"/>
        </w:rPr>
        <w:t>encontramos</w:t>
      </w:r>
      <w:r>
        <w:rPr>
          <w:spacing w:val="-12"/>
          <w:w w:val="90"/>
        </w:rPr>
        <w:t> </w:t>
      </w:r>
      <w:r>
        <w:rPr>
          <w:w w:val="90"/>
        </w:rPr>
        <w:t>diferencias </w:t>
      </w:r>
      <w:r>
        <w:rPr>
          <w:w w:val="95"/>
        </w:rPr>
        <w:t>en</w:t>
      </w:r>
      <w:r>
        <w:rPr>
          <w:spacing w:val="-19"/>
          <w:w w:val="95"/>
        </w:rPr>
        <w:t> </w:t>
      </w:r>
      <w:r>
        <w:rPr>
          <w:w w:val="95"/>
        </w:rPr>
        <w:t>cuanto</w:t>
      </w:r>
      <w:r>
        <w:rPr>
          <w:spacing w:val="-17"/>
          <w:w w:val="95"/>
        </w:rPr>
        <w:t> </w:t>
      </w:r>
      <w:r>
        <w:rPr>
          <w:w w:val="95"/>
        </w:rPr>
        <w:t>a</w:t>
      </w:r>
      <w:r>
        <w:rPr>
          <w:spacing w:val="-20"/>
          <w:w w:val="95"/>
        </w:rPr>
        <w:t> </w:t>
      </w:r>
      <w:r>
        <w:rPr>
          <w:w w:val="95"/>
        </w:rPr>
        <w:t>la</w:t>
      </w:r>
      <w:r>
        <w:rPr>
          <w:spacing w:val="-19"/>
          <w:w w:val="95"/>
        </w:rPr>
        <w:t> </w:t>
      </w:r>
      <w:r>
        <w:rPr>
          <w:w w:val="95"/>
        </w:rPr>
        <w:t>expresión</w:t>
      </w:r>
      <w:r>
        <w:rPr>
          <w:spacing w:val="-19"/>
          <w:w w:val="95"/>
        </w:rPr>
        <w:t> </w:t>
      </w:r>
      <w:r>
        <w:rPr>
          <w:w w:val="95"/>
        </w:rPr>
        <w:t>de</w:t>
      </w:r>
      <w:r>
        <w:rPr>
          <w:spacing w:val="-20"/>
          <w:w w:val="95"/>
        </w:rPr>
        <w:t> </w:t>
      </w:r>
      <w:r>
        <w:rPr>
          <w:spacing w:val="2"/>
          <w:w w:val="95"/>
        </w:rPr>
        <w:t>BCL-2</w:t>
      </w:r>
      <w:r>
        <w:rPr>
          <w:spacing w:val="-19"/>
          <w:w w:val="95"/>
        </w:rPr>
        <w:t> </w:t>
      </w:r>
      <w:r>
        <w:rPr>
          <w:w w:val="95"/>
        </w:rPr>
        <w:t>como</w:t>
      </w:r>
      <w:r>
        <w:rPr>
          <w:spacing w:val="-20"/>
          <w:w w:val="95"/>
        </w:rPr>
        <w:t> </w:t>
      </w:r>
      <w:r>
        <w:rPr>
          <w:w w:val="95"/>
        </w:rPr>
        <w:t>lo</w:t>
      </w:r>
      <w:r>
        <w:rPr>
          <w:spacing w:val="-20"/>
          <w:w w:val="95"/>
        </w:rPr>
        <w:t> </w:t>
      </w:r>
      <w:r>
        <w:rPr>
          <w:w w:val="95"/>
        </w:rPr>
        <w:t>reportado</w:t>
      </w:r>
      <w:r>
        <w:rPr>
          <w:spacing w:val="-19"/>
          <w:w w:val="95"/>
        </w:rPr>
        <w:t> </w:t>
      </w:r>
      <w:r>
        <w:rPr>
          <w:w w:val="95"/>
        </w:rPr>
        <w:t>por</w:t>
      </w:r>
      <w:r>
        <w:rPr>
          <w:spacing w:val="-18"/>
          <w:w w:val="95"/>
        </w:rPr>
        <w:t> </w:t>
      </w:r>
      <w:r>
        <w:rPr>
          <w:w w:val="95"/>
        </w:rPr>
        <w:t>Jahnukainen</w:t>
      </w:r>
      <w:r>
        <w:rPr>
          <w:spacing w:val="-19"/>
          <w:w w:val="95"/>
        </w:rPr>
        <w:t> </w:t>
      </w:r>
      <w:r>
        <w:rPr>
          <w:w w:val="95"/>
        </w:rPr>
        <w:t>y</w:t>
      </w:r>
      <w:r>
        <w:rPr>
          <w:spacing w:val="-19"/>
          <w:w w:val="95"/>
        </w:rPr>
        <w:t> </w:t>
      </w:r>
      <w:r>
        <w:rPr>
          <w:w w:val="95"/>
        </w:rPr>
        <w:t>col.</w:t>
      </w:r>
      <w:r>
        <w:rPr>
          <w:spacing w:val="-20"/>
          <w:w w:val="95"/>
        </w:rPr>
        <w:t> </w:t>
      </w:r>
      <w:r>
        <w:rPr>
          <w:w w:val="95"/>
        </w:rPr>
        <w:t>(2004)</w:t>
      </w:r>
      <w:r>
        <w:rPr>
          <w:spacing w:val="-18"/>
          <w:w w:val="95"/>
        </w:rPr>
        <w:t> </w:t>
      </w:r>
      <w:r>
        <w:rPr>
          <w:w w:val="95"/>
        </w:rPr>
        <w:t>en </w:t>
      </w:r>
      <w:r>
        <w:rPr>
          <w:w w:val="90"/>
        </w:rPr>
        <w:t>donde encontraron que había una relación inversamente proporcional en la expresión de las</w:t>
      </w:r>
      <w:r>
        <w:rPr>
          <w:spacing w:val="-18"/>
          <w:w w:val="90"/>
        </w:rPr>
        <w:t> </w:t>
      </w:r>
      <w:r>
        <w:rPr>
          <w:w w:val="90"/>
        </w:rPr>
        <w:t>proteínas</w:t>
      </w:r>
      <w:r>
        <w:rPr>
          <w:spacing w:val="-20"/>
          <w:w w:val="90"/>
        </w:rPr>
        <w:t> </w:t>
      </w:r>
      <w:r>
        <w:rPr>
          <w:w w:val="90"/>
        </w:rPr>
        <w:t>de</w:t>
      </w:r>
      <w:r>
        <w:rPr>
          <w:spacing w:val="-19"/>
          <w:w w:val="90"/>
        </w:rPr>
        <w:t> </w:t>
      </w:r>
      <w:r>
        <w:rPr>
          <w:w w:val="90"/>
        </w:rPr>
        <w:t>BAX</w:t>
      </w:r>
      <w:r>
        <w:rPr>
          <w:spacing w:val="-19"/>
          <w:w w:val="90"/>
        </w:rPr>
        <w:t> </w:t>
      </w:r>
      <w:r>
        <w:rPr>
          <w:w w:val="90"/>
        </w:rPr>
        <w:t>con</w:t>
      </w:r>
      <w:r>
        <w:rPr>
          <w:spacing w:val="-18"/>
          <w:w w:val="90"/>
        </w:rPr>
        <w:t> </w:t>
      </w:r>
      <w:r>
        <w:rPr>
          <w:spacing w:val="2"/>
          <w:w w:val="90"/>
        </w:rPr>
        <w:t>BCL-2.</w:t>
      </w:r>
    </w:p>
    <w:p>
      <w:pPr>
        <w:pStyle w:val="BodyText"/>
        <w:spacing w:line="360" w:lineRule="auto" w:before="204"/>
        <w:ind w:left="265" w:right="122"/>
        <w:jc w:val="both"/>
      </w:pPr>
      <w:r>
        <w:rPr>
          <w:w w:val="95"/>
        </w:rPr>
        <w:t>BAX es un gen proapoptótico cuya mayor expresión en los animales que nosotros </w:t>
      </w:r>
      <w:r>
        <w:rPr>
          <w:w w:val="90"/>
        </w:rPr>
        <w:t>identificamos como con alta susceptibilidad a la muerte de las células germinales, podría</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4"/>
        <w:jc w:val="both"/>
      </w:pPr>
      <w:r>
        <w:rPr>
          <w:w w:val="95"/>
        </w:rPr>
        <w:t>explicar,</w:t>
      </w:r>
      <w:r>
        <w:rPr>
          <w:spacing w:val="-35"/>
          <w:w w:val="95"/>
        </w:rPr>
        <w:t> </w:t>
      </w:r>
      <w:r>
        <w:rPr>
          <w:w w:val="95"/>
        </w:rPr>
        <w:t>precisamente,</w:t>
      </w:r>
      <w:r>
        <w:rPr>
          <w:spacing w:val="-34"/>
          <w:w w:val="95"/>
        </w:rPr>
        <w:t> </w:t>
      </w:r>
      <w:r>
        <w:rPr>
          <w:w w:val="95"/>
        </w:rPr>
        <w:t>el</w:t>
      </w:r>
      <w:r>
        <w:rPr>
          <w:spacing w:val="-34"/>
          <w:w w:val="95"/>
        </w:rPr>
        <w:t> </w:t>
      </w:r>
      <w:r>
        <w:rPr>
          <w:w w:val="95"/>
        </w:rPr>
        <w:t>alto</w:t>
      </w:r>
      <w:r>
        <w:rPr>
          <w:spacing w:val="-34"/>
          <w:w w:val="95"/>
        </w:rPr>
        <w:t> </w:t>
      </w:r>
      <w:r>
        <w:rPr>
          <w:w w:val="95"/>
        </w:rPr>
        <w:t>número</w:t>
      </w:r>
      <w:r>
        <w:rPr>
          <w:spacing w:val="-34"/>
          <w:w w:val="95"/>
        </w:rPr>
        <w:t> </w:t>
      </w:r>
      <w:r>
        <w:rPr>
          <w:w w:val="95"/>
        </w:rPr>
        <w:t>de</w:t>
      </w:r>
      <w:r>
        <w:rPr>
          <w:spacing w:val="-34"/>
          <w:w w:val="95"/>
        </w:rPr>
        <w:t> </w:t>
      </w:r>
      <w:r>
        <w:rPr>
          <w:w w:val="95"/>
        </w:rPr>
        <w:t>células</w:t>
      </w:r>
      <w:r>
        <w:rPr>
          <w:spacing w:val="-34"/>
          <w:w w:val="95"/>
        </w:rPr>
        <w:t> </w:t>
      </w:r>
      <w:r>
        <w:rPr>
          <w:w w:val="95"/>
        </w:rPr>
        <w:t>germinales</w:t>
      </w:r>
      <w:r>
        <w:rPr>
          <w:spacing w:val="-34"/>
          <w:w w:val="95"/>
        </w:rPr>
        <w:t> </w:t>
      </w:r>
      <w:r>
        <w:rPr>
          <w:w w:val="95"/>
        </w:rPr>
        <w:t>muertas</w:t>
      </w:r>
      <w:r>
        <w:rPr>
          <w:spacing w:val="-34"/>
          <w:w w:val="95"/>
        </w:rPr>
        <w:t> </w:t>
      </w:r>
      <w:r>
        <w:rPr>
          <w:w w:val="95"/>
        </w:rPr>
        <w:t>en</w:t>
      </w:r>
      <w:r>
        <w:rPr>
          <w:spacing w:val="-34"/>
          <w:w w:val="95"/>
        </w:rPr>
        <w:t> </w:t>
      </w:r>
      <w:r>
        <w:rPr>
          <w:w w:val="95"/>
        </w:rPr>
        <w:t>esos</w:t>
      </w:r>
      <w:r>
        <w:rPr>
          <w:spacing w:val="-34"/>
          <w:w w:val="95"/>
        </w:rPr>
        <w:t> </w:t>
      </w:r>
      <w:r>
        <w:rPr>
          <w:w w:val="95"/>
        </w:rPr>
        <w:t>animales. Esta</w:t>
      </w:r>
      <w:r>
        <w:rPr>
          <w:spacing w:val="-24"/>
          <w:w w:val="95"/>
        </w:rPr>
        <w:t> </w:t>
      </w:r>
      <w:r>
        <w:rPr>
          <w:w w:val="95"/>
        </w:rPr>
        <w:t>explicación</w:t>
      </w:r>
      <w:r>
        <w:rPr>
          <w:spacing w:val="-24"/>
          <w:w w:val="95"/>
        </w:rPr>
        <w:t> </w:t>
      </w:r>
      <w:r>
        <w:rPr>
          <w:w w:val="95"/>
        </w:rPr>
        <w:t>es</w:t>
      </w:r>
      <w:r>
        <w:rPr>
          <w:spacing w:val="-24"/>
          <w:w w:val="95"/>
        </w:rPr>
        <w:t> </w:t>
      </w:r>
      <w:r>
        <w:rPr>
          <w:w w:val="95"/>
        </w:rPr>
        <w:t>soportada</w:t>
      </w:r>
      <w:r>
        <w:rPr>
          <w:spacing w:val="-25"/>
          <w:w w:val="95"/>
        </w:rPr>
        <w:t> </w:t>
      </w:r>
      <w:r>
        <w:rPr>
          <w:w w:val="95"/>
        </w:rPr>
        <w:t>por</w:t>
      </w:r>
      <w:r>
        <w:rPr>
          <w:spacing w:val="-25"/>
          <w:w w:val="95"/>
        </w:rPr>
        <w:t> </w:t>
      </w:r>
      <w:r>
        <w:rPr>
          <w:w w:val="95"/>
        </w:rPr>
        <w:t>los</w:t>
      </w:r>
      <w:r>
        <w:rPr>
          <w:spacing w:val="-24"/>
          <w:w w:val="95"/>
        </w:rPr>
        <w:t> </w:t>
      </w:r>
      <w:r>
        <w:rPr>
          <w:w w:val="95"/>
        </w:rPr>
        <w:t>resultados</w:t>
      </w:r>
      <w:r>
        <w:rPr>
          <w:spacing w:val="-24"/>
          <w:w w:val="95"/>
        </w:rPr>
        <w:t> </w:t>
      </w:r>
      <w:r>
        <w:rPr>
          <w:w w:val="95"/>
        </w:rPr>
        <w:t>de</w:t>
      </w:r>
      <w:r>
        <w:rPr>
          <w:spacing w:val="-24"/>
          <w:w w:val="95"/>
        </w:rPr>
        <w:t> </w:t>
      </w:r>
      <w:r>
        <w:rPr>
          <w:w w:val="95"/>
        </w:rPr>
        <w:t>Jahnukainen</w:t>
      </w:r>
      <w:r>
        <w:rPr>
          <w:spacing w:val="-18"/>
          <w:w w:val="95"/>
        </w:rPr>
        <w:t> </w:t>
      </w:r>
      <w:r>
        <w:rPr>
          <w:w w:val="95"/>
        </w:rPr>
        <w:t>y</w:t>
      </w:r>
      <w:r>
        <w:rPr>
          <w:spacing w:val="-24"/>
          <w:w w:val="95"/>
        </w:rPr>
        <w:t> </w:t>
      </w:r>
      <w:r>
        <w:rPr>
          <w:w w:val="95"/>
        </w:rPr>
        <w:t>col.</w:t>
      </w:r>
      <w:r>
        <w:rPr>
          <w:spacing w:val="-25"/>
          <w:w w:val="95"/>
        </w:rPr>
        <w:t> </w:t>
      </w:r>
      <w:r>
        <w:rPr>
          <w:w w:val="95"/>
        </w:rPr>
        <w:t>(2004).</w:t>
      </w:r>
      <w:r>
        <w:rPr>
          <w:spacing w:val="-24"/>
          <w:w w:val="95"/>
        </w:rPr>
        <w:t> </w:t>
      </w:r>
      <w:r>
        <w:rPr>
          <w:w w:val="95"/>
        </w:rPr>
        <w:t>Hasta</w:t>
      </w:r>
      <w:r>
        <w:rPr>
          <w:spacing w:val="-24"/>
          <w:w w:val="95"/>
        </w:rPr>
        <w:t> </w:t>
      </w:r>
      <w:r>
        <w:rPr>
          <w:w w:val="95"/>
        </w:rPr>
        <w:t>el momento</w:t>
      </w:r>
      <w:r>
        <w:rPr>
          <w:spacing w:val="-12"/>
          <w:w w:val="95"/>
        </w:rPr>
        <w:t> </w:t>
      </w:r>
      <w:r>
        <w:rPr>
          <w:w w:val="95"/>
        </w:rPr>
        <w:t>no</w:t>
      </w:r>
      <w:r>
        <w:rPr>
          <w:spacing w:val="-12"/>
          <w:w w:val="95"/>
        </w:rPr>
        <w:t> </w:t>
      </w:r>
      <w:r>
        <w:rPr>
          <w:w w:val="95"/>
        </w:rPr>
        <w:t>hay</w:t>
      </w:r>
      <w:r>
        <w:rPr>
          <w:spacing w:val="-13"/>
          <w:w w:val="95"/>
        </w:rPr>
        <w:t> </w:t>
      </w:r>
      <w:r>
        <w:rPr>
          <w:w w:val="95"/>
        </w:rPr>
        <w:t>reportes</w:t>
      </w:r>
      <w:r>
        <w:rPr>
          <w:spacing w:val="-13"/>
          <w:w w:val="95"/>
        </w:rPr>
        <w:t> </w:t>
      </w:r>
      <w:r>
        <w:rPr>
          <w:w w:val="95"/>
        </w:rPr>
        <w:t>de</w:t>
      </w:r>
      <w:r>
        <w:rPr>
          <w:spacing w:val="-13"/>
          <w:w w:val="95"/>
        </w:rPr>
        <w:t> </w:t>
      </w:r>
      <w:r>
        <w:rPr>
          <w:w w:val="95"/>
        </w:rPr>
        <w:t>investigaciones</w:t>
      </w:r>
      <w:r>
        <w:rPr>
          <w:spacing w:val="-12"/>
          <w:w w:val="95"/>
        </w:rPr>
        <w:t> </w:t>
      </w:r>
      <w:r>
        <w:rPr>
          <w:w w:val="95"/>
        </w:rPr>
        <w:t>en</w:t>
      </w:r>
      <w:r>
        <w:rPr>
          <w:spacing w:val="-13"/>
          <w:w w:val="95"/>
        </w:rPr>
        <w:t> </w:t>
      </w:r>
      <w:r>
        <w:rPr>
          <w:w w:val="95"/>
        </w:rPr>
        <w:t>las</w:t>
      </w:r>
      <w:r>
        <w:rPr>
          <w:spacing w:val="-13"/>
          <w:w w:val="95"/>
        </w:rPr>
        <w:t> </w:t>
      </w:r>
      <w:r>
        <w:rPr>
          <w:w w:val="95"/>
        </w:rPr>
        <w:t>que</w:t>
      </w:r>
      <w:r>
        <w:rPr>
          <w:spacing w:val="-11"/>
          <w:w w:val="95"/>
        </w:rPr>
        <w:t> </w:t>
      </w:r>
      <w:r>
        <w:rPr>
          <w:w w:val="95"/>
        </w:rPr>
        <w:t>se</w:t>
      </w:r>
      <w:r>
        <w:rPr>
          <w:spacing w:val="-12"/>
          <w:w w:val="95"/>
        </w:rPr>
        <w:t> </w:t>
      </w:r>
      <w:r>
        <w:rPr>
          <w:w w:val="95"/>
        </w:rPr>
        <w:t>busque</w:t>
      </w:r>
      <w:r>
        <w:rPr>
          <w:spacing w:val="-14"/>
          <w:w w:val="95"/>
        </w:rPr>
        <w:t> </w:t>
      </w:r>
      <w:r>
        <w:rPr>
          <w:w w:val="95"/>
        </w:rPr>
        <w:t>la</w:t>
      </w:r>
      <w:r>
        <w:rPr>
          <w:spacing w:val="-13"/>
          <w:w w:val="95"/>
        </w:rPr>
        <w:t> </w:t>
      </w:r>
      <w:r>
        <w:rPr>
          <w:w w:val="95"/>
        </w:rPr>
        <w:t>relación</w:t>
      </w:r>
      <w:r>
        <w:rPr>
          <w:spacing w:val="-11"/>
          <w:w w:val="95"/>
        </w:rPr>
        <w:t> </w:t>
      </w:r>
      <w:r>
        <w:rPr>
          <w:w w:val="95"/>
        </w:rPr>
        <w:t>entre</w:t>
      </w:r>
      <w:r>
        <w:rPr>
          <w:spacing w:val="-13"/>
          <w:w w:val="95"/>
        </w:rPr>
        <w:t> </w:t>
      </w:r>
      <w:r>
        <w:rPr>
          <w:w w:val="95"/>
        </w:rPr>
        <w:t>la </w:t>
      </w:r>
      <w:r>
        <w:rPr>
          <w:w w:val="90"/>
        </w:rPr>
        <w:t>intensidad</w:t>
      </w:r>
      <w:r>
        <w:rPr>
          <w:spacing w:val="-11"/>
          <w:w w:val="90"/>
        </w:rPr>
        <w:t> </w:t>
      </w:r>
      <w:r>
        <w:rPr>
          <w:w w:val="90"/>
        </w:rPr>
        <w:t>de</w:t>
      </w:r>
      <w:r>
        <w:rPr>
          <w:spacing w:val="-10"/>
          <w:w w:val="90"/>
        </w:rPr>
        <w:t> </w:t>
      </w:r>
      <w:r>
        <w:rPr>
          <w:w w:val="90"/>
        </w:rPr>
        <w:t>muerte</w:t>
      </w:r>
      <w:r>
        <w:rPr>
          <w:spacing w:val="-10"/>
          <w:w w:val="90"/>
        </w:rPr>
        <w:t> </w:t>
      </w:r>
      <w:r>
        <w:rPr>
          <w:w w:val="90"/>
        </w:rPr>
        <w:t>de</w:t>
      </w:r>
      <w:r>
        <w:rPr>
          <w:spacing w:val="-11"/>
          <w:w w:val="90"/>
        </w:rPr>
        <w:t> </w:t>
      </w:r>
      <w:r>
        <w:rPr>
          <w:w w:val="90"/>
        </w:rPr>
        <w:t>las</w:t>
      </w:r>
      <w:r>
        <w:rPr>
          <w:spacing w:val="-12"/>
          <w:w w:val="90"/>
        </w:rPr>
        <w:t> </w:t>
      </w:r>
      <w:r>
        <w:rPr>
          <w:w w:val="90"/>
        </w:rPr>
        <w:t>células</w:t>
      </w:r>
      <w:r>
        <w:rPr>
          <w:spacing w:val="-10"/>
          <w:w w:val="90"/>
        </w:rPr>
        <w:t> </w:t>
      </w:r>
      <w:r>
        <w:rPr>
          <w:w w:val="90"/>
        </w:rPr>
        <w:t>germinales</w:t>
      </w:r>
      <w:r>
        <w:rPr>
          <w:spacing w:val="-12"/>
          <w:w w:val="90"/>
        </w:rPr>
        <w:t> </w:t>
      </w:r>
      <w:r>
        <w:rPr>
          <w:w w:val="90"/>
        </w:rPr>
        <w:t>con</w:t>
      </w:r>
      <w:r>
        <w:rPr>
          <w:spacing w:val="-11"/>
          <w:w w:val="90"/>
        </w:rPr>
        <w:t> </w:t>
      </w:r>
      <w:r>
        <w:rPr>
          <w:w w:val="90"/>
        </w:rPr>
        <w:t>la</w:t>
      </w:r>
      <w:r>
        <w:rPr>
          <w:spacing w:val="-11"/>
          <w:w w:val="90"/>
        </w:rPr>
        <w:t> </w:t>
      </w:r>
      <w:r>
        <w:rPr>
          <w:w w:val="90"/>
        </w:rPr>
        <w:t>expresión</w:t>
      </w:r>
      <w:r>
        <w:rPr>
          <w:spacing w:val="-11"/>
          <w:w w:val="90"/>
        </w:rPr>
        <w:t> </w:t>
      </w:r>
      <w:r>
        <w:rPr>
          <w:w w:val="90"/>
        </w:rPr>
        <w:t>de</w:t>
      </w:r>
      <w:r>
        <w:rPr>
          <w:spacing w:val="-11"/>
          <w:w w:val="90"/>
        </w:rPr>
        <w:t> </w:t>
      </w:r>
      <w:r>
        <w:rPr>
          <w:w w:val="90"/>
        </w:rPr>
        <w:t>genes</w:t>
      </w:r>
      <w:r>
        <w:rPr>
          <w:spacing w:val="-12"/>
          <w:w w:val="90"/>
        </w:rPr>
        <w:t> </w:t>
      </w:r>
      <w:r>
        <w:rPr>
          <w:w w:val="90"/>
        </w:rPr>
        <w:t>involucrados</w:t>
      </w:r>
      <w:r>
        <w:rPr>
          <w:spacing w:val="-10"/>
          <w:w w:val="90"/>
        </w:rPr>
        <w:t> </w:t>
      </w:r>
      <w:r>
        <w:rPr>
          <w:w w:val="90"/>
        </w:rPr>
        <w:t>en espermatogénesis</w:t>
      </w:r>
      <w:r>
        <w:rPr>
          <w:spacing w:val="-18"/>
          <w:w w:val="90"/>
        </w:rPr>
        <w:t> </w:t>
      </w:r>
      <w:r>
        <w:rPr>
          <w:w w:val="90"/>
        </w:rPr>
        <w:t>y</w:t>
      </w:r>
      <w:r>
        <w:rPr>
          <w:spacing w:val="-19"/>
          <w:w w:val="90"/>
        </w:rPr>
        <w:t> </w:t>
      </w:r>
      <w:r>
        <w:rPr>
          <w:w w:val="90"/>
        </w:rPr>
        <w:t>apoptosis.</w:t>
      </w:r>
      <w:r>
        <w:rPr>
          <w:spacing w:val="-18"/>
          <w:w w:val="90"/>
        </w:rPr>
        <w:t> </w:t>
      </w:r>
      <w:r>
        <w:rPr>
          <w:w w:val="90"/>
        </w:rPr>
        <w:t>Aun</w:t>
      </w:r>
      <w:r>
        <w:rPr>
          <w:spacing w:val="-17"/>
          <w:w w:val="90"/>
        </w:rPr>
        <w:t> </w:t>
      </w:r>
      <w:r>
        <w:rPr>
          <w:w w:val="90"/>
        </w:rPr>
        <w:t>falta</w:t>
      </w:r>
      <w:r>
        <w:rPr>
          <w:spacing w:val="-19"/>
          <w:w w:val="90"/>
        </w:rPr>
        <w:t> </w:t>
      </w:r>
      <w:r>
        <w:rPr>
          <w:w w:val="90"/>
        </w:rPr>
        <w:t>indagar</w:t>
      </w:r>
      <w:r>
        <w:rPr>
          <w:spacing w:val="-17"/>
          <w:w w:val="90"/>
        </w:rPr>
        <w:t> </w:t>
      </w:r>
      <w:r>
        <w:rPr>
          <w:w w:val="90"/>
        </w:rPr>
        <w:t>si</w:t>
      </w:r>
      <w:r>
        <w:rPr>
          <w:spacing w:val="-18"/>
          <w:w w:val="90"/>
        </w:rPr>
        <w:t> </w:t>
      </w:r>
      <w:r>
        <w:rPr>
          <w:w w:val="90"/>
        </w:rPr>
        <w:t>hay</w:t>
      </w:r>
      <w:r>
        <w:rPr>
          <w:spacing w:val="-18"/>
          <w:w w:val="90"/>
        </w:rPr>
        <w:t> </w:t>
      </w:r>
      <w:r>
        <w:rPr>
          <w:spacing w:val="3"/>
          <w:w w:val="90"/>
        </w:rPr>
        <w:t>cambios</w:t>
      </w:r>
      <w:r>
        <w:rPr>
          <w:spacing w:val="-18"/>
          <w:w w:val="90"/>
        </w:rPr>
        <w:t> </w:t>
      </w:r>
      <w:r>
        <w:rPr>
          <w:w w:val="90"/>
        </w:rPr>
        <w:t>de</w:t>
      </w:r>
      <w:r>
        <w:rPr>
          <w:spacing w:val="-17"/>
          <w:w w:val="90"/>
        </w:rPr>
        <w:t> </w:t>
      </w:r>
      <w:r>
        <w:rPr>
          <w:w w:val="90"/>
        </w:rPr>
        <w:t>expresión</w:t>
      </w:r>
      <w:r>
        <w:rPr>
          <w:spacing w:val="-17"/>
          <w:w w:val="90"/>
        </w:rPr>
        <w:t> </w:t>
      </w:r>
      <w:r>
        <w:rPr>
          <w:w w:val="90"/>
        </w:rPr>
        <w:t>en</w:t>
      </w:r>
      <w:r>
        <w:rPr>
          <w:spacing w:val="-19"/>
          <w:w w:val="90"/>
        </w:rPr>
        <w:t> </w:t>
      </w:r>
      <w:r>
        <w:rPr>
          <w:w w:val="90"/>
        </w:rPr>
        <w:t>los</w:t>
      </w:r>
      <w:r>
        <w:rPr>
          <w:spacing w:val="-18"/>
          <w:w w:val="90"/>
        </w:rPr>
        <w:t> </w:t>
      </w:r>
      <w:r>
        <w:rPr>
          <w:w w:val="90"/>
        </w:rPr>
        <w:t>genes </w:t>
      </w:r>
      <w:r>
        <w:rPr>
          <w:w w:val="95"/>
        </w:rPr>
        <w:t>involucrados</w:t>
      </w:r>
      <w:r>
        <w:rPr>
          <w:spacing w:val="-17"/>
          <w:w w:val="95"/>
        </w:rPr>
        <w:t> </w:t>
      </w:r>
      <w:r>
        <w:rPr>
          <w:w w:val="95"/>
        </w:rPr>
        <w:t>con</w:t>
      </w:r>
      <w:r>
        <w:rPr>
          <w:spacing w:val="-17"/>
          <w:w w:val="95"/>
        </w:rPr>
        <w:t> </w:t>
      </w:r>
      <w:r>
        <w:rPr>
          <w:w w:val="95"/>
        </w:rPr>
        <w:t>espermatogénesis</w:t>
      </w:r>
      <w:r>
        <w:rPr>
          <w:spacing w:val="-18"/>
          <w:w w:val="95"/>
        </w:rPr>
        <w:t> </w:t>
      </w:r>
      <w:r>
        <w:rPr>
          <w:w w:val="95"/>
        </w:rPr>
        <w:t>y</w:t>
      </w:r>
      <w:r>
        <w:rPr>
          <w:spacing w:val="-17"/>
          <w:w w:val="95"/>
        </w:rPr>
        <w:t> </w:t>
      </w:r>
      <w:r>
        <w:rPr>
          <w:w w:val="95"/>
        </w:rPr>
        <w:t>si</w:t>
      </w:r>
      <w:r>
        <w:rPr>
          <w:spacing w:val="-17"/>
          <w:w w:val="95"/>
        </w:rPr>
        <w:t> </w:t>
      </w:r>
      <w:r>
        <w:rPr>
          <w:w w:val="95"/>
        </w:rPr>
        <w:t>estos</w:t>
      </w:r>
      <w:r>
        <w:rPr>
          <w:spacing w:val="-17"/>
          <w:w w:val="95"/>
        </w:rPr>
        <w:t> </w:t>
      </w:r>
      <w:r>
        <w:rPr>
          <w:w w:val="95"/>
        </w:rPr>
        <w:t>se</w:t>
      </w:r>
      <w:r>
        <w:rPr>
          <w:spacing w:val="-18"/>
          <w:w w:val="95"/>
        </w:rPr>
        <w:t> </w:t>
      </w:r>
      <w:r>
        <w:rPr>
          <w:w w:val="95"/>
        </w:rPr>
        <w:t>relacionan</w:t>
      </w:r>
      <w:r>
        <w:rPr>
          <w:spacing w:val="-18"/>
          <w:w w:val="95"/>
        </w:rPr>
        <w:t> </w:t>
      </w:r>
      <w:r>
        <w:rPr>
          <w:w w:val="95"/>
        </w:rPr>
        <w:t>con</w:t>
      </w:r>
      <w:r>
        <w:rPr>
          <w:spacing w:val="-18"/>
          <w:w w:val="95"/>
        </w:rPr>
        <w:t> </w:t>
      </w:r>
      <w:r>
        <w:rPr>
          <w:w w:val="95"/>
        </w:rPr>
        <w:t>la</w:t>
      </w:r>
      <w:r>
        <w:rPr>
          <w:spacing w:val="-17"/>
          <w:w w:val="95"/>
        </w:rPr>
        <w:t> </w:t>
      </w:r>
      <w:r>
        <w:rPr>
          <w:w w:val="95"/>
        </w:rPr>
        <w:t>susceptibilidad</w:t>
      </w:r>
      <w:r>
        <w:rPr>
          <w:spacing w:val="-17"/>
          <w:w w:val="95"/>
        </w:rPr>
        <w:t> </w:t>
      </w:r>
      <w:r>
        <w:rPr>
          <w:w w:val="95"/>
        </w:rPr>
        <w:t>a</w:t>
      </w:r>
      <w:r>
        <w:rPr>
          <w:spacing w:val="-18"/>
          <w:w w:val="95"/>
        </w:rPr>
        <w:t> </w:t>
      </w:r>
      <w:r>
        <w:rPr>
          <w:w w:val="95"/>
        </w:rPr>
        <w:t>la </w:t>
      </w:r>
      <w:r>
        <w:rPr>
          <w:w w:val="90"/>
        </w:rPr>
        <w:t>muerte</w:t>
      </w:r>
      <w:r>
        <w:rPr>
          <w:spacing w:val="-23"/>
          <w:w w:val="90"/>
        </w:rPr>
        <w:t> </w:t>
      </w:r>
      <w:r>
        <w:rPr>
          <w:w w:val="90"/>
        </w:rPr>
        <w:t>de</w:t>
      </w:r>
      <w:r>
        <w:rPr>
          <w:spacing w:val="-23"/>
          <w:w w:val="90"/>
        </w:rPr>
        <w:t> </w:t>
      </w:r>
      <w:r>
        <w:rPr>
          <w:w w:val="90"/>
        </w:rPr>
        <w:t>las</w:t>
      </w:r>
      <w:r>
        <w:rPr>
          <w:spacing w:val="-23"/>
          <w:w w:val="90"/>
        </w:rPr>
        <w:t> </w:t>
      </w:r>
      <w:r>
        <w:rPr>
          <w:w w:val="90"/>
        </w:rPr>
        <w:t>células</w:t>
      </w:r>
      <w:r>
        <w:rPr>
          <w:spacing w:val="-22"/>
          <w:w w:val="90"/>
        </w:rPr>
        <w:t> </w:t>
      </w:r>
      <w:r>
        <w:rPr>
          <w:w w:val="90"/>
        </w:rPr>
        <w:t>germinales.</w:t>
      </w:r>
    </w:p>
    <w:p>
      <w:pPr>
        <w:pStyle w:val="BodyText"/>
      </w:pPr>
    </w:p>
    <w:p>
      <w:pPr>
        <w:pStyle w:val="BodyText"/>
      </w:pPr>
    </w:p>
    <w:p>
      <w:pPr>
        <w:pStyle w:val="BodyText"/>
        <w:spacing w:before="2"/>
        <w:rPr>
          <w:sz w:val="23"/>
        </w:rPr>
      </w:pPr>
    </w:p>
    <w:p>
      <w:pPr>
        <w:pStyle w:val="Heading3"/>
        <w:numPr>
          <w:ilvl w:val="1"/>
          <w:numId w:val="7"/>
        </w:numPr>
        <w:tabs>
          <w:tab w:pos="616" w:val="left" w:leader="none"/>
        </w:tabs>
        <w:spacing w:line="240" w:lineRule="auto" w:before="1" w:after="0"/>
        <w:ind w:left="615" w:right="0" w:hanging="350"/>
        <w:jc w:val="both"/>
        <w:rPr>
          <w:i/>
        </w:rPr>
      </w:pPr>
      <w:r>
        <w:rPr>
          <w:i/>
          <w:w w:val="85"/>
        </w:rPr>
        <w:t>LITERATURA </w:t>
      </w:r>
      <w:r>
        <w:rPr>
          <w:i/>
          <w:spacing w:val="12"/>
          <w:w w:val="85"/>
        </w:rPr>
        <w:t> </w:t>
      </w:r>
      <w:r>
        <w:rPr>
          <w:i/>
          <w:w w:val="85"/>
        </w:rPr>
        <w:t>CITADA</w:t>
      </w:r>
    </w:p>
    <w:p>
      <w:pPr>
        <w:pStyle w:val="BodyText"/>
        <w:spacing w:before="2"/>
        <w:rPr>
          <w:b/>
          <w:i/>
          <w:sz w:val="29"/>
        </w:rPr>
      </w:pPr>
    </w:p>
    <w:p>
      <w:pPr>
        <w:pStyle w:val="BodyText"/>
        <w:spacing w:line="360" w:lineRule="auto"/>
        <w:ind w:left="265" w:right="128"/>
        <w:jc w:val="both"/>
      </w:pPr>
      <w:r>
        <w:rPr>
          <w:w w:val="95"/>
        </w:rPr>
        <w:t>Aragón</w:t>
      </w:r>
      <w:r>
        <w:rPr>
          <w:spacing w:val="-26"/>
          <w:w w:val="95"/>
        </w:rPr>
        <w:t> </w:t>
      </w:r>
      <w:r>
        <w:rPr>
          <w:w w:val="95"/>
        </w:rPr>
        <w:t>MA,</w:t>
      </w:r>
      <w:r>
        <w:rPr>
          <w:spacing w:val="-25"/>
          <w:w w:val="95"/>
        </w:rPr>
        <w:t> </w:t>
      </w:r>
      <w:r>
        <w:rPr>
          <w:w w:val="95"/>
        </w:rPr>
        <w:t>Ayala</w:t>
      </w:r>
      <w:r>
        <w:rPr>
          <w:spacing w:val="-25"/>
          <w:w w:val="95"/>
        </w:rPr>
        <w:t> </w:t>
      </w:r>
      <w:r>
        <w:rPr>
          <w:w w:val="95"/>
        </w:rPr>
        <w:t>ME,</w:t>
      </w:r>
      <w:r>
        <w:rPr>
          <w:spacing w:val="-26"/>
          <w:w w:val="95"/>
        </w:rPr>
        <w:t> </w:t>
      </w:r>
      <w:r>
        <w:rPr>
          <w:w w:val="95"/>
        </w:rPr>
        <w:t>Marín</w:t>
      </w:r>
      <w:r>
        <w:rPr>
          <w:spacing w:val="-26"/>
          <w:w w:val="95"/>
        </w:rPr>
        <w:t> </w:t>
      </w:r>
      <w:r>
        <w:rPr>
          <w:w w:val="95"/>
        </w:rPr>
        <w:t>M,</w:t>
      </w:r>
      <w:r>
        <w:rPr>
          <w:spacing w:val="-25"/>
          <w:w w:val="95"/>
        </w:rPr>
        <w:t> </w:t>
      </w:r>
      <w:r>
        <w:rPr>
          <w:w w:val="95"/>
        </w:rPr>
        <w:t>Avilés</w:t>
      </w:r>
      <w:r>
        <w:rPr>
          <w:spacing w:val="-25"/>
          <w:w w:val="95"/>
        </w:rPr>
        <w:t> </w:t>
      </w:r>
      <w:r>
        <w:rPr>
          <w:w w:val="95"/>
        </w:rPr>
        <w:t>A,</w:t>
      </w:r>
      <w:r>
        <w:rPr>
          <w:spacing w:val="-26"/>
          <w:w w:val="95"/>
        </w:rPr>
        <w:t> </w:t>
      </w:r>
      <w:r>
        <w:rPr>
          <w:spacing w:val="2"/>
          <w:w w:val="95"/>
        </w:rPr>
        <w:t>Damián-Matsumura</w:t>
      </w:r>
      <w:r>
        <w:rPr>
          <w:spacing w:val="-25"/>
          <w:w w:val="95"/>
        </w:rPr>
        <w:t> </w:t>
      </w:r>
      <w:r>
        <w:rPr>
          <w:w w:val="95"/>
        </w:rPr>
        <w:t>P</w:t>
      </w:r>
      <w:r>
        <w:rPr>
          <w:spacing w:val="-26"/>
          <w:w w:val="95"/>
        </w:rPr>
        <w:t> </w:t>
      </w:r>
      <w:r>
        <w:rPr>
          <w:w w:val="95"/>
        </w:rPr>
        <w:t>y</w:t>
      </w:r>
      <w:r>
        <w:rPr>
          <w:spacing w:val="-26"/>
          <w:w w:val="95"/>
        </w:rPr>
        <w:t> </w:t>
      </w:r>
      <w:r>
        <w:rPr>
          <w:w w:val="95"/>
        </w:rPr>
        <w:t>Domínguez</w:t>
      </w:r>
      <w:r>
        <w:rPr>
          <w:spacing w:val="-26"/>
          <w:w w:val="95"/>
        </w:rPr>
        <w:t> </w:t>
      </w:r>
      <w:r>
        <w:rPr>
          <w:w w:val="95"/>
        </w:rPr>
        <w:t>R,</w:t>
      </w:r>
      <w:r>
        <w:rPr>
          <w:spacing w:val="-25"/>
          <w:w w:val="95"/>
        </w:rPr>
        <w:t> </w:t>
      </w:r>
      <w:r>
        <w:rPr>
          <w:w w:val="95"/>
        </w:rPr>
        <w:t>2005. Serotoninergic system blockage in the prepubertal rat inhibits spermatogenesis </w:t>
      </w:r>
      <w:r>
        <w:rPr>
          <w:w w:val="85"/>
        </w:rPr>
        <w:t>development.  Reproduction  Research,</w:t>
      </w:r>
      <w:r>
        <w:rPr>
          <w:spacing w:val="15"/>
          <w:w w:val="85"/>
        </w:rPr>
        <w:t> </w:t>
      </w:r>
      <w:r>
        <w:rPr>
          <w:spacing w:val="2"/>
          <w:w w:val="85"/>
        </w:rPr>
        <w:t>129:717-727.</w:t>
      </w:r>
    </w:p>
    <w:p>
      <w:pPr>
        <w:pStyle w:val="BodyText"/>
        <w:spacing w:line="360" w:lineRule="auto" w:before="204"/>
        <w:ind w:left="265" w:right="129"/>
        <w:jc w:val="both"/>
      </w:pPr>
      <w:r>
        <w:rPr>
          <w:w w:val="95"/>
        </w:rPr>
        <w:t>Billig</w:t>
      </w:r>
      <w:r>
        <w:rPr>
          <w:spacing w:val="-25"/>
          <w:w w:val="95"/>
        </w:rPr>
        <w:t> </w:t>
      </w:r>
      <w:r>
        <w:rPr>
          <w:w w:val="95"/>
        </w:rPr>
        <w:t>H,</w:t>
      </w:r>
      <w:r>
        <w:rPr>
          <w:spacing w:val="-24"/>
          <w:w w:val="95"/>
        </w:rPr>
        <w:t> </w:t>
      </w:r>
      <w:r>
        <w:rPr>
          <w:w w:val="95"/>
        </w:rPr>
        <w:t>Furuta</w:t>
      </w:r>
      <w:r>
        <w:rPr>
          <w:spacing w:val="-24"/>
          <w:w w:val="95"/>
        </w:rPr>
        <w:t> </w:t>
      </w:r>
      <w:r>
        <w:rPr>
          <w:w w:val="95"/>
        </w:rPr>
        <w:t>Y,</w:t>
      </w:r>
      <w:r>
        <w:rPr>
          <w:spacing w:val="-25"/>
          <w:w w:val="95"/>
        </w:rPr>
        <w:t> </w:t>
      </w:r>
      <w:r>
        <w:rPr>
          <w:w w:val="95"/>
        </w:rPr>
        <w:t>Rivier</w:t>
      </w:r>
      <w:r>
        <w:rPr>
          <w:spacing w:val="-23"/>
          <w:w w:val="95"/>
        </w:rPr>
        <w:t> </w:t>
      </w:r>
      <w:r>
        <w:rPr>
          <w:w w:val="95"/>
        </w:rPr>
        <w:t>C,</w:t>
      </w:r>
      <w:r>
        <w:rPr>
          <w:spacing w:val="-25"/>
          <w:w w:val="95"/>
        </w:rPr>
        <w:t> </w:t>
      </w:r>
      <w:r>
        <w:rPr>
          <w:w w:val="95"/>
        </w:rPr>
        <w:t>Tapanaheim</w:t>
      </w:r>
      <w:r>
        <w:rPr>
          <w:spacing w:val="-23"/>
          <w:w w:val="95"/>
        </w:rPr>
        <w:t> </w:t>
      </w:r>
      <w:r>
        <w:rPr>
          <w:w w:val="95"/>
        </w:rPr>
        <w:t>J,</w:t>
      </w:r>
      <w:r>
        <w:rPr>
          <w:spacing w:val="-25"/>
          <w:w w:val="95"/>
        </w:rPr>
        <w:t> </w:t>
      </w:r>
      <w:r>
        <w:rPr>
          <w:w w:val="95"/>
        </w:rPr>
        <w:t>Parvinen</w:t>
      </w:r>
      <w:r>
        <w:rPr>
          <w:spacing w:val="-25"/>
          <w:w w:val="95"/>
        </w:rPr>
        <w:t> </w:t>
      </w:r>
      <w:r>
        <w:rPr>
          <w:w w:val="95"/>
        </w:rPr>
        <w:t>M</w:t>
      </w:r>
      <w:r>
        <w:rPr>
          <w:spacing w:val="-23"/>
          <w:w w:val="95"/>
        </w:rPr>
        <w:t> </w:t>
      </w:r>
      <w:r>
        <w:rPr>
          <w:w w:val="95"/>
        </w:rPr>
        <w:t>y</w:t>
      </w:r>
      <w:r>
        <w:rPr>
          <w:spacing w:val="-24"/>
          <w:w w:val="95"/>
        </w:rPr>
        <w:t> </w:t>
      </w:r>
      <w:r>
        <w:rPr>
          <w:w w:val="95"/>
        </w:rPr>
        <w:t>Hsueh</w:t>
      </w:r>
      <w:r>
        <w:rPr>
          <w:spacing w:val="-24"/>
          <w:w w:val="95"/>
        </w:rPr>
        <w:t> </w:t>
      </w:r>
      <w:r>
        <w:rPr>
          <w:w w:val="95"/>
        </w:rPr>
        <w:t>AJW</w:t>
      </w:r>
      <w:r>
        <w:rPr>
          <w:spacing w:val="-24"/>
          <w:w w:val="95"/>
        </w:rPr>
        <w:t> </w:t>
      </w:r>
      <w:r>
        <w:rPr>
          <w:w w:val="95"/>
        </w:rPr>
        <w:t>1995.</w:t>
      </w:r>
      <w:r>
        <w:rPr>
          <w:spacing w:val="-25"/>
          <w:w w:val="95"/>
        </w:rPr>
        <w:t> </w:t>
      </w:r>
      <w:r>
        <w:rPr>
          <w:w w:val="95"/>
        </w:rPr>
        <w:t>Apoptosis</w:t>
      </w:r>
      <w:r>
        <w:rPr>
          <w:spacing w:val="-25"/>
          <w:w w:val="95"/>
        </w:rPr>
        <w:t> </w:t>
      </w:r>
      <w:r>
        <w:rPr>
          <w:w w:val="95"/>
        </w:rPr>
        <w:t>in </w:t>
      </w:r>
      <w:r>
        <w:rPr>
          <w:w w:val="90"/>
        </w:rPr>
        <w:t>testis germ cells: developmental changes in gonadotropin dependence and localization to selective</w:t>
      </w:r>
      <w:r>
        <w:rPr>
          <w:spacing w:val="-32"/>
          <w:w w:val="90"/>
        </w:rPr>
        <w:t> </w:t>
      </w:r>
      <w:r>
        <w:rPr>
          <w:w w:val="90"/>
        </w:rPr>
        <w:t>tubule</w:t>
      </w:r>
      <w:r>
        <w:rPr>
          <w:spacing w:val="-31"/>
          <w:w w:val="90"/>
        </w:rPr>
        <w:t> </w:t>
      </w:r>
      <w:r>
        <w:rPr>
          <w:w w:val="90"/>
        </w:rPr>
        <w:t>stages.</w:t>
      </w:r>
      <w:r>
        <w:rPr>
          <w:spacing w:val="-29"/>
          <w:w w:val="90"/>
        </w:rPr>
        <w:t> </w:t>
      </w:r>
      <w:r>
        <w:rPr>
          <w:w w:val="90"/>
        </w:rPr>
        <w:t>Endocrinology,</w:t>
      </w:r>
      <w:r>
        <w:rPr>
          <w:spacing w:val="-32"/>
          <w:w w:val="90"/>
        </w:rPr>
        <w:t> </w:t>
      </w:r>
      <w:r>
        <w:rPr>
          <w:w w:val="90"/>
        </w:rPr>
        <w:t>136:5-12.</w:t>
      </w:r>
    </w:p>
    <w:p>
      <w:pPr>
        <w:pStyle w:val="BodyText"/>
        <w:spacing w:line="360" w:lineRule="auto" w:before="204"/>
        <w:ind w:left="265" w:right="137"/>
        <w:jc w:val="both"/>
      </w:pPr>
      <w:r>
        <w:rPr>
          <w:w w:val="95"/>
        </w:rPr>
        <w:t>Castellanos PE, Arranz CMC y Rodríguez PBV, 2002. Determinación de la hormona luteinizante (LH) en plasma por un método inmunoenzimático. Revista Cubana de </w:t>
      </w:r>
      <w:r>
        <w:rPr>
          <w:w w:val="85"/>
        </w:rPr>
        <w:t>Investigación  Biomédica, 21:15-20.</w:t>
      </w:r>
    </w:p>
    <w:p>
      <w:pPr>
        <w:pStyle w:val="BodyText"/>
        <w:spacing w:line="360" w:lineRule="auto" w:before="204"/>
        <w:ind w:left="265" w:right="123"/>
        <w:jc w:val="both"/>
      </w:pPr>
      <w:r>
        <w:rPr>
          <w:w w:val="90"/>
        </w:rPr>
        <w:t>Fernández-González R, Nuno-Moreira P, Pérez-Crespo M, Sánchez-Martín M, Ramirez </w:t>
      </w:r>
      <w:r>
        <w:rPr>
          <w:w w:val="95"/>
        </w:rPr>
        <w:t>MA,</w:t>
      </w:r>
      <w:r>
        <w:rPr>
          <w:spacing w:val="-25"/>
          <w:w w:val="95"/>
        </w:rPr>
        <w:t> </w:t>
      </w:r>
      <w:r>
        <w:rPr>
          <w:w w:val="95"/>
        </w:rPr>
        <w:t>Pericuesta</w:t>
      </w:r>
      <w:r>
        <w:rPr>
          <w:spacing w:val="-26"/>
          <w:w w:val="95"/>
        </w:rPr>
        <w:t> </w:t>
      </w:r>
      <w:r>
        <w:rPr>
          <w:w w:val="95"/>
        </w:rPr>
        <w:t>E,</w:t>
      </w:r>
      <w:r>
        <w:rPr>
          <w:spacing w:val="-25"/>
          <w:w w:val="95"/>
        </w:rPr>
        <w:t> </w:t>
      </w:r>
      <w:r>
        <w:rPr>
          <w:w w:val="95"/>
        </w:rPr>
        <w:t>Bilbao</w:t>
      </w:r>
      <w:r>
        <w:rPr>
          <w:spacing w:val="-25"/>
          <w:w w:val="95"/>
        </w:rPr>
        <w:t> </w:t>
      </w:r>
      <w:r>
        <w:rPr>
          <w:w w:val="95"/>
        </w:rPr>
        <w:t>A,</w:t>
      </w:r>
      <w:r>
        <w:rPr>
          <w:spacing w:val="-25"/>
          <w:w w:val="95"/>
        </w:rPr>
        <w:t> </w:t>
      </w:r>
      <w:r>
        <w:rPr>
          <w:w w:val="95"/>
        </w:rPr>
        <w:t>Bermejo-Alvarez</w:t>
      </w:r>
      <w:r>
        <w:rPr>
          <w:spacing w:val="-26"/>
          <w:w w:val="95"/>
        </w:rPr>
        <w:t> </w:t>
      </w:r>
      <w:r>
        <w:rPr>
          <w:w w:val="95"/>
        </w:rPr>
        <w:t>P,</w:t>
      </w:r>
      <w:r>
        <w:rPr>
          <w:spacing w:val="-25"/>
          <w:w w:val="95"/>
        </w:rPr>
        <w:t> </w:t>
      </w:r>
      <w:r>
        <w:rPr>
          <w:w w:val="95"/>
        </w:rPr>
        <w:t>Hourcade</w:t>
      </w:r>
      <w:r>
        <w:rPr>
          <w:spacing w:val="-25"/>
          <w:w w:val="95"/>
        </w:rPr>
        <w:t> </w:t>
      </w:r>
      <w:r>
        <w:rPr>
          <w:w w:val="95"/>
        </w:rPr>
        <w:t>J,</w:t>
      </w:r>
      <w:r>
        <w:rPr>
          <w:spacing w:val="-25"/>
          <w:w w:val="95"/>
        </w:rPr>
        <w:t> </w:t>
      </w:r>
      <w:r>
        <w:rPr>
          <w:w w:val="95"/>
        </w:rPr>
        <w:t>Rodriguez</w:t>
      </w:r>
      <w:r>
        <w:rPr>
          <w:spacing w:val="-25"/>
          <w:w w:val="95"/>
        </w:rPr>
        <w:t> </w:t>
      </w:r>
      <w:r>
        <w:rPr>
          <w:w w:val="95"/>
        </w:rPr>
        <w:t>de</w:t>
      </w:r>
      <w:r>
        <w:rPr>
          <w:spacing w:val="-26"/>
          <w:w w:val="95"/>
        </w:rPr>
        <w:t> </w:t>
      </w:r>
      <w:r>
        <w:rPr>
          <w:w w:val="95"/>
        </w:rPr>
        <w:t>Fonseca</w:t>
      </w:r>
      <w:r>
        <w:rPr>
          <w:spacing w:val="-25"/>
          <w:w w:val="95"/>
        </w:rPr>
        <w:t> </w:t>
      </w:r>
      <w:r>
        <w:rPr>
          <w:w w:val="95"/>
        </w:rPr>
        <w:t>F</w:t>
      </w:r>
      <w:r>
        <w:rPr>
          <w:spacing w:val="-25"/>
          <w:w w:val="95"/>
        </w:rPr>
        <w:t> </w:t>
      </w:r>
      <w:r>
        <w:rPr>
          <w:w w:val="95"/>
        </w:rPr>
        <w:t>y </w:t>
      </w:r>
      <w:r>
        <w:rPr>
          <w:w w:val="90"/>
        </w:rPr>
        <w:t>Gutierrez-Adan</w:t>
      </w:r>
      <w:r>
        <w:rPr>
          <w:spacing w:val="-21"/>
          <w:w w:val="90"/>
        </w:rPr>
        <w:t> </w:t>
      </w:r>
      <w:r>
        <w:rPr>
          <w:w w:val="90"/>
        </w:rPr>
        <w:t>A,</w:t>
      </w:r>
      <w:r>
        <w:rPr>
          <w:spacing w:val="-21"/>
          <w:w w:val="90"/>
        </w:rPr>
        <w:t> </w:t>
      </w:r>
      <w:r>
        <w:rPr>
          <w:w w:val="90"/>
        </w:rPr>
        <w:t>2008.</w:t>
      </w:r>
      <w:r>
        <w:rPr>
          <w:spacing w:val="-19"/>
          <w:w w:val="90"/>
        </w:rPr>
        <w:t> </w:t>
      </w:r>
      <w:r>
        <w:rPr>
          <w:w w:val="90"/>
        </w:rPr>
        <w:t>Long-Term</w:t>
      </w:r>
      <w:r>
        <w:rPr>
          <w:spacing w:val="-21"/>
          <w:w w:val="90"/>
        </w:rPr>
        <w:t> </w:t>
      </w:r>
      <w:r>
        <w:rPr>
          <w:w w:val="90"/>
        </w:rPr>
        <w:t>Effects</w:t>
      </w:r>
      <w:r>
        <w:rPr>
          <w:spacing w:val="-21"/>
          <w:w w:val="90"/>
        </w:rPr>
        <w:t> </w:t>
      </w:r>
      <w:r>
        <w:rPr>
          <w:w w:val="90"/>
        </w:rPr>
        <w:t>of</w:t>
      </w:r>
      <w:r>
        <w:rPr>
          <w:spacing w:val="-21"/>
          <w:w w:val="90"/>
        </w:rPr>
        <w:t> </w:t>
      </w:r>
      <w:r>
        <w:rPr>
          <w:w w:val="90"/>
        </w:rPr>
        <w:t>Mouse</w:t>
      </w:r>
      <w:r>
        <w:rPr>
          <w:spacing w:val="-23"/>
          <w:w w:val="90"/>
        </w:rPr>
        <w:t> </w:t>
      </w:r>
      <w:r>
        <w:rPr>
          <w:w w:val="90"/>
        </w:rPr>
        <w:t>Intracytoplasmic</w:t>
      </w:r>
      <w:r>
        <w:rPr>
          <w:spacing w:val="-21"/>
          <w:w w:val="90"/>
        </w:rPr>
        <w:t> </w:t>
      </w:r>
      <w:r>
        <w:rPr>
          <w:w w:val="90"/>
        </w:rPr>
        <w:t>Sperm</w:t>
      </w:r>
      <w:r>
        <w:rPr>
          <w:spacing w:val="-21"/>
          <w:w w:val="90"/>
        </w:rPr>
        <w:t> </w:t>
      </w:r>
      <w:r>
        <w:rPr>
          <w:w w:val="90"/>
        </w:rPr>
        <w:t>Injection</w:t>
      </w:r>
      <w:r>
        <w:rPr>
          <w:spacing w:val="-21"/>
          <w:w w:val="90"/>
        </w:rPr>
        <w:t> </w:t>
      </w:r>
      <w:r>
        <w:rPr>
          <w:w w:val="90"/>
        </w:rPr>
        <w:t>with </w:t>
      </w:r>
      <w:r>
        <w:rPr>
          <w:w w:val="95"/>
        </w:rPr>
        <w:t>DNA-Fragmented Sperm on Health and Behavior of Adult Offspring. Biology of </w:t>
      </w:r>
      <w:r>
        <w:rPr>
          <w:w w:val="85"/>
        </w:rPr>
        <w:t>Reproduction, </w:t>
      </w:r>
      <w:r>
        <w:rPr>
          <w:spacing w:val="22"/>
          <w:w w:val="85"/>
        </w:rPr>
        <w:t> </w:t>
      </w:r>
      <w:r>
        <w:rPr>
          <w:w w:val="85"/>
        </w:rPr>
        <w:t>78:761–772.</w:t>
      </w:r>
    </w:p>
    <w:p>
      <w:pPr>
        <w:pStyle w:val="BodyText"/>
        <w:spacing w:line="360" w:lineRule="auto" w:before="204"/>
        <w:ind w:left="265" w:right="138"/>
        <w:jc w:val="both"/>
      </w:pPr>
      <w:r>
        <w:rPr>
          <w:w w:val="95"/>
        </w:rPr>
        <w:t>Griswold</w:t>
      </w:r>
      <w:r>
        <w:rPr>
          <w:spacing w:val="-18"/>
          <w:w w:val="95"/>
        </w:rPr>
        <w:t> </w:t>
      </w:r>
      <w:r>
        <w:rPr>
          <w:w w:val="95"/>
        </w:rPr>
        <w:t>MD,</w:t>
      </w:r>
      <w:r>
        <w:rPr>
          <w:spacing w:val="-18"/>
          <w:w w:val="95"/>
        </w:rPr>
        <w:t> </w:t>
      </w:r>
      <w:r>
        <w:rPr>
          <w:w w:val="95"/>
        </w:rPr>
        <w:t>1988.</w:t>
      </w:r>
      <w:r>
        <w:rPr>
          <w:spacing w:val="-18"/>
          <w:w w:val="95"/>
        </w:rPr>
        <w:t> </w:t>
      </w:r>
      <w:r>
        <w:rPr>
          <w:w w:val="95"/>
        </w:rPr>
        <w:t>Protein</w:t>
      </w:r>
      <w:r>
        <w:rPr>
          <w:spacing w:val="-18"/>
          <w:w w:val="95"/>
        </w:rPr>
        <w:t> </w:t>
      </w:r>
      <w:r>
        <w:rPr>
          <w:w w:val="95"/>
        </w:rPr>
        <w:t>secretion</w:t>
      </w:r>
      <w:r>
        <w:rPr>
          <w:spacing w:val="-18"/>
          <w:w w:val="95"/>
        </w:rPr>
        <w:t> </w:t>
      </w:r>
      <w:r>
        <w:rPr>
          <w:w w:val="95"/>
        </w:rPr>
        <w:t>of</w:t>
      </w:r>
      <w:r>
        <w:rPr>
          <w:spacing w:val="-18"/>
          <w:w w:val="95"/>
        </w:rPr>
        <w:t> </w:t>
      </w:r>
      <w:r>
        <w:rPr>
          <w:w w:val="95"/>
        </w:rPr>
        <w:t>Sertoli</w:t>
      </w:r>
      <w:r>
        <w:rPr>
          <w:spacing w:val="-18"/>
          <w:w w:val="95"/>
        </w:rPr>
        <w:t> </w:t>
      </w:r>
      <w:r>
        <w:rPr>
          <w:w w:val="95"/>
        </w:rPr>
        <w:t>cells.</w:t>
      </w:r>
      <w:r>
        <w:rPr>
          <w:spacing w:val="-18"/>
          <w:w w:val="95"/>
        </w:rPr>
        <w:t> </w:t>
      </w:r>
      <w:r>
        <w:rPr>
          <w:w w:val="95"/>
        </w:rPr>
        <w:t>International</w:t>
      </w:r>
      <w:r>
        <w:rPr>
          <w:spacing w:val="-18"/>
          <w:w w:val="95"/>
        </w:rPr>
        <w:t> </w:t>
      </w:r>
      <w:r>
        <w:rPr>
          <w:w w:val="95"/>
        </w:rPr>
        <w:t>Review</w:t>
      </w:r>
      <w:r>
        <w:rPr>
          <w:spacing w:val="-18"/>
          <w:w w:val="95"/>
        </w:rPr>
        <w:t> </w:t>
      </w:r>
      <w:r>
        <w:rPr>
          <w:w w:val="95"/>
        </w:rPr>
        <w:t>of</w:t>
      </w:r>
      <w:r>
        <w:rPr>
          <w:spacing w:val="-18"/>
          <w:w w:val="95"/>
        </w:rPr>
        <w:t> </w:t>
      </w:r>
      <w:r>
        <w:rPr>
          <w:w w:val="95"/>
        </w:rPr>
        <w:t>Cytology, 110:133-156.</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31"/>
        <w:jc w:val="both"/>
      </w:pPr>
      <w:r>
        <w:rPr>
          <w:w w:val="95"/>
        </w:rPr>
        <w:t>Hill C, Anwway M, Zirkin y Brown T, 2004. Intratesticular androgen levels, androgen receptor localization and receptor expression in adult rat Sertoli cells. Biology of </w:t>
      </w:r>
      <w:r>
        <w:rPr>
          <w:w w:val="85"/>
        </w:rPr>
        <w:t>Reproduction,  71:1348-1358.</w:t>
      </w:r>
    </w:p>
    <w:p>
      <w:pPr>
        <w:pStyle w:val="BodyText"/>
        <w:spacing w:line="360" w:lineRule="auto" w:before="204"/>
        <w:ind w:left="265" w:right="122"/>
        <w:jc w:val="both"/>
      </w:pPr>
      <w:r>
        <w:rPr>
          <w:w w:val="95"/>
        </w:rPr>
        <w:t>Jahnukainen</w:t>
      </w:r>
      <w:r>
        <w:rPr>
          <w:spacing w:val="-10"/>
          <w:w w:val="95"/>
        </w:rPr>
        <w:t> </w:t>
      </w:r>
      <w:r>
        <w:rPr>
          <w:w w:val="95"/>
        </w:rPr>
        <w:t>K,</w:t>
      </w:r>
      <w:r>
        <w:rPr>
          <w:spacing w:val="-10"/>
          <w:w w:val="95"/>
        </w:rPr>
        <w:t> </w:t>
      </w:r>
      <w:r>
        <w:rPr>
          <w:w w:val="95"/>
        </w:rPr>
        <w:t>Chrysis</w:t>
      </w:r>
      <w:r>
        <w:rPr>
          <w:spacing w:val="-10"/>
          <w:w w:val="95"/>
        </w:rPr>
        <w:t> </w:t>
      </w:r>
      <w:r>
        <w:rPr>
          <w:w w:val="95"/>
        </w:rPr>
        <w:t>D,</w:t>
      </w:r>
      <w:r>
        <w:rPr>
          <w:spacing w:val="-10"/>
          <w:w w:val="95"/>
        </w:rPr>
        <w:t> </w:t>
      </w:r>
      <w:r>
        <w:rPr>
          <w:w w:val="95"/>
        </w:rPr>
        <w:t>Hou</w:t>
      </w:r>
      <w:r>
        <w:rPr>
          <w:spacing w:val="-9"/>
          <w:w w:val="95"/>
        </w:rPr>
        <w:t> </w:t>
      </w:r>
      <w:r>
        <w:rPr>
          <w:w w:val="95"/>
        </w:rPr>
        <w:t>M,</w:t>
      </w:r>
      <w:r>
        <w:rPr>
          <w:spacing w:val="-10"/>
          <w:w w:val="95"/>
        </w:rPr>
        <w:t> </w:t>
      </w:r>
      <w:r>
        <w:rPr>
          <w:w w:val="95"/>
        </w:rPr>
        <w:t>Parvinen</w:t>
      </w:r>
      <w:r>
        <w:rPr>
          <w:spacing w:val="-10"/>
          <w:w w:val="95"/>
        </w:rPr>
        <w:t> </w:t>
      </w:r>
      <w:r>
        <w:rPr>
          <w:w w:val="95"/>
        </w:rPr>
        <w:t>M,</w:t>
      </w:r>
      <w:r>
        <w:rPr>
          <w:spacing w:val="-10"/>
          <w:w w:val="95"/>
        </w:rPr>
        <w:t> </w:t>
      </w:r>
      <w:r>
        <w:rPr>
          <w:w w:val="95"/>
        </w:rPr>
        <w:t>Eksborg</w:t>
      </w:r>
      <w:r>
        <w:rPr>
          <w:spacing w:val="-10"/>
          <w:w w:val="95"/>
        </w:rPr>
        <w:t> </w:t>
      </w:r>
      <w:r>
        <w:rPr>
          <w:w w:val="95"/>
        </w:rPr>
        <w:t>S</w:t>
      </w:r>
      <w:r>
        <w:rPr>
          <w:spacing w:val="-10"/>
          <w:w w:val="95"/>
        </w:rPr>
        <w:t> </w:t>
      </w:r>
      <w:r>
        <w:rPr>
          <w:w w:val="95"/>
        </w:rPr>
        <w:t>y</w:t>
      </w:r>
      <w:r>
        <w:rPr>
          <w:spacing w:val="-10"/>
          <w:w w:val="95"/>
        </w:rPr>
        <w:t> </w:t>
      </w:r>
      <w:r>
        <w:rPr>
          <w:w w:val="95"/>
        </w:rPr>
        <w:t>Söder</w:t>
      </w:r>
      <w:r>
        <w:rPr>
          <w:spacing w:val="-10"/>
          <w:w w:val="95"/>
        </w:rPr>
        <w:t> </w:t>
      </w:r>
      <w:r>
        <w:rPr>
          <w:w w:val="95"/>
        </w:rPr>
        <w:t>O</w:t>
      </w:r>
      <w:r>
        <w:rPr>
          <w:spacing w:val="-10"/>
          <w:w w:val="95"/>
        </w:rPr>
        <w:t> </w:t>
      </w:r>
      <w:r>
        <w:rPr>
          <w:w w:val="95"/>
        </w:rPr>
        <w:t>2004.</w:t>
      </w:r>
      <w:r>
        <w:rPr>
          <w:spacing w:val="-10"/>
          <w:w w:val="95"/>
        </w:rPr>
        <w:t> </w:t>
      </w:r>
      <w:r>
        <w:rPr>
          <w:w w:val="95"/>
        </w:rPr>
        <w:t>Increased Apoptosis occurring during the first wave of Spermatogenesis is </w:t>
      </w:r>
      <w:r>
        <w:rPr>
          <w:spacing w:val="2"/>
          <w:w w:val="95"/>
        </w:rPr>
        <w:t>stage-specific </w:t>
      </w:r>
      <w:r>
        <w:rPr>
          <w:w w:val="95"/>
        </w:rPr>
        <w:t>and </w:t>
      </w:r>
      <w:r>
        <w:rPr>
          <w:w w:val="90"/>
        </w:rPr>
        <w:t>primarily</w:t>
      </w:r>
      <w:r>
        <w:rPr>
          <w:spacing w:val="-8"/>
          <w:w w:val="90"/>
        </w:rPr>
        <w:t> </w:t>
      </w:r>
      <w:r>
        <w:rPr>
          <w:w w:val="90"/>
        </w:rPr>
        <w:t>affects</w:t>
      </w:r>
      <w:r>
        <w:rPr>
          <w:spacing w:val="-10"/>
          <w:w w:val="90"/>
        </w:rPr>
        <w:t> </w:t>
      </w:r>
      <w:r>
        <w:rPr>
          <w:w w:val="90"/>
        </w:rPr>
        <w:t>midpachytene</w:t>
      </w:r>
      <w:r>
        <w:rPr>
          <w:spacing w:val="-8"/>
          <w:w w:val="90"/>
        </w:rPr>
        <w:t> </w:t>
      </w:r>
      <w:r>
        <w:rPr>
          <w:w w:val="90"/>
        </w:rPr>
        <w:t>spermatocytes</w:t>
      </w:r>
      <w:r>
        <w:rPr>
          <w:spacing w:val="-11"/>
          <w:w w:val="90"/>
        </w:rPr>
        <w:t> </w:t>
      </w:r>
      <w:r>
        <w:rPr>
          <w:w w:val="90"/>
        </w:rPr>
        <w:t>in</w:t>
      </w:r>
      <w:r>
        <w:rPr>
          <w:spacing w:val="-10"/>
          <w:w w:val="90"/>
        </w:rPr>
        <w:t> </w:t>
      </w:r>
      <w:r>
        <w:rPr>
          <w:w w:val="90"/>
        </w:rPr>
        <w:t>the</w:t>
      </w:r>
      <w:r>
        <w:rPr>
          <w:spacing w:val="-9"/>
          <w:w w:val="90"/>
        </w:rPr>
        <w:t> </w:t>
      </w:r>
      <w:r>
        <w:rPr>
          <w:w w:val="90"/>
        </w:rPr>
        <w:t>rat</w:t>
      </w:r>
      <w:r>
        <w:rPr>
          <w:spacing w:val="-9"/>
          <w:w w:val="90"/>
        </w:rPr>
        <w:t> </w:t>
      </w:r>
      <w:r>
        <w:rPr>
          <w:w w:val="90"/>
        </w:rPr>
        <w:t>testis.</w:t>
      </w:r>
      <w:r>
        <w:rPr>
          <w:spacing w:val="-10"/>
          <w:w w:val="90"/>
        </w:rPr>
        <w:t> </w:t>
      </w:r>
      <w:r>
        <w:rPr>
          <w:w w:val="90"/>
        </w:rPr>
        <w:t>Biology</w:t>
      </w:r>
      <w:r>
        <w:rPr>
          <w:spacing w:val="-10"/>
          <w:w w:val="90"/>
        </w:rPr>
        <w:t> </w:t>
      </w:r>
      <w:r>
        <w:rPr>
          <w:w w:val="90"/>
        </w:rPr>
        <w:t>of</w:t>
      </w:r>
      <w:r>
        <w:rPr>
          <w:spacing w:val="-9"/>
          <w:w w:val="90"/>
        </w:rPr>
        <w:t> </w:t>
      </w:r>
      <w:r>
        <w:rPr>
          <w:w w:val="90"/>
        </w:rPr>
        <w:t>Reproduction</w:t>
      </w:r>
      <w:r>
        <w:rPr>
          <w:spacing w:val="-9"/>
          <w:w w:val="90"/>
        </w:rPr>
        <w:t> </w:t>
      </w:r>
      <w:r>
        <w:rPr>
          <w:w w:val="90"/>
        </w:rPr>
        <w:t>70, </w:t>
      </w:r>
      <w:r>
        <w:rPr>
          <w:w w:val="95"/>
        </w:rPr>
        <w:t>290–296.</w:t>
      </w:r>
    </w:p>
    <w:p>
      <w:pPr>
        <w:pStyle w:val="BodyText"/>
        <w:spacing w:line="360" w:lineRule="auto" w:before="205"/>
        <w:ind w:left="265" w:right="122"/>
        <w:jc w:val="both"/>
      </w:pPr>
      <w:r>
        <w:rPr>
          <w:w w:val="90"/>
        </w:rPr>
        <w:t>Jégou</w:t>
      </w:r>
      <w:r>
        <w:rPr>
          <w:spacing w:val="-18"/>
          <w:w w:val="90"/>
        </w:rPr>
        <w:t> </w:t>
      </w:r>
      <w:r>
        <w:rPr>
          <w:w w:val="90"/>
        </w:rPr>
        <w:t>B,</w:t>
      </w:r>
      <w:r>
        <w:rPr>
          <w:spacing w:val="-16"/>
          <w:w w:val="90"/>
        </w:rPr>
        <w:t> </w:t>
      </w:r>
      <w:r>
        <w:rPr>
          <w:w w:val="90"/>
        </w:rPr>
        <w:t>1993.</w:t>
      </w:r>
      <w:r>
        <w:rPr>
          <w:spacing w:val="-17"/>
          <w:w w:val="90"/>
        </w:rPr>
        <w:t> </w:t>
      </w:r>
      <w:r>
        <w:rPr>
          <w:w w:val="90"/>
        </w:rPr>
        <w:t>Sertoli-germ</w:t>
      </w:r>
      <w:r>
        <w:rPr>
          <w:spacing w:val="-17"/>
          <w:w w:val="90"/>
        </w:rPr>
        <w:t> </w:t>
      </w:r>
      <w:r>
        <w:rPr>
          <w:w w:val="90"/>
        </w:rPr>
        <w:t>cell</w:t>
      </w:r>
      <w:r>
        <w:rPr>
          <w:spacing w:val="-18"/>
          <w:w w:val="90"/>
        </w:rPr>
        <w:t> </w:t>
      </w:r>
      <w:r>
        <w:rPr>
          <w:w w:val="90"/>
        </w:rPr>
        <w:t>communication</w:t>
      </w:r>
      <w:r>
        <w:rPr>
          <w:spacing w:val="-18"/>
          <w:w w:val="90"/>
        </w:rPr>
        <w:t> </w:t>
      </w:r>
      <w:r>
        <w:rPr>
          <w:w w:val="90"/>
        </w:rPr>
        <w:t>network</w:t>
      </w:r>
      <w:r>
        <w:rPr>
          <w:spacing w:val="-18"/>
          <w:w w:val="90"/>
        </w:rPr>
        <w:t> </w:t>
      </w:r>
      <w:r>
        <w:rPr>
          <w:w w:val="90"/>
        </w:rPr>
        <w:t>in</w:t>
      </w:r>
      <w:r>
        <w:rPr>
          <w:spacing w:val="-16"/>
          <w:w w:val="90"/>
        </w:rPr>
        <w:t> </w:t>
      </w:r>
      <w:r>
        <w:rPr>
          <w:w w:val="90"/>
        </w:rPr>
        <w:t>mammals.</w:t>
      </w:r>
      <w:r>
        <w:rPr>
          <w:spacing w:val="-18"/>
          <w:w w:val="90"/>
        </w:rPr>
        <w:t> </w:t>
      </w:r>
      <w:r>
        <w:rPr>
          <w:w w:val="90"/>
        </w:rPr>
        <w:t>International</w:t>
      </w:r>
      <w:r>
        <w:rPr>
          <w:spacing w:val="-17"/>
          <w:w w:val="90"/>
        </w:rPr>
        <w:t> </w:t>
      </w:r>
      <w:r>
        <w:rPr>
          <w:w w:val="90"/>
        </w:rPr>
        <w:t>Review of</w:t>
      </w:r>
      <w:r>
        <w:rPr>
          <w:spacing w:val="-30"/>
          <w:w w:val="90"/>
        </w:rPr>
        <w:t> </w:t>
      </w:r>
      <w:r>
        <w:rPr>
          <w:w w:val="90"/>
        </w:rPr>
        <w:t>Cytology,</w:t>
      </w:r>
      <w:r>
        <w:rPr>
          <w:spacing w:val="-30"/>
          <w:w w:val="90"/>
        </w:rPr>
        <w:t> </w:t>
      </w:r>
      <w:r>
        <w:rPr>
          <w:w w:val="90"/>
        </w:rPr>
        <w:t>147:25-96.</w:t>
      </w:r>
    </w:p>
    <w:p>
      <w:pPr>
        <w:pStyle w:val="BodyText"/>
        <w:spacing w:line="360" w:lineRule="auto" w:before="202"/>
        <w:ind w:left="265" w:right="135"/>
        <w:jc w:val="both"/>
      </w:pPr>
      <w:r>
        <w:rPr>
          <w:w w:val="90"/>
        </w:rPr>
        <w:t>Knobil y Neill, 2006. Physiology of Reproduction. Third Edition, Elsevier Academic Press. </w:t>
      </w:r>
      <w:r>
        <w:rPr>
          <w:w w:val="95"/>
        </w:rPr>
        <w:t>829-831.</w:t>
      </w:r>
    </w:p>
    <w:p>
      <w:pPr>
        <w:pStyle w:val="BodyText"/>
        <w:spacing w:line="360" w:lineRule="auto" w:before="204"/>
        <w:ind w:left="265" w:right="125"/>
        <w:jc w:val="both"/>
      </w:pPr>
      <w:r>
        <w:rPr>
          <w:w w:val="95"/>
        </w:rPr>
        <w:t>Labrie F, Luu-The V, Labrie C y Simard J, 2001. DHEA and its transformation into androgens and estrogens in peripheral target tissues: intracrinology. Front </w:t>
      </w:r>
      <w:r>
        <w:rPr>
          <w:w w:val="85"/>
        </w:rPr>
        <w:t>Neuroendocrinology,  22:185-212.</w:t>
      </w:r>
    </w:p>
    <w:p>
      <w:pPr>
        <w:pStyle w:val="BodyText"/>
        <w:spacing w:line="360" w:lineRule="auto" w:before="202"/>
        <w:ind w:left="265" w:right="122"/>
        <w:jc w:val="both"/>
      </w:pPr>
      <w:r>
        <w:rPr>
          <w:w w:val="95"/>
        </w:rPr>
        <w:t>Louvet</w:t>
      </w:r>
      <w:r>
        <w:rPr>
          <w:spacing w:val="-12"/>
          <w:w w:val="95"/>
        </w:rPr>
        <w:t> </w:t>
      </w:r>
      <w:r>
        <w:rPr>
          <w:w w:val="95"/>
        </w:rPr>
        <w:t>J,</w:t>
      </w:r>
      <w:r>
        <w:rPr>
          <w:spacing w:val="-12"/>
          <w:w w:val="95"/>
        </w:rPr>
        <w:t> </w:t>
      </w:r>
      <w:r>
        <w:rPr>
          <w:w w:val="95"/>
        </w:rPr>
        <w:t>Harman</w:t>
      </w:r>
      <w:r>
        <w:rPr>
          <w:spacing w:val="-12"/>
          <w:w w:val="95"/>
        </w:rPr>
        <w:t> </w:t>
      </w:r>
      <w:r>
        <w:rPr>
          <w:w w:val="95"/>
        </w:rPr>
        <w:t>S</w:t>
      </w:r>
      <w:r>
        <w:rPr>
          <w:spacing w:val="-11"/>
          <w:w w:val="95"/>
        </w:rPr>
        <w:t> </w:t>
      </w:r>
      <w:r>
        <w:rPr>
          <w:w w:val="95"/>
        </w:rPr>
        <w:t>y</w:t>
      </w:r>
      <w:r>
        <w:rPr>
          <w:spacing w:val="-12"/>
          <w:w w:val="95"/>
        </w:rPr>
        <w:t> </w:t>
      </w:r>
      <w:r>
        <w:rPr>
          <w:w w:val="95"/>
        </w:rPr>
        <w:t>Ross</w:t>
      </w:r>
      <w:r>
        <w:rPr>
          <w:spacing w:val="-12"/>
          <w:w w:val="95"/>
        </w:rPr>
        <w:t> </w:t>
      </w:r>
      <w:r>
        <w:rPr>
          <w:w w:val="95"/>
        </w:rPr>
        <w:t>G,</w:t>
      </w:r>
      <w:r>
        <w:rPr>
          <w:spacing w:val="-12"/>
          <w:w w:val="95"/>
        </w:rPr>
        <w:t> </w:t>
      </w:r>
      <w:r>
        <w:rPr>
          <w:w w:val="95"/>
        </w:rPr>
        <w:t>1975.</w:t>
      </w:r>
      <w:r>
        <w:rPr>
          <w:spacing w:val="-12"/>
          <w:w w:val="95"/>
        </w:rPr>
        <w:t> </w:t>
      </w:r>
      <w:r>
        <w:rPr>
          <w:w w:val="95"/>
        </w:rPr>
        <w:t>Effects</w:t>
      </w:r>
      <w:r>
        <w:rPr>
          <w:spacing w:val="-12"/>
          <w:w w:val="95"/>
        </w:rPr>
        <w:t> </w:t>
      </w:r>
      <w:r>
        <w:rPr>
          <w:w w:val="95"/>
        </w:rPr>
        <w:t>of</w:t>
      </w:r>
      <w:r>
        <w:rPr>
          <w:spacing w:val="-12"/>
          <w:w w:val="95"/>
        </w:rPr>
        <w:t> </w:t>
      </w:r>
      <w:r>
        <w:rPr>
          <w:w w:val="95"/>
        </w:rPr>
        <w:t>human</w:t>
      </w:r>
      <w:r>
        <w:rPr>
          <w:spacing w:val="-12"/>
          <w:w w:val="95"/>
        </w:rPr>
        <w:t> </w:t>
      </w:r>
      <w:r>
        <w:rPr>
          <w:w w:val="95"/>
        </w:rPr>
        <w:t>chorionic</w:t>
      </w:r>
      <w:r>
        <w:rPr>
          <w:spacing w:val="-12"/>
          <w:w w:val="95"/>
        </w:rPr>
        <w:t> </w:t>
      </w:r>
      <w:r>
        <w:rPr>
          <w:w w:val="95"/>
        </w:rPr>
        <w:t>gonadotropin,</w:t>
      </w:r>
      <w:r>
        <w:rPr>
          <w:spacing w:val="-12"/>
          <w:w w:val="95"/>
        </w:rPr>
        <w:t> </w:t>
      </w:r>
      <w:r>
        <w:rPr>
          <w:w w:val="95"/>
        </w:rPr>
        <w:t>human interstitial</w:t>
      </w:r>
      <w:r>
        <w:rPr>
          <w:spacing w:val="-12"/>
          <w:w w:val="95"/>
        </w:rPr>
        <w:t> </w:t>
      </w:r>
      <w:r>
        <w:rPr>
          <w:w w:val="95"/>
        </w:rPr>
        <w:t>cell</w:t>
      </w:r>
      <w:r>
        <w:rPr>
          <w:spacing w:val="-12"/>
          <w:w w:val="95"/>
        </w:rPr>
        <w:t> </w:t>
      </w:r>
      <w:r>
        <w:rPr>
          <w:w w:val="95"/>
        </w:rPr>
        <w:t>stimulating</w:t>
      </w:r>
      <w:r>
        <w:rPr>
          <w:spacing w:val="-12"/>
          <w:w w:val="95"/>
        </w:rPr>
        <w:t> </w:t>
      </w:r>
      <w:r>
        <w:rPr>
          <w:w w:val="95"/>
        </w:rPr>
        <w:t>hormone</w:t>
      </w:r>
      <w:r>
        <w:rPr>
          <w:spacing w:val="-12"/>
          <w:w w:val="95"/>
        </w:rPr>
        <w:t> </w:t>
      </w:r>
      <w:r>
        <w:rPr>
          <w:w w:val="95"/>
        </w:rPr>
        <w:t>and</w:t>
      </w:r>
      <w:r>
        <w:rPr>
          <w:spacing w:val="-12"/>
          <w:w w:val="95"/>
        </w:rPr>
        <w:t> </w:t>
      </w:r>
      <w:r>
        <w:rPr>
          <w:w w:val="95"/>
        </w:rPr>
        <w:t>human</w:t>
      </w:r>
      <w:r>
        <w:rPr>
          <w:spacing w:val="-12"/>
          <w:w w:val="95"/>
        </w:rPr>
        <w:t> </w:t>
      </w:r>
      <w:r>
        <w:rPr>
          <w:w w:val="95"/>
        </w:rPr>
        <w:t>follicle-stimulating</w:t>
      </w:r>
      <w:r>
        <w:rPr>
          <w:spacing w:val="-12"/>
          <w:w w:val="95"/>
        </w:rPr>
        <w:t> </w:t>
      </w:r>
      <w:r>
        <w:rPr>
          <w:w w:val="95"/>
        </w:rPr>
        <w:t>hormone</w:t>
      </w:r>
      <w:r>
        <w:rPr>
          <w:spacing w:val="-12"/>
          <w:w w:val="95"/>
        </w:rPr>
        <w:t> </w:t>
      </w:r>
      <w:r>
        <w:rPr>
          <w:w w:val="95"/>
        </w:rPr>
        <w:t>on</w:t>
      </w:r>
      <w:r>
        <w:rPr>
          <w:spacing w:val="-12"/>
          <w:w w:val="95"/>
        </w:rPr>
        <w:t> </w:t>
      </w:r>
      <w:r>
        <w:rPr>
          <w:w w:val="95"/>
        </w:rPr>
        <w:t>ovarian weights</w:t>
      </w:r>
      <w:r>
        <w:rPr>
          <w:spacing w:val="-17"/>
          <w:w w:val="95"/>
        </w:rPr>
        <w:t> </w:t>
      </w:r>
      <w:r>
        <w:rPr>
          <w:w w:val="95"/>
        </w:rPr>
        <w:t>in</w:t>
      </w:r>
      <w:r>
        <w:rPr>
          <w:spacing w:val="-16"/>
          <w:w w:val="95"/>
        </w:rPr>
        <w:t> </w:t>
      </w:r>
      <w:r>
        <w:rPr>
          <w:w w:val="95"/>
        </w:rPr>
        <w:t>estrogen-primed</w:t>
      </w:r>
      <w:r>
        <w:rPr>
          <w:spacing w:val="-17"/>
          <w:w w:val="95"/>
        </w:rPr>
        <w:t> </w:t>
      </w:r>
      <w:r>
        <w:rPr>
          <w:w w:val="95"/>
        </w:rPr>
        <w:t>hypophysectomized</w:t>
      </w:r>
      <w:r>
        <w:rPr>
          <w:spacing w:val="-17"/>
          <w:w w:val="95"/>
        </w:rPr>
        <w:t> </w:t>
      </w:r>
      <w:r>
        <w:rPr>
          <w:w w:val="95"/>
        </w:rPr>
        <w:t>immature</w:t>
      </w:r>
      <w:r>
        <w:rPr>
          <w:spacing w:val="-17"/>
          <w:w w:val="95"/>
        </w:rPr>
        <w:t> </w:t>
      </w:r>
      <w:r>
        <w:rPr>
          <w:w w:val="95"/>
        </w:rPr>
        <w:t>female</w:t>
      </w:r>
      <w:r>
        <w:rPr>
          <w:spacing w:val="-18"/>
          <w:w w:val="95"/>
        </w:rPr>
        <w:t> </w:t>
      </w:r>
      <w:r>
        <w:rPr>
          <w:w w:val="95"/>
        </w:rPr>
        <w:t>rats.</w:t>
      </w:r>
      <w:r>
        <w:rPr>
          <w:spacing w:val="-12"/>
          <w:w w:val="95"/>
        </w:rPr>
        <w:t> </w:t>
      </w:r>
      <w:r>
        <w:rPr>
          <w:w w:val="95"/>
        </w:rPr>
        <w:t>Endocrinology, 96:1179-1186.</w:t>
      </w:r>
    </w:p>
    <w:p>
      <w:pPr>
        <w:pStyle w:val="BodyText"/>
        <w:spacing w:line="360" w:lineRule="auto" w:before="204"/>
        <w:ind w:left="265" w:right="120"/>
        <w:jc w:val="both"/>
      </w:pPr>
      <w:r>
        <w:rPr>
          <w:w w:val="95"/>
        </w:rPr>
        <w:t>Martí E, Pérez-Pe R, Colás R, Muiño-Blanco T y Cebrian-Pérez JA, 2008. Study of </w:t>
      </w:r>
      <w:r>
        <w:rPr>
          <w:w w:val="90"/>
        </w:rPr>
        <w:t>apoptosis-related markers in ram spermatozoa. Animal Reproduction Science, 106:113- </w:t>
      </w:r>
      <w:r>
        <w:rPr>
          <w:w w:val="95"/>
        </w:rPr>
        <w:t>132.</w:t>
      </w:r>
    </w:p>
    <w:p>
      <w:pPr>
        <w:pStyle w:val="BodyText"/>
        <w:spacing w:line="360" w:lineRule="auto" w:before="205"/>
        <w:ind w:left="265" w:right="120"/>
        <w:jc w:val="both"/>
      </w:pPr>
      <w:r>
        <w:rPr>
          <w:w w:val="95"/>
        </w:rPr>
        <w:t>Morales</w:t>
      </w:r>
      <w:r>
        <w:rPr>
          <w:spacing w:val="-21"/>
          <w:w w:val="95"/>
        </w:rPr>
        <w:t> </w:t>
      </w:r>
      <w:r>
        <w:rPr>
          <w:w w:val="95"/>
        </w:rPr>
        <w:t>ECL,</w:t>
      </w:r>
      <w:r>
        <w:rPr>
          <w:spacing w:val="-20"/>
          <w:w w:val="95"/>
        </w:rPr>
        <w:t> </w:t>
      </w:r>
      <w:r>
        <w:rPr>
          <w:w w:val="95"/>
        </w:rPr>
        <w:t>2009.</w:t>
      </w:r>
      <w:r>
        <w:rPr>
          <w:spacing w:val="-21"/>
          <w:w w:val="95"/>
        </w:rPr>
        <w:t> </w:t>
      </w:r>
      <w:r>
        <w:rPr>
          <w:w w:val="95"/>
        </w:rPr>
        <w:t>Movilidad,</w:t>
      </w:r>
      <w:r>
        <w:rPr>
          <w:spacing w:val="-21"/>
          <w:w w:val="95"/>
        </w:rPr>
        <w:t> </w:t>
      </w:r>
      <w:r>
        <w:rPr>
          <w:w w:val="95"/>
        </w:rPr>
        <w:t>viabilidad,</w:t>
      </w:r>
      <w:r>
        <w:rPr>
          <w:spacing w:val="-21"/>
          <w:w w:val="95"/>
        </w:rPr>
        <w:t> </w:t>
      </w:r>
      <w:r>
        <w:rPr>
          <w:w w:val="95"/>
        </w:rPr>
        <w:t>estructura</w:t>
      </w:r>
      <w:r>
        <w:rPr>
          <w:spacing w:val="-21"/>
          <w:w w:val="95"/>
        </w:rPr>
        <w:t> </w:t>
      </w:r>
      <w:r>
        <w:rPr>
          <w:w w:val="95"/>
        </w:rPr>
        <w:t>de</w:t>
      </w:r>
      <w:r>
        <w:rPr>
          <w:spacing w:val="-21"/>
          <w:w w:val="95"/>
        </w:rPr>
        <w:t> </w:t>
      </w:r>
      <w:r>
        <w:rPr>
          <w:w w:val="95"/>
        </w:rPr>
        <w:t>la</w:t>
      </w:r>
      <w:r>
        <w:rPr>
          <w:spacing w:val="-21"/>
          <w:w w:val="95"/>
        </w:rPr>
        <w:t> </w:t>
      </w:r>
      <w:r>
        <w:rPr>
          <w:w w:val="95"/>
        </w:rPr>
        <w:t>cromatina</w:t>
      </w:r>
      <w:r>
        <w:rPr>
          <w:spacing w:val="-21"/>
          <w:w w:val="95"/>
        </w:rPr>
        <w:t> </w:t>
      </w:r>
      <w:r>
        <w:rPr>
          <w:w w:val="95"/>
        </w:rPr>
        <w:t>y</w:t>
      </w:r>
      <w:r>
        <w:rPr>
          <w:spacing w:val="-21"/>
          <w:w w:val="95"/>
        </w:rPr>
        <w:t> </w:t>
      </w:r>
      <w:r>
        <w:rPr>
          <w:w w:val="95"/>
        </w:rPr>
        <w:t>expresión</w:t>
      </w:r>
      <w:r>
        <w:rPr>
          <w:spacing w:val="-21"/>
          <w:w w:val="95"/>
        </w:rPr>
        <w:t> </w:t>
      </w:r>
      <w:r>
        <w:rPr>
          <w:w w:val="95"/>
        </w:rPr>
        <w:t>de</w:t>
      </w:r>
      <w:r>
        <w:rPr>
          <w:spacing w:val="-22"/>
          <w:w w:val="95"/>
        </w:rPr>
        <w:t> </w:t>
      </w:r>
      <w:r>
        <w:rPr>
          <w:w w:val="95"/>
        </w:rPr>
        <w:t>las </w:t>
      </w:r>
      <w:r>
        <w:rPr>
          <w:w w:val="90"/>
        </w:rPr>
        <w:t>caspasas activas, en espermatozoides de cerdo seleccionados mediante </w:t>
      </w:r>
      <w:r>
        <w:rPr>
          <w:spacing w:val="3"/>
          <w:w w:val="90"/>
        </w:rPr>
        <w:t>swim-up. </w:t>
      </w:r>
      <w:r>
        <w:rPr>
          <w:w w:val="90"/>
        </w:rPr>
        <w:t>Tesis de</w:t>
      </w:r>
      <w:r>
        <w:rPr>
          <w:spacing w:val="-23"/>
          <w:w w:val="90"/>
        </w:rPr>
        <w:t> </w:t>
      </w:r>
      <w:r>
        <w:rPr>
          <w:w w:val="90"/>
        </w:rPr>
        <w:t>Maestría.</w:t>
      </w:r>
      <w:r>
        <w:rPr>
          <w:spacing w:val="-23"/>
          <w:w w:val="90"/>
        </w:rPr>
        <w:t> </w:t>
      </w:r>
      <w:r>
        <w:rPr>
          <w:w w:val="90"/>
        </w:rPr>
        <w:t>Universidad</w:t>
      </w:r>
      <w:r>
        <w:rPr>
          <w:spacing w:val="-23"/>
          <w:w w:val="90"/>
        </w:rPr>
        <w:t> </w:t>
      </w:r>
      <w:r>
        <w:rPr>
          <w:w w:val="90"/>
        </w:rPr>
        <w:t>Autónoma</w:t>
      </w:r>
      <w:r>
        <w:rPr>
          <w:spacing w:val="-23"/>
          <w:w w:val="90"/>
        </w:rPr>
        <w:t> </w:t>
      </w:r>
      <w:r>
        <w:rPr>
          <w:w w:val="90"/>
        </w:rPr>
        <w:t>del</w:t>
      </w:r>
      <w:r>
        <w:rPr>
          <w:spacing w:val="-23"/>
          <w:w w:val="90"/>
        </w:rPr>
        <w:t> </w:t>
      </w:r>
      <w:r>
        <w:rPr>
          <w:w w:val="90"/>
        </w:rPr>
        <w:t>Estado</w:t>
      </w:r>
      <w:r>
        <w:rPr>
          <w:spacing w:val="-23"/>
          <w:w w:val="90"/>
        </w:rPr>
        <w:t> </w:t>
      </w:r>
      <w:r>
        <w:rPr>
          <w:w w:val="90"/>
        </w:rPr>
        <w:t>de</w:t>
      </w:r>
      <w:r>
        <w:rPr>
          <w:spacing w:val="-21"/>
          <w:w w:val="90"/>
        </w:rPr>
        <w:t> </w:t>
      </w:r>
      <w:r>
        <w:rPr>
          <w:w w:val="90"/>
        </w:rPr>
        <w:t>México.</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20"/>
        <w:jc w:val="both"/>
      </w:pPr>
      <w:r>
        <w:rPr>
          <w:w w:val="90"/>
        </w:rPr>
        <w:t>Pichardo</w:t>
      </w:r>
      <w:r>
        <w:rPr>
          <w:spacing w:val="-10"/>
          <w:w w:val="90"/>
        </w:rPr>
        <w:t> </w:t>
      </w:r>
      <w:r>
        <w:rPr>
          <w:w w:val="90"/>
        </w:rPr>
        <w:t>AI,</w:t>
      </w:r>
      <w:r>
        <w:rPr>
          <w:spacing w:val="-11"/>
          <w:w w:val="90"/>
        </w:rPr>
        <w:t> </w:t>
      </w:r>
      <w:r>
        <w:rPr>
          <w:w w:val="90"/>
        </w:rPr>
        <w:t>Aragón</w:t>
      </w:r>
      <w:r>
        <w:rPr>
          <w:spacing w:val="-10"/>
          <w:w w:val="90"/>
        </w:rPr>
        <w:t> </w:t>
      </w:r>
      <w:r>
        <w:rPr>
          <w:w w:val="90"/>
        </w:rPr>
        <w:t>MA,</w:t>
      </w:r>
      <w:r>
        <w:rPr>
          <w:spacing w:val="-10"/>
          <w:w w:val="90"/>
        </w:rPr>
        <w:t> </w:t>
      </w:r>
      <w:r>
        <w:rPr>
          <w:spacing w:val="2"/>
          <w:w w:val="90"/>
        </w:rPr>
        <w:t>Ayala</w:t>
      </w:r>
      <w:r>
        <w:rPr>
          <w:spacing w:val="-10"/>
          <w:w w:val="90"/>
        </w:rPr>
        <w:t> </w:t>
      </w:r>
      <w:r>
        <w:rPr>
          <w:w w:val="90"/>
        </w:rPr>
        <w:t>ME,</w:t>
      </w:r>
      <w:r>
        <w:rPr>
          <w:spacing w:val="-10"/>
          <w:w w:val="90"/>
        </w:rPr>
        <w:t> </w:t>
      </w:r>
      <w:r>
        <w:rPr>
          <w:w w:val="90"/>
        </w:rPr>
        <w:t>y</w:t>
      </w:r>
      <w:r>
        <w:rPr>
          <w:spacing w:val="-11"/>
          <w:w w:val="90"/>
        </w:rPr>
        <w:t> </w:t>
      </w:r>
      <w:r>
        <w:rPr>
          <w:w w:val="90"/>
        </w:rPr>
        <w:t>Dominguez</w:t>
      </w:r>
      <w:r>
        <w:rPr>
          <w:spacing w:val="-12"/>
          <w:w w:val="90"/>
        </w:rPr>
        <w:t> </w:t>
      </w:r>
      <w:r>
        <w:rPr>
          <w:w w:val="90"/>
        </w:rPr>
        <w:t>IA,</w:t>
      </w:r>
      <w:r>
        <w:rPr>
          <w:spacing w:val="-10"/>
          <w:w w:val="90"/>
        </w:rPr>
        <w:t> </w:t>
      </w:r>
      <w:r>
        <w:rPr>
          <w:w w:val="90"/>
        </w:rPr>
        <w:t>2010.</w:t>
      </w:r>
      <w:r>
        <w:rPr>
          <w:spacing w:val="-5"/>
          <w:w w:val="90"/>
        </w:rPr>
        <w:t> </w:t>
      </w:r>
      <w:r>
        <w:rPr>
          <w:w w:val="90"/>
        </w:rPr>
        <w:t>Viability</w:t>
      </w:r>
      <w:r>
        <w:rPr>
          <w:spacing w:val="-11"/>
          <w:w w:val="90"/>
        </w:rPr>
        <w:t> </w:t>
      </w:r>
      <w:r>
        <w:rPr>
          <w:w w:val="90"/>
        </w:rPr>
        <w:t>Test,</w:t>
      </w:r>
      <w:r>
        <w:rPr>
          <w:spacing w:val="-10"/>
          <w:w w:val="90"/>
        </w:rPr>
        <w:t> </w:t>
      </w:r>
      <w:r>
        <w:rPr>
          <w:w w:val="90"/>
        </w:rPr>
        <w:t>Active</w:t>
      </w:r>
      <w:r>
        <w:rPr>
          <w:spacing w:val="-10"/>
          <w:w w:val="90"/>
        </w:rPr>
        <w:t> </w:t>
      </w:r>
      <w:r>
        <w:rPr>
          <w:w w:val="90"/>
        </w:rPr>
        <w:t>Caspase- 3</w:t>
      </w:r>
      <w:r>
        <w:rPr>
          <w:spacing w:val="-5"/>
          <w:w w:val="90"/>
        </w:rPr>
        <w:t> </w:t>
      </w:r>
      <w:r>
        <w:rPr>
          <w:w w:val="90"/>
        </w:rPr>
        <w:t>and</w:t>
      </w:r>
      <w:r>
        <w:rPr>
          <w:spacing w:val="-6"/>
          <w:w w:val="90"/>
        </w:rPr>
        <w:t> </w:t>
      </w:r>
      <w:r>
        <w:rPr>
          <w:w w:val="90"/>
        </w:rPr>
        <w:t>-7,</w:t>
      </w:r>
      <w:r>
        <w:rPr>
          <w:spacing w:val="-5"/>
          <w:w w:val="90"/>
        </w:rPr>
        <w:t> </w:t>
      </w:r>
      <w:r>
        <w:rPr>
          <w:w w:val="90"/>
        </w:rPr>
        <w:t>and</w:t>
      </w:r>
      <w:r>
        <w:rPr>
          <w:spacing w:val="-3"/>
          <w:w w:val="90"/>
        </w:rPr>
        <w:t> </w:t>
      </w:r>
      <w:r>
        <w:rPr>
          <w:w w:val="90"/>
        </w:rPr>
        <w:t>Chromatin</w:t>
      </w:r>
      <w:r>
        <w:rPr>
          <w:spacing w:val="-5"/>
          <w:w w:val="90"/>
        </w:rPr>
        <w:t> </w:t>
      </w:r>
      <w:r>
        <w:rPr>
          <w:w w:val="90"/>
        </w:rPr>
        <w:t>Structure</w:t>
      </w:r>
      <w:r>
        <w:rPr>
          <w:spacing w:val="-6"/>
          <w:w w:val="90"/>
        </w:rPr>
        <w:t> </w:t>
      </w:r>
      <w:r>
        <w:rPr>
          <w:w w:val="90"/>
        </w:rPr>
        <w:t>in</w:t>
      </w:r>
      <w:r>
        <w:rPr>
          <w:spacing w:val="-3"/>
          <w:w w:val="90"/>
        </w:rPr>
        <w:t> </w:t>
      </w:r>
      <w:r>
        <w:rPr>
          <w:w w:val="90"/>
        </w:rPr>
        <w:t>Ram</w:t>
      </w:r>
      <w:r>
        <w:rPr>
          <w:spacing w:val="-5"/>
          <w:w w:val="90"/>
        </w:rPr>
        <w:t> </w:t>
      </w:r>
      <w:r>
        <w:rPr>
          <w:w w:val="90"/>
        </w:rPr>
        <w:t>Sperm</w:t>
      </w:r>
      <w:r>
        <w:rPr>
          <w:spacing w:val="-5"/>
          <w:w w:val="90"/>
        </w:rPr>
        <w:t> </w:t>
      </w:r>
      <w:r>
        <w:rPr>
          <w:w w:val="90"/>
        </w:rPr>
        <w:t>Selected</w:t>
      </w:r>
      <w:r>
        <w:rPr>
          <w:spacing w:val="-5"/>
          <w:w w:val="90"/>
        </w:rPr>
        <w:t> </w:t>
      </w:r>
      <w:r>
        <w:rPr>
          <w:w w:val="90"/>
        </w:rPr>
        <w:t>Using</w:t>
      </w:r>
      <w:r>
        <w:rPr>
          <w:spacing w:val="-5"/>
          <w:w w:val="90"/>
        </w:rPr>
        <w:t> </w:t>
      </w:r>
      <w:r>
        <w:rPr>
          <w:w w:val="90"/>
        </w:rPr>
        <w:t>the</w:t>
      </w:r>
      <w:r>
        <w:rPr>
          <w:spacing w:val="-5"/>
          <w:w w:val="90"/>
        </w:rPr>
        <w:t> </w:t>
      </w:r>
      <w:r>
        <w:rPr>
          <w:spacing w:val="2"/>
          <w:w w:val="90"/>
        </w:rPr>
        <w:t>Swin-Up</w:t>
      </w:r>
      <w:r>
        <w:rPr>
          <w:spacing w:val="-3"/>
          <w:w w:val="90"/>
        </w:rPr>
        <w:t> </w:t>
      </w:r>
      <w:r>
        <w:rPr>
          <w:w w:val="90"/>
        </w:rPr>
        <w:t>Procedure. Journal</w:t>
      </w:r>
      <w:r>
        <w:rPr>
          <w:spacing w:val="-29"/>
          <w:w w:val="90"/>
        </w:rPr>
        <w:t> </w:t>
      </w:r>
      <w:r>
        <w:rPr>
          <w:w w:val="90"/>
        </w:rPr>
        <w:t>of</w:t>
      </w:r>
      <w:r>
        <w:rPr>
          <w:spacing w:val="-28"/>
          <w:w w:val="90"/>
        </w:rPr>
        <w:t> </w:t>
      </w:r>
      <w:r>
        <w:rPr>
          <w:w w:val="90"/>
        </w:rPr>
        <w:t>Andrology,</w:t>
      </w:r>
      <w:r>
        <w:rPr>
          <w:spacing w:val="-28"/>
          <w:w w:val="90"/>
        </w:rPr>
        <w:t> </w:t>
      </w:r>
      <w:r>
        <w:rPr>
          <w:spacing w:val="2"/>
          <w:w w:val="90"/>
        </w:rPr>
        <w:t>32:1-8.</w:t>
      </w:r>
    </w:p>
    <w:p>
      <w:pPr>
        <w:pStyle w:val="BodyText"/>
        <w:spacing w:line="360" w:lineRule="auto" w:before="204"/>
        <w:ind w:left="265" w:right="119"/>
        <w:jc w:val="both"/>
      </w:pPr>
      <w:r>
        <w:rPr>
          <w:w w:val="95"/>
        </w:rPr>
        <w:t>Rodriguez</w:t>
      </w:r>
      <w:r>
        <w:rPr>
          <w:spacing w:val="-15"/>
          <w:w w:val="95"/>
        </w:rPr>
        <w:t> </w:t>
      </w:r>
      <w:r>
        <w:rPr>
          <w:w w:val="95"/>
        </w:rPr>
        <w:t>I,</w:t>
      </w:r>
      <w:r>
        <w:rPr>
          <w:spacing w:val="-14"/>
          <w:w w:val="95"/>
        </w:rPr>
        <w:t> </w:t>
      </w:r>
      <w:r>
        <w:rPr>
          <w:w w:val="95"/>
        </w:rPr>
        <w:t>Ody</w:t>
      </w:r>
      <w:r>
        <w:rPr>
          <w:spacing w:val="-15"/>
          <w:w w:val="95"/>
        </w:rPr>
        <w:t> </w:t>
      </w:r>
      <w:r>
        <w:rPr>
          <w:w w:val="95"/>
        </w:rPr>
        <w:t>C,</w:t>
      </w:r>
      <w:r>
        <w:rPr>
          <w:spacing w:val="-14"/>
          <w:w w:val="95"/>
        </w:rPr>
        <w:t> </w:t>
      </w:r>
      <w:r>
        <w:rPr>
          <w:w w:val="95"/>
        </w:rPr>
        <w:t>Araki</w:t>
      </w:r>
      <w:r>
        <w:rPr>
          <w:spacing w:val="-15"/>
          <w:w w:val="95"/>
        </w:rPr>
        <w:t> </w:t>
      </w:r>
      <w:r>
        <w:rPr>
          <w:w w:val="95"/>
        </w:rPr>
        <w:t>K,</w:t>
      </w:r>
      <w:r>
        <w:rPr>
          <w:spacing w:val="-15"/>
          <w:w w:val="95"/>
        </w:rPr>
        <w:t> </w:t>
      </w:r>
      <w:r>
        <w:rPr>
          <w:w w:val="95"/>
        </w:rPr>
        <w:t>Garcia</w:t>
      </w:r>
      <w:r>
        <w:rPr>
          <w:spacing w:val="-15"/>
          <w:w w:val="95"/>
        </w:rPr>
        <w:t> </w:t>
      </w:r>
      <w:r>
        <w:rPr>
          <w:w w:val="95"/>
        </w:rPr>
        <w:t>I</w:t>
      </w:r>
      <w:r>
        <w:rPr>
          <w:spacing w:val="-14"/>
          <w:w w:val="95"/>
        </w:rPr>
        <w:t> </w:t>
      </w:r>
      <w:r>
        <w:rPr>
          <w:w w:val="95"/>
        </w:rPr>
        <w:t>y</w:t>
      </w:r>
      <w:r>
        <w:rPr>
          <w:spacing w:val="-15"/>
          <w:w w:val="95"/>
        </w:rPr>
        <w:t> </w:t>
      </w:r>
      <w:r>
        <w:rPr>
          <w:w w:val="95"/>
        </w:rPr>
        <w:t>Vassalli</w:t>
      </w:r>
      <w:r>
        <w:rPr>
          <w:spacing w:val="-14"/>
          <w:w w:val="95"/>
        </w:rPr>
        <w:t> </w:t>
      </w:r>
      <w:r>
        <w:rPr>
          <w:w w:val="95"/>
        </w:rPr>
        <w:t>P,</w:t>
      </w:r>
      <w:r>
        <w:rPr>
          <w:spacing w:val="-15"/>
          <w:w w:val="95"/>
        </w:rPr>
        <w:t> </w:t>
      </w:r>
      <w:r>
        <w:rPr>
          <w:w w:val="95"/>
        </w:rPr>
        <w:t>1997.</w:t>
      </w:r>
      <w:r>
        <w:rPr>
          <w:spacing w:val="-15"/>
          <w:w w:val="95"/>
        </w:rPr>
        <w:t> </w:t>
      </w:r>
      <w:r>
        <w:rPr>
          <w:w w:val="95"/>
        </w:rPr>
        <w:t>An</w:t>
      </w:r>
      <w:r>
        <w:rPr>
          <w:spacing w:val="-14"/>
          <w:w w:val="95"/>
        </w:rPr>
        <w:t> </w:t>
      </w:r>
      <w:r>
        <w:rPr>
          <w:w w:val="95"/>
        </w:rPr>
        <w:t>early</w:t>
      </w:r>
      <w:r>
        <w:rPr>
          <w:spacing w:val="-15"/>
          <w:w w:val="95"/>
        </w:rPr>
        <w:t> </w:t>
      </w:r>
      <w:r>
        <w:rPr>
          <w:w w:val="95"/>
        </w:rPr>
        <w:t>and</w:t>
      </w:r>
      <w:r>
        <w:rPr>
          <w:spacing w:val="-14"/>
          <w:w w:val="95"/>
        </w:rPr>
        <w:t> </w:t>
      </w:r>
      <w:r>
        <w:rPr>
          <w:w w:val="95"/>
        </w:rPr>
        <w:t>massive</w:t>
      </w:r>
      <w:r>
        <w:rPr>
          <w:spacing w:val="-14"/>
          <w:w w:val="95"/>
        </w:rPr>
        <w:t> </w:t>
      </w:r>
      <w:r>
        <w:rPr>
          <w:spacing w:val="5"/>
          <w:w w:val="95"/>
        </w:rPr>
        <w:t>wave</w:t>
      </w:r>
      <w:r>
        <w:rPr>
          <w:spacing w:val="-14"/>
          <w:w w:val="95"/>
        </w:rPr>
        <w:t> </w:t>
      </w:r>
      <w:r>
        <w:rPr>
          <w:w w:val="95"/>
        </w:rPr>
        <w:t>of </w:t>
      </w:r>
      <w:r>
        <w:rPr>
          <w:w w:val="90"/>
        </w:rPr>
        <w:t>germinal</w:t>
      </w:r>
      <w:r>
        <w:rPr>
          <w:spacing w:val="-12"/>
          <w:w w:val="90"/>
        </w:rPr>
        <w:t> </w:t>
      </w:r>
      <w:r>
        <w:rPr>
          <w:w w:val="90"/>
        </w:rPr>
        <w:t>cell</w:t>
      </w:r>
      <w:r>
        <w:rPr>
          <w:spacing w:val="-12"/>
          <w:w w:val="90"/>
        </w:rPr>
        <w:t> </w:t>
      </w:r>
      <w:r>
        <w:rPr>
          <w:w w:val="90"/>
        </w:rPr>
        <w:t>apoptosis</w:t>
      </w:r>
      <w:r>
        <w:rPr>
          <w:spacing w:val="-14"/>
          <w:w w:val="90"/>
        </w:rPr>
        <w:t> </w:t>
      </w:r>
      <w:r>
        <w:rPr>
          <w:w w:val="90"/>
        </w:rPr>
        <w:t>is</w:t>
      </w:r>
      <w:r>
        <w:rPr>
          <w:spacing w:val="-12"/>
          <w:w w:val="90"/>
        </w:rPr>
        <w:t> </w:t>
      </w:r>
      <w:r>
        <w:rPr>
          <w:w w:val="90"/>
        </w:rPr>
        <w:t>required</w:t>
      </w:r>
      <w:r>
        <w:rPr>
          <w:spacing w:val="-13"/>
          <w:w w:val="90"/>
        </w:rPr>
        <w:t> </w:t>
      </w:r>
      <w:r>
        <w:rPr>
          <w:w w:val="90"/>
        </w:rPr>
        <w:t>for</w:t>
      </w:r>
      <w:r>
        <w:rPr>
          <w:spacing w:val="-11"/>
          <w:w w:val="90"/>
        </w:rPr>
        <w:t> </w:t>
      </w:r>
      <w:r>
        <w:rPr>
          <w:w w:val="90"/>
        </w:rPr>
        <w:t>the</w:t>
      </w:r>
      <w:r>
        <w:rPr>
          <w:spacing w:val="-12"/>
          <w:w w:val="90"/>
        </w:rPr>
        <w:t> </w:t>
      </w:r>
      <w:r>
        <w:rPr>
          <w:w w:val="90"/>
        </w:rPr>
        <w:t>development</w:t>
      </w:r>
      <w:r>
        <w:rPr>
          <w:spacing w:val="-12"/>
          <w:w w:val="90"/>
        </w:rPr>
        <w:t> </w:t>
      </w:r>
      <w:r>
        <w:rPr>
          <w:w w:val="90"/>
        </w:rPr>
        <w:t>of</w:t>
      </w:r>
      <w:r>
        <w:rPr>
          <w:spacing w:val="-13"/>
          <w:w w:val="90"/>
        </w:rPr>
        <w:t> </w:t>
      </w:r>
      <w:r>
        <w:rPr>
          <w:w w:val="90"/>
        </w:rPr>
        <w:t>functional</w:t>
      </w:r>
      <w:r>
        <w:rPr>
          <w:spacing w:val="-12"/>
          <w:w w:val="90"/>
        </w:rPr>
        <w:t> </w:t>
      </w:r>
      <w:r>
        <w:rPr>
          <w:w w:val="90"/>
        </w:rPr>
        <w:t>spermatogenesis.</w:t>
      </w:r>
      <w:r>
        <w:rPr>
          <w:spacing w:val="-13"/>
          <w:w w:val="90"/>
        </w:rPr>
        <w:t> </w:t>
      </w:r>
      <w:r>
        <w:rPr>
          <w:w w:val="90"/>
        </w:rPr>
        <w:t>The European</w:t>
      </w:r>
      <w:r>
        <w:rPr>
          <w:spacing w:val="-38"/>
          <w:w w:val="90"/>
        </w:rPr>
        <w:t> </w:t>
      </w:r>
      <w:r>
        <w:rPr>
          <w:w w:val="90"/>
        </w:rPr>
        <w:t>Molecular</w:t>
      </w:r>
      <w:r>
        <w:rPr>
          <w:spacing w:val="-37"/>
          <w:w w:val="90"/>
        </w:rPr>
        <w:t> </w:t>
      </w:r>
      <w:r>
        <w:rPr>
          <w:w w:val="90"/>
        </w:rPr>
        <w:t>Biology</w:t>
      </w:r>
      <w:r>
        <w:rPr>
          <w:spacing w:val="-39"/>
          <w:w w:val="90"/>
        </w:rPr>
        <w:t> </w:t>
      </w:r>
      <w:r>
        <w:rPr>
          <w:w w:val="90"/>
        </w:rPr>
        <w:t>Organization</w:t>
      </w:r>
      <w:r>
        <w:rPr>
          <w:spacing w:val="-37"/>
          <w:w w:val="90"/>
        </w:rPr>
        <w:t> </w:t>
      </w:r>
      <w:r>
        <w:rPr>
          <w:w w:val="90"/>
        </w:rPr>
        <w:t>Journal,</w:t>
      </w:r>
      <w:r>
        <w:rPr>
          <w:spacing w:val="-38"/>
          <w:w w:val="90"/>
        </w:rPr>
        <w:t> </w:t>
      </w:r>
      <w:r>
        <w:rPr>
          <w:spacing w:val="2"/>
          <w:w w:val="90"/>
        </w:rPr>
        <w:t>16:2262–2270.</w:t>
      </w:r>
    </w:p>
    <w:p>
      <w:pPr>
        <w:pStyle w:val="BodyText"/>
        <w:spacing w:line="360" w:lineRule="auto" w:before="205"/>
        <w:ind w:left="265" w:right="139"/>
        <w:jc w:val="both"/>
      </w:pPr>
      <w:r>
        <w:rPr>
          <w:w w:val="95"/>
        </w:rPr>
        <w:t>Said</w:t>
      </w:r>
      <w:r>
        <w:rPr>
          <w:spacing w:val="-19"/>
          <w:w w:val="95"/>
        </w:rPr>
        <w:t> </w:t>
      </w:r>
      <w:r>
        <w:rPr>
          <w:w w:val="95"/>
        </w:rPr>
        <w:t>TM,</w:t>
      </w:r>
      <w:r>
        <w:rPr>
          <w:spacing w:val="-19"/>
          <w:w w:val="95"/>
        </w:rPr>
        <w:t> </w:t>
      </w:r>
      <w:r>
        <w:rPr>
          <w:w w:val="95"/>
        </w:rPr>
        <w:t>Paasch</w:t>
      </w:r>
      <w:r>
        <w:rPr>
          <w:spacing w:val="-19"/>
          <w:w w:val="95"/>
        </w:rPr>
        <w:t> </w:t>
      </w:r>
      <w:r>
        <w:rPr>
          <w:w w:val="95"/>
        </w:rPr>
        <w:t>U,</w:t>
      </w:r>
      <w:r>
        <w:rPr>
          <w:spacing w:val="-19"/>
          <w:w w:val="95"/>
        </w:rPr>
        <w:t> </w:t>
      </w:r>
      <w:r>
        <w:rPr>
          <w:w w:val="95"/>
        </w:rPr>
        <w:t>Glander</w:t>
      </w:r>
      <w:r>
        <w:rPr>
          <w:spacing w:val="-18"/>
          <w:w w:val="95"/>
        </w:rPr>
        <w:t> </w:t>
      </w:r>
      <w:r>
        <w:rPr>
          <w:w w:val="95"/>
        </w:rPr>
        <w:t>HJ</w:t>
      </w:r>
      <w:r>
        <w:rPr>
          <w:spacing w:val="-19"/>
          <w:w w:val="95"/>
        </w:rPr>
        <w:t> </w:t>
      </w:r>
      <w:r>
        <w:rPr>
          <w:w w:val="95"/>
        </w:rPr>
        <w:t>y</w:t>
      </w:r>
      <w:r>
        <w:rPr>
          <w:spacing w:val="-19"/>
          <w:w w:val="95"/>
        </w:rPr>
        <w:t> </w:t>
      </w:r>
      <w:r>
        <w:rPr>
          <w:w w:val="95"/>
        </w:rPr>
        <w:t>Agarwal</w:t>
      </w:r>
      <w:r>
        <w:rPr>
          <w:spacing w:val="-19"/>
          <w:w w:val="95"/>
        </w:rPr>
        <w:t> </w:t>
      </w:r>
      <w:r>
        <w:rPr>
          <w:w w:val="95"/>
        </w:rPr>
        <w:t>A,</w:t>
      </w:r>
      <w:r>
        <w:rPr>
          <w:spacing w:val="-19"/>
          <w:w w:val="95"/>
        </w:rPr>
        <w:t> </w:t>
      </w:r>
      <w:r>
        <w:rPr>
          <w:w w:val="95"/>
        </w:rPr>
        <w:t>2004.</w:t>
      </w:r>
      <w:r>
        <w:rPr>
          <w:spacing w:val="-19"/>
          <w:w w:val="95"/>
        </w:rPr>
        <w:t> </w:t>
      </w:r>
      <w:r>
        <w:rPr>
          <w:w w:val="95"/>
        </w:rPr>
        <w:t>Role</w:t>
      </w:r>
      <w:r>
        <w:rPr>
          <w:spacing w:val="-19"/>
          <w:w w:val="95"/>
        </w:rPr>
        <w:t> </w:t>
      </w:r>
      <w:r>
        <w:rPr>
          <w:w w:val="95"/>
        </w:rPr>
        <w:t>of</w:t>
      </w:r>
      <w:r>
        <w:rPr>
          <w:spacing w:val="-19"/>
          <w:w w:val="95"/>
        </w:rPr>
        <w:t> </w:t>
      </w:r>
      <w:r>
        <w:rPr>
          <w:w w:val="95"/>
        </w:rPr>
        <w:t>caspases</w:t>
      </w:r>
      <w:r>
        <w:rPr>
          <w:spacing w:val="-20"/>
          <w:w w:val="95"/>
        </w:rPr>
        <w:t> </w:t>
      </w:r>
      <w:r>
        <w:rPr>
          <w:w w:val="95"/>
        </w:rPr>
        <w:t>in</w:t>
      </w:r>
      <w:r>
        <w:rPr>
          <w:spacing w:val="-19"/>
          <w:w w:val="95"/>
        </w:rPr>
        <w:t> </w:t>
      </w:r>
      <w:r>
        <w:rPr>
          <w:w w:val="95"/>
        </w:rPr>
        <w:t>male</w:t>
      </w:r>
      <w:r>
        <w:rPr>
          <w:spacing w:val="-20"/>
          <w:w w:val="95"/>
        </w:rPr>
        <w:t> </w:t>
      </w:r>
      <w:r>
        <w:rPr>
          <w:w w:val="95"/>
        </w:rPr>
        <w:t>infertility. </w:t>
      </w:r>
      <w:r>
        <w:rPr>
          <w:w w:val="90"/>
        </w:rPr>
        <w:t>Human</w:t>
      </w:r>
      <w:r>
        <w:rPr>
          <w:spacing w:val="-39"/>
          <w:w w:val="90"/>
        </w:rPr>
        <w:t> </w:t>
      </w:r>
      <w:r>
        <w:rPr>
          <w:w w:val="90"/>
        </w:rPr>
        <w:t>Reproduction,</w:t>
      </w:r>
      <w:r>
        <w:rPr>
          <w:spacing w:val="-40"/>
          <w:w w:val="90"/>
        </w:rPr>
        <w:t> </w:t>
      </w:r>
      <w:r>
        <w:rPr>
          <w:w w:val="90"/>
        </w:rPr>
        <w:t>10:39-51.</w:t>
      </w:r>
    </w:p>
    <w:p>
      <w:pPr>
        <w:pStyle w:val="BodyText"/>
        <w:spacing w:line="360" w:lineRule="auto" w:before="204"/>
        <w:ind w:left="265" w:right="124"/>
        <w:jc w:val="both"/>
      </w:pPr>
      <w:r>
        <w:rPr>
          <w:w w:val="95"/>
        </w:rPr>
        <w:t>Sakkas</w:t>
      </w:r>
      <w:r>
        <w:rPr>
          <w:spacing w:val="-22"/>
          <w:w w:val="95"/>
        </w:rPr>
        <w:t> </w:t>
      </w:r>
      <w:r>
        <w:rPr>
          <w:w w:val="95"/>
        </w:rPr>
        <w:t>D,</w:t>
      </w:r>
      <w:r>
        <w:rPr>
          <w:spacing w:val="-22"/>
          <w:w w:val="95"/>
        </w:rPr>
        <w:t> </w:t>
      </w:r>
      <w:r>
        <w:rPr>
          <w:w w:val="95"/>
        </w:rPr>
        <w:t>Mariethoz</w:t>
      </w:r>
      <w:r>
        <w:rPr>
          <w:spacing w:val="-22"/>
          <w:w w:val="95"/>
        </w:rPr>
        <w:t> </w:t>
      </w:r>
      <w:r>
        <w:rPr>
          <w:w w:val="95"/>
        </w:rPr>
        <w:t>E</w:t>
      </w:r>
      <w:r>
        <w:rPr>
          <w:spacing w:val="-22"/>
          <w:w w:val="95"/>
        </w:rPr>
        <w:t> </w:t>
      </w:r>
      <w:r>
        <w:rPr>
          <w:w w:val="95"/>
        </w:rPr>
        <w:t>y</w:t>
      </w:r>
      <w:r>
        <w:rPr>
          <w:spacing w:val="-22"/>
          <w:w w:val="95"/>
        </w:rPr>
        <w:t> </w:t>
      </w:r>
      <w:r>
        <w:rPr>
          <w:w w:val="95"/>
        </w:rPr>
        <w:t>St</w:t>
      </w:r>
      <w:r>
        <w:rPr>
          <w:spacing w:val="-22"/>
          <w:w w:val="95"/>
        </w:rPr>
        <w:t> </w:t>
      </w:r>
      <w:r>
        <w:rPr>
          <w:w w:val="95"/>
        </w:rPr>
        <w:t>John</w:t>
      </w:r>
      <w:r>
        <w:rPr>
          <w:spacing w:val="-22"/>
          <w:w w:val="95"/>
        </w:rPr>
        <w:t> </w:t>
      </w:r>
      <w:r>
        <w:rPr>
          <w:w w:val="95"/>
        </w:rPr>
        <w:t>JC,</w:t>
      </w:r>
      <w:r>
        <w:rPr>
          <w:spacing w:val="-22"/>
          <w:w w:val="95"/>
        </w:rPr>
        <w:t> </w:t>
      </w:r>
      <w:r>
        <w:rPr>
          <w:w w:val="95"/>
        </w:rPr>
        <w:t>1999.</w:t>
      </w:r>
      <w:r>
        <w:rPr>
          <w:spacing w:val="-22"/>
          <w:w w:val="95"/>
        </w:rPr>
        <w:t> </w:t>
      </w:r>
      <w:r>
        <w:rPr>
          <w:w w:val="95"/>
        </w:rPr>
        <w:t>Abnormal</w:t>
      </w:r>
      <w:r>
        <w:rPr>
          <w:spacing w:val="-22"/>
          <w:w w:val="95"/>
        </w:rPr>
        <w:t> </w:t>
      </w:r>
      <w:r>
        <w:rPr>
          <w:w w:val="95"/>
        </w:rPr>
        <w:t>sperm</w:t>
      </w:r>
      <w:r>
        <w:rPr>
          <w:spacing w:val="-22"/>
          <w:w w:val="95"/>
        </w:rPr>
        <w:t> </w:t>
      </w:r>
      <w:r>
        <w:rPr>
          <w:w w:val="95"/>
        </w:rPr>
        <w:t>parameters</w:t>
      </w:r>
      <w:r>
        <w:rPr>
          <w:spacing w:val="-22"/>
          <w:w w:val="95"/>
        </w:rPr>
        <w:t> </w:t>
      </w:r>
      <w:r>
        <w:rPr>
          <w:w w:val="95"/>
        </w:rPr>
        <w:t>in</w:t>
      </w:r>
      <w:r>
        <w:rPr>
          <w:spacing w:val="-22"/>
          <w:w w:val="95"/>
        </w:rPr>
        <w:t> </w:t>
      </w:r>
      <w:r>
        <w:rPr>
          <w:w w:val="95"/>
        </w:rPr>
        <w:t>humans</w:t>
      </w:r>
      <w:r>
        <w:rPr>
          <w:spacing w:val="-22"/>
          <w:w w:val="95"/>
        </w:rPr>
        <w:t> </w:t>
      </w:r>
      <w:r>
        <w:rPr>
          <w:w w:val="95"/>
        </w:rPr>
        <w:t>are indicative of an abortive apoptotic mechanism linked to the </w:t>
      </w:r>
      <w:r>
        <w:rPr>
          <w:spacing w:val="2"/>
          <w:w w:val="95"/>
        </w:rPr>
        <w:t>Fas-mediated </w:t>
      </w:r>
      <w:r>
        <w:rPr>
          <w:w w:val="95"/>
        </w:rPr>
        <w:t>pathway. </w:t>
      </w:r>
      <w:r>
        <w:rPr>
          <w:w w:val="90"/>
        </w:rPr>
        <w:t>Experimental</w:t>
      </w:r>
      <w:r>
        <w:rPr>
          <w:spacing w:val="-35"/>
          <w:w w:val="90"/>
        </w:rPr>
        <w:t> </w:t>
      </w:r>
      <w:r>
        <w:rPr>
          <w:w w:val="90"/>
        </w:rPr>
        <w:t>Cell</w:t>
      </w:r>
      <w:r>
        <w:rPr>
          <w:spacing w:val="-35"/>
          <w:w w:val="90"/>
        </w:rPr>
        <w:t> </w:t>
      </w:r>
      <w:r>
        <w:rPr>
          <w:w w:val="90"/>
        </w:rPr>
        <w:t>Research,</w:t>
      </w:r>
      <w:r>
        <w:rPr>
          <w:spacing w:val="-35"/>
          <w:w w:val="90"/>
        </w:rPr>
        <w:t> </w:t>
      </w:r>
      <w:r>
        <w:rPr>
          <w:w w:val="90"/>
        </w:rPr>
        <w:t>251:350-355.</w:t>
      </w:r>
    </w:p>
    <w:p>
      <w:pPr>
        <w:pStyle w:val="BodyText"/>
        <w:spacing w:before="204"/>
        <w:ind w:left="265"/>
        <w:jc w:val="both"/>
      </w:pPr>
      <w:r>
        <w:rPr>
          <w:w w:val="90"/>
        </w:rPr>
        <w:t>Skinner MK, 1991. Cell-cell interactions in the testis. Endocrine Reviews, 12:45-77.</w:t>
      </w:r>
    </w:p>
    <w:p>
      <w:pPr>
        <w:pStyle w:val="BodyText"/>
        <w:spacing w:before="4"/>
        <w:rPr>
          <w:sz w:val="29"/>
        </w:rPr>
      </w:pPr>
    </w:p>
    <w:p>
      <w:pPr>
        <w:pStyle w:val="BodyText"/>
        <w:spacing w:line="360" w:lineRule="auto" w:before="1"/>
        <w:ind w:left="265" w:right="138"/>
        <w:jc w:val="both"/>
      </w:pPr>
      <w:r>
        <w:rPr>
          <w:w w:val="95"/>
        </w:rPr>
        <w:t>Thompson</w:t>
      </w:r>
      <w:r>
        <w:rPr>
          <w:spacing w:val="-29"/>
          <w:w w:val="95"/>
        </w:rPr>
        <w:t> </w:t>
      </w:r>
      <w:r>
        <w:rPr>
          <w:w w:val="95"/>
        </w:rPr>
        <w:t>CB,</w:t>
      </w:r>
      <w:r>
        <w:rPr>
          <w:spacing w:val="-28"/>
          <w:w w:val="95"/>
        </w:rPr>
        <w:t> </w:t>
      </w:r>
      <w:r>
        <w:rPr>
          <w:w w:val="95"/>
        </w:rPr>
        <w:t>1995.</w:t>
      </w:r>
      <w:r>
        <w:rPr>
          <w:spacing w:val="-29"/>
          <w:w w:val="95"/>
        </w:rPr>
        <w:t> </w:t>
      </w:r>
      <w:r>
        <w:rPr>
          <w:w w:val="95"/>
        </w:rPr>
        <w:t>Apoptosis</w:t>
      </w:r>
      <w:r>
        <w:rPr>
          <w:spacing w:val="-29"/>
          <w:w w:val="95"/>
        </w:rPr>
        <w:t> </w:t>
      </w:r>
      <w:r>
        <w:rPr>
          <w:w w:val="95"/>
        </w:rPr>
        <w:t>in</w:t>
      </w:r>
      <w:r>
        <w:rPr>
          <w:spacing w:val="-29"/>
          <w:w w:val="95"/>
        </w:rPr>
        <w:t> </w:t>
      </w:r>
      <w:r>
        <w:rPr>
          <w:w w:val="95"/>
        </w:rPr>
        <w:t>the</w:t>
      </w:r>
      <w:r>
        <w:rPr>
          <w:spacing w:val="-29"/>
          <w:w w:val="95"/>
        </w:rPr>
        <w:t> </w:t>
      </w:r>
      <w:r>
        <w:rPr>
          <w:w w:val="95"/>
        </w:rPr>
        <w:t>pathogenesis</w:t>
      </w:r>
      <w:r>
        <w:rPr>
          <w:spacing w:val="-29"/>
          <w:w w:val="95"/>
        </w:rPr>
        <w:t> </w:t>
      </w:r>
      <w:r>
        <w:rPr>
          <w:w w:val="95"/>
        </w:rPr>
        <w:t>and</w:t>
      </w:r>
      <w:r>
        <w:rPr>
          <w:spacing w:val="-29"/>
          <w:w w:val="95"/>
        </w:rPr>
        <w:t> </w:t>
      </w:r>
      <w:r>
        <w:rPr>
          <w:w w:val="95"/>
        </w:rPr>
        <w:t>treatment</w:t>
      </w:r>
      <w:r>
        <w:rPr>
          <w:spacing w:val="-28"/>
          <w:w w:val="95"/>
        </w:rPr>
        <w:t> </w:t>
      </w:r>
      <w:r>
        <w:rPr>
          <w:w w:val="95"/>
        </w:rPr>
        <w:t>of</w:t>
      </w:r>
      <w:r>
        <w:rPr>
          <w:spacing w:val="-28"/>
          <w:w w:val="95"/>
        </w:rPr>
        <w:t> </w:t>
      </w:r>
      <w:r>
        <w:rPr>
          <w:w w:val="95"/>
        </w:rPr>
        <w:t>disease.</w:t>
      </w:r>
      <w:r>
        <w:rPr>
          <w:spacing w:val="-28"/>
          <w:w w:val="95"/>
        </w:rPr>
        <w:t> </w:t>
      </w:r>
      <w:r>
        <w:rPr>
          <w:w w:val="95"/>
        </w:rPr>
        <w:t>Science, 10:1456-1462.</w:t>
      </w:r>
    </w:p>
    <w:p>
      <w:pPr>
        <w:pStyle w:val="BodyText"/>
        <w:spacing w:line="360" w:lineRule="auto" w:before="204"/>
        <w:ind w:left="265" w:right="121"/>
        <w:jc w:val="both"/>
      </w:pPr>
      <w:r>
        <w:rPr>
          <w:w w:val="95"/>
        </w:rPr>
        <w:t>Zini</w:t>
      </w:r>
      <w:r>
        <w:rPr>
          <w:spacing w:val="-20"/>
          <w:w w:val="95"/>
        </w:rPr>
        <w:t> </w:t>
      </w:r>
      <w:r>
        <w:rPr>
          <w:w w:val="95"/>
        </w:rPr>
        <w:t>A</w:t>
      </w:r>
      <w:r>
        <w:rPr>
          <w:spacing w:val="-19"/>
          <w:w w:val="95"/>
        </w:rPr>
        <w:t> </w:t>
      </w:r>
      <w:r>
        <w:rPr>
          <w:w w:val="95"/>
        </w:rPr>
        <w:t>y</w:t>
      </w:r>
      <w:r>
        <w:rPr>
          <w:spacing w:val="-20"/>
          <w:w w:val="95"/>
        </w:rPr>
        <w:t> </w:t>
      </w:r>
      <w:r>
        <w:rPr>
          <w:w w:val="95"/>
        </w:rPr>
        <w:t>Sigman</w:t>
      </w:r>
      <w:r>
        <w:rPr>
          <w:spacing w:val="-19"/>
          <w:w w:val="95"/>
        </w:rPr>
        <w:t> </w:t>
      </w:r>
      <w:r>
        <w:rPr>
          <w:w w:val="95"/>
        </w:rPr>
        <w:t>M,</w:t>
      </w:r>
      <w:r>
        <w:rPr>
          <w:spacing w:val="-20"/>
          <w:w w:val="95"/>
        </w:rPr>
        <w:t> </w:t>
      </w:r>
      <w:r>
        <w:rPr>
          <w:w w:val="95"/>
        </w:rPr>
        <w:t>2009.</w:t>
      </w:r>
      <w:r>
        <w:rPr>
          <w:spacing w:val="-20"/>
          <w:w w:val="95"/>
        </w:rPr>
        <w:t> </w:t>
      </w:r>
      <w:r>
        <w:rPr>
          <w:w w:val="95"/>
        </w:rPr>
        <w:t>Are</w:t>
      </w:r>
      <w:r>
        <w:rPr>
          <w:spacing w:val="-21"/>
          <w:w w:val="95"/>
        </w:rPr>
        <w:t> </w:t>
      </w:r>
      <w:r>
        <w:rPr>
          <w:w w:val="95"/>
        </w:rPr>
        <w:t>Tests</w:t>
      </w:r>
      <w:r>
        <w:rPr>
          <w:spacing w:val="-20"/>
          <w:w w:val="95"/>
        </w:rPr>
        <w:t> </w:t>
      </w:r>
      <w:r>
        <w:rPr>
          <w:w w:val="95"/>
        </w:rPr>
        <w:t>of</w:t>
      </w:r>
      <w:r>
        <w:rPr>
          <w:spacing w:val="-19"/>
          <w:w w:val="95"/>
        </w:rPr>
        <w:t> </w:t>
      </w:r>
      <w:r>
        <w:rPr>
          <w:w w:val="95"/>
        </w:rPr>
        <w:t>Sperm</w:t>
      </w:r>
      <w:r>
        <w:rPr>
          <w:spacing w:val="-19"/>
          <w:w w:val="95"/>
        </w:rPr>
        <w:t> </w:t>
      </w:r>
      <w:r>
        <w:rPr>
          <w:w w:val="95"/>
        </w:rPr>
        <w:t>DNA</w:t>
      </w:r>
      <w:r>
        <w:rPr>
          <w:spacing w:val="-19"/>
          <w:w w:val="95"/>
        </w:rPr>
        <w:t> </w:t>
      </w:r>
      <w:r>
        <w:rPr>
          <w:w w:val="95"/>
        </w:rPr>
        <w:t>Damage</w:t>
      </w:r>
      <w:r>
        <w:rPr>
          <w:spacing w:val="-19"/>
          <w:w w:val="95"/>
        </w:rPr>
        <w:t> </w:t>
      </w:r>
      <w:r>
        <w:rPr>
          <w:w w:val="95"/>
        </w:rPr>
        <w:t>Clinically</w:t>
      </w:r>
      <w:r>
        <w:rPr>
          <w:spacing w:val="-20"/>
          <w:w w:val="95"/>
        </w:rPr>
        <w:t> </w:t>
      </w:r>
      <w:r>
        <w:rPr>
          <w:w w:val="95"/>
        </w:rPr>
        <w:t>Useful?</w:t>
      </w:r>
      <w:r>
        <w:rPr>
          <w:spacing w:val="-12"/>
          <w:w w:val="95"/>
        </w:rPr>
        <w:t> </w:t>
      </w:r>
      <w:r>
        <w:rPr>
          <w:w w:val="95"/>
        </w:rPr>
        <w:t>Pros</w:t>
      </w:r>
      <w:r>
        <w:rPr>
          <w:spacing w:val="-20"/>
          <w:w w:val="95"/>
        </w:rPr>
        <w:t> </w:t>
      </w:r>
      <w:r>
        <w:rPr>
          <w:w w:val="95"/>
        </w:rPr>
        <w:t>and </w:t>
      </w:r>
      <w:r>
        <w:rPr>
          <w:w w:val="90"/>
        </w:rPr>
        <w:t>Cons.</w:t>
      </w:r>
      <w:r>
        <w:rPr>
          <w:spacing w:val="-25"/>
          <w:w w:val="90"/>
        </w:rPr>
        <w:t> </w:t>
      </w:r>
      <w:r>
        <w:rPr>
          <w:w w:val="90"/>
        </w:rPr>
        <w:t>Journal</w:t>
      </w:r>
      <w:r>
        <w:rPr>
          <w:spacing w:val="-26"/>
          <w:w w:val="90"/>
        </w:rPr>
        <w:t> </w:t>
      </w:r>
      <w:r>
        <w:rPr>
          <w:w w:val="90"/>
        </w:rPr>
        <w:t>of</w:t>
      </w:r>
      <w:r>
        <w:rPr>
          <w:spacing w:val="-25"/>
          <w:w w:val="90"/>
        </w:rPr>
        <w:t> </w:t>
      </w:r>
      <w:r>
        <w:rPr>
          <w:w w:val="90"/>
        </w:rPr>
        <w:t>Andrology,</w:t>
      </w:r>
      <w:r>
        <w:rPr>
          <w:spacing w:val="-25"/>
          <w:w w:val="90"/>
        </w:rPr>
        <w:t> </w:t>
      </w:r>
      <w:r>
        <w:rPr>
          <w:w w:val="90"/>
        </w:rPr>
        <w:t>30:219-229.</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Heading2"/>
        <w:numPr>
          <w:ilvl w:val="0"/>
          <w:numId w:val="8"/>
        </w:numPr>
        <w:tabs>
          <w:tab w:pos="640" w:val="left" w:leader="none"/>
        </w:tabs>
        <w:spacing w:line="240" w:lineRule="auto" w:before="69" w:after="0"/>
        <w:ind w:left="639" w:right="0" w:hanging="374"/>
        <w:jc w:val="left"/>
      </w:pPr>
      <w:r>
        <w:rPr>
          <w:w w:val="95"/>
        </w:rPr>
        <w:t>DISCUSIÓN</w:t>
      </w:r>
    </w:p>
    <w:p>
      <w:pPr>
        <w:pStyle w:val="BodyText"/>
        <w:rPr>
          <w:b/>
        </w:rPr>
      </w:pPr>
    </w:p>
    <w:p>
      <w:pPr>
        <w:pStyle w:val="BodyText"/>
        <w:rPr>
          <w:b/>
        </w:rPr>
      </w:pPr>
    </w:p>
    <w:p>
      <w:pPr>
        <w:pStyle w:val="BodyText"/>
        <w:spacing w:before="10"/>
        <w:rPr>
          <w:b/>
          <w:sz w:val="35"/>
        </w:rPr>
      </w:pPr>
    </w:p>
    <w:p>
      <w:pPr>
        <w:pStyle w:val="BodyText"/>
        <w:spacing w:line="360" w:lineRule="auto"/>
        <w:ind w:left="265" w:right="115" w:firstLine="427"/>
        <w:jc w:val="both"/>
      </w:pPr>
      <w:r>
        <w:rPr/>
        <w:t>El conocer el comportamiento de la muerte y de la supervivencia de las células germinales sería de gran uso terapéutico para la infertilidad del macho, la anticoncepción y el cáncer de las células germinales testiculares (Jia </w:t>
      </w:r>
      <w:r>
        <w:rPr>
          <w:i/>
        </w:rPr>
        <w:t>et al</w:t>
      </w:r>
      <w:r>
        <w:rPr/>
        <w:t>, 2010); para lograr esto, es necesario entender los fenómenos fisiológicos de cada individuo.</w:t>
      </w:r>
    </w:p>
    <w:p>
      <w:pPr>
        <w:pStyle w:val="BodyText"/>
        <w:spacing w:line="360" w:lineRule="auto" w:before="202"/>
        <w:ind w:left="265" w:right="113" w:firstLine="427"/>
        <w:jc w:val="both"/>
      </w:pPr>
      <w:r>
        <w:rPr/>
        <w:t>En un estudio realizado por Aragón </w:t>
      </w:r>
      <w:r>
        <w:rPr>
          <w:i/>
        </w:rPr>
        <w:t>et al</w:t>
      </w:r>
      <w:r>
        <w:rPr/>
        <w:t>, (2005) se reportó que la administración de la pCA no solo ocasionaba la inhibición la síntesis de serotonina, si no que iba acompañada de muerte de las células germinales testiculares, además observaron que había diferentes grados de respuesta a la apoptosis de las células germinales (datos no publicados). De ahí el interés por identificar la susceptibilidad a la apoptosis de las células germinales y la intervención de genes de la apoptosis y la espermatogénesis en cuanto a esta susceptibilidad.</w:t>
      </w:r>
    </w:p>
    <w:p>
      <w:pPr>
        <w:pStyle w:val="BodyText"/>
        <w:spacing w:line="360" w:lineRule="auto" w:before="202"/>
        <w:ind w:left="265" w:right="115" w:firstLine="427"/>
        <w:jc w:val="both"/>
      </w:pPr>
      <w:r>
        <w:rPr/>
        <w:t>Un método muy utilizado para inhibir la síntesis de la serotonina es mediante la utilización de la pCA que bloquea la acción catalizadora de </w:t>
      </w:r>
      <w:r>
        <w:rPr>
          <w:spacing w:val="-3"/>
        </w:rPr>
        <w:t>la </w:t>
      </w:r>
      <w:r>
        <w:rPr/>
        <w:t>triptófano hidroxilasa al hidroxilar al L-triptófano en 5-hidroxitriptofano (Ayala, 2009) y posteriormente hay depleción de la síntesis de la serotonina y de su metabolito</w:t>
      </w:r>
      <w:r>
        <w:rPr>
          <w:spacing w:val="-5"/>
        </w:rPr>
        <w:t> </w:t>
      </w:r>
      <w:r>
        <w:rPr/>
        <w:t>(5-HIAA).</w:t>
      </w:r>
    </w:p>
    <w:p>
      <w:pPr>
        <w:pStyle w:val="BodyText"/>
        <w:spacing w:line="360" w:lineRule="auto" w:before="204"/>
        <w:ind w:left="265" w:right="115" w:firstLine="427"/>
        <w:jc w:val="both"/>
      </w:pPr>
      <w:r>
        <w:rPr/>
        <w:t>Teniendo en cuenta que la administración de la pCA exacerba la respuesta a la apoptosis de la células germinales, nos planteamos identificar a los individuos mediante la técnica de TUNEL según la intensidad de muerte de las células germinales por apoptosis en condiciones fisiológicas a los 30 días de edad, esta edad se encuentra entre el rango del inicio de la madurez sexual en la  rata  que va de  la primera a la sexta  semanas de edad  (Clermont  y    Pery,</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4"/>
        <w:jc w:val="both"/>
      </w:pPr>
      <w:r>
        <w:rPr/>
        <w:t>1957). Al realizar esta clasificación encontramos dos niveles de susceptibilidad, uno donde los individuos presentaban menos de tres células en apoptosis por túbulo seminífero, estos fueron considerados como individuos de baja susceptibilidad y otro en el que se presentaban más de tres células en  apoptosis por túbulo seminífero que se consideraron como individuos de alta susceptibilidad.</w:t>
      </w:r>
    </w:p>
    <w:p>
      <w:pPr>
        <w:pStyle w:val="BodyText"/>
        <w:spacing w:line="360" w:lineRule="auto" w:before="204"/>
        <w:ind w:left="265" w:right="115" w:firstLine="427"/>
        <w:jc w:val="both"/>
      </w:pPr>
      <w:r>
        <w:rPr/>
        <w:t>Se mantuvieron las bajas concentraciones de serotonina durante 15 días con la administración de pCA y nuevamente se realizó la técnica de TUNEL en biopsias de los testículos para observar el comportamiento de la susceptibilidad en los animales tratados. Rusell </w:t>
      </w:r>
      <w:r>
        <w:rPr>
          <w:i/>
        </w:rPr>
        <w:t>et al</w:t>
      </w:r>
      <w:r>
        <w:rPr/>
        <w:t>, (1987) reportaron que la madurez sexual inicia con la aparición de los primeros espermatozoides testiculares y es de   los</w:t>
      </w:r>
    </w:p>
    <w:p>
      <w:pPr>
        <w:pStyle w:val="BodyText"/>
        <w:spacing w:line="360" w:lineRule="auto" w:before="5"/>
        <w:ind w:left="265" w:right="114"/>
        <w:jc w:val="both"/>
      </w:pPr>
      <w:r>
        <w:rPr/>
        <w:t>45 a los 50 días de edad en las ratas; sin embargo, observamos la  exacerbación de la muerte de la células germinales por apoptosis al administrar la pCA, esto influye en la aparición de los primeros espermatozoides sobre todo en los animales con alta susceptibilidad. Los grupos controles (CA y Vh) presentaron valores numéricos similares de acuerdo a su susceptibilidad en condiciones fisiológicas, pero la apoptosis no era tan evidente como en el grupo al que se le administró pCA en este fue imposible obtener un valor numérico, principalmente en los de susceptibilidad alta ya que los túbulos seminíferos </w:t>
      </w:r>
      <w:r>
        <w:rPr>
          <w:spacing w:val="-3"/>
        </w:rPr>
        <w:t>se </w:t>
      </w:r>
      <w:r>
        <w:rPr/>
        <w:t>encontraban casi vacíos (pocas células germinales) y otros presentaron túbulos seminíferos con un gran número de células germinales muertas por apoptosis, no se pudieron cuantificar las células en</w:t>
      </w:r>
      <w:r>
        <w:rPr>
          <w:spacing w:val="-14"/>
        </w:rPr>
        <w:t> </w:t>
      </w:r>
      <w:r>
        <w:rPr/>
        <w:t>apoptosis.</w:t>
      </w:r>
    </w:p>
    <w:p>
      <w:pPr>
        <w:pStyle w:val="BodyText"/>
        <w:spacing w:line="360" w:lineRule="auto" w:before="202"/>
        <w:ind w:left="265" w:right="115" w:firstLine="427"/>
        <w:jc w:val="both"/>
      </w:pPr>
      <w:r>
        <w:rPr/>
        <w:t>Con el inicio de la espermatogénesis se presentan muchos cambios fisiológicos celulares, uno de los principales es la aparición de una ola de  muerte de las células germinales por apoptosis, la cual se considera necesaria para el desarrollo normal de la espermatogénesis (Billig </w:t>
      </w:r>
      <w:r>
        <w:rPr>
          <w:i/>
        </w:rPr>
        <w:t>et al</w:t>
      </w:r>
      <w:r>
        <w:rPr/>
        <w:t>, 1995; Rodríguez </w:t>
      </w:r>
      <w:r>
        <w:rPr>
          <w:i/>
        </w:rPr>
        <w:t>et al</w:t>
      </w:r>
      <w:r>
        <w:rPr/>
        <w:t>, 1997; Jahnukainen </w:t>
      </w:r>
      <w:r>
        <w:rPr>
          <w:i/>
        </w:rPr>
        <w:t>et al</w:t>
      </w:r>
      <w:r>
        <w:rPr/>
        <w:t>, 2004), en donde aproximadamente el 75% de las células germinales testiculares son eliminadas por apoptosis (Billig </w:t>
      </w:r>
      <w:r>
        <w:rPr>
          <w:i/>
        </w:rPr>
        <w:t>et al</w:t>
      </w:r>
      <w:r>
        <w:rPr/>
        <w:t>, </w:t>
      </w:r>
      <w:r>
        <w:rPr>
          <w:spacing w:val="32"/>
        </w:rPr>
        <w:t> </w:t>
      </w:r>
      <w:r>
        <w:rPr/>
        <w:t>1995).</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2"/>
        <w:jc w:val="both"/>
      </w:pPr>
      <w:r>
        <w:rPr/>
        <w:t>Esta ola de muerte de las células germinales es primordial para conservar el balance de las células germinales en maduración con las células de Sertoli y puedan diferenciarse para que cumplan su función normal (Rodríguez </w:t>
      </w:r>
      <w:r>
        <w:rPr>
          <w:i/>
        </w:rPr>
        <w:t>et al</w:t>
      </w:r>
      <w:r>
        <w:rPr/>
        <w:t>, 1997). Se ha reportado que en esta etapa hay un incremento en la expresión de la proteína BAX relacionada con el aumento del número de las células germinales en apoptosis, mientras que la proteína BCL-2 disminuye su expresión (Rodríguez </w:t>
      </w:r>
      <w:r>
        <w:rPr>
          <w:i/>
        </w:rPr>
        <w:t>et al</w:t>
      </w:r>
      <w:r>
        <w:rPr/>
        <w:t>, 1997; Jahnukainen </w:t>
      </w:r>
      <w:r>
        <w:rPr>
          <w:i/>
        </w:rPr>
        <w:t>et al</w:t>
      </w:r>
      <w:r>
        <w:rPr/>
        <w:t>, 2004) permitiendo la muerte por apoptosis. Nosotros encontramos que la expresión de BAX no aumenta pero si disminuye de manera notoria en los individuos con baja susceptibilidad y más aún cuando es comparada con la expresión de BCL-2.</w:t>
      </w:r>
    </w:p>
    <w:p>
      <w:pPr>
        <w:pStyle w:val="BodyText"/>
        <w:spacing w:line="360" w:lineRule="auto" w:before="204"/>
        <w:ind w:left="265" w:right="115" w:firstLine="427"/>
        <w:jc w:val="both"/>
      </w:pPr>
      <w:r>
        <w:rPr/>
        <w:t>La función de BCL-2 es inhibir la oligomerización de la proteína BAX para que posteriormente no se realice la formación del poro en la membrana mitocondrial por la proteína BH3 (Brooks </w:t>
      </w:r>
      <w:r>
        <w:rPr>
          <w:i/>
        </w:rPr>
        <w:t>et al</w:t>
      </w:r>
      <w:r>
        <w:rPr/>
        <w:t>, 2007) y la exteriorización al citoplasma del citocromo c. La inhibición del gen de BCL-2 ocasiona un incremento de la apoptosis en muchos tipos celulares, presumiblemente porque las concentraciones de los homólogos de BCL-2 son mínimas y no compensan la acción de BCL-2. Si BCL-2 no ejerce su función antiapoptotica, la oligomerización de BAX se lleva a cabo y se promueve la apoptosis (Ola et al, 2011). La función principal de BAX radica en la permeabilización de la membrana en conjunto con BH3 y se dé la exteriorización del citocromo C y junto con APAF-1, y la procaspasa 9 formen el apoptosoma para activar a las caspasas.</w:t>
      </w:r>
    </w:p>
    <w:p>
      <w:pPr>
        <w:pStyle w:val="BodyText"/>
        <w:spacing w:line="360" w:lineRule="auto" w:before="202"/>
        <w:ind w:left="265" w:right="113" w:firstLine="427"/>
        <w:jc w:val="both"/>
      </w:pPr>
      <w:r>
        <w:rPr/>
        <w:t>Observamos una disminución en la expresión del gen de BAX en los individuos de baja susceptibilidad, en comparación con los individuos que presentaron una susceptibilidad alta y con la expresión de BCL-2. Sin embargo, no encontramos diferencias en la expresión de BCL-2 como lo reportado por Jahnukainen </w:t>
      </w:r>
      <w:r>
        <w:rPr>
          <w:i/>
        </w:rPr>
        <w:t>et al</w:t>
      </w:r>
      <w:r>
        <w:rPr/>
        <w:t>, (2004) en donde observaron que había una relación inversa en cuanto a la expresión de las proteínas de BAX y BCL-2, si una aumentaba la</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5"/>
        <w:jc w:val="both"/>
      </w:pPr>
      <w:r>
        <w:rPr/>
        <w:t>otra disminuía y viceversa. Probablemente intervengan otros factores que sean los responsables de la supervivencia de las células germinales testiculares mediante la inhibición de la oligomerización de BAX o de la señalización intracelular de la apoptosis. Un ejemplo; es que se ha observó que la activación de la proteína p38, confiere cambios entre BAX y BCL-2 dentro de la mitocondria, la cual va a activar la apoptosis por la vía intrínseca y se promueve la muerte de las células germinales testiculares (Vera </w:t>
      </w:r>
      <w:r>
        <w:rPr>
          <w:i/>
        </w:rPr>
        <w:t>et al</w:t>
      </w:r>
      <w:r>
        <w:rPr/>
        <w:t>, 2004; Jia </w:t>
      </w:r>
      <w:r>
        <w:rPr>
          <w:i/>
        </w:rPr>
        <w:t>et al</w:t>
      </w:r>
      <w:r>
        <w:rPr/>
        <w:t>, 2007). La susceptibilidad va ligada con la expresión de BAX y otros factores no conocidos, mas no con la relación de la expresión de BCL-2.</w:t>
      </w:r>
    </w:p>
    <w:p>
      <w:pPr>
        <w:pStyle w:val="BodyText"/>
        <w:spacing w:line="360" w:lineRule="auto" w:before="204"/>
        <w:ind w:left="265" w:right="116" w:firstLine="427"/>
        <w:jc w:val="both"/>
      </w:pPr>
      <w:r>
        <w:rPr/>
        <w:t>Las diferencias en la expresión de BAX, pudieran ser atribuidas al número de células germinales en apoptosis que se identificaron, sin embargo, para ello sirvió la estandarización de las concentraciones del ARN que se utilizó para las RT-PCR.</w:t>
      </w:r>
    </w:p>
    <w:p>
      <w:pPr>
        <w:pStyle w:val="BodyText"/>
        <w:spacing w:line="360" w:lineRule="auto" w:before="204"/>
        <w:ind w:left="265" w:right="116" w:firstLine="427"/>
        <w:jc w:val="both"/>
      </w:pPr>
      <w:r>
        <w:rPr/>
        <w:t>Por otra parte la expresión del gen de ABP presentó cambios en su expresión, siendo esta mayor en los animales con alta susceptibilidad. La proteína ABP se identificó en el citosol de las células testiculares y del epidídimo, son sintetizadas por las células de Sertoli y transportadas al epidídimo donde son degradadas (Balbontin y Bustos-Obregón, 1989) y el gen de la proteína del AR, producida por las células de Sertoli y media la acción de la testosterona y de la 5α-dihidroxitestosterona, funciona como un ligando </w:t>
      </w:r>
      <w:r>
        <w:rPr>
          <w:spacing w:val="-2"/>
        </w:rPr>
        <w:t>que </w:t>
      </w:r>
      <w:r>
        <w:rPr/>
        <w:t>induce la transcripción de otras proteínas (Kerkhofs </w:t>
      </w:r>
      <w:r>
        <w:rPr>
          <w:i/>
        </w:rPr>
        <w:t>et al</w:t>
      </w:r>
      <w:r>
        <w:rPr/>
        <w:t>, 2009). Al analizar los túbulos seminíferos mediante la técnica de TUNEL encontramos que las células de Sertoli (no cuantificadas) no habían sido afectadas por la administración de la pCA por lo que suponemos la expresión de AR y las concentraciones de testosterona no se vieron afectadas por la susceptibilidad de los</w:t>
      </w:r>
      <w:r>
        <w:rPr>
          <w:spacing w:val="-21"/>
        </w:rPr>
        <w:t> </w:t>
      </w:r>
      <w:r>
        <w:rPr/>
        <w:t>individuos.</w:t>
      </w:r>
    </w:p>
    <w:p>
      <w:pPr>
        <w:pStyle w:val="BodyText"/>
        <w:spacing w:line="360" w:lineRule="auto" w:before="204"/>
        <w:ind w:left="265" w:right="116" w:firstLine="427"/>
        <w:jc w:val="both"/>
      </w:pPr>
      <w:r>
        <w:rPr/>
        <w:t>Las diferencias en la expresión del gen de ABP podrían explicarse debido a la ausencia de células germinales hacia las cuales se movilizan los</w:t>
      </w:r>
      <w:r>
        <w:rPr>
          <w:spacing w:val="59"/>
        </w:rPr>
        <w:t> </w:t>
      </w:r>
      <w:r>
        <w:rPr/>
        <w:t>andrógenos</w:t>
      </w:r>
    </w:p>
    <w:p>
      <w:pPr>
        <w:spacing w:after="0" w:line="360" w:lineRule="auto"/>
        <w:jc w:val="both"/>
        <w:sectPr>
          <w:footerReference w:type="default" r:id="rId42"/>
          <w:pgSz w:w="12240" w:h="15840"/>
          <w:pgMar w:footer="1680" w:header="0" w:top="1500" w:bottom="1860" w:left="1720" w:right="1580"/>
        </w:sectPr>
      </w:pPr>
    </w:p>
    <w:p>
      <w:pPr>
        <w:pStyle w:val="BodyText"/>
        <w:rPr>
          <w:sz w:val="20"/>
        </w:rPr>
      </w:pPr>
    </w:p>
    <w:p>
      <w:pPr>
        <w:pStyle w:val="BodyText"/>
        <w:spacing w:before="2"/>
        <w:rPr>
          <w:sz w:val="16"/>
        </w:rPr>
      </w:pPr>
    </w:p>
    <w:p>
      <w:pPr>
        <w:pStyle w:val="BodyText"/>
        <w:spacing w:line="360" w:lineRule="auto" w:before="69"/>
        <w:ind w:left="265" w:right="115"/>
        <w:jc w:val="both"/>
      </w:pPr>
      <w:r>
        <w:rPr/>
        <w:t>por lo que al no tener células blanco el acarreo de andrógenos se detuvo, habiendo una mayor concentración de la proteína ABP. Por otra parte, las concentraciones de testosterona no presentaron diferencias en los tratamientos ni entre las susceptibilidades, se ha visto que la testosterona no solo actúa durante las espermatogénesis, sino que también funciona como un factor de supervivencia de las células germinales (Sinha Hikim </w:t>
      </w:r>
      <w:r>
        <w:rPr>
          <w:i/>
        </w:rPr>
        <w:t>et al</w:t>
      </w:r>
      <w:r>
        <w:rPr/>
        <w:t>, 1997), las concentraciones de testosterona se mantuvieron sin cambios por lo que no fue un elemento importante en la identificación de la susceptibilidad a la apoptosis.</w:t>
      </w:r>
    </w:p>
    <w:p>
      <w:pPr>
        <w:pStyle w:val="BodyText"/>
        <w:spacing w:line="360" w:lineRule="auto" w:before="202"/>
        <w:ind w:left="265" w:right="114" w:firstLine="427"/>
        <w:jc w:val="both"/>
      </w:pPr>
      <w:r>
        <w:rPr/>
        <w:t>Aragón </w:t>
      </w:r>
      <w:r>
        <w:rPr>
          <w:i/>
        </w:rPr>
        <w:t>et al</w:t>
      </w:r>
      <w:r>
        <w:rPr/>
        <w:t>, (2005) reportaron que las concentraciones de FSH aumentaban después de la administración con pCA, nosotros no encontramos diferencias en cuanto al grupo tratado con pCA, posiblemente debidas a las diferentes edades de los animales que se utilizaron en ese estudio. Para LH no se observaron diferencias en los tratamientos ni entre las susceptibilidades, al parecer no es una ruta que pudiera afectar la síntesis de testosterona.</w:t>
      </w:r>
    </w:p>
    <w:p>
      <w:pPr>
        <w:pStyle w:val="BodyText"/>
        <w:spacing w:line="360" w:lineRule="auto" w:before="202"/>
        <w:ind w:left="265" w:right="113" w:firstLine="427"/>
        <w:jc w:val="both"/>
      </w:pPr>
      <w:r>
        <w:rPr/>
        <w:t>El gen de 3βHSD produce a la proteína del mismo nombre que funciona como una enzima e interviene en la producción de la progesterona como precursor de andrógenos a partir del colesterol (Labrie </w:t>
      </w:r>
      <w:r>
        <w:rPr>
          <w:i/>
        </w:rPr>
        <w:t>et al</w:t>
      </w:r>
      <w:r>
        <w:rPr/>
        <w:t>, 2001), la expresión de este gen se mantuvo sin cambios a los 30 días de edad y después del tratamiento a los 45 días de edad, entre las susceptibilidades tampoco hubo diferencias, esto nos indica que la producción de testosterona por parte de las células de Leydig se mantiene y que posiblemente este tipo celular no sea afectado por la susceptibilidad a la apoptosis.</w:t>
      </w:r>
    </w:p>
    <w:p>
      <w:pPr>
        <w:pStyle w:val="BodyText"/>
        <w:spacing w:line="360" w:lineRule="auto" w:before="204"/>
        <w:ind w:left="265" w:right="115" w:firstLine="427"/>
        <w:jc w:val="both"/>
        <w:rPr>
          <w:i/>
        </w:rPr>
      </w:pPr>
      <w:r>
        <w:rPr/>
        <w:t>Durante las últimas etapas de la espermatogénesis es donde se expresa con mayor intensidad CREMΔ; esta proteína interviene en etapas celulares específicas durante la espermatogénesis, se expresa en las espermátidas para que estas pierdan parte de su citoplasma y puedan diferenciarse hacia espermatozoides (Leblond y Clermont 1952; Delmas </w:t>
      </w:r>
      <w:r>
        <w:rPr>
          <w:i/>
        </w:rPr>
        <w:t>et al, </w:t>
      </w:r>
      <w:r>
        <w:rPr/>
        <w:t>1993; Walker </w:t>
      </w:r>
      <w:r>
        <w:rPr>
          <w:i/>
        </w:rPr>
        <w:t>et al,</w:t>
      </w:r>
    </w:p>
    <w:p>
      <w:pPr>
        <w:spacing w:after="0" w:line="360" w:lineRule="auto"/>
        <w:jc w:val="both"/>
        <w:sectPr>
          <w:footerReference w:type="default" r:id="rId43"/>
          <w:pgSz w:w="12240" w:h="15840"/>
          <w:pgMar w:footer="1680" w:header="0" w:top="1500" w:bottom="1860" w:left="1720" w:right="1580"/>
          <w:pgNumType w:start="81"/>
        </w:sectPr>
      </w:pPr>
    </w:p>
    <w:p>
      <w:pPr>
        <w:pStyle w:val="BodyText"/>
        <w:rPr>
          <w:i/>
          <w:sz w:val="20"/>
        </w:rPr>
      </w:pPr>
    </w:p>
    <w:p>
      <w:pPr>
        <w:pStyle w:val="BodyText"/>
        <w:spacing w:before="2"/>
        <w:rPr>
          <w:i/>
          <w:sz w:val="16"/>
        </w:rPr>
      </w:pPr>
    </w:p>
    <w:p>
      <w:pPr>
        <w:pStyle w:val="BodyText"/>
        <w:spacing w:line="360" w:lineRule="auto" w:before="69"/>
        <w:ind w:left="265" w:right="116"/>
        <w:jc w:val="both"/>
      </w:pPr>
      <w:r>
        <w:rPr/>
        <w:t>1994). A los 30 días de edad no encontramos expresión de CREMΔ debido a la ausencia de espermátidas ya que los animales iniciaban la madurez sexual y aun no se presentaban etapas de diferenciación tan avanzadas; sin embargo, a los 45 días de edad la expresión fue notoria pero no se encontraron diferencias entre los tratamientos ni entre las susceptibilidades.</w:t>
      </w:r>
    </w:p>
    <w:p>
      <w:pPr>
        <w:pStyle w:val="BodyText"/>
        <w:spacing w:line="360" w:lineRule="auto" w:before="204"/>
        <w:ind w:left="265" w:right="112" w:firstLine="427"/>
        <w:jc w:val="both"/>
      </w:pPr>
      <w:r>
        <w:rPr/>
        <w:t>El identificar la expresión de los genes en los distintos tratamientos y separar a los animales susceptibles, son parte de la medicina individualizada que en este caso favorecería a predecir el comportamiento reproductivo después de la administración de drogas que afectan la fertilidad.</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Heading2"/>
        <w:numPr>
          <w:ilvl w:val="0"/>
          <w:numId w:val="8"/>
        </w:numPr>
        <w:tabs>
          <w:tab w:pos="561" w:val="left" w:leader="none"/>
        </w:tabs>
        <w:spacing w:line="240" w:lineRule="auto" w:before="69" w:after="0"/>
        <w:ind w:left="560" w:right="0" w:hanging="295"/>
        <w:jc w:val="left"/>
      </w:pPr>
      <w:r>
        <w:rPr/>
        <w:t>Conclusión</w:t>
      </w:r>
    </w:p>
    <w:p>
      <w:pPr>
        <w:pStyle w:val="BodyText"/>
        <w:rPr>
          <w:b/>
        </w:rPr>
      </w:pPr>
    </w:p>
    <w:p>
      <w:pPr>
        <w:pStyle w:val="BodyText"/>
        <w:rPr>
          <w:b/>
        </w:rPr>
      </w:pPr>
    </w:p>
    <w:p>
      <w:pPr>
        <w:pStyle w:val="BodyText"/>
        <w:spacing w:before="9"/>
        <w:rPr>
          <w:b/>
          <w:sz w:val="34"/>
        </w:rPr>
      </w:pPr>
    </w:p>
    <w:p>
      <w:pPr>
        <w:pStyle w:val="BodyText"/>
        <w:spacing w:line="360" w:lineRule="auto" w:before="1"/>
        <w:ind w:left="265" w:right="116" w:firstLine="427"/>
        <w:jc w:val="both"/>
      </w:pPr>
      <w:r>
        <w:rPr/>
        <w:t>Con el modelo de investigación propuesto se pueden identificar a los individuos según su susceptibilidad a la apoptosis de las células germinales, ya sea alta o baja.</w:t>
      </w:r>
    </w:p>
    <w:p>
      <w:pPr>
        <w:pStyle w:val="BodyText"/>
        <w:spacing w:line="360" w:lineRule="auto" w:before="202"/>
        <w:ind w:left="265" w:right="115" w:firstLine="427"/>
        <w:jc w:val="both"/>
      </w:pPr>
      <w:r>
        <w:rPr/>
        <w:t>La expresión de los genes relacionados con la apoptosis varía en los animales dependiendo de su susceptibilidad (alta o baja) a la apoptosis de las células germinales.</w:t>
      </w:r>
    </w:p>
    <w:p>
      <w:pPr>
        <w:pStyle w:val="BodyText"/>
      </w:pPr>
    </w:p>
    <w:p>
      <w:pPr>
        <w:pStyle w:val="BodyText"/>
      </w:pPr>
    </w:p>
    <w:p>
      <w:pPr>
        <w:pStyle w:val="BodyText"/>
      </w:pPr>
    </w:p>
    <w:p>
      <w:pPr>
        <w:pStyle w:val="BodyText"/>
      </w:pPr>
    </w:p>
    <w:p>
      <w:pPr>
        <w:pStyle w:val="BodyText"/>
        <w:spacing w:before="7"/>
        <w:rPr>
          <w:sz w:val="28"/>
        </w:rPr>
      </w:pPr>
    </w:p>
    <w:p>
      <w:pPr>
        <w:pStyle w:val="Heading2"/>
        <w:ind w:left="265" w:right="36" w:firstLine="0"/>
      </w:pPr>
      <w:r>
        <w:rPr/>
        <w:t>9.1 Comentarios finales</w:t>
      </w:r>
    </w:p>
    <w:p>
      <w:pPr>
        <w:pStyle w:val="BodyText"/>
        <w:spacing w:before="4"/>
        <w:rPr>
          <w:b/>
          <w:sz w:val="29"/>
        </w:rPr>
      </w:pPr>
    </w:p>
    <w:p>
      <w:pPr>
        <w:pStyle w:val="BodyText"/>
        <w:spacing w:line="360" w:lineRule="auto" w:before="1"/>
        <w:ind w:left="265" w:right="114" w:firstLine="427"/>
        <w:jc w:val="both"/>
      </w:pPr>
      <w:r>
        <w:rPr/>
        <w:t>Las diferencias de expresión de los genes se dan en función a </w:t>
      </w:r>
      <w:r>
        <w:rPr>
          <w:spacing w:val="-3"/>
        </w:rPr>
        <w:t>la </w:t>
      </w:r>
      <w:r>
        <w:rPr/>
        <w:t>susceptibilidad de los individuos y no a la administración del tratamiento. Por lo que es viable la separación de estos según su susceptibilidad y con ella la posible implementación de estrategias específicas de diagnósticos reproductivos con el fin de crear tratamientos personalizados de acuerdo al grado de</w:t>
      </w:r>
      <w:r>
        <w:rPr>
          <w:spacing w:val="-6"/>
        </w:rPr>
        <w:t> </w:t>
      </w:r>
      <w:r>
        <w:rPr/>
        <w:t>susceptibilidad.</w:t>
      </w:r>
    </w:p>
    <w:p>
      <w:pPr>
        <w:pStyle w:val="BodyText"/>
        <w:spacing w:line="360" w:lineRule="auto" w:before="204"/>
        <w:ind w:left="265" w:right="118" w:firstLine="427"/>
        <w:jc w:val="both"/>
      </w:pPr>
      <w:r>
        <w:rPr/>
        <w:t>Se abre la posibilidad de que la identificación de esta susceptibilidad se haga con la medición de elementos más simples y menos agresivos, como la aproximaci</w:t>
      </w:r>
      <w:r>
        <w:rPr>
          <w:rFonts w:ascii="Cambria Math" w:hAnsi="Cambria Math"/>
        </w:rPr>
        <w:t>ó</w:t>
      </w:r>
      <w:r>
        <w:rPr/>
        <w:t>n que nos puede dar la expresión de genes.</w:t>
      </w:r>
    </w:p>
    <w:p>
      <w:pPr>
        <w:pStyle w:val="BodyText"/>
        <w:spacing w:before="3"/>
        <w:rPr>
          <w:sz w:val="21"/>
        </w:rPr>
      </w:pPr>
    </w:p>
    <w:p>
      <w:pPr>
        <w:pStyle w:val="BodyText"/>
        <w:spacing w:line="360" w:lineRule="auto"/>
        <w:ind w:left="265" w:right="116" w:firstLine="427"/>
        <w:jc w:val="both"/>
      </w:pPr>
      <w:r>
        <w:rPr/>
        <w:t>Por otro lado, se demostró que los efectos de la administración de la pCA son independientes a la susceptibilidad de los individuos a la apoptosis pero  que afectan en mayor grado a los individuos con susceptibilidades</w:t>
      </w:r>
      <w:r>
        <w:rPr>
          <w:spacing w:val="-28"/>
        </w:rPr>
        <w:t> </w:t>
      </w:r>
      <w:r>
        <w:rPr/>
        <w:t>altas.</w:t>
      </w:r>
    </w:p>
    <w:p>
      <w:pPr>
        <w:spacing w:after="0" w:line="360" w:lineRule="auto"/>
        <w:jc w:val="both"/>
        <w:sectPr>
          <w:pgSz w:w="12240" w:h="15840"/>
          <w:pgMar w:header="0" w:footer="1680" w:top="1500" w:bottom="1860" w:left="1720" w:right="1580"/>
        </w:sectPr>
      </w:pPr>
    </w:p>
    <w:p>
      <w:pPr>
        <w:pStyle w:val="BodyText"/>
        <w:rPr>
          <w:sz w:val="20"/>
        </w:rPr>
      </w:pPr>
    </w:p>
    <w:p>
      <w:pPr>
        <w:pStyle w:val="BodyText"/>
        <w:spacing w:before="2"/>
        <w:rPr>
          <w:sz w:val="16"/>
        </w:rPr>
      </w:pPr>
    </w:p>
    <w:p>
      <w:pPr>
        <w:pStyle w:val="Heading2"/>
        <w:numPr>
          <w:ilvl w:val="0"/>
          <w:numId w:val="8"/>
        </w:numPr>
        <w:tabs>
          <w:tab w:pos="892" w:val="left" w:leader="none"/>
        </w:tabs>
        <w:spacing w:line="240" w:lineRule="auto" w:before="69" w:after="0"/>
        <w:ind w:left="891" w:right="0" w:hanging="199"/>
        <w:jc w:val="left"/>
      </w:pPr>
      <w:r>
        <w:rPr>
          <w:w w:val="95"/>
        </w:rPr>
        <w:t>BIBLIOGRAFIA</w:t>
      </w:r>
    </w:p>
    <w:p>
      <w:pPr>
        <w:pStyle w:val="BodyText"/>
        <w:rPr>
          <w:b/>
        </w:rPr>
      </w:pPr>
    </w:p>
    <w:p>
      <w:pPr>
        <w:pStyle w:val="BodyText"/>
        <w:rPr>
          <w:b/>
        </w:rPr>
      </w:pPr>
    </w:p>
    <w:p>
      <w:pPr>
        <w:pStyle w:val="ListParagraph"/>
        <w:numPr>
          <w:ilvl w:val="0"/>
          <w:numId w:val="9"/>
        </w:numPr>
        <w:tabs>
          <w:tab w:pos="986" w:val="left" w:leader="none"/>
        </w:tabs>
        <w:spacing w:line="355" w:lineRule="auto" w:before="0" w:after="0"/>
        <w:ind w:left="985" w:right="185" w:hanging="360"/>
        <w:jc w:val="both"/>
        <w:rPr>
          <w:sz w:val="24"/>
        </w:rPr>
      </w:pPr>
      <w:r>
        <w:rPr>
          <w:sz w:val="24"/>
        </w:rPr>
        <w:t>Aitken RJ, Nixon B, Minjie L, Koppers AJ, Lee YH and Baker MA 2007. Proteomic changes in mammalian spermatozoa during epididymal maturation. Asian Journal of Andrology 9,</w:t>
      </w:r>
      <w:r>
        <w:rPr>
          <w:spacing w:val="-14"/>
          <w:sz w:val="24"/>
        </w:rPr>
        <w:t> </w:t>
      </w:r>
      <w:r>
        <w:rPr>
          <w:sz w:val="24"/>
        </w:rPr>
        <w:t>554–564.</w:t>
      </w:r>
    </w:p>
    <w:p>
      <w:pPr>
        <w:pStyle w:val="ListParagraph"/>
        <w:numPr>
          <w:ilvl w:val="0"/>
          <w:numId w:val="9"/>
        </w:numPr>
        <w:tabs>
          <w:tab w:pos="986" w:val="left" w:leader="none"/>
        </w:tabs>
        <w:spacing w:line="350" w:lineRule="auto" w:before="8" w:after="0"/>
        <w:ind w:left="985" w:right="111" w:hanging="360"/>
        <w:jc w:val="both"/>
        <w:rPr>
          <w:sz w:val="24"/>
        </w:rPr>
      </w:pPr>
      <w:r>
        <w:rPr>
          <w:sz w:val="24"/>
        </w:rPr>
        <w:t>Alberts B, Bray D, Lewis J, Raff M, Roberts K y Watson  JD  2002. Biología Molecular de la Célula. Tercera edición, Ed. Omega 13,</w:t>
      </w:r>
      <w:r>
        <w:rPr>
          <w:spacing w:val="21"/>
          <w:sz w:val="24"/>
        </w:rPr>
        <w:t> </w:t>
      </w:r>
      <w:r>
        <w:rPr>
          <w:sz w:val="24"/>
        </w:rPr>
        <w:t>652-653.</w:t>
      </w:r>
    </w:p>
    <w:p>
      <w:pPr>
        <w:pStyle w:val="ListParagraph"/>
        <w:numPr>
          <w:ilvl w:val="0"/>
          <w:numId w:val="9"/>
        </w:numPr>
        <w:tabs>
          <w:tab w:pos="986" w:val="left" w:leader="none"/>
        </w:tabs>
        <w:spacing w:line="355" w:lineRule="auto" w:before="17" w:after="0"/>
        <w:ind w:left="985" w:right="176" w:hanging="360"/>
        <w:jc w:val="both"/>
        <w:rPr>
          <w:sz w:val="24"/>
        </w:rPr>
      </w:pPr>
      <w:r>
        <w:rPr>
          <w:sz w:val="24"/>
        </w:rPr>
        <w:t>Aldridge JE, Gibbons JA, Flaherty MM, Kreider ML, Romano JA y Levin ED 2003. Heterogeneity of toxicant response: Sources of human variability. Toxicology Science 76,</w:t>
      </w:r>
      <w:r>
        <w:rPr>
          <w:spacing w:val="-15"/>
          <w:sz w:val="24"/>
        </w:rPr>
        <w:t> </w:t>
      </w:r>
      <w:r>
        <w:rPr>
          <w:sz w:val="24"/>
        </w:rPr>
        <w:t>3-20.</w:t>
      </w:r>
    </w:p>
    <w:p>
      <w:pPr>
        <w:pStyle w:val="ListParagraph"/>
        <w:numPr>
          <w:ilvl w:val="0"/>
          <w:numId w:val="9"/>
        </w:numPr>
        <w:tabs>
          <w:tab w:pos="986" w:val="left" w:leader="none"/>
        </w:tabs>
        <w:spacing w:line="355" w:lineRule="auto" w:before="8" w:after="0"/>
        <w:ind w:left="985" w:right="176" w:hanging="360"/>
        <w:jc w:val="both"/>
        <w:rPr>
          <w:sz w:val="24"/>
        </w:rPr>
      </w:pPr>
      <w:r>
        <w:rPr>
          <w:sz w:val="24"/>
        </w:rPr>
        <w:t>Allan DJ, Harmon BV y Kerr JFR 1992. Cell death in spermatogenesis.  In: Potten CS (ed.), Perspectives on Mammalian Cell Death. London: Oxford University Press,</w:t>
      </w:r>
      <w:r>
        <w:rPr>
          <w:spacing w:val="-9"/>
          <w:sz w:val="24"/>
        </w:rPr>
        <w:t> </w:t>
      </w:r>
      <w:r>
        <w:rPr>
          <w:sz w:val="24"/>
        </w:rPr>
        <w:t>229-258.</w:t>
      </w:r>
    </w:p>
    <w:p>
      <w:pPr>
        <w:pStyle w:val="ListParagraph"/>
        <w:numPr>
          <w:ilvl w:val="0"/>
          <w:numId w:val="9"/>
        </w:numPr>
        <w:tabs>
          <w:tab w:pos="986" w:val="left" w:leader="none"/>
        </w:tabs>
        <w:spacing w:line="352" w:lineRule="auto" w:before="8" w:after="0"/>
        <w:ind w:left="985" w:right="185" w:hanging="360"/>
        <w:jc w:val="both"/>
        <w:rPr>
          <w:sz w:val="24"/>
        </w:rPr>
      </w:pPr>
      <w:r>
        <w:rPr>
          <w:sz w:val="24"/>
        </w:rPr>
        <w:t>Amann RP 2008. The cycle of the seminiferous epithelium in humans: a need to revisit. Journal of Andrology 29,</w:t>
      </w:r>
      <w:r>
        <w:rPr>
          <w:spacing w:val="-16"/>
          <w:sz w:val="24"/>
        </w:rPr>
        <w:t> </w:t>
      </w:r>
      <w:r>
        <w:rPr>
          <w:sz w:val="24"/>
        </w:rPr>
        <w:t>469-487.</w:t>
      </w:r>
    </w:p>
    <w:p>
      <w:pPr>
        <w:pStyle w:val="ListParagraph"/>
        <w:numPr>
          <w:ilvl w:val="0"/>
          <w:numId w:val="9"/>
        </w:numPr>
        <w:tabs>
          <w:tab w:pos="986" w:val="left" w:leader="none"/>
        </w:tabs>
        <w:spacing w:line="357" w:lineRule="auto" w:before="11" w:after="0"/>
        <w:ind w:left="985" w:right="175" w:hanging="360"/>
        <w:jc w:val="both"/>
        <w:rPr>
          <w:sz w:val="24"/>
        </w:rPr>
      </w:pPr>
      <w:r>
        <w:rPr>
          <w:sz w:val="24"/>
        </w:rPr>
        <w:t>Anzar M, He L, Buhr MM, Kroetsch TG y Pauls KP 2002. Sperm apoptosis in fresh and cryopreserved bull semen detected by flow cytometry and its relationship with fertility. Biology of Reproduction </w:t>
      </w:r>
      <w:r>
        <w:rPr>
          <w:spacing w:val="-2"/>
          <w:sz w:val="24"/>
        </w:rPr>
        <w:t>66, </w:t>
      </w:r>
      <w:r>
        <w:rPr>
          <w:sz w:val="24"/>
        </w:rPr>
        <w:t>354-360.</w:t>
      </w:r>
    </w:p>
    <w:p>
      <w:pPr>
        <w:pStyle w:val="ListParagraph"/>
        <w:numPr>
          <w:ilvl w:val="0"/>
          <w:numId w:val="9"/>
        </w:numPr>
        <w:tabs>
          <w:tab w:pos="986" w:val="left" w:leader="none"/>
        </w:tabs>
        <w:spacing w:line="357" w:lineRule="auto" w:before="8" w:after="0"/>
        <w:ind w:left="985" w:right="175" w:hanging="360"/>
        <w:jc w:val="both"/>
        <w:rPr>
          <w:sz w:val="24"/>
        </w:rPr>
      </w:pPr>
      <w:r>
        <w:rPr>
          <w:sz w:val="24"/>
        </w:rPr>
        <w:t>Aragón MA, Ayala ME, Marín M, Avilés A, Damián-Matsumura P y Domínguez R 2005. Serotoninergic system blockage in the prepubertal  rat inhibits spermatogenesis development. Reproduction research 129, 717-727.</w:t>
      </w:r>
    </w:p>
    <w:p>
      <w:pPr>
        <w:pStyle w:val="ListParagraph"/>
        <w:numPr>
          <w:ilvl w:val="0"/>
          <w:numId w:val="9"/>
        </w:numPr>
        <w:tabs>
          <w:tab w:pos="986" w:val="left" w:leader="none"/>
        </w:tabs>
        <w:spacing w:line="352" w:lineRule="auto" w:before="6" w:after="0"/>
        <w:ind w:left="985" w:right="177" w:hanging="360"/>
        <w:jc w:val="both"/>
        <w:rPr>
          <w:sz w:val="24"/>
        </w:rPr>
      </w:pPr>
      <w:r>
        <w:rPr>
          <w:sz w:val="24"/>
        </w:rPr>
        <w:t>Ayala E ME 2009. Brain serotonin, psychoactive drugs, and effects on reproduction. Nervous System Agents in Medicinal Chemistry 9,</w:t>
      </w:r>
      <w:r>
        <w:rPr>
          <w:spacing w:val="-18"/>
          <w:sz w:val="24"/>
        </w:rPr>
        <w:t> </w:t>
      </w:r>
      <w:r>
        <w:rPr>
          <w:sz w:val="24"/>
        </w:rPr>
        <w:t>258-276.</w:t>
      </w:r>
    </w:p>
    <w:p>
      <w:pPr>
        <w:pStyle w:val="ListParagraph"/>
        <w:numPr>
          <w:ilvl w:val="0"/>
          <w:numId w:val="9"/>
        </w:numPr>
        <w:tabs>
          <w:tab w:pos="986" w:val="left" w:leader="none"/>
        </w:tabs>
        <w:spacing w:line="355" w:lineRule="auto" w:before="11" w:after="0"/>
        <w:ind w:left="985" w:right="176" w:hanging="360"/>
        <w:jc w:val="both"/>
        <w:rPr>
          <w:sz w:val="24"/>
        </w:rPr>
      </w:pPr>
      <w:r>
        <w:rPr>
          <w:sz w:val="24"/>
        </w:rPr>
        <w:t>Balbontin JB y Bustos-Obregon E 1989. Identification of Androgen Binding Protein (ABP) from testis and epididymis of the seasonal rodent, Ododon degus. Journal of Andrology 10,</w:t>
      </w:r>
      <w:r>
        <w:rPr>
          <w:spacing w:val="-16"/>
          <w:sz w:val="24"/>
        </w:rPr>
        <w:t> </w:t>
      </w:r>
      <w:r>
        <w:rPr>
          <w:sz w:val="24"/>
        </w:rPr>
        <w:t>289-295.</w:t>
      </w:r>
    </w:p>
    <w:p>
      <w:pPr>
        <w:spacing w:after="0" w:line="355" w:lineRule="auto"/>
        <w:jc w:val="both"/>
        <w:rPr>
          <w:sz w:val="24"/>
        </w:rPr>
        <w:sectPr>
          <w:pgSz w:w="12240" w:h="15840"/>
          <w:pgMar w:header="0" w:footer="1680" w:top="1500" w:bottom="1860" w:left="1720" w:right="1520"/>
        </w:sectPr>
      </w:pPr>
    </w:p>
    <w:p>
      <w:pPr>
        <w:pStyle w:val="BodyText"/>
        <w:rPr>
          <w:sz w:val="20"/>
        </w:rPr>
      </w:pPr>
    </w:p>
    <w:p>
      <w:pPr>
        <w:pStyle w:val="BodyText"/>
        <w:spacing w:before="5"/>
        <w:rPr>
          <w:sz w:val="17"/>
        </w:rPr>
      </w:pPr>
    </w:p>
    <w:p>
      <w:pPr>
        <w:pStyle w:val="ListParagraph"/>
        <w:numPr>
          <w:ilvl w:val="0"/>
          <w:numId w:val="9"/>
        </w:numPr>
        <w:tabs>
          <w:tab w:pos="986" w:val="left" w:leader="none"/>
        </w:tabs>
        <w:spacing w:line="350" w:lineRule="auto" w:before="56" w:after="0"/>
        <w:ind w:left="985" w:right="115" w:hanging="360"/>
        <w:jc w:val="both"/>
        <w:rPr>
          <w:sz w:val="24"/>
        </w:rPr>
      </w:pPr>
      <w:r>
        <w:rPr>
          <w:sz w:val="24"/>
        </w:rPr>
        <w:t>Beato M, Truss M y Schutz G 1995. Steroid hormone receptors: many actors in search of a plot. Cell 83,</w:t>
      </w:r>
      <w:r>
        <w:rPr>
          <w:spacing w:val="-12"/>
          <w:sz w:val="24"/>
        </w:rPr>
        <w:t> </w:t>
      </w:r>
      <w:r>
        <w:rPr>
          <w:sz w:val="24"/>
        </w:rPr>
        <w:t>851-857.</w:t>
      </w:r>
    </w:p>
    <w:p>
      <w:pPr>
        <w:pStyle w:val="ListParagraph"/>
        <w:numPr>
          <w:ilvl w:val="0"/>
          <w:numId w:val="9"/>
        </w:numPr>
        <w:tabs>
          <w:tab w:pos="986" w:val="left" w:leader="none"/>
        </w:tabs>
        <w:spacing w:line="350" w:lineRule="auto" w:before="16" w:after="0"/>
        <w:ind w:left="985" w:right="119" w:hanging="360"/>
        <w:jc w:val="both"/>
        <w:rPr>
          <w:sz w:val="24"/>
        </w:rPr>
      </w:pPr>
      <w:r>
        <w:rPr>
          <w:sz w:val="24"/>
        </w:rPr>
        <w:t>Beere HM 2004. The stress of dying: The role of heat shock proteins </w:t>
      </w:r>
      <w:r>
        <w:rPr>
          <w:spacing w:val="-3"/>
          <w:sz w:val="24"/>
        </w:rPr>
        <w:t>in </w:t>
      </w:r>
      <w:r>
        <w:rPr>
          <w:sz w:val="24"/>
        </w:rPr>
        <w:t>the regulation of apoptosis. Journal of Cell Science 117,</w:t>
      </w:r>
      <w:r>
        <w:rPr>
          <w:spacing w:val="-23"/>
          <w:sz w:val="24"/>
        </w:rPr>
        <w:t> </w:t>
      </w:r>
      <w:r>
        <w:rPr>
          <w:sz w:val="24"/>
        </w:rPr>
        <w:t>2641-2651.</w:t>
      </w:r>
    </w:p>
    <w:p>
      <w:pPr>
        <w:pStyle w:val="ListParagraph"/>
        <w:numPr>
          <w:ilvl w:val="0"/>
          <w:numId w:val="9"/>
        </w:numPr>
        <w:tabs>
          <w:tab w:pos="986" w:val="left" w:leader="none"/>
        </w:tabs>
        <w:spacing w:line="357" w:lineRule="auto" w:before="14" w:after="0"/>
        <w:ind w:left="985" w:right="116" w:hanging="360"/>
        <w:jc w:val="both"/>
        <w:rPr>
          <w:sz w:val="24"/>
        </w:rPr>
      </w:pPr>
      <w:r>
        <w:rPr>
          <w:sz w:val="24"/>
        </w:rPr>
        <w:t>Billig H, Furuta Y, Rivier C, Tapanaheim J, Parvinen M y Hsueh </w:t>
      </w:r>
      <w:r>
        <w:rPr>
          <w:spacing w:val="-3"/>
          <w:sz w:val="24"/>
        </w:rPr>
        <w:t>AJW </w:t>
      </w:r>
      <w:r>
        <w:rPr>
          <w:sz w:val="24"/>
        </w:rPr>
        <w:t>1995. Apoptosis in testis germ cells: developmental changes in gonadotropin dependence and localization to selective tubule stages. Endocrinology 136,</w:t>
      </w:r>
      <w:r>
        <w:rPr>
          <w:spacing w:val="-10"/>
          <w:sz w:val="24"/>
        </w:rPr>
        <w:t> </w:t>
      </w:r>
      <w:r>
        <w:rPr>
          <w:sz w:val="24"/>
        </w:rPr>
        <w:t>5-12.</w:t>
      </w:r>
    </w:p>
    <w:p>
      <w:pPr>
        <w:pStyle w:val="ListParagraph"/>
        <w:numPr>
          <w:ilvl w:val="0"/>
          <w:numId w:val="9"/>
        </w:numPr>
        <w:tabs>
          <w:tab w:pos="986" w:val="left" w:leader="none"/>
        </w:tabs>
        <w:spacing w:line="355" w:lineRule="auto" w:before="6" w:after="0"/>
        <w:ind w:left="985" w:right="115" w:hanging="360"/>
        <w:jc w:val="both"/>
        <w:rPr>
          <w:sz w:val="24"/>
        </w:rPr>
      </w:pPr>
      <w:r>
        <w:rPr>
          <w:sz w:val="24"/>
        </w:rPr>
        <w:t>Blanco-Rodriguez J y Martinez-Garcia C 1998. Apoptosis pattern elicited by several apoptogenic agents on the seminiferous epithelium of the adult rat testis. Journal of Andrology 19,</w:t>
      </w:r>
      <w:r>
        <w:rPr>
          <w:spacing w:val="-13"/>
          <w:sz w:val="24"/>
        </w:rPr>
        <w:t> </w:t>
      </w:r>
      <w:r>
        <w:rPr>
          <w:sz w:val="24"/>
        </w:rPr>
        <w:t>487-497.</w:t>
      </w:r>
    </w:p>
    <w:p>
      <w:pPr>
        <w:pStyle w:val="ListParagraph"/>
        <w:numPr>
          <w:ilvl w:val="0"/>
          <w:numId w:val="9"/>
        </w:numPr>
        <w:tabs>
          <w:tab w:pos="986" w:val="left" w:leader="none"/>
        </w:tabs>
        <w:spacing w:line="357" w:lineRule="auto" w:before="8" w:after="0"/>
        <w:ind w:left="985" w:right="114" w:hanging="360"/>
        <w:jc w:val="both"/>
        <w:rPr>
          <w:sz w:val="24"/>
        </w:rPr>
      </w:pPr>
      <w:r>
        <w:rPr>
          <w:sz w:val="24"/>
        </w:rPr>
        <w:t>Brooks C, Wei Q, Feng L, Dong G, Tao Y, Mei L, Xie ZJ y Dong Z 2007. Bak regulates mitochondrial morphology and pathology during apoptosis by interacting with mitofusins. Proc Natl Academy of Science 104, 11649- 11654.</w:t>
      </w:r>
    </w:p>
    <w:p>
      <w:pPr>
        <w:pStyle w:val="ListParagraph"/>
        <w:numPr>
          <w:ilvl w:val="0"/>
          <w:numId w:val="9"/>
        </w:numPr>
        <w:tabs>
          <w:tab w:pos="986" w:val="left" w:leader="none"/>
        </w:tabs>
        <w:spacing w:line="355" w:lineRule="auto" w:before="6" w:after="0"/>
        <w:ind w:left="985" w:right="116" w:hanging="360"/>
        <w:jc w:val="both"/>
        <w:rPr>
          <w:sz w:val="24"/>
        </w:rPr>
      </w:pPr>
      <w:r>
        <w:rPr>
          <w:sz w:val="24"/>
        </w:rPr>
        <w:t>Bruchovsky N y Van Doorn E 1976. Steroid receptor proteins and regulation of growth in mammary tumors. Recent Results Cancer Res.  57,</w:t>
      </w:r>
      <w:r>
        <w:rPr>
          <w:spacing w:val="-6"/>
          <w:sz w:val="24"/>
        </w:rPr>
        <w:t> </w:t>
      </w:r>
      <w:r>
        <w:rPr>
          <w:sz w:val="24"/>
        </w:rPr>
        <w:t>121-142.</w:t>
      </w:r>
    </w:p>
    <w:p>
      <w:pPr>
        <w:pStyle w:val="ListParagraph"/>
        <w:numPr>
          <w:ilvl w:val="0"/>
          <w:numId w:val="9"/>
        </w:numPr>
        <w:tabs>
          <w:tab w:pos="986" w:val="left" w:leader="none"/>
        </w:tabs>
        <w:spacing w:line="357" w:lineRule="auto" w:before="8" w:after="0"/>
        <w:ind w:left="985" w:right="114" w:hanging="360"/>
        <w:jc w:val="both"/>
        <w:rPr>
          <w:sz w:val="24"/>
        </w:rPr>
      </w:pPr>
      <w:r>
        <w:rPr>
          <w:sz w:val="24"/>
        </w:rPr>
        <w:t>Castellanos PE, Arranz CMC y Rodríguez PBV 2002. Determinación de la hormona luteinizante (LH) en plasma por un método  inmunoenzimático. Revista Cubana de Investigación Biomédica 21, 15- 20.</w:t>
      </w:r>
    </w:p>
    <w:p>
      <w:pPr>
        <w:pStyle w:val="ListParagraph"/>
        <w:numPr>
          <w:ilvl w:val="0"/>
          <w:numId w:val="9"/>
        </w:numPr>
        <w:tabs>
          <w:tab w:pos="986" w:val="left" w:leader="none"/>
        </w:tabs>
        <w:spacing w:line="350" w:lineRule="auto" w:before="8" w:after="0"/>
        <w:ind w:left="985" w:right="116" w:hanging="360"/>
        <w:jc w:val="both"/>
        <w:rPr>
          <w:sz w:val="24"/>
        </w:rPr>
      </w:pPr>
      <w:r>
        <w:rPr>
          <w:sz w:val="24"/>
        </w:rPr>
        <w:t>Cazes J y William R, 2002. Chromatography Theory. Estados Unidos, Nueva York, Marcel Dekker,</w:t>
      </w:r>
      <w:r>
        <w:rPr>
          <w:spacing w:val="-7"/>
          <w:sz w:val="24"/>
        </w:rPr>
        <w:t> </w:t>
      </w:r>
      <w:r>
        <w:rPr>
          <w:sz w:val="24"/>
        </w:rPr>
        <w:t>478-450.</w:t>
      </w:r>
    </w:p>
    <w:p>
      <w:pPr>
        <w:pStyle w:val="ListParagraph"/>
        <w:numPr>
          <w:ilvl w:val="0"/>
          <w:numId w:val="9"/>
        </w:numPr>
        <w:tabs>
          <w:tab w:pos="986" w:val="left" w:leader="none"/>
        </w:tabs>
        <w:spacing w:line="355" w:lineRule="auto" w:before="17" w:after="0"/>
        <w:ind w:left="985" w:right="115" w:hanging="360"/>
        <w:jc w:val="both"/>
        <w:rPr>
          <w:sz w:val="24"/>
        </w:rPr>
      </w:pPr>
      <w:r>
        <w:rPr>
          <w:sz w:val="24"/>
        </w:rPr>
        <w:t>Clermont Y y Perey B 1957. Quantitative study of the cell population of the seminiferous tubules of immature rats. American Journal of Anatomy 100,</w:t>
      </w:r>
      <w:r>
        <w:rPr>
          <w:spacing w:val="-7"/>
          <w:sz w:val="24"/>
        </w:rPr>
        <w:t> </w:t>
      </w:r>
      <w:r>
        <w:rPr>
          <w:sz w:val="24"/>
        </w:rPr>
        <w:t>241-268.</w:t>
      </w:r>
    </w:p>
    <w:p>
      <w:pPr>
        <w:pStyle w:val="ListParagraph"/>
        <w:numPr>
          <w:ilvl w:val="0"/>
          <w:numId w:val="9"/>
        </w:numPr>
        <w:tabs>
          <w:tab w:pos="985" w:val="left" w:leader="none"/>
          <w:tab w:pos="986" w:val="left" w:leader="none"/>
        </w:tabs>
        <w:spacing w:line="240" w:lineRule="auto" w:before="11" w:after="0"/>
        <w:ind w:left="985" w:right="0" w:hanging="360"/>
        <w:jc w:val="left"/>
        <w:rPr>
          <w:sz w:val="24"/>
        </w:rPr>
      </w:pPr>
      <w:r>
        <w:rPr>
          <w:sz w:val="24"/>
        </w:rPr>
        <w:t>Craig RW 1995. The BCL-2 gene family. Seminars in   </w:t>
      </w:r>
      <w:r>
        <w:rPr>
          <w:spacing w:val="23"/>
          <w:sz w:val="24"/>
        </w:rPr>
        <w:t> </w:t>
      </w:r>
      <w:r>
        <w:rPr>
          <w:sz w:val="24"/>
        </w:rPr>
        <w:t>Cancer Biology 6,</w:t>
      </w:r>
    </w:p>
    <w:p>
      <w:pPr>
        <w:spacing w:after="0" w:line="240" w:lineRule="auto"/>
        <w:jc w:val="left"/>
        <w:rPr>
          <w:sz w:val="24"/>
        </w:rPr>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before="69"/>
        <w:ind w:left="985" w:right="36"/>
      </w:pPr>
      <w:r>
        <w:rPr/>
        <w:t>35-43.</w:t>
      </w:r>
    </w:p>
    <w:p>
      <w:pPr>
        <w:pStyle w:val="ListParagraph"/>
        <w:numPr>
          <w:ilvl w:val="0"/>
          <w:numId w:val="9"/>
        </w:numPr>
        <w:tabs>
          <w:tab w:pos="986" w:val="left" w:leader="none"/>
        </w:tabs>
        <w:spacing w:line="350" w:lineRule="auto" w:before="140" w:after="0"/>
        <w:ind w:left="985" w:right="114" w:hanging="360"/>
        <w:jc w:val="both"/>
        <w:rPr>
          <w:sz w:val="24"/>
        </w:rPr>
      </w:pPr>
      <w:r>
        <w:rPr>
          <w:sz w:val="24"/>
        </w:rPr>
        <w:t>Danial NN y Korsmeyer SJ 2004. Cell death: critical control points. Cell 116,</w:t>
      </w:r>
      <w:r>
        <w:rPr>
          <w:spacing w:val="-7"/>
          <w:sz w:val="24"/>
        </w:rPr>
        <w:t> </w:t>
      </w:r>
      <w:r>
        <w:rPr>
          <w:sz w:val="24"/>
        </w:rPr>
        <w:t>205-219.</w:t>
      </w:r>
    </w:p>
    <w:p>
      <w:pPr>
        <w:pStyle w:val="ListParagraph"/>
        <w:numPr>
          <w:ilvl w:val="0"/>
          <w:numId w:val="9"/>
        </w:numPr>
        <w:tabs>
          <w:tab w:pos="986" w:val="left" w:leader="none"/>
        </w:tabs>
        <w:spacing w:line="357" w:lineRule="auto" w:before="14" w:after="0"/>
        <w:ind w:left="985" w:right="115" w:hanging="360"/>
        <w:jc w:val="both"/>
        <w:rPr>
          <w:sz w:val="24"/>
        </w:rPr>
      </w:pPr>
      <w:r>
        <w:rPr>
          <w:sz w:val="24"/>
        </w:rPr>
        <w:t>Delmas V, Van der HF, Mellstrom B, Jegou B y Sassone-Corsi P 1993. Induction of CREM activator proteins in spermatids: down-stream targets and implications for haploid germ cell differentiation. Molecular Endocrinology 7,</w:t>
      </w:r>
      <w:r>
        <w:rPr>
          <w:spacing w:val="-10"/>
          <w:sz w:val="24"/>
        </w:rPr>
        <w:t> </w:t>
      </w:r>
      <w:r>
        <w:rPr>
          <w:sz w:val="24"/>
        </w:rPr>
        <w:t>1502-1514.</w:t>
      </w:r>
    </w:p>
    <w:p>
      <w:pPr>
        <w:pStyle w:val="ListParagraph"/>
        <w:numPr>
          <w:ilvl w:val="0"/>
          <w:numId w:val="9"/>
        </w:numPr>
        <w:tabs>
          <w:tab w:pos="986" w:val="left" w:leader="none"/>
        </w:tabs>
        <w:spacing w:line="355" w:lineRule="auto" w:before="9" w:after="0"/>
        <w:ind w:left="985" w:right="114" w:hanging="360"/>
        <w:jc w:val="both"/>
        <w:rPr>
          <w:sz w:val="24"/>
        </w:rPr>
      </w:pPr>
      <w:r>
        <w:rPr>
          <w:sz w:val="24"/>
        </w:rPr>
        <w:t>Development Core Team, 2010. R: A language and environment for statistical computing. R Foundation for Statistical Computing, Vienna, Austria. ISBN 3-900051-07-0, URL</w:t>
      </w:r>
      <w:r>
        <w:rPr>
          <w:spacing w:val="-21"/>
          <w:sz w:val="24"/>
        </w:rPr>
        <w:t> </w:t>
      </w:r>
      <w:hyperlink r:id="rId44">
        <w:r>
          <w:rPr>
            <w:color w:val="0000FF"/>
            <w:sz w:val="24"/>
          </w:rPr>
          <w:t>http://www.R-project.org/</w:t>
        </w:r>
      </w:hyperlink>
      <w:r>
        <w:rPr>
          <w:sz w:val="24"/>
        </w:rPr>
        <w:t>.</w:t>
      </w:r>
    </w:p>
    <w:p>
      <w:pPr>
        <w:pStyle w:val="ListParagraph"/>
        <w:numPr>
          <w:ilvl w:val="0"/>
          <w:numId w:val="9"/>
        </w:numPr>
        <w:tabs>
          <w:tab w:pos="986" w:val="left" w:leader="none"/>
        </w:tabs>
        <w:spacing w:line="357" w:lineRule="auto" w:before="8" w:after="0"/>
        <w:ind w:left="985" w:right="114" w:hanging="360"/>
        <w:jc w:val="both"/>
        <w:rPr>
          <w:sz w:val="24"/>
        </w:rPr>
      </w:pPr>
      <w:r>
        <w:rPr>
          <w:sz w:val="24"/>
        </w:rPr>
        <w:t>Eaker S, Pyle A, Cobb J y Handel MA 2001. Evidence for meiotic spindle checkpoint from analysis of spermatocytes from Robertsonian- chromosome heterozygous mice. Journal of Cell Science 114, 2953- 2965.</w:t>
      </w:r>
    </w:p>
    <w:p>
      <w:pPr>
        <w:pStyle w:val="ListParagraph"/>
        <w:numPr>
          <w:ilvl w:val="0"/>
          <w:numId w:val="9"/>
        </w:numPr>
        <w:tabs>
          <w:tab w:pos="986" w:val="left" w:leader="none"/>
        </w:tabs>
        <w:spacing w:line="350" w:lineRule="auto" w:before="8" w:after="0"/>
        <w:ind w:left="985" w:right="116" w:hanging="360"/>
        <w:jc w:val="both"/>
        <w:rPr>
          <w:sz w:val="24"/>
        </w:rPr>
      </w:pPr>
      <w:r>
        <w:rPr>
          <w:sz w:val="24"/>
        </w:rPr>
        <w:t>Eddy EM, 2002. Male Germ Cell Gene Expression. Recent Progress in Hormone Research 57,</w:t>
      </w:r>
      <w:r>
        <w:rPr>
          <w:spacing w:val="-9"/>
          <w:sz w:val="24"/>
        </w:rPr>
        <w:t> </w:t>
      </w:r>
      <w:r>
        <w:rPr>
          <w:sz w:val="24"/>
        </w:rPr>
        <w:t>103-128.</w:t>
      </w:r>
    </w:p>
    <w:p>
      <w:pPr>
        <w:pStyle w:val="ListParagraph"/>
        <w:numPr>
          <w:ilvl w:val="0"/>
          <w:numId w:val="9"/>
        </w:numPr>
        <w:tabs>
          <w:tab w:pos="986" w:val="left" w:leader="none"/>
        </w:tabs>
        <w:spacing w:line="355" w:lineRule="auto" w:before="14" w:after="0"/>
        <w:ind w:left="985" w:right="120" w:hanging="360"/>
        <w:jc w:val="both"/>
        <w:rPr>
          <w:sz w:val="24"/>
        </w:rPr>
      </w:pPr>
      <w:r>
        <w:rPr>
          <w:sz w:val="24"/>
        </w:rPr>
        <w:t>Geisinger A 2007. Spermatogenesis in mammals: a very peculiar cell diferentiation process. Cell Differentiation Research Developments. Ed. Ivanova LB,</w:t>
      </w:r>
      <w:r>
        <w:rPr>
          <w:spacing w:val="-7"/>
          <w:sz w:val="24"/>
        </w:rPr>
        <w:t> </w:t>
      </w:r>
      <w:r>
        <w:rPr>
          <w:sz w:val="24"/>
        </w:rPr>
        <w:t>97-123.</w:t>
      </w:r>
    </w:p>
    <w:p>
      <w:pPr>
        <w:pStyle w:val="ListParagraph"/>
        <w:numPr>
          <w:ilvl w:val="0"/>
          <w:numId w:val="9"/>
        </w:numPr>
        <w:tabs>
          <w:tab w:pos="986" w:val="left" w:leader="none"/>
        </w:tabs>
        <w:spacing w:line="350" w:lineRule="auto" w:before="11" w:after="0"/>
        <w:ind w:left="985" w:right="114" w:hanging="360"/>
        <w:jc w:val="both"/>
        <w:rPr>
          <w:sz w:val="24"/>
        </w:rPr>
      </w:pPr>
      <w:r>
        <w:rPr>
          <w:sz w:val="24"/>
        </w:rPr>
        <w:t>Griswold MD 1988. Protein secretion of Sertoli cells. International Review of Cytology 110,</w:t>
      </w:r>
      <w:r>
        <w:rPr>
          <w:spacing w:val="-8"/>
          <w:sz w:val="24"/>
        </w:rPr>
        <w:t> </w:t>
      </w:r>
      <w:r>
        <w:rPr>
          <w:sz w:val="24"/>
        </w:rPr>
        <w:t>133-156.</w:t>
      </w:r>
    </w:p>
    <w:p>
      <w:pPr>
        <w:pStyle w:val="ListParagraph"/>
        <w:numPr>
          <w:ilvl w:val="0"/>
          <w:numId w:val="9"/>
        </w:numPr>
        <w:tabs>
          <w:tab w:pos="986" w:val="left" w:leader="none"/>
        </w:tabs>
        <w:spacing w:line="352" w:lineRule="auto" w:before="14" w:after="0"/>
        <w:ind w:left="985" w:right="117" w:hanging="360"/>
        <w:jc w:val="both"/>
        <w:rPr>
          <w:sz w:val="24"/>
        </w:rPr>
      </w:pPr>
      <w:r>
        <w:rPr>
          <w:sz w:val="24"/>
        </w:rPr>
        <w:t>Gross A, McDonnell JM and Korsmeyer SJ, 1999. BCL-2 family members and the mitochondria in apoptosis, Genes &amp; Development 13,</w:t>
      </w:r>
      <w:r>
        <w:rPr>
          <w:spacing w:val="-26"/>
          <w:sz w:val="24"/>
        </w:rPr>
        <w:t> </w:t>
      </w:r>
      <w:r>
        <w:rPr>
          <w:sz w:val="24"/>
        </w:rPr>
        <w:t>1899-1911.</w:t>
      </w:r>
    </w:p>
    <w:p>
      <w:pPr>
        <w:pStyle w:val="ListParagraph"/>
        <w:numPr>
          <w:ilvl w:val="0"/>
          <w:numId w:val="9"/>
        </w:numPr>
        <w:tabs>
          <w:tab w:pos="986" w:val="left" w:leader="none"/>
        </w:tabs>
        <w:spacing w:line="350" w:lineRule="auto" w:before="11" w:after="0"/>
        <w:ind w:left="985" w:right="116" w:hanging="360"/>
        <w:jc w:val="both"/>
        <w:rPr>
          <w:sz w:val="24"/>
        </w:rPr>
      </w:pPr>
      <w:r>
        <w:rPr>
          <w:sz w:val="24"/>
        </w:rPr>
        <w:t>Gruber CJ, Tschuggel </w:t>
      </w:r>
      <w:r>
        <w:rPr>
          <w:spacing w:val="4"/>
          <w:sz w:val="24"/>
        </w:rPr>
        <w:t>W, </w:t>
      </w:r>
      <w:r>
        <w:rPr>
          <w:sz w:val="24"/>
        </w:rPr>
        <w:t>Scheenberger C y Huber J 2002. Production and action of estrogens. New England Journal of Medicine 346,</w:t>
      </w:r>
      <w:r>
        <w:rPr>
          <w:spacing w:val="-23"/>
          <w:sz w:val="24"/>
        </w:rPr>
        <w:t> </w:t>
      </w:r>
      <w:r>
        <w:rPr>
          <w:sz w:val="24"/>
        </w:rPr>
        <w:t>340-347.</w:t>
      </w:r>
    </w:p>
    <w:p>
      <w:pPr>
        <w:pStyle w:val="ListParagraph"/>
        <w:numPr>
          <w:ilvl w:val="0"/>
          <w:numId w:val="9"/>
        </w:numPr>
        <w:tabs>
          <w:tab w:pos="986" w:val="left" w:leader="none"/>
        </w:tabs>
        <w:spacing w:line="355" w:lineRule="auto" w:before="16" w:after="0"/>
        <w:ind w:left="985" w:right="114" w:hanging="360"/>
        <w:jc w:val="both"/>
        <w:rPr>
          <w:sz w:val="24"/>
        </w:rPr>
      </w:pPr>
      <w:r>
        <w:rPr>
          <w:sz w:val="24"/>
        </w:rPr>
        <w:t>Han J, Sabbatini P, Perez D, Rao L, Modha D y White E 1996. The E1B 19K protein blocks apoptosis by interacting with and inhibiting the p53- inducible</w:t>
      </w:r>
      <w:r>
        <w:rPr>
          <w:spacing w:val="35"/>
          <w:sz w:val="24"/>
        </w:rPr>
        <w:t> </w:t>
      </w:r>
      <w:r>
        <w:rPr>
          <w:sz w:val="24"/>
        </w:rPr>
        <w:t>and</w:t>
      </w:r>
      <w:r>
        <w:rPr>
          <w:spacing w:val="35"/>
          <w:sz w:val="24"/>
        </w:rPr>
        <w:t> </w:t>
      </w:r>
      <w:r>
        <w:rPr>
          <w:sz w:val="24"/>
        </w:rPr>
        <w:t>death-promoting</w:t>
      </w:r>
      <w:r>
        <w:rPr>
          <w:spacing w:val="35"/>
          <w:sz w:val="24"/>
        </w:rPr>
        <w:t> </w:t>
      </w:r>
      <w:r>
        <w:rPr>
          <w:sz w:val="24"/>
        </w:rPr>
        <w:t>BAX</w:t>
      </w:r>
      <w:r>
        <w:rPr>
          <w:spacing w:val="34"/>
          <w:sz w:val="24"/>
        </w:rPr>
        <w:t> </w:t>
      </w:r>
      <w:r>
        <w:rPr>
          <w:sz w:val="24"/>
        </w:rPr>
        <w:t>protein.</w:t>
      </w:r>
      <w:r>
        <w:rPr>
          <w:spacing w:val="35"/>
          <w:sz w:val="24"/>
        </w:rPr>
        <w:t> </w:t>
      </w:r>
      <w:r>
        <w:rPr>
          <w:sz w:val="24"/>
        </w:rPr>
        <w:t>Genes</w:t>
      </w:r>
      <w:r>
        <w:rPr>
          <w:spacing w:val="34"/>
          <w:sz w:val="24"/>
        </w:rPr>
        <w:t> </w:t>
      </w:r>
      <w:r>
        <w:rPr>
          <w:sz w:val="24"/>
        </w:rPr>
        <w:t>&amp;</w:t>
      </w:r>
      <w:r>
        <w:rPr>
          <w:spacing w:val="36"/>
          <w:sz w:val="24"/>
        </w:rPr>
        <w:t> </w:t>
      </w:r>
      <w:r>
        <w:rPr>
          <w:sz w:val="24"/>
        </w:rPr>
        <w:t>Development</w:t>
      </w:r>
      <w:r>
        <w:rPr>
          <w:spacing w:val="38"/>
          <w:sz w:val="24"/>
        </w:rPr>
        <w:t> </w:t>
      </w:r>
      <w:r>
        <w:rPr>
          <w:sz w:val="24"/>
        </w:rPr>
        <w:t>10,</w:t>
      </w:r>
    </w:p>
    <w:p>
      <w:pPr>
        <w:spacing w:after="0" w:line="355" w:lineRule="auto"/>
        <w:jc w:val="both"/>
        <w:rPr>
          <w:sz w:val="24"/>
        </w:rPr>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before="69"/>
        <w:ind w:left="985" w:right="36"/>
      </w:pPr>
      <w:r>
        <w:rPr/>
        <w:t>461-477.</w:t>
      </w:r>
    </w:p>
    <w:p>
      <w:pPr>
        <w:pStyle w:val="ListParagraph"/>
        <w:numPr>
          <w:ilvl w:val="0"/>
          <w:numId w:val="9"/>
        </w:numPr>
        <w:tabs>
          <w:tab w:pos="986" w:val="left" w:leader="none"/>
        </w:tabs>
        <w:spacing w:line="350" w:lineRule="auto" w:before="140" w:after="0"/>
        <w:ind w:left="985" w:right="125" w:hanging="360"/>
        <w:jc w:val="both"/>
        <w:rPr>
          <w:sz w:val="24"/>
        </w:rPr>
      </w:pPr>
      <w:r>
        <w:rPr>
          <w:sz w:val="24"/>
        </w:rPr>
        <w:t>Heffner LJ and Schust DJ, 2010. The Reproductive System at a Glance. John Wiley and Sons</w:t>
      </w:r>
      <w:r>
        <w:rPr>
          <w:spacing w:val="-6"/>
          <w:sz w:val="24"/>
        </w:rPr>
        <w:t> </w:t>
      </w:r>
      <w:r>
        <w:rPr>
          <w:sz w:val="24"/>
        </w:rPr>
        <w:t>14-17.</w:t>
      </w:r>
    </w:p>
    <w:p>
      <w:pPr>
        <w:pStyle w:val="ListParagraph"/>
        <w:numPr>
          <w:ilvl w:val="0"/>
          <w:numId w:val="9"/>
        </w:numPr>
        <w:tabs>
          <w:tab w:pos="986" w:val="left" w:leader="none"/>
        </w:tabs>
        <w:spacing w:line="350" w:lineRule="auto" w:before="14" w:after="0"/>
        <w:ind w:left="985" w:right="114" w:hanging="360"/>
        <w:jc w:val="both"/>
        <w:rPr>
          <w:sz w:val="24"/>
        </w:rPr>
      </w:pPr>
      <w:r>
        <w:rPr>
          <w:sz w:val="24"/>
        </w:rPr>
        <w:t>Hengartner MO 2000. The biochemistry of apoptosis. Nature, 407, 770- 776.</w:t>
      </w:r>
    </w:p>
    <w:p>
      <w:pPr>
        <w:pStyle w:val="ListParagraph"/>
        <w:numPr>
          <w:ilvl w:val="0"/>
          <w:numId w:val="9"/>
        </w:numPr>
        <w:tabs>
          <w:tab w:pos="986" w:val="left" w:leader="none"/>
        </w:tabs>
        <w:spacing w:line="355" w:lineRule="auto" w:before="16" w:after="0"/>
        <w:ind w:left="985" w:right="114" w:hanging="360"/>
        <w:jc w:val="both"/>
        <w:rPr>
          <w:sz w:val="24"/>
        </w:rPr>
      </w:pPr>
      <w:r>
        <w:rPr>
          <w:sz w:val="24"/>
        </w:rPr>
        <w:t>Hill C, Anwway M, Zirkin y Brown T 2004. Intratesticular androgen levels, androgen receptor localization and receptor expression in adult rat Sertoli cells. Biology of Reproduction 71,</w:t>
      </w:r>
      <w:r>
        <w:rPr>
          <w:spacing w:val="-15"/>
          <w:sz w:val="24"/>
        </w:rPr>
        <w:t> </w:t>
      </w:r>
      <w:r>
        <w:rPr>
          <w:sz w:val="24"/>
        </w:rPr>
        <w:t>1348-1358.</w:t>
      </w:r>
    </w:p>
    <w:p>
      <w:pPr>
        <w:pStyle w:val="ListParagraph"/>
        <w:numPr>
          <w:ilvl w:val="0"/>
          <w:numId w:val="9"/>
        </w:numPr>
        <w:tabs>
          <w:tab w:pos="985" w:val="left" w:leader="none"/>
          <w:tab w:pos="986" w:val="left" w:leader="none"/>
        </w:tabs>
        <w:spacing w:line="355" w:lineRule="auto" w:before="8" w:after="0"/>
        <w:ind w:left="985" w:right="440" w:hanging="360"/>
        <w:jc w:val="left"/>
        <w:rPr>
          <w:sz w:val="24"/>
        </w:rPr>
      </w:pPr>
      <w:r>
        <w:rPr>
          <w:sz w:val="24"/>
        </w:rPr>
        <w:t>Hockenbery DG, Nuñez G, Milliman CL, Schreiber RD y Korsmeyer SJ 1990. BCL-2 is an inner mitochondrial membrane protein that blocks programmed cell death. Nature 348,</w:t>
      </w:r>
      <w:r>
        <w:rPr>
          <w:spacing w:val="-14"/>
          <w:sz w:val="24"/>
        </w:rPr>
        <w:t> </w:t>
      </w:r>
      <w:r>
        <w:rPr>
          <w:sz w:val="24"/>
        </w:rPr>
        <w:t>334-336.</w:t>
      </w:r>
    </w:p>
    <w:p>
      <w:pPr>
        <w:pStyle w:val="ListParagraph"/>
        <w:numPr>
          <w:ilvl w:val="0"/>
          <w:numId w:val="9"/>
        </w:numPr>
        <w:tabs>
          <w:tab w:pos="986" w:val="left" w:leader="none"/>
        </w:tabs>
        <w:spacing w:line="357" w:lineRule="auto" w:before="8" w:after="0"/>
        <w:ind w:left="985" w:right="115" w:hanging="360"/>
        <w:jc w:val="both"/>
        <w:rPr>
          <w:sz w:val="24"/>
        </w:rPr>
      </w:pPr>
      <w:r>
        <w:rPr>
          <w:sz w:val="24"/>
        </w:rPr>
        <w:t>Jahnukainen K, Chrysis D, Hou M, Parvinen M, Eksborg S y Söder O 2004. Increased Apoptosis occurring during the first wave of Spermatogenesis is stage-specific and primarily affects midpachytene spermatocytes in the rat testis. Biology of Reproduction 70,</w:t>
      </w:r>
      <w:r>
        <w:rPr>
          <w:spacing w:val="-19"/>
          <w:sz w:val="24"/>
        </w:rPr>
        <w:t> </w:t>
      </w:r>
      <w:r>
        <w:rPr>
          <w:sz w:val="24"/>
        </w:rPr>
        <w:t>290-296.</w:t>
      </w:r>
    </w:p>
    <w:p>
      <w:pPr>
        <w:pStyle w:val="ListParagraph"/>
        <w:numPr>
          <w:ilvl w:val="0"/>
          <w:numId w:val="9"/>
        </w:numPr>
        <w:tabs>
          <w:tab w:pos="986" w:val="left" w:leader="none"/>
        </w:tabs>
        <w:spacing w:line="355" w:lineRule="auto" w:before="6" w:after="0"/>
        <w:ind w:left="985" w:right="123" w:hanging="360"/>
        <w:jc w:val="both"/>
        <w:rPr>
          <w:sz w:val="24"/>
        </w:rPr>
      </w:pPr>
      <w:r>
        <w:rPr>
          <w:sz w:val="24"/>
        </w:rPr>
        <w:t>Jayanthi LD and Ramamoorthy S 2005. Regulation of monoamines transporter: Influence of psychoestimulants and therapeutic antidepressants. AAPS Journal 7,</w:t>
      </w:r>
      <w:r>
        <w:rPr>
          <w:spacing w:val="-16"/>
          <w:sz w:val="24"/>
        </w:rPr>
        <w:t> </w:t>
      </w:r>
      <w:r>
        <w:rPr>
          <w:sz w:val="24"/>
        </w:rPr>
        <w:t>E728-E738.</w:t>
      </w:r>
    </w:p>
    <w:p>
      <w:pPr>
        <w:pStyle w:val="ListParagraph"/>
        <w:numPr>
          <w:ilvl w:val="0"/>
          <w:numId w:val="9"/>
        </w:numPr>
        <w:tabs>
          <w:tab w:pos="986" w:val="left" w:leader="none"/>
        </w:tabs>
        <w:spacing w:line="350" w:lineRule="auto" w:before="8" w:after="0"/>
        <w:ind w:left="985" w:right="116" w:hanging="360"/>
        <w:jc w:val="both"/>
        <w:rPr>
          <w:sz w:val="24"/>
        </w:rPr>
      </w:pPr>
      <w:r>
        <w:rPr>
          <w:sz w:val="24"/>
        </w:rPr>
        <w:t>Jégou B 1993. Sertoli-germ cell communication network in mammals. International Review of Cytology 147,</w:t>
      </w:r>
      <w:r>
        <w:rPr>
          <w:spacing w:val="-11"/>
          <w:sz w:val="24"/>
        </w:rPr>
        <w:t> </w:t>
      </w:r>
      <w:r>
        <w:rPr>
          <w:sz w:val="24"/>
        </w:rPr>
        <w:t>25-96.</w:t>
      </w:r>
    </w:p>
    <w:p>
      <w:pPr>
        <w:pStyle w:val="ListParagraph"/>
        <w:numPr>
          <w:ilvl w:val="0"/>
          <w:numId w:val="9"/>
        </w:numPr>
        <w:tabs>
          <w:tab w:pos="986" w:val="left" w:leader="none"/>
        </w:tabs>
        <w:spacing w:line="357" w:lineRule="auto" w:before="16" w:after="0"/>
        <w:ind w:left="985" w:right="114" w:hanging="360"/>
        <w:jc w:val="both"/>
        <w:rPr>
          <w:sz w:val="24"/>
        </w:rPr>
      </w:pPr>
      <w:r>
        <w:rPr>
          <w:sz w:val="24"/>
        </w:rPr>
        <w:t>Jeyaraj DA, Grossman G y Petrusz P 2003. Dynamics of testicular germ cell apoptosis in normal mice and transgenic mice overexpressing rat androgen-binding protein. Reproductive Biology and Endocrinology 1, 48- 61.</w:t>
      </w:r>
    </w:p>
    <w:p>
      <w:pPr>
        <w:pStyle w:val="ListParagraph"/>
        <w:numPr>
          <w:ilvl w:val="0"/>
          <w:numId w:val="9"/>
        </w:numPr>
        <w:tabs>
          <w:tab w:pos="986" w:val="left" w:leader="none"/>
        </w:tabs>
        <w:spacing w:line="357" w:lineRule="auto" w:before="9" w:after="0"/>
        <w:ind w:left="985" w:right="114" w:hanging="360"/>
        <w:jc w:val="both"/>
        <w:rPr>
          <w:sz w:val="24"/>
        </w:rPr>
      </w:pPr>
      <w:r>
        <w:rPr>
          <w:sz w:val="24"/>
        </w:rPr>
        <w:t>Jia Y, Lee K, Swerdloff R, Hwang D, Cobb LJ, Sinha Hikim A, Lue </w:t>
      </w:r>
      <w:r>
        <w:rPr>
          <w:spacing w:val="-3"/>
          <w:sz w:val="24"/>
        </w:rPr>
        <w:t>y, </w:t>
      </w:r>
      <w:r>
        <w:rPr>
          <w:sz w:val="24"/>
        </w:rPr>
        <w:t>Cohen P y Wang C 2010. Interaction of Insulin-like Growth Factor-binding Protein-3 and BAX in Mitochondria Promotes Male Germ Cell Apoptosis . The Journal of Biological Chemistry 285,</w:t>
      </w:r>
      <w:r>
        <w:rPr>
          <w:spacing w:val="-15"/>
          <w:sz w:val="24"/>
        </w:rPr>
        <w:t> </w:t>
      </w:r>
      <w:r>
        <w:rPr>
          <w:sz w:val="24"/>
        </w:rPr>
        <w:t>1726-1732.</w:t>
      </w:r>
    </w:p>
    <w:p>
      <w:pPr>
        <w:spacing w:after="0" w:line="357" w:lineRule="auto"/>
        <w:jc w:val="both"/>
        <w:rPr>
          <w:sz w:val="24"/>
        </w:rPr>
        <w:sectPr>
          <w:pgSz w:w="12240" w:h="15840"/>
          <w:pgMar w:header="0" w:footer="1680" w:top="1500" w:bottom="1860" w:left="1720" w:right="1580"/>
        </w:sectPr>
      </w:pPr>
    </w:p>
    <w:p>
      <w:pPr>
        <w:pStyle w:val="BodyText"/>
        <w:rPr>
          <w:sz w:val="20"/>
        </w:rPr>
      </w:pPr>
    </w:p>
    <w:p>
      <w:pPr>
        <w:pStyle w:val="BodyText"/>
        <w:spacing w:before="5"/>
        <w:rPr>
          <w:sz w:val="17"/>
        </w:rPr>
      </w:pPr>
    </w:p>
    <w:p>
      <w:pPr>
        <w:pStyle w:val="ListParagraph"/>
        <w:numPr>
          <w:ilvl w:val="0"/>
          <w:numId w:val="9"/>
        </w:numPr>
        <w:tabs>
          <w:tab w:pos="986" w:val="left" w:leader="none"/>
        </w:tabs>
        <w:spacing w:line="357" w:lineRule="auto" w:before="56" w:after="0"/>
        <w:ind w:left="985" w:right="174" w:hanging="360"/>
        <w:jc w:val="both"/>
        <w:rPr>
          <w:sz w:val="24"/>
        </w:rPr>
      </w:pPr>
      <w:r>
        <w:rPr>
          <w:sz w:val="24"/>
        </w:rPr>
        <w:t>Joseph DR, Hall SH, Conti M y French FS 1988. The gene structure of rat androgen-binding protein: identification of potential regulatory deoxyribonucleic acid elements of a follicle-stimulating hormone- regulated protein. Journal Molecular Endocrinology 2,</w:t>
      </w:r>
      <w:r>
        <w:rPr>
          <w:spacing w:val="-17"/>
          <w:sz w:val="24"/>
        </w:rPr>
        <w:t> </w:t>
      </w:r>
      <w:r>
        <w:rPr>
          <w:sz w:val="24"/>
        </w:rPr>
        <w:t>3-13.</w:t>
      </w:r>
    </w:p>
    <w:p>
      <w:pPr>
        <w:pStyle w:val="ListParagraph"/>
        <w:numPr>
          <w:ilvl w:val="0"/>
          <w:numId w:val="9"/>
        </w:numPr>
        <w:tabs>
          <w:tab w:pos="986" w:val="left" w:leader="none"/>
        </w:tabs>
        <w:spacing w:line="357" w:lineRule="auto" w:before="8" w:after="0"/>
        <w:ind w:left="985" w:right="110" w:hanging="360"/>
        <w:jc w:val="both"/>
        <w:rPr>
          <w:sz w:val="24"/>
        </w:rPr>
      </w:pPr>
      <w:r>
        <w:rPr>
          <w:sz w:val="24"/>
        </w:rPr>
        <w:t>Kerdelhuéa B, Bojdaa F, Lesieurb P, Pasqualinia C, El Abed A, Lenoira V, Douilletb P, Chiuehb MC y Palkovits M, 1989. Median eminence  dopamine and serotonin neuronal activity temporal relationship to preovulatory prolactin and luteinizing hormone surges. Neuroendocrinology 49,</w:t>
      </w:r>
      <w:r>
        <w:rPr>
          <w:spacing w:val="-12"/>
          <w:sz w:val="24"/>
        </w:rPr>
        <w:t> </w:t>
      </w:r>
      <w:r>
        <w:rPr>
          <w:sz w:val="24"/>
        </w:rPr>
        <w:t>176-180.</w:t>
      </w:r>
    </w:p>
    <w:p>
      <w:pPr>
        <w:pStyle w:val="ListParagraph"/>
        <w:numPr>
          <w:ilvl w:val="0"/>
          <w:numId w:val="9"/>
        </w:numPr>
        <w:tabs>
          <w:tab w:pos="986" w:val="left" w:leader="none"/>
        </w:tabs>
        <w:spacing w:line="355" w:lineRule="auto" w:before="8" w:after="0"/>
        <w:ind w:left="985" w:right="175" w:hanging="360"/>
        <w:jc w:val="both"/>
        <w:rPr>
          <w:sz w:val="24"/>
        </w:rPr>
      </w:pPr>
      <w:r>
        <w:rPr>
          <w:sz w:val="24"/>
        </w:rPr>
        <w:t>Kerkhofs S, Denayer S, Haelens A y Claessens F, 2009. Androgen receptor knockout and knock-in mouse models. Journal of Molecular Endocrinology 42,</w:t>
      </w:r>
      <w:r>
        <w:rPr>
          <w:spacing w:val="-10"/>
          <w:sz w:val="24"/>
        </w:rPr>
        <w:t> </w:t>
      </w:r>
      <w:r>
        <w:rPr>
          <w:sz w:val="24"/>
        </w:rPr>
        <w:t>11-17.</w:t>
      </w:r>
    </w:p>
    <w:p>
      <w:pPr>
        <w:pStyle w:val="ListParagraph"/>
        <w:numPr>
          <w:ilvl w:val="0"/>
          <w:numId w:val="9"/>
        </w:numPr>
        <w:tabs>
          <w:tab w:pos="986" w:val="left" w:leader="none"/>
        </w:tabs>
        <w:spacing w:line="355" w:lineRule="auto" w:before="8" w:after="0"/>
        <w:ind w:left="985" w:right="184" w:hanging="360"/>
        <w:jc w:val="both"/>
        <w:rPr>
          <w:sz w:val="24"/>
        </w:rPr>
      </w:pPr>
      <w:r>
        <w:rPr>
          <w:sz w:val="24"/>
        </w:rPr>
        <w:t>Kerr JB, Loveland KL, O’Bryan MK and Kretser DM 2006. Cytology of the Testis and Intrinsic Control Mechanisms. Knobil and Neill’s Physiology of Reproduction, ELSEVIER Academin Press, Third Edition 18,</w:t>
      </w:r>
      <w:r>
        <w:rPr>
          <w:spacing w:val="-19"/>
          <w:sz w:val="24"/>
        </w:rPr>
        <w:t> </w:t>
      </w:r>
      <w:r>
        <w:rPr>
          <w:sz w:val="24"/>
        </w:rPr>
        <w:t>827-947.</w:t>
      </w:r>
    </w:p>
    <w:p>
      <w:pPr>
        <w:pStyle w:val="ListParagraph"/>
        <w:numPr>
          <w:ilvl w:val="0"/>
          <w:numId w:val="9"/>
        </w:numPr>
        <w:tabs>
          <w:tab w:pos="986" w:val="left" w:leader="none"/>
        </w:tabs>
        <w:spacing w:line="355" w:lineRule="auto" w:before="8" w:after="0"/>
        <w:ind w:left="985" w:right="178" w:hanging="360"/>
        <w:jc w:val="both"/>
        <w:rPr>
          <w:sz w:val="24"/>
        </w:rPr>
      </w:pPr>
      <w:r>
        <w:rPr>
          <w:sz w:val="24"/>
        </w:rPr>
        <w:t>Kerr JFR, Wyllie AH y Currie AR 1972. Apoptosis: a basic biological phenomenon with wide-range implications in tissue kinetics. British Journal of Cancer 26,</w:t>
      </w:r>
      <w:r>
        <w:rPr>
          <w:spacing w:val="-11"/>
          <w:sz w:val="24"/>
        </w:rPr>
        <w:t> </w:t>
      </w:r>
      <w:r>
        <w:rPr>
          <w:sz w:val="24"/>
        </w:rPr>
        <w:t>239-257.</w:t>
      </w:r>
    </w:p>
    <w:p>
      <w:pPr>
        <w:pStyle w:val="ListParagraph"/>
        <w:numPr>
          <w:ilvl w:val="0"/>
          <w:numId w:val="9"/>
        </w:numPr>
        <w:tabs>
          <w:tab w:pos="986" w:val="left" w:leader="none"/>
        </w:tabs>
        <w:spacing w:line="355" w:lineRule="auto" w:before="8" w:after="0"/>
        <w:ind w:left="985" w:right="172" w:hanging="360"/>
        <w:jc w:val="both"/>
        <w:rPr>
          <w:sz w:val="24"/>
        </w:rPr>
      </w:pPr>
      <w:r>
        <w:rPr>
          <w:sz w:val="24"/>
        </w:rPr>
        <w:t>Knudson, C. M., Tung, K. S. K., Tourtellotte, </w:t>
      </w:r>
      <w:r>
        <w:rPr>
          <w:spacing w:val="4"/>
          <w:sz w:val="24"/>
        </w:rPr>
        <w:t>W. </w:t>
      </w:r>
      <w:r>
        <w:rPr>
          <w:sz w:val="24"/>
        </w:rPr>
        <w:t>G., Brown, G. A. J. y Korsmeyer, S. J. (1995). BAX-deficient mice with lymphoid hyperplasia and male germ cell death. Science 270,</w:t>
      </w:r>
      <w:r>
        <w:rPr>
          <w:spacing w:val="-16"/>
          <w:sz w:val="24"/>
        </w:rPr>
        <w:t> </w:t>
      </w:r>
      <w:r>
        <w:rPr>
          <w:sz w:val="24"/>
        </w:rPr>
        <w:t>96-99.</w:t>
      </w:r>
    </w:p>
    <w:p>
      <w:pPr>
        <w:pStyle w:val="ListParagraph"/>
        <w:numPr>
          <w:ilvl w:val="0"/>
          <w:numId w:val="9"/>
        </w:numPr>
        <w:tabs>
          <w:tab w:pos="986" w:val="left" w:leader="none"/>
        </w:tabs>
        <w:spacing w:line="355" w:lineRule="auto" w:before="11" w:after="0"/>
        <w:ind w:left="985" w:right="176" w:hanging="360"/>
        <w:jc w:val="both"/>
        <w:rPr>
          <w:sz w:val="24"/>
        </w:rPr>
      </w:pPr>
      <w:r>
        <w:rPr>
          <w:sz w:val="24"/>
        </w:rPr>
        <w:t>Labrie F, Luu-The V, Labrie C y Simard J. 2001. DHEA and its transformation into androgens and estrogens in peripheral target tissues: intracrinology. Front Neuroendocrinology 22,</w:t>
      </w:r>
      <w:r>
        <w:rPr>
          <w:spacing w:val="-16"/>
          <w:sz w:val="24"/>
        </w:rPr>
        <w:t> </w:t>
      </w:r>
      <w:r>
        <w:rPr>
          <w:sz w:val="24"/>
        </w:rPr>
        <w:t>185-212.</w:t>
      </w:r>
    </w:p>
    <w:p>
      <w:pPr>
        <w:pStyle w:val="ListParagraph"/>
        <w:numPr>
          <w:ilvl w:val="0"/>
          <w:numId w:val="9"/>
        </w:numPr>
        <w:tabs>
          <w:tab w:pos="986" w:val="left" w:leader="none"/>
        </w:tabs>
        <w:spacing w:line="357" w:lineRule="auto" w:before="11" w:after="0"/>
        <w:ind w:left="985" w:right="172" w:hanging="360"/>
        <w:jc w:val="both"/>
        <w:rPr>
          <w:sz w:val="24"/>
        </w:rPr>
      </w:pPr>
      <w:r>
        <w:rPr>
          <w:sz w:val="24"/>
        </w:rPr>
        <w:t>Lachance Y, Luu-The V, Labrie C, Simard J, Dumont M, de Launoit Y, Guerin S, Leblanc G y Labrie F 1990. Characterization of human 3 beta- hydroxysteroid dehydrogenase/delta 5-delta 4-isomerase gene and its expression  in  mammalian  cells.  Journal  of  Biological  Chemistry </w:t>
      </w:r>
      <w:r>
        <w:rPr>
          <w:spacing w:val="52"/>
          <w:sz w:val="24"/>
        </w:rPr>
        <w:t> </w:t>
      </w:r>
      <w:r>
        <w:rPr>
          <w:sz w:val="24"/>
        </w:rPr>
        <w:t>265,</w:t>
      </w:r>
    </w:p>
    <w:p>
      <w:pPr>
        <w:spacing w:after="0" w:line="357" w:lineRule="auto"/>
        <w:jc w:val="both"/>
        <w:rPr>
          <w:sz w:val="24"/>
        </w:rPr>
        <w:sectPr>
          <w:pgSz w:w="12240" w:h="15840"/>
          <w:pgMar w:header="0" w:footer="1680" w:top="1500" w:bottom="1860" w:left="1720" w:right="1520"/>
        </w:sectPr>
      </w:pPr>
    </w:p>
    <w:p>
      <w:pPr>
        <w:pStyle w:val="BodyText"/>
        <w:rPr>
          <w:sz w:val="20"/>
        </w:rPr>
      </w:pPr>
    </w:p>
    <w:p>
      <w:pPr>
        <w:pStyle w:val="BodyText"/>
        <w:spacing w:before="2"/>
        <w:rPr>
          <w:sz w:val="16"/>
        </w:rPr>
      </w:pPr>
    </w:p>
    <w:p>
      <w:pPr>
        <w:pStyle w:val="BodyText"/>
        <w:spacing w:before="69"/>
        <w:ind w:left="985" w:right="36"/>
      </w:pPr>
      <w:r>
        <w:rPr/>
        <w:t>20469-20475.</w:t>
      </w:r>
    </w:p>
    <w:p>
      <w:pPr>
        <w:pStyle w:val="ListParagraph"/>
        <w:numPr>
          <w:ilvl w:val="0"/>
          <w:numId w:val="9"/>
        </w:numPr>
        <w:tabs>
          <w:tab w:pos="986" w:val="left" w:leader="none"/>
        </w:tabs>
        <w:spacing w:line="350" w:lineRule="auto" w:before="140" w:after="0"/>
        <w:ind w:left="985" w:right="116" w:hanging="360"/>
        <w:jc w:val="both"/>
        <w:rPr>
          <w:sz w:val="24"/>
        </w:rPr>
      </w:pPr>
      <w:r>
        <w:rPr>
          <w:sz w:val="24"/>
        </w:rPr>
        <w:t>Laudet V, Hänni C, Coll J, Catzeflis F, Stéhelin D 1992. Evolution of the nuclear receptor gene superfamily. The EMBO Journal 11,</w:t>
      </w:r>
      <w:r>
        <w:rPr>
          <w:spacing w:val="-23"/>
          <w:sz w:val="24"/>
        </w:rPr>
        <w:t> </w:t>
      </w:r>
      <w:r>
        <w:rPr>
          <w:sz w:val="24"/>
        </w:rPr>
        <w:t>1003-10013.</w:t>
      </w:r>
    </w:p>
    <w:p>
      <w:pPr>
        <w:pStyle w:val="ListParagraph"/>
        <w:numPr>
          <w:ilvl w:val="0"/>
          <w:numId w:val="9"/>
        </w:numPr>
        <w:tabs>
          <w:tab w:pos="986" w:val="left" w:leader="none"/>
        </w:tabs>
        <w:spacing w:line="355" w:lineRule="auto" w:before="14" w:after="0"/>
        <w:ind w:left="985" w:right="116" w:hanging="360"/>
        <w:jc w:val="both"/>
        <w:rPr>
          <w:sz w:val="24"/>
        </w:rPr>
      </w:pPr>
      <w:r>
        <w:rPr>
          <w:sz w:val="24"/>
        </w:rPr>
        <w:t>Leblond CP y Clermont Y 1952. Definition of the stages of the cycle of the seminiferous epithelium in the rat. Annals of the New York Academy of Sciences 55,</w:t>
      </w:r>
      <w:r>
        <w:rPr>
          <w:spacing w:val="-5"/>
          <w:sz w:val="24"/>
        </w:rPr>
        <w:t> </w:t>
      </w:r>
      <w:r>
        <w:rPr>
          <w:sz w:val="24"/>
        </w:rPr>
        <w:t>548-73.</w:t>
      </w:r>
    </w:p>
    <w:p>
      <w:pPr>
        <w:pStyle w:val="ListParagraph"/>
        <w:numPr>
          <w:ilvl w:val="0"/>
          <w:numId w:val="9"/>
        </w:numPr>
        <w:tabs>
          <w:tab w:pos="986" w:val="left" w:leader="none"/>
        </w:tabs>
        <w:spacing w:line="357" w:lineRule="auto" w:before="8" w:after="0"/>
        <w:ind w:left="985" w:right="115" w:hanging="360"/>
        <w:jc w:val="both"/>
        <w:rPr>
          <w:sz w:val="24"/>
        </w:rPr>
      </w:pPr>
      <w:r>
        <w:rPr>
          <w:sz w:val="24"/>
        </w:rPr>
        <w:t>Lee J, Richburg JH, Shipp E, Meistrich ML, y Boekelheide K 1999. The Fas system, a regulator of testicular germ cell apoptosis, is differentially up-regulated in sertoli cell versus germ cell injury of the testis. Endocrinology 140,</w:t>
      </w:r>
      <w:r>
        <w:rPr>
          <w:spacing w:val="-11"/>
          <w:sz w:val="24"/>
        </w:rPr>
        <w:t> </w:t>
      </w:r>
      <w:r>
        <w:rPr>
          <w:sz w:val="24"/>
        </w:rPr>
        <w:t>852-858.</w:t>
      </w:r>
    </w:p>
    <w:p>
      <w:pPr>
        <w:pStyle w:val="ListParagraph"/>
        <w:numPr>
          <w:ilvl w:val="0"/>
          <w:numId w:val="9"/>
        </w:numPr>
        <w:tabs>
          <w:tab w:pos="986" w:val="left" w:leader="none"/>
        </w:tabs>
        <w:spacing w:line="355" w:lineRule="auto" w:before="6" w:after="0"/>
        <w:ind w:left="985" w:right="121" w:hanging="360"/>
        <w:jc w:val="both"/>
        <w:rPr>
          <w:sz w:val="24"/>
        </w:rPr>
      </w:pPr>
      <w:r>
        <w:rPr>
          <w:sz w:val="24"/>
        </w:rPr>
        <w:t>Lodish H, Berk A, Kaiser CA, Krieger M, Bretscher A, Ploegh A, Amon A and Scott MP, 2012. Molecular Cell Biology, Seventh edition, Macmillan 970-973.</w:t>
      </w:r>
    </w:p>
    <w:p>
      <w:pPr>
        <w:pStyle w:val="ListParagraph"/>
        <w:numPr>
          <w:ilvl w:val="0"/>
          <w:numId w:val="9"/>
        </w:numPr>
        <w:tabs>
          <w:tab w:pos="986" w:val="left" w:leader="none"/>
        </w:tabs>
        <w:spacing w:line="357" w:lineRule="auto" w:before="8" w:after="0"/>
        <w:ind w:left="985" w:right="116" w:hanging="360"/>
        <w:jc w:val="both"/>
        <w:rPr>
          <w:sz w:val="24"/>
        </w:rPr>
      </w:pPr>
      <w:r>
        <w:rPr>
          <w:sz w:val="24"/>
        </w:rPr>
        <w:t>Louvet J, Harman S y Ross G 1975. Effects of human chorionic gonadotropin, human interstitial cell stimulating hormone and human follicle-stimulating hormone on ovarian weights in estrogen-primed hypophysectomized immature female rats. Endocrinology 96,</w:t>
      </w:r>
      <w:r>
        <w:rPr>
          <w:spacing w:val="-22"/>
          <w:sz w:val="24"/>
        </w:rPr>
        <w:t> </w:t>
      </w:r>
      <w:r>
        <w:rPr>
          <w:sz w:val="24"/>
        </w:rPr>
        <w:t>1179-86.</w:t>
      </w:r>
    </w:p>
    <w:p>
      <w:pPr>
        <w:pStyle w:val="ListParagraph"/>
        <w:numPr>
          <w:ilvl w:val="0"/>
          <w:numId w:val="9"/>
        </w:numPr>
        <w:tabs>
          <w:tab w:pos="986" w:val="left" w:leader="none"/>
        </w:tabs>
        <w:spacing w:line="355" w:lineRule="auto" w:before="8" w:after="0"/>
        <w:ind w:left="985" w:right="114" w:hanging="360"/>
        <w:jc w:val="both"/>
        <w:rPr>
          <w:sz w:val="24"/>
        </w:rPr>
      </w:pPr>
      <w:r>
        <w:rPr>
          <w:sz w:val="24"/>
        </w:rPr>
        <w:t>Martincic DS, Klun IV, Zorn B y Vrtovec HM 2001. Germ cell apoptosis in the human testis. </w:t>
      </w:r>
      <w:hyperlink r:id="rId45">
        <w:r>
          <w:rPr>
            <w:sz w:val="24"/>
          </w:rPr>
          <w:t>Pflügers</w:t>
        </w:r>
      </w:hyperlink>
      <w:r>
        <w:rPr>
          <w:sz w:val="24"/>
        </w:rPr>
        <w:t> </w:t>
      </w:r>
      <w:hyperlink r:id="rId45">
        <w:r>
          <w:rPr>
            <w:sz w:val="24"/>
          </w:rPr>
          <w:t>Archiv</w:t>
        </w:r>
      </w:hyperlink>
      <w:r>
        <w:rPr>
          <w:sz w:val="24"/>
        </w:rPr>
        <w:t> </w:t>
      </w:r>
      <w:hyperlink r:id="rId45">
        <w:r>
          <w:rPr>
            <w:sz w:val="24"/>
          </w:rPr>
          <w:t>European</w:t>
        </w:r>
      </w:hyperlink>
      <w:r>
        <w:rPr>
          <w:sz w:val="24"/>
        </w:rPr>
        <w:t>, </w:t>
      </w:r>
      <w:hyperlink r:id="rId45">
        <w:r>
          <w:rPr>
            <w:sz w:val="24"/>
          </w:rPr>
          <w:t>Journa</w:t>
        </w:r>
      </w:hyperlink>
      <w:hyperlink r:id="rId45">
        <w:r>
          <w:rPr>
            <w:sz w:val="24"/>
          </w:rPr>
          <w:t>l</w:t>
        </w:r>
      </w:hyperlink>
      <w:r>
        <w:rPr>
          <w:sz w:val="24"/>
        </w:rPr>
        <w:t> </w:t>
      </w:r>
      <w:hyperlink r:id="rId45">
        <w:r>
          <w:rPr>
            <w:sz w:val="24"/>
          </w:rPr>
          <w:t>of</w:t>
        </w:r>
      </w:hyperlink>
      <w:r>
        <w:rPr>
          <w:sz w:val="24"/>
        </w:rPr>
        <w:t> </w:t>
      </w:r>
      <w:hyperlink r:id="rId45">
        <w:r>
          <w:rPr>
            <w:sz w:val="24"/>
          </w:rPr>
          <w:t>Physiology</w:t>
        </w:r>
      </w:hyperlink>
      <w:r>
        <w:rPr>
          <w:sz w:val="24"/>
        </w:rPr>
        <w:t> 442, 159-160.</w:t>
      </w:r>
    </w:p>
    <w:p>
      <w:pPr>
        <w:pStyle w:val="ListParagraph"/>
        <w:numPr>
          <w:ilvl w:val="0"/>
          <w:numId w:val="9"/>
        </w:numPr>
        <w:tabs>
          <w:tab w:pos="986" w:val="left" w:leader="none"/>
        </w:tabs>
        <w:spacing w:line="355" w:lineRule="auto" w:before="8" w:after="0"/>
        <w:ind w:left="985" w:right="116" w:hanging="360"/>
        <w:jc w:val="both"/>
        <w:rPr>
          <w:sz w:val="24"/>
        </w:rPr>
      </w:pPr>
      <w:r>
        <w:rPr>
          <w:sz w:val="24"/>
        </w:rPr>
        <w:t>Meyer TE y Habener JF 1992. Cyclic AMP response element binding protein CREB and modulator protein CREM are products of distinct genes. Nucleic Acids Research 20,</w:t>
      </w:r>
      <w:r>
        <w:rPr>
          <w:spacing w:val="-11"/>
          <w:sz w:val="24"/>
        </w:rPr>
        <w:t> </w:t>
      </w:r>
      <w:r>
        <w:rPr>
          <w:sz w:val="24"/>
        </w:rPr>
        <w:t>6106.</w:t>
      </w:r>
    </w:p>
    <w:p>
      <w:pPr>
        <w:pStyle w:val="ListParagraph"/>
        <w:numPr>
          <w:ilvl w:val="0"/>
          <w:numId w:val="9"/>
        </w:numPr>
        <w:tabs>
          <w:tab w:pos="986" w:val="left" w:leader="none"/>
        </w:tabs>
        <w:spacing w:line="352" w:lineRule="auto" w:before="8" w:after="0"/>
        <w:ind w:left="985" w:right="115" w:hanging="360"/>
        <w:jc w:val="both"/>
        <w:rPr>
          <w:sz w:val="24"/>
        </w:rPr>
      </w:pPr>
      <w:r>
        <w:rPr>
          <w:sz w:val="24"/>
        </w:rPr>
        <w:t>Miething A 1992. Germ-cell death during prespermatogenesis in the testis of golden hamster. Cell Tissue Research 267,</w:t>
      </w:r>
      <w:r>
        <w:rPr>
          <w:spacing w:val="-13"/>
          <w:sz w:val="24"/>
        </w:rPr>
        <w:t> </w:t>
      </w:r>
      <w:r>
        <w:rPr>
          <w:sz w:val="24"/>
        </w:rPr>
        <w:t>583-590.</w:t>
      </w:r>
    </w:p>
    <w:p>
      <w:pPr>
        <w:pStyle w:val="ListParagraph"/>
        <w:numPr>
          <w:ilvl w:val="0"/>
          <w:numId w:val="9"/>
        </w:numPr>
        <w:tabs>
          <w:tab w:pos="986" w:val="left" w:leader="none"/>
        </w:tabs>
        <w:spacing w:line="350" w:lineRule="auto" w:before="11" w:after="0"/>
        <w:ind w:left="985" w:right="119" w:hanging="360"/>
        <w:jc w:val="both"/>
        <w:rPr>
          <w:sz w:val="24"/>
        </w:rPr>
      </w:pPr>
      <w:r>
        <w:rPr>
          <w:sz w:val="24"/>
        </w:rPr>
        <w:t>Mooradian AD, Morley JE y Korenman SG 1987. Biological actions of androgens. Endocrine Reviews 8,</w:t>
      </w:r>
      <w:r>
        <w:rPr>
          <w:spacing w:val="-14"/>
          <w:sz w:val="24"/>
        </w:rPr>
        <w:t> </w:t>
      </w:r>
      <w:r>
        <w:rPr>
          <w:sz w:val="24"/>
        </w:rPr>
        <w:t>1-28.</w:t>
      </w:r>
    </w:p>
    <w:p>
      <w:pPr>
        <w:pStyle w:val="ListParagraph"/>
        <w:numPr>
          <w:ilvl w:val="0"/>
          <w:numId w:val="9"/>
        </w:numPr>
        <w:tabs>
          <w:tab w:pos="985" w:val="left" w:leader="none"/>
          <w:tab w:pos="986" w:val="left" w:leader="none"/>
        </w:tabs>
        <w:spacing w:line="240" w:lineRule="auto" w:before="16" w:after="0"/>
        <w:ind w:left="985" w:right="0" w:hanging="360"/>
        <w:jc w:val="left"/>
        <w:rPr>
          <w:sz w:val="24"/>
        </w:rPr>
      </w:pPr>
      <w:r>
        <w:rPr>
          <w:sz w:val="24"/>
        </w:rPr>
        <w:t>Nakagawa T and Kaneko S 2008. Neuropsychotoxicity of abused  </w:t>
      </w:r>
      <w:r>
        <w:rPr>
          <w:spacing w:val="12"/>
          <w:sz w:val="24"/>
        </w:rPr>
        <w:t> </w:t>
      </w:r>
      <w:r>
        <w:rPr>
          <w:sz w:val="24"/>
        </w:rPr>
        <w:t>drugs:</w:t>
      </w:r>
    </w:p>
    <w:p>
      <w:pPr>
        <w:spacing w:after="0" w:line="240" w:lineRule="auto"/>
        <w:jc w:val="left"/>
        <w:rPr>
          <w:sz w:val="24"/>
        </w:rPr>
        <w:sectPr>
          <w:pgSz w:w="12240" w:h="15840"/>
          <w:pgMar w:header="0" w:footer="1680" w:top="1500" w:bottom="1860" w:left="1720" w:right="1580"/>
        </w:sectPr>
      </w:pPr>
    </w:p>
    <w:p>
      <w:pPr>
        <w:pStyle w:val="BodyText"/>
        <w:rPr>
          <w:sz w:val="20"/>
        </w:rPr>
      </w:pPr>
    </w:p>
    <w:p>
      <w:pPr>
        <w:pStyle w:val="BodyText"/>
        <w:spacing w:before="2"/>
        <w:rPr>
          <w:sz w:val="16"/>
        </w:rPr>
      </w:pPr>
    </w:p>
    <w:p>
      <w:pPr>
        <w:pStyle w:val="BodyText"/>
        <w:spacing w:line="360" w:lineRule="auto" w:before="69"/>
        <w:ind w:left="985" w:right="117"/>
        <w:jc w:val="both"/>
      </w:pPr>
      <w:r>
        <w:rPr/>
        <w:t>molecular and neural mechanisms of neuropsychotoxicity induced by methamphetamine, 3.4-methylenedioxymethamphetamine (ecstasy), and 5-methoxy-N, N-diisopropyltryptamine (foxy). Journal of Pharmacology Science 106, 2-8.</w:t>
      </w:r>
    </w:p>
    <w:p>
      <w:pPr>
        <w:pStyle w:val="ListParagraph"/>
        <w:numPr>
          <w:ilvl w:val="0"/>
          <w:numId w:val="9"/>
        </w:numPr>
        <w:tabs>
          <w:tab w:pos="986" w:val="left" w:leader="none"/>
        </w:tabs>
        <w:spacing w:line="355" w:lineRule="auto" w:before="5" w:after="0"/>
        <w:ind w:left="985" w:right="120" w:hanging="360"/>
        <w:jc w:val="both"/>
        <w:rPr>
          <w:sz w:val="24"/>
        </w:rPr>
      </w:pPr>
      <w:r>
        <w:rPr>
          <w:sz w:val="24"/>
        </w:rPr>
        <w:t>Oltval ZN, Milliman CL and Korsmeyer SJ, 1993. BCL-2 heterodimerizes in vivo with a conserved homolog, BAX, that accelerates programed cell death. Cell 74,</w:t>
      </w:r>
      <w:r>
        <w:rPr>
          <w:spacing w:val="-11"/>
          <w:sz w:val="24"/>
        </w:rPr>
        <w:t> </w:t>
      </w:r>
      <w:r>
        <w:rPr>
          <w:sz w:val="24"/>
        </w:rPr>
        <w:t>609-619.</w:t>
      </w:r>
    </w:p>
    <w:p>
      <w:pPr>
        <w:pStyle w:val="ListParagraph"/>
        <w:numPr>
          <w:ilvl w:val="0"/>
          <w:numId w:val="9"/>
        </w:numPr>
        <w:tabs>
          <w:tab w:pos="986" w:val="left" w:leader="none"/>
        </w:tabs>
        <w:spacing w:line="350" w:lineRule="auto" w:before="9" w:after="0"/>
        <w:ind w:left="985" w:right="117" w:hanging="360"/>
        <w:jc w:val="both"/>
        <w:rPr>
          <w:sz w:val="24"/>
        </w:rPr>
      </w:pPr>
      <w:r>
        <w:rPr>
          <w:sz w:val="24"/>
        </w:rPr>
        <w:t>Orphanides G y Kimber I 2003. Toxicogenetics: Applications and opportunities. Toxicology Science 75,</w:t>
      </w:r>
      <w:r>
        <w:rPr>
          <w:spacing w:val="-10"/>
          <w:sz w:val="24"/>
        </w:rPr>
        <w:t> </w:t>
      </w:r>
      <w:r>
        <w:rPr>
          <w:sz w:val="24"/>
        </w:rPr>
        <w:t>1-6.</w:t>
      </w:r>
    </w:p>
    <w:p>
      <w:pPr>
        <w:pStyle w:val="ListParagraph"/>
        <w:numPr>
          <w:ilvl w:val="0"/>
          <w:numId w:val="9"/>
        </w:numPr>
        <w:tabs>
          <w:tab w:pos="986" w:val="left" w:leader="none"/>
        </w:tabs>
        <w:spacing w:line="357" w:lineRule="auto" w:before="16" w:after="0"/>
        <w:ind w:left="985" w:right="115" w:hanging="360"/>
        <w:jc w:val="both"/>
        <w:rPr>
          <w:sz w:val="24"/>
        </w:rPr>
      </w:pPr>
      <w:r>
        <w:rPr>
          <w:sz w:val="24"/>
        </w:rPr>
        <w:t>Orth J, Gunsalus GL y Lamperti AA 1988. Evidence from Sertoli cell- depleted rats indicates that spermatid number in adults depends on numbers of Sertoli cells produced during perinatal development. Endocrinology 122,</w:t>
      </w:r>
      <w:r>
        <w:rPr>
          <w:spacing w:val="-11"/>
          <w:sz w:val="24"/>
        </w:rPr>
        <w:t> </w:t>
      </w:r>
      <w:r>
        <w:rPr>
          <w:sz w:val="24"/>
        </w:rPr>
        <w:t>787-794.</w:t>
      </w:r>
    </w:p>
    <w:p>
      <w:pPr>
        <w:pStyle w:val="ListParagraph"/>
        <w:numPr>
          <w:ilvl w:val="0"/>
          <w:numId w:val="9"/>
        </w:numPr>
        <w:tabs>
          <w:tab w:pos="985" w:val="left" w:leader="none"/>
          <w:tab w:pos="986" w:val="left" w:leader="none"/>
        </w:tabs>
        <w:spacing w:line="355" w:lineRule="auto" w:before="8" w:after="0"/>
        <w:ind w:left="985" w:right="239" w:hanging="360"/>
        <w:jc w:val="left"/>
        <w:rPr>
          <w:sz w:val="24"/>
        </w:rPr>
      </w:pPr>
      <w:r>
        <w:rPr>
          <w:sz w:val="24"/>
        </w:rPr>
        <w:t>Perlman H, Zhang X, Chen MW, Walsh K y Buttyan R 1999. An elevated bax/bcl-2 ratio corresponds with the onset of prostate epithelial cell apoptosis. Cell Death and Differentiation 6,</w:t>
      </w:r>
      <w:r>
        <w:rPr>
          <w:spacing w:val="-17"/>
          <w:sz w:val="24"/>
        </w:rPr>
        <w:t> </w:t>
      </w:r>
      <w:r>
        <w:rPr>
          <w:sz w:val="24"/>
        </w:rPr>
        <w:t>48-54.</w:t>
      </w:r>
    </w:p>
    <w:p>
      <w:pPr>
        <w:pStyle w:val="ListParagraph"/>
        <w:numPr>
          <w:ilvl w:val="0"/>
          <w:numId w:val="9"/>
        </w:numPr>
        <w:tabs>
          <w:tab w:pos="986" w:val="left" w:leader="none"/>
        </w:tabs>
        <w:spacing w:line="350" w:lineRule="auto" w:before="11" w:after="0"/>
        <w:ind w:left="985" w:right="116" w:hanging="360"/>
        <w:jc w:val="both"/>
        <w:rPr>
          <w:sz w:val="24"/>
        </w:rPr>
      </w:pPr>
      <w:r>
        <w:rPr>
          <w:sz w:val="24"/>
        </w:rPr>
        <w:t>Print CG y Loveland KL 2000. Germ cell suicide: new insights into apoptosis during spermatogenesis. Bioessays 22,</w:t>
      </w:r>
      <w:r>
        <w:rPr>
          <w:spacing w:val="-21"/>
          <w:sz w:val="24"/>
        </w:rPr>
        <w:t> </w:t>
      </w:r>
      <w:r>
        <w:rPr>
          <w:sz w:val="24"/>
        </w:rPr>
        <w:t>423-430.</w:t>
      </w:r>
    </w:p>
    <w:p>
      <w:pPr>
        <w:pStyle w:val="ListParagraph"/>
        <w:numPr>
          <w:ilvl w:val="0"/>
          <w:numId w:val="9"/>
        </w:numPr>
        <w:tabs>
          <w:tab w:pos="986" w:val="left" w:leader="none"/>
        </w:tabs>
        <w:spacing w:line="352" w:lineRule="auto" w:before="14" w:after="0"/>
        <w:ind w:left="985" w:right="116" w:hanging="360"/>
        <w:jc w:val="both"/>
        <w:rPr>
          <w:sz w:val="24"/>
        </w:rPr>
      </w:pPr>
      <w:r>
        <w:rPr>
          <w:sz w:val="24"/>
        </w:rPr>
        <w:t>Rasband </w:t>
      </w:r>
      <w:r>
        <w:rPr>
          <w:spacing w:val="3"/>
          <w:sz w:val="24"/>
        </w:rPr>
        <w:t>WS </w:t>
      </w:r>
      <w:r>
        <w:rPr>
          <w:sz w:val="24"/>
        </w:rPr>
        <w:t>2010. ImageJ US National Institutes of Health, Bethesda, Maryland,</w:t>
      </w:r>
      <w:r>
        <w:rPr>
          <w:spacing w:val="-4"/>
          <w:sz w:val="24"/>
        </w:rPr>
        <w:t> </w:t>
      </w:r>
      <w:r>
        <w:rPr>
          <w:sz w:val="24"/>
        </w:rPr>
        <w:t>USA.</w:t>
      </w:r>
    </w:p>
    <w:p>
      <w:pPr>
        <w:pStyle w:val="ListParagraph"/>
        <w:numPr>
          <w:ilvl w:val="0"/>
          <w:numId w:val="9"/>
        </w:numPr>
        <w:tabs>
          <w:tab w:pos="986" w:val="left" w:leader="none"/>
        </w:tabs>
        <w:spacing w:line="350" w:lineRule="auto" w:before="11" w:after="0"/>
        <w:ind w:left="985" w:right="116" w:hanging="360"/>
        <w:jc w:val="both"/>
        <w:rPr>
          <w:sz w:val="24"/>
        </w:rPr>
      </w:pPr>
      <w:r>
        <w:rPr>
          <w:sz w:val="24"/>
        </w:rPr>
        <w:t>Raudrant D y Rabe T 2003. Progestogens with antiandrogenic properties. Drugs 63,</w:t>
      </w:r>
      <w:r>
        <w:rPr>
          <w:spacing w:val="-8"/>
          <w:sz w:val="24"/>
        </w:rPr>
        <w:t> </w:t>
      </w:r>
      <w:r>
        <w:rPr>
          <w:sz w:val="24"/>
        </w:rPr>
        <w:t>463-492.</w:t>
      </w:r>
    </w:p>
    <w:p>
      <w:pPr>
        <w:pStyle w:val="ListParagraph"/>
        <w:numPr>
          <w:ilvl w:val="0"/>
          <w:numId w:val="9"/>
        </w:numPr>
        <w:tabs>
          <w:tab w:pos="986" w:val="left" w:leader="none"/>
        </w:tabs>
        <w:spacing w:line="357" w:lineRule="auto" w:before="16" w:after="0"/>
        <w:ind w:left="985" w:right="115" w:hanging="360"/>
        <w:jc w:val="both"/>
        <w:rPr>
          <w:sz w:val="24"/>
        </w:rPr>
      </w:pPr>
      <w:r>
        <w:rPr>
          <w:sz w:val="24"/>
        </w:rPr>
        <w:t>Rodriguez I, Ody C, Araki K, Garcia I y Vassalli P 1997. An early and massive wave of germinal cell apoptosis is required for the development of functional spermatogenesis. The European Molecular Biology Organization Journal 16,</w:t>
      </w:r>
      <w:r>
        <w:rPr>
          <w:spacing w:val="-12"/>
          <w:sz w:val="24"/>
        </w:rPr>
        <w:t> </w:t>
      </w:r>
      <w:r>
        <w:rPr>
          <w:sz w:val="24"/>
        </w:rPr>
        <w:t>2262-2270.</w:t>
      </w:r>
    </w:p>
    <w:p>
      <w:pPr>
        <w:pStyle w:val="ListParagraph"/>
        <w:numPr>
          <w:ilvl w:val="0"/>
          <w:numId w:val="9"/>
        </w:numPr>
        <w:tabs>
          <w:tab w:pos="986" w:val="left" w:leader="none"/>
        </w:tabs>
        <w:spacing w:line="350" w:lineRule="auto" w:before="8" w:after="0"/>
        <w:ind w:left="985" w:right="117" w:hanging="360"/>
        <w:jc w:val="both"/>
        <w:rPr>
          <w:sz w:val="24"/>
        </w:rPr>
      </w:pPr>
      <w:r>
        <w:rPr>
          <w:sz w:val="24"/>
        </w:rPr>
        <w:t>Roosen-Runge EC 1973. Germinal-cell loss in normal metazoan spermatogenesis. Journal of Reproduction and Fertility 35,</w:t>
      </w:r>
      <w:r>
        <w:rPr>
          <w:spacing w:val="-20"/>
          <w:sz w:val="24"/>
        </w:rPr>
        <w:t> </w:t>
      </w:r>
      <w:r>
        <w:rPr>
          <w:sz w:val="24"/>
        </w:rPr>
        <w:t>339-348.</w:t>
      </w:r>
    </w:p>
    <w:p>
      <w:pPr>
        <w:spacing w:after="0" w:line="350" w:lineRule="auto"/>
        <w:jc w:val="both"/>
        <w:rPr>
          <w:sz w:val="24"/>
        </w:rPr>
        <w:sectPr>
          <w:footerReference w:type="default" r:id="rId46"/>
          <w:pgSz w:w="12240" w:h="15840"/>
          <w:pgMar w:footer="1680" w:header="0" w:top="1500" w:bottom="1860" w:left="1720" w:right="1580"/>
        </w:sectPr>
      </w:pPr>
    </w:p>
    <w:p>
      <w:pPr>
        <w:pStyle w:val="BodyText"/>
        <w:rPr>
          <w:sz w:val="20"/>
        </w:rPr>
      </w:pPr>
    </w:p>
    <w:p>
      <w:pPr>
        <w:pStyle w:val="BodyText"/>
        <w:spacing w:before="5"/>
        <w:rPr>
          <w:sz w:val="17"/>
        </w:rPr>
      </w:pPr>
    </w:p>
    <w:p>
      <w:pPr>
        <w:pStyle w:val="ListParagraph"/>
        <w:numPr>
          <w:ilvl w:val="0"/>
          <w:numId w:val="9"/>
        </w:numPr>
        <w:tabs>
          <w:tab w:pos="986" w:val="left" w:leader="none"/>
        </w:tabs>
        <w:spacing w:line="350" w:lineRule="auto" w:before="56" w:after="0"/>
        <w:ind w:left="985" w:right="115" w:hanging="360"/>
        <w:jc w:val="both"/>
        <w:rPr>
          <w:sz w:val="24"/>
        </w:rPr>
      </w:pPr>
      <w:r>
        <w:rPr>
          <w:sz w:val="24"/>
        </w:rPr>
        <w:t>Russell LD, Alger LE y Nequin L 1987. Hormonal control of pubertal spermatogenesis. Endocrinology 120,</w:t>
      </w:r>
      <w:r>
        <w:rPr>
          <w:spacing w:val="-18"/>
          <w:sz w:val="24"/>
        </w:rPr>
        <w:t> </w:t>
      </w:r>
      <w:r>
        <w:rPr>
          <w:sz w:val="24"/>
        </w:rPr>
        <w:t>1615-1632.</w:t>
      </w:r>
    </w:p>
    <w:p>
      <w:pPr>
        <w:pStyle w:val="ListParagraph"/>
        <w:numPr>
          <w:ilvl w:val="0"/>
          <w:numId w:val="9"/>
        </w:numPr>
        <w:tabs>
          <w:tab w:pos="986" w:val="left" w:leader="none"/>
        </w:tabs>
        <w:spacing w:line="355" w:lineRule="auto" w:before="16" w:after="0"/>
        <w:ind w:left="985" w:right="114" w:hanging="360"/>
        <w:jc w:val="both"/>
        <w:rPr>
          <w:sz w:val="24"/>
        </w:rPr>
      </w:pPr>
      <w:r>
        <w:rPr>
          <w:sz w:val="24"/>
        </w:rPr>
        <w:t>Russell LD, Chiarini-Garcia H, Korsmeyer SJ y Knudson CM, 2002. BAX- dependent spermatogonia apoptosis is required for testicular development and spermatogenesis. Biology of Reproduction 66,</w:t>
      </w:r>
      <w:r>
        <w:rPr>
          <w:spacing w:val="-23"/>
          <w:sz w:val="24"/>
        </w:rPr>
        <w:t> </w:t>
      </w:r>
      <w:r>
        <w:rPr>
          <w:sz w:val="24"/>
        </w:rPr>
        <w:t>950-958.</w:t>
      </w:r>
    </w:p>
    <w:p>
      <w:pPr>
        <w:pStyle w:val="ListParagraph"/>
        <w:numPr>
          <w:ilvl w:val="0"/>
          <w:numId w:val="9"/>
        </w:numPr>
        <w:tabs>
          <w:tab w:pos="986" w:val="left" w:leader="none"/>
        </w:tabs>
        <w:spacing w:line="357" w:lineRule="auto" w:before="11" w:after="0"/>
        <w:ind w:left="985" w:right="116" w:hanging="360"/>
        <w:jc w:val="both"/>
        <w:rPr>
          <w:sz w:val="24"/>
        </w:rPr>
      </w:pPr>
      <w:r>
        <w:rPr>
          <w:sz w:val="24"/>
        </w:rPr>
        <w:t>Russell LD, Ren HP, Sinha Hikim I, Schultze W y Sinha Hikim AP 1990.  A comparative study in twelve mammalian species of volume density, volumes, and numerical densities of selected testis components, emphasizing those related to Sertoli cell. The American Journal of Anatomy 188,</w:t>
      </w:r>
      <w:r>
        <w:rPr>
          <w:spacing w:val="-9"/>
          <w:sz w:val="24"/>
        </w:rPr>
        <w:t> </w:t>
      </w:r>
      <w:r>
        <w:rPr>
          <w:sz w:val="24"/>
        </w:rPr>
        <w:t>21-30.</w:t>
      </w:r>
    </w:p>
    <w:p>
      <w:pPr>
        <w:pStyle w:val="ListParagraph"/>
        <w:numPr>
          <w:ilvl w:val="0"/>
          <w:numId w:val="9"/>
        </w:numPr>
        <w:tabs>
          <w:tab w:pos="986" w:val="left" w:leader="none"/>
        </w:tabs>
        <w:spacing w:line="350" w:lineRule="auto" w:before="6" w:after="0"/>
        <w:ind w:left="985" w:right="116" w:hanging="360"/>
        <w:jc w:val="both"/>
        <w:rPr>
          <w:sz w:val="24"/>
        </w:rPr>
      </w:pPr>
      <w:r>
        <w:rPr>
          <w:sz w:val="24"/>
        </w:rPr>
        <w:t>Said TM, Paasch U, Glander HJ y Agarwal A 2004. Role of caspases in male infertility. Human Reproduction 10,</w:t>
      </w:r>
      <w:r>
        <w:rPr>
          <w:spacing w:val="-13"/>
          <w:sz w:val="24"/>
        </w:rPr>
        <w:t> </w:t>
      </w:r>
      <w:r>
        <w:rPr>
          <w:sz w:val="24"/>
        </w:rPr>
        <w:t>39-51.</w:t>
      </w:r>
    </w:p>
    <w:p>
      <w:pPr>
        <w:pStyle w:val="ListParagraph"/>
        <w:numPr>
          <w:ilvl w:val="0"/>
          <w:numId w:val="9"/>
        </w:numPr>
        <w:tabs>
          <w:tab w:pos="986" w:val="left" w:leader="none"/>
        </w:tabs>
        <w:spacing w:line="350" w:lineRule="auto" w:before="16" w:after="0"/>
        <w:ind w:left="985" w:right="116" w:hanging="360"/>
        <w:jc w:val="both"/>
        <w:rPr>
          <w:sz w:val="24"/>
        </w:rPr>
      </w:pPr>
      <w:r>
        <w:rPr>
          <w:sz w:val="24"/>
        </w:rPr>
        <w:t>Sato T, Irie S, Krajewski S y Reed JC 1994. Cloning and sequencing of a cDNA encoding the rat BCL-2 protein. Gene 140,</w:t>
      </w:r>
      <w:r>
        <w:rPr>
          <w:spacing w:val="-16"/>
          <w:sz w:val="24"/>
        </w:rPr>
        <w:t> </w:t>
      </w:r>
      <w:r>
        <w:rPr>
          <w:sz w:val="24"/>
        </w:rPr>
        <w:t>291-292.</w:t>
      </w:r>
    </w:p>
    <w:p>
      <w:pPr>
        <w:pStyle w:val="ListParagraph"/>
        <w:numPr>
          <w:ilvl w:val="0"/>
          <w:numId w:val="9"/>
        </w:numPr>
        <w:tabs>
          <w:tab w:pos="986" w:val="left" w:leader="none"/>
        </w:tabs>
        <w:spacing w:line="350" w:lineRule="auto" w:before="16" w:after="0"/>
        <w:ind w:left="985" w:right="119" w:hanging="360"/>
        <w:jc w:val="both"/>
        <w:rPr>
          <w:sz w:val="24"/>
        </w:rPr>
      </w:pPr>
      <w:r>
        <w:rPr>
          <w:sz w:val="24"/>
        </w:rPr>
        <w:t>Sinha Hikim AP y Swerdloff RS 1999. Hormonal and genetic control of germ cell apoptosis in the testis. Reviews of Reproduction 4,</w:t>
      </w:r>
      <w:r>
        <w:rPr>
          <w:spacing w:val="-19"/>
          <w:sz w:val="24"/>
        </w:rPr>
        <w:t> </w:t>
      </w:r>
      <w:r>
        <w:rPr>
          <w:sz w:val="24"/>
        </w:rPr>
        <w:t>38-47.</w:t>
      </w:r>
    </w:p>
    <w:p>
      <w:pPr>
        <w:pStyle w:val="ListParagraph"/>
        <w:numPr>
          <w:ilvl w:val="0"/>
          <w:numId w:val="9"/>
        </w:numPr>
        <w:tabs>
          <w:tab w:pos="986" w:val="left" w:leader="none"/>
        </w:tabs>
        <w:spacing w:line="350" w:lineRule="auto" w:before="14" w:after="0"/>
        <w:ind w:left="985" w:right="120" w:hanging="360"/>
        <w:jc w:val="both"/>
        <w:rPr>
          <w:sz w:val="24"/>
        </w:rPr>
      </w:pPr>
      <w:r>
        <w:rPr>
          <w:sz w:val="24"/>
        </w:rPr>
        <w:t>Skinner MK 1991. Cell-cell interactions in the testis. Endocrine Reviews 12,</w:t>
      </w:r>
      <w:r>
        <w:rPr>
          <w:spacing w:val="-6"/>
          <w:sz w:val="24"/>
        </w:rPr>
        <w:t> </w:t>
      </w:r>
      <w:r>
        <w:rPr>
          <w:sz w:val="24"/>
        </w:rPr>
        <w:t>45-77.</w:t>
      </w:r>
    </w:p>
    <w:p>
      <w:pPr>
        <w:pStyle w:val="ListParagraph"/>
        <w:numPr>
          <w:ilvl w:val="0"/>
          <w:numId w:val="9"/>
        </w:numPr>
        <w:tabs>
          <w:tab w:pos="986" w:val="left" w:leader="none"/>
        </w:tabs>
        <w:spacing w:line="357" w:lineRule="auto" w:before="16" w:after="0"/>
        <w:ind w:left="985" w:right="115" w:hanging="360"/>
        <w:jc w:val="both"/>
        <w:rPr>
          <w:sz w:val="24"/>
        </w:rPr>
      </w:pPr>
      <w:r>
        <w:rPr>
          <w:sz w:val="24"/>
        </w:rPr>
        <w:t>Stallock J, Molyneaux K, Schaible K, Knudson CM y Wylie C 2003. The pro-apoptotic gene BAX is required for the death of ectopic primordial germ cells during their migration in the mouse embryo. Development 130, 6589-6597.</w:t>
      </w:r>
    </w:p>
    <w:p>
      <w:pPr>
        <w:pStyle w:val="ListParagraph"/>
        <w:numPr>
          <w:ilvl w:val="0"/>
          <w:numId w:val="9"/>
        </w:numPr>
        <w:tabs>
          <w:tab w:pos="986" w:val="left" w:leader="none"/>
        </w:tabs>
        <w:spacing w:line="350" w:lineRule="auto" w:before="8" w:after="0"/>
        <w:ind w:left="985" w:right="125" w:hanging="360"/>
        <w:jc w:val="both"/>
        <w:rPr>
          <w:sz w:val="24"/>
        </w:rPr>
      </w:pPr>
      <w:r>
        <w:rPr>
          <w:sz w:val="24"/>
        </w:rPr>
        <w:t>Suzuki M, Youle RJ and Tjandra N, 2000. Structure of BAX: coregulation of dimer formation and intracellular localization. Cell, 103,</w:t>
      </w:r>
      <w:r>
        <w:rPr>
          <w:spacing w:val="-19"/>
          <w:sz w:val="24"/>
        </w:rPr>
        <w:t> </w:t>
      </w:r>
      <w:r>
        <w:rPr>
          <w:sz w:val="24"/>
        </w:rPr>
        <w:t>645-654.</w:t>
      </w:r>
    </w:p>
    <w:p>
      <w:pPr>
        <w:pStyle w:val="ListParagraph"/>
        <w:numPr>
          <w:ilvl w:val="0"/>
          <w:numId w:val="9"/>
        </w:numPr>
        <w:tabs>
          <w:tab w:pos="986" w:val="left" w:leader="none"/>
        </w:tabs>
        <w:spacing w:line="357" w:lineRule="auto" w:before="14" w:after="0"/>
        <w:ind w:left="985" w:right="114" w:hanging="360"/>
        <w:jc w:val="both"/>
        <w:rPr>
          <w:sz w:val="24"/>
        </w:rPr>
      </w:pPr>
      <w:r>
        <w:rPr>
          <w:sz w:val="24"/>
        </w:rPr>
        <w:t>Takagi S, Itoh N, Kimura M, Sasao T y Tsukamoto T 2001. Spermatogonial proliferation and apoptosis in hypospermatogenesis associated with nonobstructive azoospermia. Fertility and Sterility 76, 901-907.</w:t>
      </w:r>
    </w:p>
    <w:p>
      <w:pPr>
        <w:spacing w:after="0" w:line="357" w:lineRule="auto"/>
        <w:jc w:val="both"/>
        <w:rPr>
          <w:sz w:val="24"/>
        </w:rPr>
        <w:sectPr>
          <w:footerReference w:type="default" r:id="rId47"/>
          <w:pgSz w:w="12240" w:h="15840"/>
          <w:pgMar w:footer="1680" w:header="0" w:top="1500" w:bottom="1860" w:left="1720" w:right="1580"/>
          <w:pgNumType w:start="91"/>
        </w:sectPr>
      </w:pPr>
    </w:p>
    <w:p>
      <w:pPr>
        <w:pStyle w:val="BodyText"/>
        <w:rPr>
          <w:sz w:val="20"/>
        </w:rPr>
      </w:pPr>
    </w:p>
    <w:p>
      <w:pPr>
        <w:pStyle w:val="BodyText"/>
        <w:spacing w:before="5"/>
        <w:rPr>
          <w:sz w:val="17"/>
        </w:rPr>
      </w:pPr>
    </w:p>
    <w:p>
      <w:pPr>
        <w:pStyle w:val="ListParagraph"/>
        <w:numPr>
          <w:ilvl w:val="0"/>
          <w:numId w:val="9"/>
        </w:numPr>
        <w:tabs>
          <w:tab w:pos="986" w:val="left" w:leader="none"/>
        </w:tabs>
        <w:spacing w:line="355" w:lineRule="auto" w:before="56" w:after="0"/>
        <w:ind w:left="985" w:right="116" w:hanging="360"/>
        <w:jc w:val="both"/>
        <w:rPr>
          <w:sz w:val="24"/>
        </w:rPr>
      </w:pPr>
      <w:r>
        <w:rPr>
          <w:sz w:val="24"/>
        </w:rPr>
        <w:t>Trapman J, Klaassen P y Kuiper G 1988. Cloning, structure and expression of a cDNA encoding the human androgen receptor. Biochem Biophys 153,</w:t>
      </w:r>
      <w:r>
        <w:rPr>
          <w:spacing w:val="-6"/>
          <w:sz w:val="24"/>
        </w:rPr>
        <w:t> </w:t>
      </w:r>
      <w:r>
        <w:rPr>
          <w:sz w:val="24"/>
        </w:rPr>
        <w:t>241-248.</w:t>
      </w:r>
    </w:p>
    <w:p>
      <w:pPr>
        <w:pStyle w:val="ListParagraph"/>
        <w:numPr>
          <w:ilvl w:val="0"/>
          <w:numId w:val="9"/>
        </w:numPr>
        <w:tabs>
          <w:tab w:pos="986" w:val="left" w:leader="none"/>
        </w:tabs>
        <w:spacing w:line="357" w:lineRule="auto" w:before="8" w:after="0"/>
        <w:ind w:left="985" w:right="115" w:hanging="360"/>
        <w:jc w:val="both"/>
        <w:rPr>
          <w:sz w:val="24"/>
        </w:rPr>
      </w:pPr>
      <w:r>
        <w:rPr>
          <w:sz w:val="24"/>
        </w:rPr>
        <w:t>Vermes I, Haanen C, Steffens-Nakken H y Reutelingsperger C 1995. A novel assay for apoptosis. Flow cytometric detection of  phosphatidylserine expression on early apoptotic cells using fluorescein labeled Annexin V. Journal of Immunology Methods 184,</w:t>
      </w:r>
      <w:r>
        <w:rPr>
          <w:spacing w:val="-20"/>
          <w:sz w:val="24"/>
        </w:rPr>
        <w:t> </w:t>
      </w:r>
      <w:r>
        <w:rPr>
          <w:sz w:val="24"/>
        </w:rPr>
        <w:t>39-51.</w:t>
      </w:r>
    </w:p>
    <w:p>
      <w:pPr>
        <w:pStyle w:val="ListParagraph"/>
        <w:numPr>
          <w:ilvl w:val="0"/>
          <w:numId w:val="9"/>
        </w:numPr>
        <w:tabs>
          <w:tab w:pos="986" w:val="left" w:leader="none"/>
        </w:tabs>
        <w:spacing w:line="357" w:lineRule="auto" w:before="9" w:after="0"/>
        <w:ind w:left="985" w:right="116" w:hanging="360"/>
        <w:jc w:val="both"/>
        <w:rPr>
          <w:sz w:val="24"/>
        </w:rPr>
      </w:pPr>
      <w:r>
        <w:rPr>
          <w:sz w:val="24"/>
        </w:rPr>
        <w:t>Walker WH, Sanbornt BM, y Habener JF 1994. An isoform  of transcription factor CREM expressed during spermatogenesis lacks the phosphorylation domain and represses cAMP-induced transcription. Biochemistry 91,</w:t>
      </w:r>
      <w:r>
        <w:rPr>
          <w:spacing w:val="-10"/>
          <w:sz w:val="24"/>
        </w:rPr>
        <w:t> </w:t>
      </w:r>
      <w:r>
        <w:rPr>
          <w:sz w:val="24"/>
        </w:rPr>
        <w:t>12423-12427.</w:t>
      </w:r>
    </w:p>
    <w:p>
      <w:pPr>
        <w:pStyle w:val="ListParagraph"/>
        <w:numPr>
          <w:ilvl w:val="0"/>
          <w:numId w:val="9"/>
        </w:numPr>
        <w:tabs>
          <w:tab w:pos="986" w:val="left" w:leader="none"/>
        </w:tabs>
        <w:spacing w:line="350" w:lineRule="auto" w:before="8" w:after="0"/>
        <w:ind w:left="985" w:right="115" w:hanging="360"/>
        <w:jc w:val="both"/>
        <w:rPr>
          <w:sz w:val="24"/>
        </w:rPr>
      </w:pPr>
      <w:r>
        <w:rPr>
          <w:sz w:val="24"/>
        </w:rPr>
        <w:t>Williams GT y Smith CA 1993. Molecular regulation of apoptosis: genetic control on cell death. Cell 74,</w:t>
      </w:r>
      <w:r>
        <w:rPr>
          <w:spacing w:val="-14"/>
          <w:sz w:val="24"/>
        </w:rPr>
        <w:t> </w:t>
      </w:r>
      <w:r>
        <w:rPr>
          <w:sz w:val="24"/>
        </w:rPr>
        <w:t>777–779.</w:t>
      </w:r>
    </w:p>
    <w:p>
      <w:pPr>
        <w:pStyle w:val="ListParagraph"/>
        <w:numPr>
          <w:ilvl w:val="0"/>
          <w:numId w:val="9"/>
        </w:numPr>
        <w:tabs>
          <w:tab w:pos="986" w:val="left" w:leader="none"/>
        </w:tabs>
        <w:spacing w:line="357" w:lineRule="auto" w:before="14" w:after="0"/>
        <w:ind w:left="985" w:right="117" w:hanging="360"/>
        <w:jc w:val="both"/>
        <w:rPr>
          <w:sz w:val="24"/>
        </w:rPr>
      </w:pPr>
      <w:r>
        <w:rPr>
          <w:sz w:val="24"/>
        </w:rPr>
        <w:t>Woolveridge I, de Boer-Brouwer M, Taylor M, Teerds K, </w:t>
      </w:r>
      <w:r>
        <w:rPr>
          <w:spacing w:val="3"/>
          <w:sz w:val="24"/>
        </w:rPr>
        <w:t>Wu </w:t>
      </w:r>
      <w:r>
        <w:rPr>
          <w:sz w:val="24"/>
        </w:rPr>
        <w:t>C y Morris I 1999. Apoptosis in the rat spermatogenic epithelium following androgen withdrawal: changes in apoptosis-related genes. Biology of Reproduction 60,</w:t>
      </w:r>
      <w:r>
        <w:rPr>
          <w:spacing w:val="-6"/>
          <w:sz w:val="24"/>
        </w:rPr>
        <w:t> </w:t>
      </w:r>
      <w:r>
        <w:rPr>
          <w:sz w:val="24"/>
        </w:rPr>
        <w:t>461-470.</w:t>
      </w:r>
    </w:p>
    <w:p>
      <w:pPr>
        <w:pStyle w:val="ListParagraph"/>
        <w:numPr>
          <w:ilvl w:val="0"/>
          <w:numId w:val="9"/>
        </w:numPr>
        <w:tabs>
          <w:tab w:pos="986" w:val="left" w:leader="none"/>
        </w:tabs>
        <w:spacing w:line="350" w:lineRule="auto" w:before="8" w:after="0"/>
        <w:ind w:left="985" w:right="119" w:hanging="360"/>
        <w:jc w:val="both"/>
        <w:rPr>
          <w:sz w:val="24"/>
        </w:rPr>
      </w:pPr>
      <w:r>
        <w:rPr>
          <w:sz w:val="24"/>
        </w:rPr>
        <w:t>Wyllie AH, Kerr JFR y Currie AR 1980. Cell death: the significance of apoptosis. International Review of Cytology 68,</w:t>
      </w:r>
      <w:r>
        <w:rPr>
          <w:spacing w:val="-15"/>
          <w:sz w:val="24"/>
        </w:rPr>
        <w:t> </w:t>
      </w:r>
      <w:r>
        <w:rPr>
          <w:sz w:val="24"/>
        </w:rPr>
        <w:t>251-306.</w:t>
      </w:r>
    </w:p>
    <w:p>
      <w:pPr>
        <w:pStyle w:val="ListParagraph"/>
        <w:numPr>
          <w:ilvl w:val="0"/>
          <w:numId w:val="9"/>
        </w:numPr>
        <w:tabs>
          <w:tab w:pos="986" w:val="left" w:leader="none"/>
        </w:tabs>
        <w:spacing w:line="357" w:lineRule="auto" w:before="16" w:after="0"/>
        <w:ind w:left="985" w:right="116" w:hanging="360"/>
        <w:jc w:val="both"/>
        <w:rPr>
          <w:sz w:val="24"/>
        </w:rPr>
      </w:pPr>
      <w:r>
        <w:rPr>
          <w:sz w:val="24"/>
        </w:rPr>
        <w:t>Yan </w:t>
      </w:r>
      <w:r>
        <w:rPr>
          <w:spacing w:val="4"/>
          <w:sz w:val="24"/>
        </w:rPr>
        <w:t>W, </w:t>
      </w:r>
      <w:r>
        <w:rPr>
          <w:sz w:val="24"/>
        </w:rPr>
        <w:t>Suominen J, Samson M, Jegou B y Toppari J 2000. Involvement of BCL-2 family proteins in germ cell apoptosis during testicular development in the rat and pro-survival effect of stem cell factor on germ cells in vitro. Molecular and Cellular Endocrinology 165,</w:t>
      </w:r>
      <w:r>
        <w:rPr>
          <w:spacing w:val="-17"/>
          <w:sz w:val="24"/>
        </w:rPr>
        <w:t> </w:t>
      </w:r>
      <w:r>
        <w:rPr>
          <w:sz w:val="24"/>
        </w:rPr>
        <w:t>115-129.</w:t>
      </w:r>
    </w:p>
    <w:p>
      <w:pPr>
        <w:pStyle w:val="ListParagraph"/>
        <w:numPr>
          <w:ilvl w:val="0"/>
          <w:numId w:val="9"/>
        </w:numPr>
        <w:tabs>
          <w:tab w:pos="986" w:val="left" w:leader="none"/>
        </w:tabs>
        <w:spacing w:line="352" w:lineRule="auto" w:before="6" w:after="0"/>
        <w:ind w:left="985" w:right="116" w:hanging="360"/>
        <w:jc w:val="both"/>
        <w:rPr>
          <w:sz w:val="24"/>
        </w:rPr>
      </w:pPr>
      <w:r>
        <w:rPr>
          <w:sz w:val="24"/>
        </w:rPr>
        <w:t>Yang E y Korsmeyer SJ 1996. Molecular thanatopsis: a discourse on the BCL2 family and cell death. Blood 88,</w:t>
      </w:r>
      <w:r>
        <w:rPr>
          <w:spacing w:val="-15"/>
          <w:sz w:val="24"/>
        </w:rPr>
        <w:t> </w:t>
      </w:r>
      <w:r>
        <w:rPr>
          <w:sz w:val="24"/>
        </w:rPr>
        <w:t>386-401.</w:t>
      </w:r>
    </w:p>
    <w:p>
      <w:pPr>
        <w:pStyle w:val="ListParagraph"/>
        <w:numPr>
          <w:ilvl w:val="0"/>
          <w:numId w:val="9"/>
        </w:numPr>
        <w:tabs>
          <w:tab w:pos="986" w:val="left" w:leader="none"/>
        </w:tabs>
        <w:spacing w:line="355" w:lineRule="auto" w:before="11" w:after="0"/>
        <w:ind w:left="985" w:right="114" w:hanging="360"/>
        <w:jc w:val="both"/>
        <w:rPr>
          <w:sz w:val="24"/>
        </w:rPr>
      </w:pPr>
      <w:r>
        <w:rPr>
          <w:sz w:val="24"/>
        </w:rPr>
        <w:t>Zou H, Henzel WJ, Liu X, Lutschg A and Wang X, 1997. Apaf-1, a human protein homologous to C. elegans CED-4, participates in cytochrome c- dependent activation of caspase-3. Cell</w:t>
      </w:r>
      <w:r>
        <w:rPr>
          <w:spacing w:val="-19"/>
          <w:sz w:val="24"/>
        </w:rPr>
        <w:t> </w:t>
      </w:r>
      <w:r>
        <w:rPr>
          <w:sz w:val="24"/>
        </w:rPr>
        <w:t>90,405-413.</w:t>
      </w:r>
    </w:p>
    <w:sectPr>
      <w:pgSz w:w="12240" w:h="15840"/>
      <w:pgMar w:header="0" w:footer="1680" w:top="1500" w:bottom="186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Courier New">
    <w:altName w:val="Courier New"/>
    <w:charset w:val="0"/>
    <w:family w:val="modern"/>
    <w:pitch w:val="fixed"/>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671.580017pt;width:9.6pt;height:13.05pt;mso-position-horizontal-relative:page;mso-position-vertical-relative:page;z-index:-58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7.015991pt;width:15.3pt;height:13.05pt;mso-position-horizontal-relative:page;mso-position-vertical-relative:page;z-index:-58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97.015991pt;width:13.3pt;height:13.05pt;mso-position-horizontal-relative:page;mso-position-vertical-relative:page;z-index:-5836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97.015991pt;width:13.3pt;height:13.05pt;mso-position-horizontal-relative:page;mso-position-vertical-relative:page;z-index:-58336" type="#_x0000_t202" filled="false" stroked="false">
          <v:textbox inset="0,0,0,0">
            <w:txbxContent>
              <w:p>
                <w:pPr>
                  <w:spacing w:line="245" w:lineRule="exact" w:before="0"/>
                  <w:ind w:left="20" w:right="0" w:firstLine="0"/>
                  <w:jc w:val="left"/>
                  <w:rPr>
                    <w:rFonts w:ascii="Calibri"/>
                    <w:sz w:val="22"/>
                  </w:rPr>
                </w:pPr>
                <w:r>
                  <w:rPr>
                    <w:rFonts w:ascii="Calibri"/>
                    <w:sz w:val="22"/>
                  </w:rPr>
                  <w:t>61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7.015991pt;width:15.3pt;height:13.05pt;mso-position-horizontal-relative:page;mso-position-vertical-relative:page;z-index:-58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97.015991pt;width:13.3pt;height:13.05pt;mso-position-horizontal-relative:page;mso-position-vertical-relative:page;z-index:-5828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7.015991pt;width:15.3pt;height:13.05pt;mso-position-horizontal-relative:page;mso-position-vertical-relative:page;z-index:-58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97.015991pt;width:13.3pt;height:13.05pt;mso-position-horizontal-relative:page;mso-position-vertical-relative:page;z-index:-5824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7.015991pt;width:15.3pt;height:13.05pt;mso-position-horizontal-relative:page;mso-position-vertical-relative:page;z-index:-58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97.015991pt;width:13.3pt;height:13.05pt;mso-position-horizontal-relative:page;mso-position-vertical-relative:page;z-index:-5819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71.580017pt;width:13.3pt;height:13.05pt;mso-position-horizontal-relative:page;mso-position-vertical-relative:page;z-index:-5857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7.015991pt;width:15.3pt;height:13.05pt;mso-position-horizontal-relative:page;mso-position-vertical-relative:page;z-index:-58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71.580017pt;width:15.3pt;height:13.05pt;mso-position-horizontal-relative:page;mso-position-vertical-relative:page;z-index:-58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6.895996pt;width:15.3pt;height:13.05pt;mso-position-horizontal-relative:page;mso-position-vertical-relative:page;z-index:-58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96.895996pt;width:13.3pt;height:13.05pt;mso-position-horizontal-relative:page;mso-position-vertical-relative:page;z-index:-5850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6.895996pt;width:15.3pt;height:13.05pt;mso-position-horizontal-relative:page;mso-position-vertical-relative:page;z-index:-58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3.859985pt;margin-top:516.895996pt;width:15.3pt;height:13.05pt;mso-position-horizontal-relative:page;mso-position-vertical-relative:page;z-index:-58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697.015991pt;width:15.3pt;height:13.05pt;mso-position-horizontal-relative:page;mso-position-vertical-relative:page;z-index:-58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697.015991pt;width:13.3pt;height:13.05pt;mso-position-horizontal-relative:page;mso-position-vertical-relative:page;z-index:-584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985" w:hanging="360"/>
      </w:pPr>
      <w:rPr>
        <w:rFonts w:hint="default" w:ascii="Symbol" w:hAnsi="Symbol" w:eastAsia="Symbol" w:cs="Symbol"/>
        <w:w w:val="100"/>
        <w:sz w:val="24"/>
        <w:szCs w:val="24"/>
      </w:rPr>
    </w:lvl>
    <w:lvl w:ilvl="1">
      <w:start w:val="1"/>
      <w:numFmt w:val="bullet"/>
      <w:lvlText w:val="•"/>
      <w:lvlJc w:val="left"/>
      <w:pPr>
        <w:ind w:left="1782" w:hanging="360"/>
      </w:pPr>
      <w:rPr>
        <w:rFonts w:hint="default"/>
      </w:rPr>
    </w:lvl>
    <w:lvl w:ilvl="2">
      <w:start w:val="1"/>
      <w:numFmt w:val="bullet"/>
      <w:lvlText w:val="•"/>
      <w:lvlJc w:val="left"/>
      <w:pPr>
        <w:ind w:left="2584" w:hanging="360"/>
      </w:pPr>
      <w:rPr>
        <w:rFonts w:hint="default"/>
      </w:rPr>
    </w:lvl>
    <w:lvl w:ilvl="3">
      <w:start w:val="1"/>
      <w:numFmt w:val="bullet"/>
      <w:lvlText w:val="•"/>
      <w:lvlJc w:val="left"/>
      <w:pPr>
        <w:ind w:left="3386" w:hanging="360"/>
      </w:pPr>
      <w:rPr>
        <w:rFonts w:hint="default"/>
      </w:rPr>
    </w:lvl>
    <w:lvl w:ilvl="4">
      <w:start w:val="1"/>
      <w:numFmt w:val="bullet"/>
      <w:lvlText w:val="•"/>
      <w:lvlJc w:val="left"/>
      <w:pPr>
        <w:ind w:left="418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79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396" w:hanging="360"/>
      </w:pPr>
      <w:rPr>
        <w:rFonts w:hint="default"/>
      </w:rPr>
    </w:lvl>
  </w:abstractNum>
  <w:abstractNum w:abstractNumId="7">
    <w:multiLevelType w:val="hybridMultilevel"/>
    <w:lvl w:ilvl="0">
      <w:start w:val="8"/>
      <w:numFmt w:val="upperRoman"/>
      <w:lvlText w:val="%1"/>
      <w:lvlJc w:val="left"/>
      <w:pPr>
        <w:ind w:left="639" w:hanging="375"/>
        <w:jc w:val="right"/>
      </w:pPr>
      <w:rPr>
        <w:rFonts w:hint="default" w:ascii="Arial" w:hAnsi="Arial" w:eastAsia="Arial" w:cs="Arial"/>
        <w:b/>
        <w:bCs/>
        <w:spacing w:val="-1"/>
        <w:w w:val="87"/>
        <w:sz w:val="24"/>
        <w:szCs w:val="24"/>
      </w:rPr>
    </w:lvl>
    <w:lvl w:ilvl="1">
      <w:start w:val="1"/>
      <w:numFmt w:val="bullet"/>
      <w:lvlText w:val="•"/>
      <w:lvlJc w:val="left"/>
      <w:pPr>
        <w:ind w:left="1470" w:hanging="375"/>
      </w:pPr>
      <w:rPr>
        <w:rFonts w:hint="default"/>
      </w:rPr>
    </w:lvl>
    <w:lvl w:ilvl="2">
      <w:start w:val="1"/>
      <w:numFmt w:val="bullet"/>
      <w:lvlText w:val="•"/>
      <w:lvlJc w:val="left"/>
      <w:pPr>
        <w:ind w:left="2300" w:hanging="375"/>
      </w:pPr>
      <w:rPr>
        <w:rFonts w:hint="default"/>
      </w:rPr>
    </w:lvl>
    <w:lvl w:ilvl="3">
      <w:start w:val="1"/>
      <w:numFmt w:val="bullet"/>
      <w:lvlText w:val="•"/>
      <w:lvlJc w:val="left"/>
      <w:pPr>
        <w:ind w:left="3130" w:hanging="375"/>
      </w:pPr>
      <w:rPr>
        <w:rFonts w:hint="default"/>
      </w:rPr>
    </w:lvl>
    <w:lvl w:ilvl="4">
      <w:start w:val="1"/>
      <w:numFmt w:val="bullet"/>
      <w:lvlText w:val="•"/>
      <w:lvlJc w:val="left"/>
      <w:pPr>
        <w:ind w:left="3960" w:hanging="375"/>
      </w:pPr>
      <w:rPr>
        <w:rFonts w:hint="default"/>
      </w:rPr>
    </w:lvl>
    <w:lvl w:ilvl="5">
      <w:start w:val="1"/>
      <w:numFmt w:val="bullet"/>
      <w:lvlText w:val="•"/>
      <w:lvlJc w:val="left"/>
      <w:pPr>
        <w:ind w:left="4790" w:hanging="375"/>
      </w:pPr>
      <w:rPr>
        <w:rFonts w:hint="default"/>
      </w:rPr>
    </w:lvl>
    <w:lvl w:ilvl="6">
      <w:start w:val="1"/>
      <w:numFmt w:val="bullet"/>
      <w:lvlText w:val="•"/>
      <w:lvlJc w:val="left"/>
      <w:pPr>
        <w:ind w:left="5620" w:hanging="375"/>
      </w:pPr>
      <w:rPr>
        <w:rFonts w:hint="default"/>
      </w:rPr>
    </w:lvl>
    <w:lvl w:ilvl="7">
      <w:start w:val="1"/>
      <w:numFmt w:val="bullet"/>
      <w:lvlText w:val="•"/>
      <w:lvlJc w:val="left"/>
      <w:pPr>
        <w:ind w:left="6450" w:hanging="375"/>
      </w:pPr>
      <w:rPr>
        <w:rFonts w:hint="default"/>
      </w:rPr>
    </w:lvl>
    <w:lvl w:ilvl="8">
      <w:start w:val="1"/>
      <w:numFmt w:val="bullet"/>
      <w:lvlText w:val="•"/>
      <w:lvlJc w:val="left"/>
      <w:pPr>
        <w:ind w:left="7280" w:hanging="375"/>
      </w:pPr>
      <w:rPr>
        <w:rFonts w:hint="default"/>
      </w:rPr>
    </w:lvl>
  </w:abstractNum>
  <w:abstractNum w:abstractNumId="6">
    <w:multiLevelType w:val="hybridMultilevel"/>
    <w:lvl w:ilvl="0">
      <w:start w:val="1"/>
      <w:numFmt w:val="decimal"/>
      <w:lvlText w:val="%1"/>
      <w:lvlJc w:val="left"/>
      <w:pPr>
        <w:ind w:left="615" w:hanging="350"/>
        <w:jc w:val="left"/>
      </w:pPr>
      <w:rPr>
        <w:rFonts w:hint="default"/>
      </w:rPr>
    </w:lvl>
    <w:lvl w:ilvl="1">
      <w:start w:val="1"/>
      <w:numFmt w:val="decimal"/>
      <w:lvlText w:val="%1.%2"/>
      <w:lvlJc w:val="left"/>
      <w:pPr>
        <w:ind w:left="615" w:hanging="350"/>
        <w:jc w:val="left"/>
      </w:pPr>
      <w:rPr>
        <w:rFonts w:hint="default" w:ascii="Arial" w:hAnsi="Arial" w:eastAsia="Arial" w:cs="Arial"/>
        <w:b/>
        <w:bCs/>
        <w:i/>
        <w:spacing w:val="-1"/>
        <w:w w:val="87"/>
        <w:sz w:val="24"/>
        <w:szCs w:val="24"/>
      </w:rPr>
    </w:lvl>
    <w:lvl w:ilvl="2">
      <w:start w:val="1"/>
      <w:numFmt w:val="decimal"/>
      <w:lvlText w:val="%1.%2.%3"/>
      <w:lvlJc w:val="left"/>
      <w:pPr>
        <w:ind w:left="792" w:hanging="527"/>
        <w:jc w:val="left"/>
      </w:pPr>
      <w:rPr>
        <w:rFonts w:hint="default" w:ascii="Arial" w:hAnsi="Arial" w:eastAsia="Arial" w:cs="Arial"/>
        <w:w w:val="86"/>
        <w:sz w:val="24"/>
        <w:szCs w:val="24"/>
      </w:rPr>
    </w:lvl>
    <w:lvl w:ilvl="3">
      <w:start w:val="1"/>
      <w:numFmt w:val="bullet"/>
      <w:lvlText w:val="•"/>
      <w:lvlJc w:val="left"/>
      <w:pPr>
        <w:ind w:left="2608" w:hanging="527"/>
      </w:pPr>
      <w:rPr>
        <w:rFonts w:hint="default"/>
      </w:rPr>
    </w:lvl>
    <w:lvl w:ilvl="4">
      <w:start w:val="1"/>
      <w:numFmt w:val="bullet"/>
      <w:lvlText w:val="•"/>
      <w:lvlJc w:val="left"/>
      <w:pPr>
        <w:ind w:left="3513" w:hanging="527"/>
      </w:pPr>
      <w:rPr>
        <w:rFonts w:hint="default"/>
      </w:rPr>
    </w:lvl>
    <w:lvl w:ilvl="5">
      <w:start w:val="1"/>
      <w:numFmt w:val="bullet"/>
      <w:lvlText w:val="•"/>
      <w:lvlJc w:val="left"/>
      <w:pPr>
        <w:ind w:left="4417" w:hanging="527"/>
      </w:pPr>
      <w:rPr>
        <w:rFonts w:hint="default"/>
      </w:rPr>
    </w:lvl>
    <w:lvl w:ilvl="6">
      <w:start w:val="1"/>
      <w:numFmt w:val="bullet"/>
      <w:lvlText w:val="•"/>
      <w:lvlJc w:val="left"/>
      <w:pPr>
        <w:ind w:left="5322" w:hanging="527"/>
      </w:pPr>
      <w:rPr>
        <w:rFonts w:hint="default"/>
      </w:rPr>
    </w:lvl>
    <w:lvl w:ilvl="7">
      <w:start w:val="1"/>
      <w:numFmt w:val="bullet"/>
      <w:lvlText w:val="•"/>
      <w:lvlJc w:val="left"/>
      <w:pPr>
        <w:ind w:left="6226" w:hanging="527"/>
      </w:pPr>
      <w:rPr>
        <w:rFonts w:hint="default"/>
      </w:rPr>
    </w:lvl>
    <w:lvl w:ilvl="8">
      <w:start w:val="1"/>
      <w:numFmt w:val="bullet"/>
      <w:lvlText w:val="•"/>
      <w:lvlJc w:val="left"/>
      <w:pPr>
        <w:ind w:left="7131" w:hanging="527"/>
      </w:pPr>
      <w:rPr>
        <w:rFonts w:hint="default"/>
      </w:rPr>
    </w:lvl>
  </w:abstractNum>
  <w:abstractNum w:abstractNumId="5">
    <w:multiLevelType w:val="hybridMultilevel"/>
    <w:lvl w:ilvl="0">
      <w:start w:val="7"/>
      <w:numFmt w:val="decimal"/>
      <w:lvlText w:val="%1"/>
      <w:lvlJc w:val="left"/>
      <w:pPr>
        <w:ind w:left="668" w:hanging="404"/>
        <w:jc w:val="left"/>
      </w:pPr>
      <w:rPr>
        <w:rFonts w:hint="default"/>
      </w:rPr>
    </w:lvl>
    <w:lvl w:ilvl="1">
      <w:start w:val="1"/>
      <w:numFmt w:val="decimal"/>
      <w:lvlText w:val="%1.%2"/>
      <w:lvlJc w:val="left"/>
      <w:pPr>
        <w:ind w:left="3801" w:hanging="404"/>
        <w:jc w:val="left"/>
      </w:pPr>
      <w:rPr>
        <w:rFonts w:hint="default" w:ascii="Arial" w:hAnsi="Arial" w:eastAsia="Arial" w:cs="Arial"/>
        <w:b/>
        <w:bCs/>
        <w:w w:val="99"/>
        <w:sz w:val="24"/>
        <w:szCs w:val="24"/>
      </w:rPr>
    </w:lvl>
    <w:lvl w:ilvl="2">
      <w:start w:val="1"/>
      <w:numFmt w:val="bullet"/>
      <w:lvlText w:val="•"/>
      <w:lvlJc w:val="left"/>
      <w:pPr>
        <w:ind w:left="4402" w:hanging="404"/>
      </w:pPr>
      <w:rPr>
        <w:rFonts w:hint="default"/>
      </w:rPr>
    </w:lvl>
    <w:lvl w:ilvl="3">
      <w:start w:val="1"/>
      <w:numFmt w:val="bullet"/>
      <w:lvlText w:val="•"/>
      <w:lvlJc w:val="left"/>
      <w:pPr>
        <w:ind w:left="5004" w:hanging="404"/>
      </w:pPr>
      <w:rPr>
        <w:rFonts w:hint="default"/>
      </w:rPr>
    </w:lvl>
    <w:lvl w:ilvl="4">
      <w:start w:val="1"/>
      <w:numFmt w:val="bullet"/>
      <w:lvlText w:val="•"/>
      <w:lvlJc w:val="left"/>
      <w:pPr>
        <w:ind w:left="5606" w:hanging="404"/>
      </w:pPr>
      <w:rPr>
        <w:rFonts w:hint="default"/>
      </w:rPr>
    </w:lvl>
    <w:lvl w:ilvl="5">
      <w:start w:val="1"/>
      <w:numFmt w:val="bullet"/>
      <w:lvlText w:val="•"/>
      <w:lvlJc w:val="left"/>
      <w:pPr>
        <w:ind w:left="6208" w:hanging="404"/>
      </w:pPr>
      <w:rPr>
        <w:rFonts w:hint="default"/>
      </w:rPr>
    </w:lvl>
    <w:lvl w:ilvl="6">
      <w:start w:val="1"/>
      <w:numFmt w:val="bullet"/>
      <w:lvlText w:val="•"/>
      <w:lvlJc w:val="left"/>
      <w:pPr>
        <w:ind w:left="6811" w:hanging="404"/>
      </w:pPr>
      <w:rPr>
        <w:rFonts w:hint="default"/>
      </w:rPr>
    </w:lvl>
    <w:lvl w:ilvl="7">
      <w:start w:val="1"/>
      <w:numFmt w:val="bullet"/>
      <w:lvlText w:val="•"/>
      <w:lvlJc w:val="left"/>
      <w:pPr>
        <w:ind w:left="7413" w:hanging="404"/>
      </w:pPr>
      <w:rPr>
        <w:rFonts w:hint="default"/>
      </w:rPr>
    </w:lvl>
    <w:lvl w:ilvl="8">
      <w:start w:val="1"/>
      <w:numFmt w:val="bullet"/>
      <w:lvlText w:val="•"/>
      <w:lvlJc w:val="left"/>
      <w:pPr>
        <w:ind w:left="8015" w:hanging="404"/>
      </w:pPr>
      <w:rPr>
        <w:rFonts w:hint="default"/>
      </w:rPr>
    </w:lvl>
  </w:abstractNum>
  <w:abstractNum w:abstractNumId="4">
    <w:multiLevelType w:val="hybridMultilevel"/>
    <w:lvl w:ilvl="0">
      <w:start w:val="6"/>
      <w:numFmt w:val="decimal"/>
      <w:lvlText w:val="%1"/>
      <w:lvlJc w:val="left"/>
      <w:pPr>
        <w:ind w:left="670" w:hanging="406"/>
        <w:jc w:val="left"/>
      </w:pPr>
      <w:rPr>
        <w:rFonts w:hint="default"/>
      </w:rPr>
    </w:lvl>
    <w:lvl w:ilvl="1">
      <w:start w:val="1"/>
      <w:numFmt w:val="decimal"/>
      <w:lvlText w:val="%1.%2"/>
      <w:lvlJc w:val="left"/>
      <w:pPr>
        <w:ind w:left="265" w:hanging="406"/>
        <w:jc w:val="left"/>
      </w:pPr>
      <w:rPr>
        <w:rFonts w:hint="default" w:ascii="Arial" w:hAnsi="Arial" w:eastAsia="Arial" w:cs="Arial"/>
        <w:b/>
        <w:bCs/>
        <w:w w:val="99"/>
        <w:sz w:val="24"/>
        <w:szCs w:val="24"/>
      </w:rPr>
    </w:lvl>
    <w:lvl w:ilvl="2">
      <w:start w:val="1"/>
      <w:numFmt w:val="bullet"/>
      <w:lvlText w:val="•"/>
      <w:lvlJc w:val="left"/>
      <w:pPr>
        <w:ind w:left="1604" w:hanging="406"/>
      </w:pPr>
      <w:rPr>
        <w:rFonts w:hint="default"/>
      </w:rPr>
    </w:lvl>
    <w:lvl w:ilvl="3">
      <w:start w:val="1"/>
      <w:numFmt w:val="bullet"/>
      <w:lvlText w:val="•"/>
      <w:lvlJc w:val="left"/>
      <w:pPr>
        <w:ind w:left="2528" w:hanging="406"/>
      </w:pPr>
      <w:rPr>
        <w:rFonts w:hint="default"/>
      </w:rPr>
    </w:lvl>
    <w:lvl w:ilvl="4">
      <w:start w:val="1"/>
      <w:numFmt w:val="bullet"/>
      <w:lvlText w:val="•"/>
      <w:lvlJc w:val="left"/>
      <w:pPr>
        <w:ind w:left="3453" w:hanging="406"/>
      </w:pPr>
      <w:rPr>
        <w:rFonts w:hint="default"/>
      </w:rPr>
    </w:lvl>
    <w:lvl w:ilvl="5">
      <w:start w:val="1"/>
      <w:numFmt w:val="bullet"/>
      <w:lvlText w:val="•"/>
      <w:lvlJc w:val="left"/>
      <w:pPr>
        <w:ind w:left="4377" w:hanging="406"/>
      </w:pPr>
      <w:rPr>
        <w:rFonts w:hint="default"/>
      </w:rPr>
    </w:lvl>
    <w:lvl w:ilvl="6">
      <w:start w:val="1"/>
      <w:numFmt w:val="bullet"/>
      <w:lvlText w:val="•"/>
      <w:lvlJc w:val="left"/>
      <w:pPr>
        <w:ind w:left="5302" w:hanging="406"/>
      </w:pPr>
      <w:rPr>
        <w:rFonts w:hint="default"/>
      </w:rPr>
    </w:lvl>
    <w:lvl w:ilvl="7">
      <w:start w:val="1"/>
      <w:numFmt w:val="bullet"/>
      <w:lvlText w:val="•"/>
      <w:lvlJc w:val="left"/>
      <w:pPr>
        <w:ind w:left="6226" w:hanging="406"/>
      </w:pPr>
      <w:rPr>
        <w:rFonts w:hint="default"/>
      </w:rPr>
    </w:lvl>
    <w:lvl w:ilvl="8">
      <w:start w:val="1"/>
      <w:numFmt w:val="bullet"/>
      <w:lvlText w:val="•"/>
      <w:lvlJc w:val="left"/>
      <w:pPr>
        <w:ind w:left="7151" w:hanging="406"/>
      </w:pPr>
      <w:rPr>
        <w:rFonts w:hint="default"/>
      </w:rPr>
    </w:lvl>
  </w:abstractNum>
  <w:abstractNum w:abstractNumId="3">
    <w:multiLevelType w:val="hybridMultilevel"/>
    <w:lvl w:ilvl="0">
      <w:start w:val="5"/>
      <w:numFmt w:val="decimal"/>
      <w:lvlText w:val="%1"/>
      <w:lvlJc w:val="left"/>
      <w:pPr>
        <w:ind w:left="668" w:hanging="404"/>
        <w:jc w:val="left"/>
      </w:pPr>
      <w:rPr>
        <w:rFonts w:hint="default"/>
      </w:rPr>
    </w:lvl>
    <w:lvl w:ilvl="1">
      <w:start w:val="1"/>
      <w:numFmt w:val="decimal"/>
      <w:lvlText w:val="%1.%2"/>
      <w:lvlJc w:val="left"/>
      <w:pPr>
        <w:ind w:left="668" w:hanging="404"/>
        <w:jc w:val="left"/>
      </w:pPr>
      <w:rPr>
        <w:rFonts w:hint="default" w:ascii="Arial" w:hAnsi="Arial" w:eastAsia="Arial" w:cs="Arial"/>
        <w:b/>
        <w:bCs/>
        <w:w w:val="99"/>
        <w:sz w:val="24"/>
        <w:szCs w:val="24"/>
      </w:rPr>
    </w:lvl>
    <w:lvl w:ilvl="2">
      <w:start w:val="1"/>
      <w:numFmt w:val="bullet"/>
      <w:lvlText w:val="•"/>
      <w:lvlJc w:val="left"/>
      <w:pPr>
        <w:ind w:left="2316" w:hanging="404"/>
      </w:pPr>
      <w:rPr>
        <w:rFonts w:hint="default"/>
      </w:rPr>
    </w:lvl>
    <w:lvl w:ilvl="3">
      <w:start w:val="1"/>
      <w:numFmt w:val="bullet"/>
      <w:lvlText w:val="•"/>
      <w:lvlJc w:val="left"/>
      <w:pPr>
        <w:ind w:left="3144" w:hanging="404"/>
      </w:pPr>
      <w:rPr>
        <w:rFonts w:hint="default"/>
      </w:rPr>
    </w:lvl>
    <w:lvl w:ilvl="4">
      <w:start w:val="1"/>
      <w:numFmt w:val="bullet"/>
      <w:lvlText w:val="•"/>
      <w:lvlJc w:val="left"/>
      <w:pPr>
        <w:ind w:left="3972" w:hanging="404"/>
      </w:pPr>
      <w:rPr>
        <w:rFonts w:hint="default"/>
      </w:rPr>
    </w:lvl>
    <w:lvl w:ilvl="5">
      <w:start w:val="1"/>
      <w:numFmt w:val="bullet"/>
      <w:lvlText w:val="•"/>
      <w:lvlJc w:val="left"/>
      <w:pPr>
        <w:ind w:left="4800" w:hanging="404"/>
      </w:pPr>
      <w:rPr>
        <w:rFonts w:hint="default"/>
      </w:rPr>
    </w:lvl>
    <w:lvl w:ilvl="6">
      <w:start w:val="1"/>
      <w:numFmt w:val="bullet"/>
      <w:lvlText w:val="•"/>
      <w:lvlJc w:val="left"/>
      <w:pPr>
        <w:ind w:left="5628" w:hanging="404"/>
      </w:pPr>
      <w:rPr>
        <w:rFonts w:hint="default"/>
      </w:rPr>
    </w:lvl>
    <w:lvl w:ilvl="7">
      <w:start w:val="1"/>
      <w:numFmt w:val="bullet"/>
      <w:lvlText w:val="•"/>
      <w:lvlJc w:val="left"/>
      <w:pPr>
        <w:ind w:left="6456" w:hanging="404"/>
      </w:pPr>
      <w:rPr>
        <w:rFonts w:hint="default"/>
      </w:rPr>
    </w:lvl>
    <w:lvl w:ilvl="8">
      <w:start w:val="1"/>
      <w:numFmt w:val="bullet"/>
      <w:lvlText w:val="•"/>
      <w:lvlJc w:val="left"/>
      <w:pPr>
        <w:ind w:left="7284" w:hanging="404"/>
      </w:pPr>
      <w:rPr>
        <w:rFonts w:hint="default"/>
      </w:rPr>
    </w:lvl>
  </w:abstractNum>
  <w:abstractNum w:abstractNumId="2">
    <w:multiLevelType w:val="hybridMultilevel"/>
    <w:lvl w:ilvl="0">
      <w:start w:val="3"/>
      <w:numFmt w:val="upperRoman"/>
      <w:lvlText w:val="%1"/>
      <w:lvlJc w:val="left"/>
      <w:pPr>
        <w:ind w:left="536" w:hanging="272"/>
        <w:jc w:val="left"/>
      </w:pPr>
      <w:rPr>
        <w:rFonts w:hint="default" w:ascii="Arial" w:hAnsi="Arial" w:eastAsia="Arial" w:cs="Arial"/>
        <w:b/>
        <w:bCs/>
        <w:spacing w:val="-1"/>
        <w:w w:val="87"/>
        <w:sz w:val="28"/>
        <w:szCs w:val="28"/>
      </w:rPr>
    </w:lvl>
    <w:lvl w:ilvl="1">
      <w:start w:val="1"/>
      <w:numFmt w:val="bullet"/>
      <w:lvlText w:val="•"/>
      <w:lvlJc w:val="left"/>
      <w:pPr>
        <w:ind w:left="1380" w:hanging="272"/>
      </w:pPr>
      <w:rPr>
        <w:rFonts w:hint="default"/>
      </w:rPr>
    </w:lvl>
    <w:lvl w:ilvl="2">
      <w:start w:val="1"/>
      <w:numFmt w:val="bullet"/>
      <w:lvlText w:val="•"/>
      <w:lvlJc w:val="left"/>
      <w:pPr>
        <w:ind w:left="2220" w:hanging="272"/>
      </w:pPr>
      <w:rPr>
        <w:rFonts w:hint="default"/>
      </w:rPr>
    </w:lvl>
    <w:lvl w:ilvl="3">
      <w:start w:val="1"/>
      <w:numFmt w:val="bullet"/>
      <w:lvlText w:val="•"/>
      <w:lvlJc w:val="left"/>
      <w:pPr>
        <w:ind w:left="3060" w:hanging="272"/>
      </w:pPr>
      <w:rPr>
        <w:rFonts w:hint="default"/>
      </w:rPr>
    </w:lvl>
    <w:lvl w:ilvl="4">
      <w:start w:val="1"/>
      <w:numFmt w:val="bullet"/>
      <w:lvlText w:val="•"/>
      <w:lvlJc w:val="left"/>
      <w:pPr>
        <w:ind w:left="3900" w:hanging="272"/>
      </w:pPr>
      <w:rPr>
        <w:rFonts w:hint="default"/>
      </w:rPr>
    </w:lvl>
    <w:lvl w:ilvl="5">
      <w:start w:val="1"/>
      <w:numFmt w:val="bullet"/>
      <w:lvlText w:val="•"/>
      <w:lvlJc w:val="left"/>
      <w:pPr>
        <w:ind w:left="4740" w:hanging="272"/>
      </w:pPr>
      <w:rPr>
        <w:rFonts w:hint="default"/>
      </w:rPr>
    </w:lvl>
    <w:lvl w:ilvl="6">
      <w:start w:val="1"/>
      <w:numFmt w:val="bullet"/>
      <w:lvlText w:val="•"/>
      <w:lvlJc w:val="left"/>
      <w:pPr>
        <w:ind w:left="5580" w:hanging="272"/>
      </w:pPr>
      <w:rPr>
        <w:rFonts w:hint="default"/>
      </w:rPr>
    </w:lvl>
    <w:lvl w:ilvl="7">
      <w:start w:val="1"/>
      <w:numFmt w:val="bullet"/>
      <w:lvlText w:val="•"/>
      <w:lvlJc w:val="left"/>
      <w:pPr>
        <w:ind w:left="6420" w:hanging="272"/>
      </w:pPr>
      <w:rPr>
        <w:rFonts w:hint="default"/>
      </w:rPr>
    </w:lvl>
    <w:lvl w:ilvl="8">
      <w:start w:val="1"/>
      <w:numFmt w:val="bullet"/>
      <w:lvlText w:val="•"/>
      <w:lvlJc w:val="left"/>
      <w:pPr>
        <w:ind w:left="7260" w:hanging="272"/>
      </w:pPr>
      <w:rPr>
        <w:rFonts w:hint="default"/>
      </w:rPr>
    </w:lvl>
  </w:abstractNum>
  <w:abstractNum w:abstractNumId="1">
    <w:multiLevelType w:val="hybridMultilevel"/>
    <w:lvl w:ilvl="0">
      <w:start w:val="2"/>
      <w:numFmt w:val="decimal"/>
      <w:lvlText w:val="%1"/>
      <w:lvlJc w:val="left"/>
      <w:pPr>
        <w:ind w:left="670" w:hanging="406"/>
        <w:jc w:val="left"/>
      </w:pPr>
      <w:rPr>
        <w:rFonts w:hint="default"/>
      </w:rPr>
    </w:lvl>
    <w:lvl w:ilvl="1">
      <w:start w:val="1"/>
      <w:numFmt w:val="decimal"/>
      <w:lvlText w:val="%1.%2"/>
      <w:lvlJc w:val="left"/>
      <w:pPr>
        <w:ind w:left="670" w:hanging="406"/>
        <w:jc w:val="left"/>
      </w:pPr>
      <w:rPr>
        <w:rFonts w:hint="default" w:ascii="Arial" w:hAnsi="Arial" w:eastAsia="Arial" w:cs="Arial"/>
        <w:b/>
        <w:bCs/>
        <w:w w:val="99"/>
        <w:sz w:val="24"/>
        <w:szCs w:val="24"/>
      </w:rPr>
    </w:lvl>
    <w:lvl w:ilvl="2">
      <w:start w:val="1"/>
      <w:numFmt w:val="bullet"/>
      <w:lvlText w:val="•"/>
      <w:lvlJc w:val="left"/>
      <w:pPr>
        <w:ind w:left="1597" w:hanging="406"/>
      </w:pPr>
      <w:rPr>
        <w:rFonts w:hint="default"/>
      </w:rPr>
    </w:lvl>
    <w:lvl w:ilvl="3">
      <w:start w:val="1"/>
      <w:numFmt w:val="bullet"/>
      <w:lvlText w:val="•"/>
      <w:lvlJc w:val="left"/>
      <w:pPr>
        <w:ind w:left="2515" w:hanging="406"/>
      </w:pPr>
      <w:rPr>
        <w:rFonts w:hint="default"/>
      </w:rPr>
    </w:lvl>
    <w:lvl w:ilvl="4">
      <w:start w:val="1"/>
      <w:numFmt w:val="bullet"/>
      <w:lvlText w:val="•"/>
      <w:lvlJc w:val="left"/>
      <w:pPr>
        <w:ind w:left="3433" w:hanging="406"/>
      </w:pPr>
      <w:rPr>
        <w:rFonts w:hint="default"/>
      </w:rPr>
    </w:lvl>
    <w:lvl w:ilvl="5">
      <w:start w:val="1"/>
      <w:numFmt w:val="bullet"/>
      <w:lvlText w:val="•"/>
      <w:lvlJc w:val="left"/>
      <w:pPr>
        <w:ind w:left="4351" w:hanging="406"/>
      </w:pPr>
      <w:rPr>
        <w:rFonts w:hint="default"/>
      </w:rPr>
    </w:lvl>
    <w:lvl w:ilvl="6">
      <w:start w:val="1"/>
      <w:numFmt w:val="bullet"/>
      <w:lvlText w:val="•"/>
      <w:lvlJc w:val="left"/>
      <w:pPr>
        <w:ind w:left="5268" w:hanging="406"/>
      </w:pPr>
      <w:rPr>
        <w:rFonts w:hint="default"/>
      </w:rPr>
    </w:lvl>
    <w:lvl w:ilvl="7">
      <w:start w:val="1"/>
      <w:numFmt w:val="bullet"/>
      <w:lvlText w:val="•"/>
      <w:lvlJc w:val="left"/>
      <w:pPr>
        <w:ind w:left="6186" w:hanging="406"/>
      </w:pPr>
      <w:rPr>
        <w:rFonts w:hint="default"/>
      </w:rPr>
    </w:lvl>
    <w:lvl w:ilvl="8">
      <w:start w:val="1"/>
      <w:numFmt w:val="bullet"/>
      <w:lvlText w:val="•"/>
      <w:lvlJc w:val="left"/>
      <w:pPr>
        <w:ind w:left="7104" w:hanging="406"/>
      </w:pPr>
      <w:rPr>
        <w:rFonts w:hint="default"/>
      </w:rPr>
    </w:lvl>
  </w:abstractNum>
  <w:abstractNum w:abstractNumId="0">
    <w:multiLevelType w:val="hybridMultilevel"/>
    <w:lvl w:ilvl="0">
      <w:start w:val="1"/>
      <w:numFmt w:val="upperRoman"/>
      <w:lvlText w:val="%1"/>
      <w:lvlJc w:val="left"/>
      <w:pPr>
        <w:ind w:left="399" w:hanging="135"/>
        <w:jc w:val="left"/>
      </w:pPr>
      <w:rPr>
        <w:rFonts w:hint="default" w:ascii="Arial" w:hAnsi="Arial" w:eastAsia="Arial" w:cs="Arial"/>
        <w:b/>
        <w:bCs/>
        <w:w w:val="87"/>
        <w:sz w:val="28"/>
        <w:szCs w:val="28"/>
      </w:rPr>
    </w:lvl>
    <w:lvl w:ilvl="1">
      <w:start w:val="1"/>
      <w:numFmt w:val="bullet"/>
      <w:lvlText w:val="•"/>
      <w:lvlJc w:val="left"/>
      <w:pPr>
        <w:ind w:left="400" w:hanging="135"/>
      </w:pPr>
      <w:rPr>
        <w:rFonts w:hint="default"/>
      </w:rPr>
    </w:lvl>
    <w:lvl w:ilvl="2">
      <w:start w:val="1"/>
      <w:numFmt w:val="bullet"/>
      <w:lvlText w:val="•"/>
      <w:lvlJc w:val="left"/>
      <w:pPr>
        <w:ind w:left="1348" w:hanging="135"/>
      </w:pPr>
      <w:rPr>
        <w:rFonts w:hint="default"/>
      </w:rPr>
    </w:lvl>
    <w:lvl w:ilvl="3">
      <w:start w:val="1"/>
      <w:numFmt w:val="bullet"/>
      <w:lvlText w:val="•"/>
      <w:lvlJc w:val="left"/>
      <w:pPr>
        <w:ind w:left="2297" w:hanging="135"/>
      </w:pPr>
      <w:rPr>
        <w:rFonts w:hint="default"/>
      </w:rPr>
    </w:lvl>
    <w:lvl w:ilvl="4">
      <w:start w:val="1"/>
      <w:numFmt w:val="bullet"/>
      <w:lvlText w:val="•"/>
      <w:lvlJc w:val="left"/>
      <w:pPr>
        <w:ind w:left="3246" w:hanging="135"/>
      </w:pPr>
      <w:rPr>
        <w:rFonts w:hint="default"/>
      </w:rPr>
    </w:lvl>
    <w:lvl w:ilvl="5">
      <w:start w:val="1"/>
      <w:numFmt w:val="bullet"/>
      <w:lvlText w:val="•"/>
      <w:lvlJc w:val="left"/>
      <w:pPr>
        <w:ind w:left="4195" w:hanging="135"/>
      </w:pPr>
      <w:rPr>
        <w:rFonts w:hint="default"/>
      </w:rPr>
    </w:lvl>
    <w:lvl w:ilvl="6">
      <w:start w:val="1"/>
      <w:numFmt w:val="bullet"/>
      <w:lvlText w:val="•"/>
      <w:lvlJc w:val="left"/>
      <w:pPr>
        <w:ind w:left="5144" w:hanging="135"/>
      </w:pPr>
      <w:rPr>
        <w:rFonts w:hint="default"/>
      </w:rPr>
    </w:lvl>
    <w:lvl w:ilvl="7">
      <w:start w:val="1"/>
      <w:numFmt w:val="bullet"/>
      <w:lvlText w:val="•"/>
      <w:lvlJc w:val="left"/>
      <w:pPr>
        <w:ind w:left="6093" w:hanging="135"/>
      </w:pPr>
      <w:rPr>
        <w:rFonts w:hint="default"/>
      </w:rPr>
    </w:lvl>
    <w:lvl w:ilvl="8">
      <w:start w:val="1"/>
      <w:numFmt w:val="bullet"/>
      <w:lvlText w:val="•"/>
      <w:lvlJc w:val="left"/>
      <w:pPr>
        <w:ind w:left="7042" w:hanging="135"/>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265"/>
      <w:outlineLvl w:val="1"/>
    </w:pPr>
    <w:rPr>
      <w:rFonts w:ascii="Arial" w:hAnsi="Arial" w:eastAsia="Arial" w:cs="Arial"/>
      <w:b/>
      <w:bCs/>
      <w:sz w:val="28"/>
      <w:szCs w:val="28"/>
    </w:rPr>
  </w:style>
  <w:style w:styleId="Heading2" w:type="paragraph">
    <w:name w:val="Heading 2"/>
    <w:basedOn w:val="Normal"/>
    <w:uiPriority w:val="1"/>
    <w:qFormat/>
    <w:pPr>
      <w:ind w:left="668" w:hanging="403"/>
      <w:outlineLvl w:val="2"/>
    </w:pPr>
    <w:rPr>
      <w:rFonts w:ascii="Arial" w:hAnsi="Arial" w:eastAsia="Arial" w:cs="Arial"/>
      <w:b/>
      <w:bCs/>
      <w:sz w:val="24"/>
      <w:szCs w:val="24"/>
    </w:rPr>
  </w:style>
  <w:style w:styleId="Heading3" w:type="paragraph">
    <w:name w:val="Heading 3"/>
    <w:basedOn w:val="Normal"/>
    <w:uiPriority w:val="1"/>
    <w:qFormat/>
    <w:pPr>
      <w:ind w:left="615" w:hanging="350"/>
      <w:jc w:val="both"/>
      <w:outlineLvl w:val="3"/>
    </w:pPr>
    <w:rPr>
      <w:rFonts w:ascii="Arial" w:hAnsi="Arial" w:eastAsia="Arial" w:cs="Arial"/>
      <w:b/>
      <w:bCs/>
      <w:i/>
      <w:sz w:val="24"/>
      <w:szCs w:val="24"/>
    </w:rPr>
  </w:style>
  <w:style w:styleId="ListParagraph" w:type="paragraph">
    <w:name w:val="List Paragraph"/>
    <w:basedOn w:val="Normal"/>
    <w:uiPriority w:val="1"/>
    <w:qFormat/>
    <w:pPr>
      <w:spacing w:before="8"/>
      <w:ind w:left="985" w:hanging="360"/>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jpeg"/><Relationship Id="rId10" Type="http://schemas.openxmlformats.org/officeDocument/2006/relationships/footer" Target="footer4.xml"/><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image" Target="media/image5.jpeg"/><Relationship Id="rId16" Type="http://schemas.openxmlformats.org/officeDocument/2006/relationships/footer" Target="footer7.xml"/><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image" Target="media/image8.jpeg"/><Relationship Id="rId20" Type="http://schemas.openxmlformats.org/officeDocument/2006/relationships/image" Target="media/image9.jpeg"/><Relationship Id="rId21" Type="http://schemas.openxmlformats.org/officeDocument/2006/relationships/image" Target="media/image10.jpeg"/><Relationship Id="rId22" Type="http://schemas.openxmlformats.org/officeDocument/2006/relationships/image" Target="media/image11.jpeg"/><Relationship Id="rId23" Type="http://schemas.openxmlformats.org/officeDocument/2006/relationships/footer" Target="footer8.xml"/><Relationship Id="rId24" Type="http://schemas.openxmlformats.org/officeDocument/2006/relationships/hyperlink" Target="mailto:armandres@gmail.com" TargetMode="External"/><Relationship Id="rId25" Type="http://schemas.openxmlformats.org/officeDocument/2006/relationships/footer" Target="footer9.xml"/><Relationship Id="rId26" Type="http://schemas.openxmlformats.org/officeDocument/2006/relationships/footer" Target="footer10.xml"/><Relationship Id="rId27" Type="http://schemas.openxmlformats.org/officeDocument/2006/relationships/hyperlink" Target="http://www.R-project.org/" TargetMode="External"/><Relationship Id="rId28" Type="http://schemas.openxmlformats.org/officeDocument/2006/relationships/footer" Target="footer11.xml"/><Relationship Id="rId29" Type="http://schemas.openxmlformats.org/officeDocument/2006/relationships/image" Target="media/image12.jpeg"/><Relationship Id="rId30" Type="http://schemas.openxmlformats.org/officeDocument/2006/relationships/footer" Target="footer12.xml"/><Relationship Id="rId31" Type="http://schemas.openxmlformats.org/officeDocument/2006/relationships/image" Target="media/image13.jpeg"/><Relationship Id="rId32" Type="http://schemas.openxmlformats.org/officeDocument/2006/relationships/footer" Target="footer13.xml"/><Relationship Id="rId33" Type="http://schemas.openxmlformats.org/officeDocument/2006/relationships/image" Target="media/image14.jpeg"/><Relationship Id="rId34" Type="http://schemas.openxmlformats.org/officeDocument/2006/relationships/footer" Target="footer14.xml"/><Relationship Id="rId35" Type="http://schemas.openxmlformats.org/officeDocument/2006/relationships/image" Target="media/image15.jpeg"/><Relationship Id="rId36" Type="http://schemas.openxmlformats.org/officeDocument/2006/relationships/hyperlink" Target="http://www.ncbi.nlm.nih.gov/Genbank/)" TargetMode="External"/><Relationship Id="rId37" Type="http://schemas.openxmlformats.org/officeDocument/2006/relationships/footer" Target="footer15.xml"/><Relationship Id="rId38" Type="http://schemas.openxmlformats.org/officeDocument/2006/relationships/footer" Target="footer16.xml"/><Relationship Id="rId39" Type="http://schemas.openxmlformats.org/officeDocument/2006/relationships/image" Target="media/image16.jpeg"/><Relationship Id="rId40" Type="http://schemas.openxmlformats.org/officeDocument/2006/relationships/image" Target="media/image17.png"/><Relationship Id="rId41" Type="http://schemas.openxmlformats.org/officeDocument/2006/relationships/image" Target="media/image18.jpeg"/><Relationship Id="rId42" Type="http://schemas.openxmlformats.org/officeDocument/2006/relationships/footer" Target="footer17.xml"/><Relationship Id="rId43" Type="http://schemas.openxmlformats.org/officeDocument/2006/relationships/footer" Target="footer18.xml"/><Relationship Id="rId44" Type="http://schemas.openxmlformats.org/officeDocument/2006/relationships/hyperlink" Target="http://www.r-project.org/" TargetMode="External"/><Relationship Id="rId45" Type="http://schemas.openxmlformats.org/officeDocument/2006/relationships/hyperlink" Target="http://www.springerlink.com/content/100448/?p=2cabaf97180b41e8b4e0a9084b1ce80d&amp;amp;pi=0" TargetMode="External"/><Relationship Id="rId46" Type="http://schemas.openxmlformats.org/officeDocument/2006/relationships/footer" Target="footer19.xml"/><Relationship Id="rId47" Type="http://schemas.openxmlformats.org/officeDocument/2006/relationships/footer" Target="footer20.xml"/><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dc:creator>
  <dc:title>145977 717..727</dc:title>
  <dcterms:created xsi:type="dcterms:W3CDTF">2017-05-24T01:06:17Z</dcterms:created>
  <dcterms:modified xsi:type="dcterms:W3CDTF">2017-05-24T01:06:17Z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2013-02-17T00:00:00Z</vt:filetime>
  </property>
  <property fmtid="{D5CDD505-2E9C-101B-9397-08002B2CF9AE}" pid="3" name="Creator">
    <vt:lpwstr>Microsoft® Word 2010</vt:lpwstr>
  </property>
  <property fmtid="{D5CDD505-2E9C-101B-9397-08002B2CF9AE}" pid="4" name="LastSaved">
    <vt:filetime>2017-05-23T00:00:00Z</vt:filetime>
  </property>
</Properties>
</file>