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 style="position:absolute;margin-left:534.451904pt;margin-top:42.542137pt;width:5.95pt;height:8.25pt;mso-position-horizontal-relative:page;mso-position-vertical-relative:page;z-index:1216;rotation:1" type="#_x0000_t136" fillcolor="#23201d" stroked="f">
            <o:extrusion v:ext="view" autorotationcenter="t"/>
            <v:textpath style="font-family:&amp;quot;Arial&amp;quot;;font-size:8pt;v-text-kern:t;mso-text-shadow:auto;font-weight:bold" string="R"/>
            <w10:wrap type="none"/>
          </v:shape>
        </w:pict>
      </w:r>
      <w:r>
        <w:rPr/>
        <w:pict>
          <v:shape style="position:absolute;margin-left:540.968872pt;margin-top:43.326164pt;width:5.5pt;height:8.25pt;mso-position-horizontal-relative:page;mso-position-vertical-relative:page;z-index:1240;rotation:13" type="#_x0000_t136" fillcolor="#23201d" stroked="f">
            <o:extrusion v:ext="view" autorotationcenter="t"/>
            <v:textpath style="font-family:&amp;quot;Arial&amp;quot;;font-size:8pt;v-text-kern:t;mso-text-shadow:auto;font-weight:bold" string="S"/>
            <w10:wrap type="none"/>
          </v:shape>
        </w:pict>
      </w:r>
      <w:r>
        <w:rPr/>
        <w:pict>
          <v:shape style="position:absolute;margin-left:546.293884pt;margin-top:44.343281pt;width:2.4pt;height:8.25pt;mso-position-horizontal-relative:page;mso-position-vertical-relative:page;z-index:1264;rotation:17" type="#_x0000_t136" fillcolor="#23201d" stroked="f">
            <o:extrusion v:ext="view" autorotationcenter="t"/>
            <v:textpath style="font-family:&amp;quot;Arial&amp;quot;;font-size:8pt;v-text-kern:t;mso-text-shadow:auto;font-weight:bold" string="I"/>
            <w10:wrap type="none"/>
          </v:shape>
        </w:pict>
      </w:r>
      <w:r>
        <w:rPr/>
        <w:pict>
          <v:shape style="position:absolute;margin-left:548.508057pt;margin-top:45.715191pt;width:5.15pt;height:8.25pt;mso-position-horizontal-relative:page;mso-position-vertical-relative:page;z-index:1288;rotation:23" type="#_x0000_t136" fillcolor="#23201d" stroked="f">
            <o:extrusion v:ext="view" autorotationcenter="t"/>
            <v:textpath style="font-family:&amp;quot;Arial&amp;quot;;font-size:8pt;v-text-kern:t;mso-text-shadow:auto;font-weight:bold" string="T"/>
            <w10:wrap type="none"/>
          </v:shape>
        </w:pict>
      </w:r>
      <w:r>
        <w:rPr/>
        <w:pict>
          <v:shape style="position:absolute;margin-left:552.720276pt;margin-top:48.269917pt;width:6pt;height:8.25pt;mso-position-horizontal-relative:page;mso-position-vertical-relative:page;z-index:1312;rotation:32" type="#_x0000_t136" fillcolor="#23201d" stroked="f">
            <o:extrusion v:ext="view" autorotationcenter="t"/>
            <v:textpath style="font-family:&amp;quot;Arial&amp;quot;;font-size:8pt;v-text-kern:t;mso-text-shadow:auto;font-weight:bold" string="A"/>
            <w10:wrap type="none"/>
          </v:shape>
        </w:pict>
      </w:r>
      <w:r>
        <w:rPr/>
        <w:pict>
          <v:shape style="position:absolute;margin-left:557.765198pt;margin-top:52.226837pt;width:6pt;height:8.25pt;mso-position-horizontal-relative:page;mso-position-vertical-relative:page;z-index:1336;rotation:43" type="#_x0000_t136" fillcolor="#23201d" stroked="f">
            <o:extrusion v:ext="view" autorotationcenter="t"/>
            <v:textpath style="font-family:&amp;quot;Arial&amp;quot;;font-size:8pt;v-text-kern:t;mso-text-shadow:auto;font-weight:bold" string="R"/>
            <w10:wrap type="none"/>
          </v:shape>
        </w:pict>
      </w:r>
      <w:r>
        <w:rPr/>
        <w:pict>
          <v:shape style="position:absolute;margin-left:562.600208pt;margin-top:55.379739pt;width:2.35pt;height:8.25pt;mso-position-horizontal-relative:page;mso-position-vertical-relative:page;z-index:1360;rotation:49" type="#_x0000_t136" fillcolor="#23201d" stroked="f">
            <o:extrusion v:ext="view" autorotationcenter="t"/>
            <v:textpath style="font-family:&amp;quot;Arial&amp;quot;;font-size:8pt;v-text-kern:t;mso-text-shadow:auto;font-weight:bold" string="I"/>
            <w10:wrap type="none"/>
          </v:shape>
        </w:pict>
      </w:r>
      <w:r>
        <w:rPr/>
        <w:pict>
          <v:shape style="position:absolute;margin-left:509.780212pt;margin-top:50.961624pt;width:6pt;height:8.25pt;mso-position-horizontal-relative:page;mso-position-vertical-relative:page;z-index:1648;rotation:320" type="#_x0000_t136" fillcolor="#23201d" stroked="f">
            <o:extrusion v:ext="view" autorotationcenter="t"/>
            <v:textpath style="font-family:&amp;quot;Arial&amp;quot;;font-size:8pt;v-text-kern:t;mso-text-shadow:auto;font-weight:bold" string="U"/>
            <w10:wrap type="none"/>
          </v:shape>
        </w:pict>
      </w:r>
      <w:r>
        <w:rPr/>
        <w:pict>
          <v:shape style="position:absolute;margin-left:515.052002pt;margin-top:47.333996pt;width:5.95pt;height:8.25pt;mso-position-horizontal-relative:page;mso-position-vertical-relative:page;z-index:1672;rotation:331" type="#_x0000_t136" fillcolor="#23201d" stroked="f">
            <o:extrusion v:ext="view" autorotationcenter="t"/>
            <v:textpath style="font-family:&amp;quot;Arial&amp;quot;;font-size:8pt;v-text-kern:t;mso-text-shadow:auto;font-weight:bold" string="N"/>
            <w10:wrap type="none"/>
          </v:shape>
        </w:pict>
      </w:r>
      <w:r>
        <w:rPr/>
        <w:pict>
          <v:shape style="position:absolute;margin-left:520.636292pt;margin-top:45.301983pt;width:2.4pt;height:8.25pt;mso-position-horizontal-relative:page;mso-position-vertical-relative:page;z-index:1696;rotation:337" type="#_x0000_t136" fillcolor="#23201d" stroked="f">
            <o:extrusion v:ext="view" autorotationcenter="t"/>
            <v:textpath style="font-family:&amp;quot;Arial&amp;quot;;font-size:8pt;v-text-kern:t;mso-text-shadow:auto;font-weight:bold" string="I"/>
            <w10:wrap type="none"/>
          </v:shape>
        </w:pict>
      </w:r>
      <w:r>
        <w:rPr/>
        <w:pict>
          <v:shape style="position:absolute;margin-left:522.989136pt;margin-top:44.009159pt;width:5.6pt;height:8.25pt;mso-position-horizontal-relative:page;mso-position-vertical-relative:page;z-index:1720;rotation:346" type="#_x0000_t136" fillcolor="#23201d" stroked="f">
            <o:extrusion v:ext="view" autorotationcenter="t"/>
            <v:textpath style="font-family:&amp;quot;Arial&amp;quot;;font-size:8pt;v-text-kern:t;mso-text-shadow:auto;font-weight:bold" string="V"/>
            <w10:wrap type="none"/>
          </v:shape>
        </w:pict>
      </w:r>
      <w:r>
        <w:rPr/>
        <w:pict>
          <v:shape style="position:absolute;margin-left:528.768311pt;margin-top:42.78508pt;width:5.5pt;height:8.25pt;mso-position-horizontal-relative:page;mso-position-vertical-relative:page;z-index:1744;rotation:353" type="#_x0000_t136" fillcolor="#23201d" stroked="f">
            <o:extrusion v:ext="view" autorotationcenter="t"/>
            <v:textpath style="font-family:&amp;quot;Arial&amp;quot;;font-size:8pt;v-text-kern:t;mso-text-shadow:auto;font-weight:bold" string="E"/>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p>
    <w:p>
      <w:pPr>
        <w:pStyle w:val="Heading3"/>
        <w:ind w:left="422"/>
        <w:jc w:val="center"/>
      </w:pPr>
      <w:r>
        <w:rPr/>
        <w:pict>
          <v:line style="position:absolute;mso-position-horizontal-relative:page;mso-position-vertical-relative:paragraph;z-index:1048" from="78pt,-33.524155pt" to="78.456pt,351.755845pt" stroked="true" strokeweight=".96pt" strokecolor="#00703c">
            <w10:wrap type="none"/>
          </v:line>
        </w:pict>
      </w:r>
      <w:r>
        <w:rPr/>
        <w:pict>
          <v:line style="position:absolute;mso-position-horizontal-relative:page;mso-position-vertical-relative:paragraph;z-index:1072" from="72.261pt,-33.524155pt" to="72pt,489.765845pt" stroked="true" strokeweight=".96pt" strokecolor="#00703c">
            <w10:wrap type="none"/>
          </v:line>
        </w:pict>
      </w:r>
      <w:r>
        <w:rPr/>
        <w:pict>
          <v:line style="position:absolute;mso-position-horizontal-relative:page;mso-position-vertical-relative:paragraph;z-index:1096" from="66.480003pt,-32.684155pt" to="66.676003pt,571.435845pt" stroked="true" strokeweight=".96pt" strokecolor="#00703c">
            <w10:wrap type="none"/>
          </v:line>
        </w:pict>
      </w:r>
      <w:r>
        <w:rPr/>
        <w:pict>
          <v:group style="position:absolute;margin-left:87.120003pt;margin-top:-30.644154pt;width:461.05pt;height:618pt;mso-position-horizontal-relative:page;mso-position-vertical-relative:paragraph;z-index:-354856" coordorigin="1742,-613" coordsize="9221,12360">
            <v:shape style="position:absolute;left:1742;top:-613;width:9180;height:12300" type="#_x0000_t75" stroked="false">
              <v:imagedata r:id="rId5" o:title=""/>
            </v:shape>
            <v:rect style="position:absolute;left:10157;top:11325;width:806;height:422" filled="true" fillcolor="#ffffff" stroked="false">
              <v:fill type="solid"/>
            </v:rect>
            <w10:wrap type="none"/>
          </v:group>
        </w:pict>
      </w:r>
      <w:r>
        <w:rPr/>
        <w:pict>
          <v:group style="position:absolute;margin-left:27.84pt;margin-top:-118.124153pt;width:458.4pt;height:80.05pt;mso-position-horizontal-relative:page;mso-position-vertical-relative:paragraph;z-index:1144" coordorigin="557,-2362" coordsize="9168,1601">
            <v:shape style="position:absolute;left:2414;top:-1498;width:7228;height:195" coordorigin="2414,-1498" coordsize="7228,195" path="m2414,-1498l7822,-1498m2414,-1400l8732,-1400m2414,-1304l9642,-1304e" filled="false" stroked="true" strokeweight=".96pt" strokecolor="#007339">
              <v:path arrowok="t"/>
            </v:shape>
            <v:shape style="position:absolute;left:2390;top:-2077;width:7334;height:348" type="#_x0000_t75" stroked="false">
              <v:imagedata r:id="rId6" o:title=""/>
            </v:shape>
            <v:shape style="position:absolute;left:2685;top:-2070;width:6747;height:220" type="#_x0000_t75" stroked="false">
              <v:imagedata r:id="rId7" o:title=""/>
            </v:shape>
            <v:shape style="position:absolute;left:557;top:-2362;width:1788;height:1601" type="#_x0000_t75" stroked="false">
              <v:imagedata r:id="rId8" o:title=""/>
            </v:shape>
            <w10:wrap type="none"/>
          </v:group>
        </w:pict>
      </w:r>
      <w:r>
        <w:rPr/>
        <w:pict>
          <v:group style="position:absolute;margin-left:508.478943pt;margin-top:-103.734406pt;width:55.05pt;height:65.55pt;mso-position-horizontal-relative:page;mso-position-vertical-relative:paragraph;z-index:1168" coordorigin="10170,-2075" coordsize="1101,1311">
            <v:shape style="position:absolute;left:10170;top:-2075;width:1101;height:1017" type="#_x0000_t75" stroked="false">
              <v:imagedata r:id="rId9" o:title=""/>
            </v:shape>
            <v:shape style="position:absolute;left:10188;top:-1082;width:1068;height:318" coordorigin="10188,-1082" coordsize="1068,318" path="m10358,-987l10303,-884,10382,-841,10391,-859,10333,-890,10349,-917,10392,-917,10358,-935,10370,-957,10416,-957,10358,-987xm10392,-917l10349,-917,10400,-890,10409,-908,10392,-917xm10416,-957l10370,-957,10424,-929,10433,-948,10416,-957xm10242,-1082l10227,-1067,10255,-1045,10188,-972,10206,-957,10273,-1027,10302,-1027,10242,-1082xm10302,-1027l10273,-1027,10297,-1006,10309,-1021,10302,-1027xm10545,-835l10521,-835,10537,-789,10564,-780,10545,-835xm10494,-923l10512,-859,10458,-810,10485,-804,10521,-835,10545,-835,10540,-850,10564,-871,10534,-871,10521,-914,10494,-923xm10567,-902l10534,-871,10564,-871,10591,-896,10567,-902xm10715,-887l10700,-887,10689,-886,10679,-884,10670,-879,10661,-871,10655,-863,10650,-853,10647,-840,10646,-826,10645,-813,10647,-802,10652,-792,10658,-783,10665,-775,10674,-770,10685,-767,10697,-764,10709,-764,10718,-768,10737,-780,10741,-786,10688,-786,10682,-789,10676,-795,10670,-801,10670,-841,10673,-853,10679,-859,10685,-865,10691,-868,10740,-868,10737,-871,10728,-881,10715,-887xm10721,-810l10721,-801,10718,-795,10712,-792,10709,-789,10703,-786,10741,-786,10743,-789,10746,-801,10721,-810xm10740,-868l10691,-868,10700,-865,10712,-865,10715,-862,10718,-856,10721,-853,10725,-847,10746,-850,10746,-859,10740,-868xm10871,-900l10858,-899,10840,-893,10834,-890,10831,-884,10828,-881,10822,-874,10819,-868,10819,-862,10816,-856,10816,-838,10819,-826,10822,-813,10827,-802,10834,-793,10843,-786,10852,-782,10863,-780,10875,-780,10888,-783,10899,-786,10909,-792,10917,-798,10873,-798,10864,-801,10858,-804,10849,-810,10846,-819,10843,-832,10840,-847,10840,-856,10843,-865,10846,-871,10855,-877,10864,-881,10917,-881,10912,-887,10903,-893,10892,-898,10882,-900,10871,-900xm10917,-881l10882,-881,10888,-874,10894,-871,10900,-862,10903,-850,10907,-835,10907,-826,10903,-816,10897,-810,10891,-804,10873,-798,10917,-798,10917,-799,10925,-807,10929,-817,10931,-828,10931,-840,10928,-853,10924,-866,10919,-877,10917,-881xm11046,-963l11034,-963,11019,-954,11010,-948,11002,-941,10995,-932,10991,-923,10990,-912,10991,-900,10995,-888,11000,-874,11006,-864,11013,-855,11022,-848,11031,-844,11042,-841,11052,-841,11062,-843,11073,-847,11085,-853,11091,-859,11049,-859,11040,-862,11034,-865,11028,-874,11019,-887,11013,-902,11013,-917,11016,-926,11019,-932,11028,-935,11040,-942,11073,-942,11076,-945,11070,-954,11064,-957,11046,-963xm11101,-902l11076,-899,11079,-890,11079,-884,11073,-871,11070,-868,11064,-865,11055,-859,11091,-859,11098,-868,11101,-877,11101,-902xm11073,-942l11040,-942,11046,-939,11049,-939,11055,-935,11058,-929,11073,-942xm11186,-1058l11175,-1056,11165,-1052,11155,-1045,11149,-1036,11143,-1030,11140,-1024,11137,-1018,11137,-1012,11134,-1006,11134,-1000,11137,-994,11137,-987,11140,-978,11152,-960,11162,-951,11172,-945,11183,-940,11195,-939,11204,-938,11214,-940,11224,-946,11234,-954,11242,-960,11198,-960,11179,-966,11170,-978,11161,-987,11158,-997,11158,-1015,11161,-1021,11176,-1036,11185,-1039,11234,-1039,11228,-1045,11218,-1052,11208,-1056,11198,-1058,11186,-1058xm11234,-1039l11185,-1039,11195,-1036,11201,-1036,11210,-1030,11219,-1021,11228,-1009,11234,-1000,11234,-981,11228,-975,11216,-963,11207,-960,11242,-960,11244,-962,11250,-971,11254,-981,11255,-990,11254,-1002,11251,-1013,11245,-1025,11237,-1036,11234,-1039xe" filled="true" fillcolor="#23201d" stroked="false">
              <v:path arrowok="t"/>
              <v:fill type="solid"/>
            </v:shape>
            <w10:wrap type="none"/>
          </v:group>
        </w:pict>
      </w:r>
      <w:r>
        <w:rPr/>
        <w:pict>
          <v:group style="position:absolute;margin-left:127.080002pt;margin-top:-59.444153pt;width:345.15pt;height:11.4pt;mso-position-horizontal-relative:page;mso-position-vertical-relative:paragraph;z-index:1192" coordorigin="2542,-1189" coordsize="6903,228">
            <v:shape style="position:absolute;left:2542;top:-1189;width:6902;height:228" type="#_x0000_t75" stroked="false">
              <v:imagedata r:id="rId10" o:title=""/>
            </v:shape>
            <v:shape style="position:absolute;left:3260;top:-1140;width:5465;height:178" type="#_x0000_t75" stroked="false">
              <v:imagedata r:id="rId11" o:title=""/>
            </v:shape>
            <w10:wrap type="none"/>
          </v:group>
        </w:pict>
      </w:r>
      <w:r>
        <w:rPr/>
        <w:pict>
          <v:shape style="position:absolute;margin-left:563.277319pt;margin-top:-102.285109pt;width:6.45pt;height:8.25pt;mso-position-horizontal-relative:page;mso-position-vertical-relative:paragraph;z-index:1384;rotation:57" type="#_x0000_t136" fillcolor="#23201d" stroked="f">
            <o:extrusion v:ext="view" autorotationcenter="t"/>
            <v:textpath style="font-family:&amp;quot;Arial&amp;quot;;font-size:8pt;v-text-kern:t;mso-text-shadow:auto;font-weight:bold" string="O"/>
            <w10:wrap type="none"/>
          </v:shape>
        </w:pict>
      </w:r>
      <w:r>
        <w:rPr/>
        <w:pict>
          <v:shape style="position:absolute;margin-left:567.325513pt;margin-top:-94.233846pt;width:6.1pt;height:8.2pt;mso-position-horizontal-relative:page;mso-position-vertical-relative:paragraph;z-index:1408;rotation:70" type="#_x0000_t136" fillcolor="#23201d" stroked="f">
            <o:extrusion v:ext="view" autorotationcenter="t"/>
            <v:textpath style="font-family:&amp;quot;Arial&amp;quot;;font-size:8pt;v-text-kern:t;mso-text-shadow:auto;font-weight:bold" string="U"/>
            <w10:wrap type="none"/>
          </v:shape>
        </w:pict>
      </w:r>
      <w:r>
        <w:rPr/>
        <w:pict>
          <v:shape style="position:absolute;margin-left:568.912598pt;margin-top:-88.145386pt;width:5.95pt;height:8.2pt;mso-position-horizontal-relative:page;mso-position-vertical-relative:paragraph;z-index:1432;rotation:79" type="#_x0000_t136" fillcolor="#23201d" stroked="f">
            <o:extrusion v:ext="view" autorotationcenter="t"/>
            <v:textpath style="font-family:&amp;quot;Arial&amp;quot;;font-size:8pt;v-text-kern:t;mso-text-shadow:auto;font-weight:bold" string="A"/>
            <w10:wrap type="none"/>
          </v:shape>
        </w:pict>
      </w:r>
      <w:r>
        <w:rPr/>
        <w:pict>
          <v:shapetype id="_x0000_t202" o:spt="202" coordsize="21600,21600" path="m,l,21600r21600,l21600,xe">
            <v:stroke joinstyle="miter"/>
            <v:path gradientshapeok="t" o:connecttype="rect"/>
          </v:shapetype>
          <v:shape style="position:absolute;margin-left:567.238831pt;margin-top:-81.705269pt;width:10.3pt;height:7.65pt;mso-position-horizontal-relative:page;mso-position-vertical-relative:paragraph;z-index:1456" type="#_x0000_t202" filled="false" stroked="false">
            <v:textbox inset="0,0,0,0" style="layout-flow:vertical">
              <w:txbxContent>
                <w:p>
                  <w:pPr>
                    <w:spacing w:before="2"/>
                    <w:ind w:left="20" w:right="0" w:firstLine="0"/>
                    <w:jc w:val="left"/>
                    <w:rPr>
                      <w:b/>
                      <w:sz w:val="16"/>
                    </w:rPr>
                  </w:pPr>
                  <w:r>
                    <w:rPr>
                      <w:b/>
                      <w:color w:val="23201D"/>
                      <w:w w:val="102"/>
                      <w:sz w:val="16"/>
                    </w:rPr>
                    <w:t>E</w:t>
                  </w:r>
                </w:p>
              </w:txbxContent>
            </v:textbox>
            <w10:wrap type="none"/>
          </v:shape>
        </w:pict>
      </w:r>
      <w:r>
        <w:rPr/>
        <w:pict>
          <v:shape style="position:absolute;margin-left:568.121814pt;margin-top:-75.435756pt;width:7.05pt;height:8.2pt;mso-position-horizontal-relative:page;mso-position-vertical-relative:paragraph;z-index:1480;rotation:99" type="#_x0000_t136" fillcolor="#23201d" stroked="f">
            <o:extrusion v:ext="view" autorotationcenter="t"/>
            <v:textpath style="font-family:&amp;quot;Arial&amp;quot;;font-size:8pt;v-text-kern:t;mso-text-shadow:auto;font-weight:bold" string="M"/>
            <w10:wrap type="none"/>
          </v:shape>
        </w:pict>
      </w:r>
      <w:r>
        <w:rPr/>
        <w:pict>
          <v:shape style="position:absolute;margin-left:497.441388pt;margin-top:-74.874646pt;width:6.1pt;height:8.2pt;mso-position-horizontal-relative:page;mso-position-vertical-relative:paragraph;z-index:1504;rotation:258" type="#_x0000_t136" fillcolor="#23201d" stroked="f">
            <o:extrusion v:ext="view" autorotationcenter="t"/>
            <v:textpath style="font-family:&amp;quot;Arial&amp;quot;;font-size:8pt;v-text-kern:t;mso-text-shadow:auto;font-weight:bold" string="C"/>
            <w10:wrap type="none"/>
          </v:shape>
        </w:pict>
      </w:r>
      <w:r>
        <w:rPr/>
        <w:pict>
          <v:shape style="position:absolute;margin-left:494.531372pt;margin-top:-80.779388pt;width:10.3pt;height:7.65pt;mso-position-horizontal-relative:page;mso-position-vertical-relative:paragraph;z-index:1528" type="#_x0000_t202" filled="false" stroked="false">
            <v:textbox inset="0,0,0,0" style="layout-flow:vertical;mso-layout-flow-alt:bottom-to-top">
              <w:txbxContent>
                <w:p>
                  <w:pPr>
                    <w:spacing w:before="4"/>
                    <w:ind w:left="20" w:right="0" w:firstLine="0"/>
                    <w:jc w:val="left"/>
                    <w:rPr>
                      <w:b/>
                      <w:sz w:val="16"/>
                    </w:rPr>
                  </w:pPr>
                  <w:r>
                    <w:rPr>
                      <w:b/>
                      <w:color w:val="23201D"/>
                      <w:w w:val="102"/>
                      <w:sz w:val="16"/>
                    </w:rPr>
                    <w:t>E</w:t>
                  </w:r>
                </w:p>
              </w:txbxContent>
            </v:textbox>
            <w10:wrap type="none"/>
          </v:shape>
        </w:pict>
      </w:r>
      <w:r>
        <w:rPr/>
        <w:pict>
          <v:shape style="position:absolute;margin-left:496.884003pt;margin-top:-87.001007pt;width:5.95pt;height:8.2pt;mso-position-horizontal-relative:page;mso-position-vertical-relative:paragraph;z-index:1552;rotation:278" type="#_x0000_t136" fillcolor="#23201d" stroked="f">
            <o:extrusion v:ext="view" autorotationcenter="t"/>
            <v:textpath style="font-family:&amp;quot;Arial&amp;quot;;font-size:8pt;v-text-kern:t;mso-text-shadow:auto;font-weight:bold" string="N"/>
            <w10:wrap type="none"/>
          </v:shape>
        </w:pict>
      </w:r>
      <w:r>
        <w:rPr/>
        <w:pict>
          <v:shape style="position:absolute;margin-left:498.548315pt;margin-top:-92.781088pt;width:5.15pt;height:8.2pt;mso-position-horizontal-relative:page;mso-position-vertical-relative:paragraph;z-index:1576;rotation:287" type="#_x0000_t136" fillcolor="#23201d" stroked="f">
            <o:extrusion v:ext="view" autorotationcenter="t"/>
            <v:textpath style="font-family:&amp;quot;Arial&amp;quot;;font-size:8pt;v-text-kern:t;mso-text-shadow:auto;font-weight:bold" string="T"/>
            <w10:wrap type="none"/>
          </v:shape>
        </w:pict>
      </w:r>
      <w:r>
        <w:rPr/>
        <w:pict>
          <v:shape style="position:absolute;margin-left:500.164325pt;margin-top:-98.168369pt;width:6.05pt;height:8.2pt;mso-position-horizontal-relative:page;mso-position-vertical-relative:paragraph;z-index:1600;rotation:296" type="#_x0000_t136" fillcolor="#23201d" stroked="f">
            <o:extrusion v:ext="view" autorotationcenter="t"/>
            <v:textpath style="font-family:&amp;quot;Arial&amp;quot;;font-size:8pt;v-text-kern:t;mso-text-shadow:auto;font-weight:bold" string="R"/>
            <w10:wrap type="none"/>
          </v:shape>
        </w:pict>
      </w:r>
      <w:r>
        <w:rPr/>
        <w:pict>
          <v:shape style="position:absolute;margin-left:503.434851pt;margin-top:-103.841681pt;width:6.45pt;height:8.25pt;mso-position-horizontal-relative:page;mso-position-vertical-relative:paragraph;z-index:1624;rotation:306" type="#_x0000_t136" fillcolor="#23201d" stroked="f">
            <o:extrusion v:ext="view" autorotationcenter="t"/>
            <v:textpath style="font-family:&amp;quot;Arial&amp;quot;;font-size:8pt;v-text-kern:t;mso-text-shadow:auto;font-weight:bold" string="O"/>
            <w10:wrap type="none"/>
          </v:shape>
        </w:pict>
      </w:r>
      <w:r>
        <w:rPr/>
        <w:t>“LA GOBERNANZA Y LA RENDICIÓN DE CUENTAS EN MÉXICO”</w:t>
      </w:r>
    </w:p>
    <w:p>
      <w:pPr>
        <w:pStyle w:val="BodyText"/>
        <w:rPr>
          <w:b/>
        </w:rPr>
      </w:pPr>
    </w:p>
    <w:p>
      <w:pPr>
        <w:pStyle w:val="BodyText"/>
        <w:rPr>
          <w:b/>
        </w:rPr>
      </w:pPr>
    </w:p>
    <w:p>
      <w:pPr>
        <w:pStyle w:val="BodyText"/>
        <w:spacing w:before="8"/>
        <w:rPr>
          <w:b/>
          <w:sz w:val="34"/>
        </w:rPr>
      </w:pPr>
    </w:p>
    <w:p>
      <w:pPr>
        <w:tabs>
          <w:tab w:pos="1106" w:val="left" w:leader="none"/>
          <w:tab w:pos="1818" w:val="left" w:leader="none"/>
          <w:tab w:pos="2527" w:val="left" w:leader="none"/>
          <w:tab w:pos="3084" w:val="left" w:leader="none"/>
        </w:tabs>
        <w:spacing w:before="0"/>
        <w:ind w:left="419" w:right="0" w:firstLine="0"/>
        <w:jc w:val="center"/>
        <w:rPr>
          <w:b/>
          <w:sz w:val="40"/>
        </w:rPr>
      </w:pPr>
      <w:r>
        <w:rPr>
          <w:b/>
          <w:sz w:val="40"/>
        </w:rPr>
        <w:t>T</w:t>
        <w:tab/>
        <w:t>E</w:t>
        <w:tab/>
        <w:t>S</w:t>
        <w:tab/>
        <w:t>I</w:t>
        <w:tab/>
        <w:t>S</w:t>
      </w:r>
    </w:p>
    <w:p>
      <w:pPr>
        <w:pStyle w:val="BodyText"/>
        <w:rPr>
          <w:b/>
          <w:sz w:val="40"/>
        </w:rPr>
      </w:pPr>
    </w:p>
    <w:p>
      <w:pPr>
        <w:pStyle w:val="BodyText"/>
        <w:rPr>
          <w:b/>
          <w:sz w:val="51"/>
        </w:rPr>
      </w:pPr>
    </w:p>
    <w:p>
      <w:pPr>
        <w:pStyle w:val="Heading3"/>
        <w:spacing w:line="360" w:lineRule="auto"/>
        <w:ind w:left="3422" w:right="2984" w:firstLine="787"/>
        <w:jc w:val="left"/>
      </w:pPr>
      <w:r>
        <w:rPr/>
        <w:t>QUE PARA OBTENER EL GRADO DE MAESTRO  EN GOBIERNO Y ASUNTOS PUBLICOS</w:t>
      </w:r>
    </w:p>
    <w:p>
      <w:pPr>
        <w:pStyle w:val="BodyText"/>
        <w:rPr>
          <w:b/>
        </w:rPr>
      </w:pPr>
    </w:p>
    <w:p>
      <w:pPr>
        <w:pStyle w:val="BodyText"/>
        <w:rPr>
          <w:b/>
        </w:rPr>
      </w:pPr>
    </w:p>
    <w:p>
      <w:pPr>
        <w:pStyle w:val="BodyText"/>
        <w:rPr>
          <w:b/>
        </w:rPr>
      </w:pPr>
    </w:p>
    <w:p>
      <w:pPr>
        <w:pStyle w:val="BodyText"/>
        <w:spacing w:before="1"/>
        <w:rPr>
          <w:b/>
          <w:sz w:val="35"/>
        </w:rPr>
      </w:pPr>
    </w:p>
    <w:p>
      <w:pPr>
        <w:spacing w:before="0"/>
        <w:ind w:left="424" w:right="0" w:firstLine="0"/>
        <w:jc w:val="center"/>
        <w:rPr>
          <w:b/>
          <w:sz w:val="24"/>
        </w:rPr>
      </w:pPr>
      <w:r>
        <w:rPr>
          <w:b/>
          <w:sz w:val="24"/>
        </w:rPr>
        <w:t>PRESENTA</w:t>
      </w:r>
    </w:p>
    <w:p>
      <w:pPr>
        <w:spacing w:before="139"/>
        <w:ind w:left="425" w:right="0" w:firstLine="0"/>
        <w:jc w:val="center"/>
        <w:rPr>
          <w:b/>
          <w:sz w:val="24"/>
        </w:rPr>
      </w:pPr>
      <w:r>
        <w:rPr>
          <w:b/>
          <w:sz w:val="24"/>
        </w:rPr>
        <w:t>FRANCISCO ZAVALA CARMONA</w:t>
      </w:r>
    </w:p>
    <w:p>
      <w:pPr>
        <w:pStyle w:val="BodyText"/>
        <w:rPr>
          <w:b/>
        </w:rPr>
      </w:pPr>
    </w:p>
    <w:p>
      <w:pPr>
        <w:pStyle w:val="BodyText"/>
        <w:rPr>
          <w:b/>
        </w:rPr>
      </w:pPr>
    </w:p>
    <w:p>
      <w:pPr>
        <w:pStyle w:val="BodyText"/>
        <w:rPr>
          <w:b/>
        </w:rPr>
      </w:pPr>
    </w:p>
    <w:p>
      <w:pPr>
        <w:pStyle w:val="BodyText"/>
        <w:rPr>
          <w:b/>
        </w:rPr>
      </w:pPr>
    </w:p>
    <w:p>
      <w:pPr>
        <w:pStyle w:val="BodyText"/>
        <w:spacing w:before="8"/>
        <w:rPr>
          <w:b/>
          <w:sz w:val="22"/>
        </w:rPr>
      </w:pPr>
    </w:p>
    <w:p>
      <w:pPr>
        <w:spacing w:line="360" w:lineRule="auto" w:before="0"/>
        <w:ind w:left="4765" w:right="4321" w:firstLine="379"/>
        <w:jc w:val="left"/>
        <w:rPr>
          <w:b/>
          <w:sz w:val="24"/>
        </w:rPr>
      </w:pPr>
      <w:r>
        <w:rPr>
          <w:b/>
          <w:sz w:val="24"/>
        </w:rPr>
        <w:t>TUTOR ACADÉMICO DR. JAIME ESPEJEL MENA</w:t>
      </w:r>
    </w:p>
    <w:p>
      <w:pPr>
        <w:pStyle w:val="BodyText"/>
        <w:rPr>
          <w:b/>
        </w:rPr>
      </w:pPr>
    </w:p>
    <w:p>
      <w:pPr>
        <w:pStyle w:val="BodyText"/>
        <w:spacing w:before="10"/>
        <w:rPr>
          <w:b/>
          <w:sz w:val="29"/>
        </w:rPr>
      </w:pPr>
    </w:p>
    <w:p>
      <w:pPr>
        <w:spacing w:before="0"/>
        <w:ind w:left="422" w:right="0" w:firstLine="0"/>
        <w:jc w:val="center"/>
        <w:rPr>
          <w:b/>
          <w:sz w:val="24"/>
        </w:rPr>
      </w:pPr>
      <w:r>
        <w:rPr>
          <w:b/>
          <w:sz w:val="24"/>
        </w:rPr>
        <w:t>TUTORES ADJUNTOS</w:t>
      </w:r>
    </w:p>
    <w:p>
      <w:pPr>
        <w:spacing w:line="360" w:lineRule="auto" w:before="137"/>
        <w:ind w:left="4084" w:right="3662" w:firstLine="0"/>
        <w:jc w:val="center"/>
        <w:rPr>
          <w:b/>
          <w:sz w:val="24"/>
        </w:rPr>
      </w:pPr>
      <w:r>
        <w:rPr>
          <w:b/>
          <w:sz w:val="24"/>
        </w:rPr>
        <w:t>DR. JOSÉ JUAN SÁNCHEZ GONZÁLEZ DR. ENRIQUE MORENO SÁNCHEZ</w:t>
      </w:r>
    </w:p>
    <w:p>
      <w:pPr>
        <w:pStyle w:val="BodyText"/>
        <w:rPr>
          <w:b/>
        </w:rPr>
      </w:pPr>
    </w:p>
    <w:p>
      <w:pPr>
        <w:pStyle w:val="BodyText"/>
        <w:rPr>
          <w:b/>
        </w:rPr>
      </w:pPr>
    </w:p>
    <w:p>
      <w:pPr>
        <w:pStyle w:val="BodyText"/>
        <w:rPr>
          <w:b/>
        </w:rPr>
      </w:pPr>
    </w:p>
    <w:p>
      <w:pPr>
        <w:pStyle w:val="BodyText"/>
        <w:rPr>
          <w:b/>
        </w:rPr>
      </w:pPr>
    </w:p>
    <w:p>
      <w:pPr>
        <w:pStyle w:val="Heading3"/>
        <w:spacing w:before="146"/>
        <w:ind w:left="5153"/>
        <w:jc w:val="left"/>
        <w:rPr>
          <w:b w:val="0"/>
        </w:rPr>
      </w:pPr>
      <w:r>
        <w:rPr/>
        <w:pict>
          <v:shape style="position:absolute;margin-left:507.839996pt;margin-top:34.779858pt;width:40.35pt;height:21.15pt;mso-position-horizontal-relative:page;mso-position-vertical-relative:paragraph;z-index:-354952" type="#_x0000_t202" filled="false" stroked="false">
            <v:textbox inset="0,0,0,0">
              <w:txbxContent>
                <w:p>
                  <w:pPr>
                    <w:spacing w:before="39"/>
                    <w:ind w:left="0" w:right="146" w:firstLine="0"/>
                    <w:jc w:val="center"/>
                    <w:rPr>
                      <w:rFonts w:ascii="Calibri"/>
                      <w:sz w:val="22"/>
                    </w:rPr>
                  </w:pPr>
                  <w:r>
                    <w:rPr>
                      <w:rFonts w:ascii="Calibri"/>
                      <w:w w:val="100"/>
                      <w:sz w:val="22"/>
                    </w:rPr>
                    <w:t>1</w:t>
                  </w:r>
                </w:p>
              </w:txbxContent>
            </v:textbox>
            <w10:wrap type="none"/>
          </v:shape>
        </w:pict>
      </w:r>
      <w:r>
        <w:rPr/>
        <w:t>TEXCOCO, ESTADO DE MÉXICO, JULIO DE</w:t>
      </w:r>
      <w:r>
        <w:rPr>
          <w:spacing w:val="58"/>
        </w:rPr>
        <w:t> </w:t>
      </w:r>
      <w:r>
        <w:rPr/>
        <w:t>2016</w:t>
      </w:r>
      <w:r>
        <w:rPr>
          <w:b w:val="0"/>
        </w:rPr>
        <w:t>.</w:t>
      </w:r>
    </w:p>
    <w:p>
      <w:pPr>
        <w:spacing w:after="0"/>
        <w:jc w:val="left"/>
        <w:sectPr>
          <w:type w:val="continuous"/>
          <w:pgSz w:w="12240" w:h="15840"/>
          <w:pgMar w:top="0" w:bottom="280" w:left="0" w:right="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ind w:left="115"/>
        <w:rPr>
          <w:rFonts w:ascii="Times New Roman"/>
          <w:sz w:val="20"/>
        </w:rPr>
      </w:pPr>
      <w:r>
        <w:rPr>
          <w:rFonts w:ascii="Times New Roman"/>
          <w:sz w:val="20"/>
        </w:rPr>
        <w:drawing>
          <wp:inline distT="0" distB="0" distL="0" distR="0">
            <wp:extent cx="6488382" cy="8539734"/>
            <wp:effectExtent l="0" t="0" r="0" b="0"/>
            <wp:docPr id="1" name="image8.jpeg" descr=""/>
            <wp:cNvGraphicFramePr>
              <a:graphicFrameLocks noChangeAspect="1"/>
            </wp:cNvGraphicFramePr>
            <a:graphic>
              <a:graphicData uri="http://schemas.openxmlformats.org/drawingml/2006/picture">
                <pic:pic>
                  <pic:nvPicPr>
                    <pic:cNvPr id="2" name="image8.jpeg"/>
                    <pic:cNvPicPr/>
                  </pic:nvPicPr>
                  <pic:blipFill>
                    <a:blip r:embed="rId14" cstate="print"/>
                    <a:stretch>
                      <a:fillRect/>
                    </a:stretch>
                  </pic:blipFill>
                  <pic:spPr>
                    <a:xfrm>
                      <a:off x="0" y="0"/>
                      <a:ext cx="6488382" cy="8539734"/>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2"/>
          <w:footerReference w:type="even" r:id="rId13"/>
          <w:pgSz w:w="12240" w:h="15840"/>
          <w:pgMar w:footer="943" w:header="0" w:top="860" w:bottom="1140" w:left="900" w:right="820"/>
          <w:pgNumType w:start="1"/>
        </w:sectPr>
      </w:pPr>
    </w:p>
    <w:p>
      <w:pPr>
        <w:pStyle w:val="Heading1"/>
        <w:ind w:right="99"/>
      </w:pPr>
      <w:r>
        <w:rPr/>
        <w:t>AGRADECIMIENTOS</w:t>
      </w:r>
    </w:p>
    <w:p>
      <w:pPr>
        <w:pStyle w:val="BodyText"/>
        <w:rPr>
          <w:b/>
          <w:sz w:val="28"/>
        </w:rPr>
      </w:pPr>
    </w:p>
    <w:p>
      <w:pPr>
        <w:pStyle w:val="BodyText"/>
        <w:rPr>
          <w:b/>
          <w:sz w:val="28"/>
        </w:rPr>
      </w:pPr>
    </w:p>
    <w:p>
      <w:pPr>
        <w:pStyle w:val="BodyText"/>
        <w:rPr>
          <w:b/>
          <w:sz w:val="28"/>
        </w:rPr>
      </w:pPr>
    </w:p>
    <w:p>
      <w:pPr>
        <w:pStyle w:val="BodyText"/>
        <w:spacing w:before="4"/>
        <w:rPr>
          <w:b/>
          <w:sz w:val="32"/>
        </w:rPr>
      </w:pPr>
    </w:p>
    <w:p>
      <w:pPr>
        <w:pStyle w:val="BodyText"/>
        <w:ind w:left="2442" w:hanging="1751"/>
      </w:pPr>
      <w:r>
        <w:rPr/>
        <w:t>A mi gran Dios. Porque nunca me ha soltado de su mano y siempre conmigo.</w:t>
      </w:r>
    </w:p>
    <w:p>
      <w:pPr>
        <w:pStyle w:val="BodyText"/>
      </w:pPr>
    </w:p>
    <w:p>
      <w:pPr>
        <w:pStyle w:val="BodyText"/>
      </w:pPr>
    </w:p>
    <w:p>
      <w:pPr>
        <w:pStyle w:val="BodyText"/>
        <w:spacing w:before="206"/>
        <w:ind w:left="788" w:firstLine="1654"/>
      </w:pPr>
      <w:r>
        <w:rPr/>
        <w:t>A mis padres Armando y Sofia. Por su intenso amor y apoyo.</w:t>
      </w:r>
    </w:p>
    <w:p>
      <w:pPr>
        <w:pStyle w:val="BodyText"/>
      </w:pPr>
    </w:p>
    <w:p>
      <w:pPr>
        <w:pStyle w:val="BodyText"/>
      </w:pPr>
    </w:p>
    <w:p>
      <w:pPr>
        <w:pStyle w:val="BodyText"/>
        <w:spacing w:line="276" w:lineRule="auto" w:before="209"/>
        <w:ind w:left="2428" w:hanging="1640"/>
      </w:pPr>
      <w:r>
        <w:rPr/>
        <w:t>A mis hijos. Armando, Toño, Sofi, Reni y Nene, por ser el motivo principal de superación y orgullo, simplemente los amo con toda mi alma.</w:t>
      </w:r>
    </w:p>
    <w:p>
      <w:pPr>
        <w:pStyle w:val="BodyText"/>
      </w:pPr>
    </w:p>
    <w:p>
      <w:pPr>
        <w:pStyle w:val="BodyText"/>
      </w:pPr>
    </w:p>
    <w:p>
      <w:pPr>
        <w:pStyle w:val="BodyText"/>
        <w:spacing w:before="166"/>
        <w:ind w:left="82" w:right="84"/>
        <w:jc w:val="center"/>
      </w:pPr>
      <w:r>
        <w:rPr/>
        <w:t>A mi mujer. Por estar en las malas y en las peores, eres mi mayor reto y por eso te</w:t>
      </w:r>
    </w:p>
    <w:p>
      <w:pPr>
        <w:pStyle w:val="BodyText"/>
        <w:spacing w:before="41"/>
        <w:ind w:left="186" w:firstLine="7205"/>
      </w:pPr>
      <w:r>
        <w:rPr/>
        <w:t>amo mi Nadia.</w:t>
      </w:r>
    </w:p>
    <w:p>
      <w:pPr>
        <w:pStyle w:val="BodyText"/>
      </w:pPr>
    </w:p>
    <w:p>
      <w:pPr>
        <w:pStyle w:val="BodyText"/>
      </w:pPr>
    </w:p>
    <w:p>
      <w:pPr>
        <w:pStyle w:val="BodyText"/>
        <w:spacing w:before="206"/>
        <w:ind w:left="82" w:right="23"/>
        <w:jc w:val="center"/>
      </w:pPr>
      <w:r>
        <w:rPr/>
        <w:t>A mi gran familia. Hermanos, suegros, cuñados, tíos, sobrinos, compadres por ser</w:t>
      </w:r>
    </w:p>
    <w:p>
      <w:pPr>
        <w:pStyle w:val="BodyText"/>
        <w:spacing w:before="43"/>
        <w:ind w:left="236" w:firstLine="4644"/>
      </w:pPr>
      <w:r>
        <w:rPr/>
        <w:t>una insuperable fuente de inspiración.</w:t>
      </w:r>
    </w:p>
    <w:p>
      <w:pPr>
        <w:pStyle w:val="BodyText"/>
      </w:pPr>
    </w:p>
    <w:p>
      <w:pPr>
        <w:pStyle w:val="BodyText"/>
      </w:pPr>
    </w:p>
    <w:p>
      <w:pPr>
        <w:pStyle w:val="BodyText"/>
        <w:spacing w:before="206"/>
        <w:ind w:left="211" w:right="102"/>
        <w:jc w:val="center"/>
      </w:pPr>
      <w:r>
        <w:rPr/>
        <w:t>A mi alma mather, por darme la confianza y la oportunidad de seguir formándome</w:t>
      </w:r>
    </w:p>
    <w:p>
      <w:pPr>
        <w:pStyle w:val="BodyText"/>
        <w:spacing w:before="41"/>
        <w:ind w:left="1973" w:firstLine="3843"/>
      </w:pPr>
      <w:r>
        <w:rPr/>
        <w:t>para ser un mejor ciudadano.</w:t>
      </w:r>
    </w:p>
    <w:p>
      <w:pPr>
        <w:pStyle w:val="BodyText"/>
      </w:pPr>
    </w:p>
    <w:p>
      <w:pPr>
        <w:pStyle w:val="BodyText"/>
      </w:pPr>
    </w:p>
    <w:p>
      <w:pPr>
        <w:pStyle w:val="BodyText"/>
        <w:spacing w:before="206"/>
        <w:ind w:left="174" w:firstLine="1799"/>
      </w:pPr>
      <w:r>
        <w:rPr/>
        <w:t>A mis maestros y compañeros de aula. Por su paciencia y apoyo.</w:t>
      </w:r>
    </w:p>
    <w:p>
      <w:pPr>
        <w:pStyle w:val="BodyText"/>
      </w:pPr>
    </w:p>
    <w:p>
      <w:pPr>
        <w:pStyle w:val="BodyText"/>
      </w:pPr>
    </w:p>
    <w:p>
      <w:pPr>
        <w:pStyle w:val="BodyText"/>
        <w:spacing w:before="207"/>
        <w:ind w:left="82" w:right="32"/>
        <w:jc w:val="center"/>
      </w:pPr>
      <w:r>
        <w:rPr/>
        <w:t>A mis tutores académicos. Porque sin su luz y guía, jamás hubiera culminado esta</w:t>
      </w:r>
    </w:p>
    <w:p>
      <w:pPr>
        <w:pStyle w:val="BodyText"/>
        <w:spacing w:before="41"/>
        <w:ind w:left="267" w:firstLine="6843"/>
      </w:pPr>
      <w:r>
        <w:rPr/>
        <w:t>etapa de mi vida.</w:t>
      </w:r>
    </w:p>
    <w:p>
      <w:pPr>
        <w:pStyle w:val="BodyText"/>
      </w:pPr>
    </w:p>
    <w:p>
      <w:pPr>
        <w:pStyle w:val="BodyText"/>
      </w:pPr>
    </w:p>
    <w:p>
      <w:pPr>
        <w:pStyle w:val="BodyText"/>
        <w:spacing w:before="209"/>
        <w:ind w:left="215" w:right="72"/>
        <w:jc w:val="center"/>
      </w:pPr>
      <w:r>
        <w:rPr/>
        <w:t>A mis amigos y ciudadanos. Qué siguen manteniendo la confianza en un servidor</w:t>
      </w:r>
    </w:p>
    <w:p>
      <w:pPr>
        <w:pStyle w:val="BodyText"/>
        <w:spacing w:before="41"/>
        <w:ind w:left="4725"/>
      </w:pPr>
      <w:r>
        <w:rPr/>
        <w:t>como instrumento transformador social.</w:t>
      </w:r>
    </w:p>
    <w:p>
      <w:pPr>
        <w:spacing w:after="0"/>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BodyText"/>
        <w:spacing w:line="276" w:lineRule="auto" w:before="70"/>
        <w:ind w:left="102" w:right="126"/>
        <w:jc w:val="both"/>
      </w:pPr>
      <w:r>
        <w:rPr/>
        <w:t>Sin duda pudiera dedicarle este trabajo a mucha gente, que amo y respeto, pero siguen siendo mi principal motor y fortaleza mis hijos.</w:t>
      </w:r>
    </w:p>
    <w:p>
      <w:pPr>
        <w:pStyle w:val="BodyText"/>
      </w:pPr>
    </w:p>
    <w:p>
      <w:pPr>
        <w:pStyle w:val="BodyText"/>
      </w:pPr>
    </w:p>
    <w:p>
      <w:pPr>
        <w:pStyle w:val="BodyText"/>
      </w:pPr>
    </w:p>
    <w:p>
      <w:pPr>
        <w:pStyle w:val="BodyText"/>
      </w:pPr>
    </w:p>
    <w:p>
      <w:pPr>
        <w:pStyle w:val="BodyText"/>
      </w:pPr>
    </w:p>
    <w:p>
      <w:pPr>
        <w:pStyle w:val="BodyText"/>
        <w:spacing w:before="7"/>
        <w:rPr>
          <w:sz w:val="32"/>
        </w:rPr>
      </w:pPr>
    </w:p>
    <w:p>
      <w:pPr>
        <w:pStyle w:val="BodyText"/>
        <w:ind w:left="82" w:right="98"/>
        <w:jc w:val="center"/>
      </w:pPr>
      <w:r>
        <w:rPr/>
        <w:t>DEDICATORIA</w:t>
      </w:r>
    </w:p>
    <w:p>
      <w:pPr>
        <w:pStyle w:val="BodyText"/>
      </w:pPr>
    </w:p>
    <w:p>
      <w:pPr>
        <w:pStyle w:val="BodyText"/>
      </w:pPr>
    </w:p>
    <w:p>
      <w:pPr>
        <w:pStyle w:val="BodyText"/>
        <w:spacing w:line="276" w:lineRule="auto" w:before="206"/>
        <w:ind w:left="102" w:right="116"/>
        <w:jc w:val="both"/>
      </w:pPr>
      <w:r>
        <w:rPr/>
        <w:t>Con todo mi amor, respeto y cariño a mis hijos Armando Francisco, Juan Antonio, Laura Sofía, Renata Alondra e Irene, pero sobre todo a la mujer que decidió estar conmigo</w:t>
      </w:r>
      <w:r>
        <w:rPr>
          <w:spacing w:val="-11"/>
        </w:rPr>
        <w:t> </w:t>
      </w:r>
      <w:r>
        <w:rPr/>
        <w:t>en</w:t>
      </w:r>
      <w:r>
        <w:rPr>
          <w:spacing w:val="-11"/>
        </w:rPr>
        <w:t> </w:t>
      </w:r>
      <w:r>
        <w:rPr/>
        <w:t>las</w:t>
      </w:r>
      <w:r>
        <w:rPr>
          <w:spacing w:val="-11"/>
        </w:rPr>
        <w:t> </w:t>
      </w:r>
      <w:r>
        <w:rPr/>
        <w:t>buenas</w:t>
      </w:r>
      <w:r>
        <w:rPr>
          <w:spacing w:val="-12"/>
        </w:rPr>
        <w:t> </w:t>
      </w:r>
      <w:r>
        <w:rPr/>
        <w:t>y</w:t>
      </w:r>
      <w:r>
        <w:rPr>
          <w:spacing w:val="-12"/>
        </w:rPr>
        <w:t> </w:t>
      </w:r>
      <w:r>
        <w:rPr/>
        <w:t>las</w:t>
      </w:r>
      <w:r>
        <w:rPr>
          <w:spacing w:val="-11"/>
        </w:rPr>
        <w:t> </w:t>
      </w:r>
      <w:r>
        <w:rPr/>
        <w:t>malas</w:t>
      </w:r>
      <w:r>
        <w:rPr>
          <w:spacing w:val="-8"/>
        </w:rPr>
        <w:t> </w:t>
      </w:r>
      <w:r>
        <w:rPr/>
        <w:t>Nadia</w:t>
      </w:r>
      <w:r>
        <w:rPr>
          <w:spacing w:val="-11"/>
        </w:rPr>
        <w:t> </w:t>
      </w:r>
      <w:r>
        <w:rPr/>
        <w:t>Brissei</w:t>
      </w:r>
      <w:r>
        <w:rPr>
          <w:spacing w:val="-9"/>
        </w:rPr>
        <w:t> </w:t>
      </w:r>
      <w:r>
        <w:rPr/>
        <w:t>Juárez</w:t>
      </w:r>
      <w:r>
        <w:rPr>
          <w:spacing w:val="-12"/>
        </w:rPr>
        <w:t> </w:t>
      </w:r>
      <w:r>
        <w:rPr/>
        <w:t>Ramos.</w:t>
      </w:r>
      <w:r>
        <w:rPr>
          <w:spacing w:val="-9"/>
        </w:rPr>
        <w:t> </w:t>
      </w:r>
      <w:r>
        <w:rPr/>
        <w:t>Mi</w:t>
      </w:r>
      <w:r>
        <w:rPr>
          <w:spacing w:val="-12"/>
        </w:rPr>
        <w:t> </w:t>
      </w:r>
      <w:r>
        <w:rPr/>
        <w:t>gran</w:t>
      </w:r>
      <w:r>
        <w:rPr>
          <w:spacing w:val="-8"/>
        </w:rPr>
        <w:t> </w:t>
      </w:r>
      <w:r>
        <w:rPr/>
        <w:t>y</w:t>
      </w:r>
      <w:r>
        <w:rPr>
          <w:spacing w:val="-12"/>
        </w:rPr>
        <w:t> </w:t>
      </w:r>
      <w:r>
        <w:rPr/>
        <w:t>hermosa familia.</w:t>
      </w:r>
    </w:p>
    <w:p>
      <w:pPr>
        <w:pStyle w:val="BodyText"/>
        <w:spacing w:before="200"/>
        <w:ind w:left="102"/>
        <w:jc w:val="both"/>
      </w:pPr>
      <w:r>
        <w:rPr/>
        <w:t>LOS AMO.</w:t>
      </w:r>
    </w:p>
    <w:p>
      <w:pPr>
        <w:spacing w:after="0"/>
        <w:jc w:val="both"/>
        <w:sectPr>
          <w:footerReference w:type="default" r:id="rId15"/>
          <w:footerReference w:type="even" r:id="rId16"/>
          <w:pgSz w:w="12240" w:h="15840"/>
          <w:pgMar w:footer="943" w:header="0" w:top="1500" w:bottom="1140" w:left="1600" w:right="1580"/>
          <w:pgNumType w:start="3"/>
        </w:sectPr>
      </w:pPr>
    </w:p>
    <w:p>
      <w:pPr>
        <w:pStyle w:val="BodyText"/>
        <w:spacing w:before="6"/>
        <w:rPr>
          <w:sz w:val="29"/>
        </w:rPr>
      </w:pPr>
    </w:p>
    <w:p>
      <w:pPr>
        <w:pStyle w:val="Heading1"/>
        <w:spacing w:before="65"/>
        <w:ind w:left="2809" w:right="2808"/>
      </w:pPr>
      <w:r>
        <w:rPr/>
        <w:t>ÍNDICE</w:t>
      </w:r>
    </w:p>
    <w:sdt>
      <w:sdtPr>
        <w:docPartObj>
          <w:docPartGallery w:val="Table of Contents"/>
          <w:docPartUnique/>
        </w:docPartObj>
      </w:sdtPr>
      <w:sdtEndPr/>
      <w:sdtContent>
        <w:p>
          <w:pPr>
            <w:pStyle w:val="TOC1"/>
            <w:tabs>
              <w:tab w:pos="8929" w:val="right" w:leader="dot"/>
            </w:tabs>
            <w:spacing w:before="291"/>
            <w:ind w:left="102" w:firstLine="0"/>
          </w:pPr>
          <w:hyperlink w:history="true" w:anchor="_bookmark0">
            <w:r>
              <w:rPr/>
              <w:t>INTRODUCCIÓN</w:t>
              <w:tab/>
              <w:t>1</w:t>
            </w:r>
          </w:hyperlink>
        </w:p>
        <w:p>
          <w:pPr>
            <w:pStyle w:val="TOC1"/>
            <w:tabs>
              <w:tab w:pos="8929" w:val="right" w:leader="dot"/>
            </w:tabs>
            <w:ind w:left="102" w:firstLine="0"/>
          </w:pPr>
          <w:hyperlink w:history="true" w:anchor="_bookmark1">
            <w:r>
              <w:rPr/>
              <w:t>CAPÍTULO PRIMERO.</w:t>
            </w:r>
            <w:r>
              <w:rPr>
                <w:spacing w:val="-3"/>
              </w:rPr>
              <w:t> </w:t>
            </w:r>
            <w:r>
              <w:rPr/>
              <w:t>LA</w:t>
            </w:r>
            <w:r>
              <w:rPr>
                <w:spacing w:val="-1"/>
              </w:rPr>
              <w:t> </w:t>
            </w:r>
            <w:r>
              <w:rPr/>
              <w:t>GOBERNANZA</w:t>
              <w:tab/>
              <w:t>6</w:t>
            </w:r>
          </w:hyperlink>
        </w:p>
        <w:p>
          <w:pPr>
            <w:pStyle w:val="TOC1"/>
            <w:numPr>
              <w:ilvl w:val="1"/>
              <w:numId w:val="1"/>
            </w:numPr>
            <w:tabs>
              <w:tab w:pos="505" w:val="left" w:leader="none"/>
              <w:tab w:pos="8929" w:val="right" w:leader="dot"/>
            </w:tabs>
            <w:spacing w:line="240" w:lineRule="auto" w:before="377" w:after="0"/>
            <w:ind w:left="504" w:right="0" w:hanging="402"/>
            <w:jc w:val="left"/>
          </w:pPr>
          <w:hyperlink w:history="true" w:anchor="_bookmark2">
            <w:r>
              <w:rPr/>
              <w:t>Sistema político, gobernabilidad</w:t>
            </w:r>
            <w:r>
              <w:rPr>
                <w:spacing w:val="-5"/>
              </w:rPr>
              <w:t> </w:t>
            </w:r>
            <w:r>
              <w:rPr/>
              <w:t>y</w:t>
            </w:r>
            <w:r>
              <w:rPr>
                <w:spacing w:val="-3"/>
              </w:rPr>
              <w:t> </w:t>
            </w:r>
            <w:r>
              <w:rPr/>
              <w:t>gobernanza</w:t>
              <w:tab/>
              <w:t>6</w:t>
            </w:r>
          </w:hyperlink>
        </w:p>
        <w:p>
          <w:pPr>
            <w:pStyle w:val="TOC1"/>
            <w:numPr>
              <w:ilvl w:val="1"/>
              <w:numId w:val="1"/>
            </w:numPr>
            <w:tabs>
              <w:tab w:pos="503" w:val="left" w:leader="none"/>
              <w:tab w:pos="8933" w:val="right" w:leader="dot"/>
            </w:tabs>
            <w:spacing w:line="240" w:lineRule="auto" w:before="379" w:after="0"/>
            <w:ind w:left="502" w:right="0" w:hanging="400"/>
            <w:jc w:val="left"/>
          </w:pPr>
          <w:hyperlink w:history="true" w:anchor="_bookmark5">
            <w:r>
              <w:rPr/>
              <w:t>La gobernanza en países avanzados</w:t>
            </w:r>
            <w:r>
              <w:rPr>
                <w:spacing w:val="-5"/>
              </w:rPr>
              <w:t> </w:t>
            </w:r>
            <w:r>
              <w:rPr/>
              <w:t>y</w:t>
            </w:r>
            <w:r>
              <w:rPr>
                <w:spacing w:val="-3"/>
              </w:rPr>
              <w:t> </w:t>
            </w:r>
            <w:r>
              <w:rPr/>
              <w:t>emergentes</w:t>
              <w:tab/>
              <w:t>13</w:t>
            </w:r>
          </w:hyperlink>
        </w:p>
        <w:p>
          <w:pPr>
            <w:pStyle w:val="TOC1"/>
            <w:numPr>
              <w:ilvl w:val="2"/>
              <w:numId w:val="1"/>
            </w:numPr>
            <w:tabs>
              <w:tab w:pos="704" w:val="left" w:leader="none"/>
              <w:tab w:pos="8933" w:val="right" w:leader="dot"/>
            </w:tabs>
            <w:spacing w:line="240" w:lineRule="auto" w:before="377" w:after="0"/>
            <w:ind w:left="703" w:right="0" w:hanging="601"/>
            <w:jc w:val="left"/>
          </w:pPr>
          <w:hyperlink w:history="true" w:anchor="_bookmark7">
            <w:r>
              <w:rPr/>
              <w:t>La despolitización de la política en</w:t>
            </w:r>
            <w:r>
              <w:rPr>
                <w:spacing w:val="-3"/>
              </w:rPr>
              <w:t> </w:t>
            </w:r>
            <w:r>
              <w:rPr/>
              <w:t>la</w:t>
            </w:r>
            <w:r>
              <w:rPr>
                <w:spacing w:val="-3"/>
              </w:rPr>
              <w:t> </w:t>
            </w:r>
            <w:r>
              <w:rPr/>
              <w:t>democracia</w:t>
              <w:tab/>
              <w:t>14</w:t>
            </w:r>
          </w:hyperlink>
        </w:p>
        <w:p>
          <w:pPr>
            <w:pStyle w:val="TOC1"/>
            <w:numPr>
              <w:ilvl w:val="2"/>
              <w:numId w:val="1"/>
            </w:numPr>
            <w:tabs>
              <w:tab w:pos="704" w:val="left" w:leader="none"/>
              <w:tab w:pos="8933" w:val="right" w:leader="dot"/>
            </w:tabs>
            <w:spacing w:line="240" w:lineRule="auto" w:before="379" w:after="0"/>
            <w:ind w:left="703" w:right="0" w:hanging="601"/>
            <w:jc w:val="left"/>
          </w:pPr>
          <w:hyperlink w:history="true" w:anchor="_bookmark9">
            <w:r>
              <w:rPr/>
              <w:t>Estado: Democracia y legitimidad en</w:t>
            </w:r>
            <w:r>
              <w:rPr>
                <w:spacing w:val="-7"/>
              </w:rPr>
              <w:t> </w:t>
            </w:r>
            <w:r>
              <w:rPr/>
              <w:t>la</w:t>
            </w:r>
            <w:r>
              <w:rPr>
                <w:spacing w:val="-3"/>
              </w:rPr>
              <w:t> </w:t>
            </w:r>
            <w:r>
              <w:rPr/>
              <w:t>gobernanza</w:t>
              <w:tab/>
              <w:t>18</w:t>
            </w:r>
          </w:hyperlink>
        </w:p>
        <w:p>
          <w:pPr>
            <w:pStyle w:val="TOC1"/>
            <w:numPr>
              <w:ilvl w:val="2"/>
              <w:numId w:val="1"/>
            </w:numPr>
            <w:tabs>
              <w:tab w:pos="704" w:val="left" w:leader="none"/>
              <w:tab w:pos="8933" w:val="right" w:leader="dot"/>
            </w:tabs>
            <w:spacing w:line="240" w:lineRule="auto" w:before="377" w:after="0"/>
            <w:ind w:left="703" w:right="0" w:hanging="601"/>
            <w:jc w:val="left"/>
          </w:pPr>
          <w:hyperlink w:history="true" w:anchor="_bookmark10">
            <w:r>
              <w:rPr/>
              <w:t>Las instituciones de rendición</w:t>
            </w:r>
            <w:r>
              <w:rPr>
                <w:spacing w:val="-8"/>
              </w:rPr>
              <w:t> </w:t>
            </w:r>
            <w:r>
              <w:rPr/>
              <w:t>de</w:t>
            </w:r>
            <w:r>
              <w:rPr>
                <w:spacing w:val="-1"/>
              </w:rPr>
              <w:t> </w:t>
            </w:r>
            <w:r>
              <w:rPr/>
              <w:t>cuentas</w:t>
              <w:tab/>
              <w:t>21</w:t>
            </w:r>
          </w:hyperlink>
        </w:p>
        <w:p>
          <w:pPr>
            <w:pStyle w:val="TOC1"/>
            <w:numPr>
              <w:ilvl w:val="1"/>
              <w:numId w:val="2"/>
            </w:numPr>
            <w:tabs>
              <w:tab w:pos="503" w:val="left" w:leader="none"/>
              <w:tab w:pos="8933" w:val="right" w:leader="dot"/>
            </w:tabs>
            <w:spacing w:line="240" w:lineRule="auto" w:before="379" w:after="0"/>
            <w:ind w:left="502" w:right="0" w:hanging="400"/>
            <w:jc w:val="left"/>
          </w:pPr>
          <w:hyperlink w:history="true" w:anchor="_bookmark11">
            <w:r>
              <w:rPr/>
              <w:t>La gobernanza y las</w:t>
            </w:r>
            <w:r>
              <w:rPr>
                <w:spacing w:val="-3"/>
              </w:rPr>
              <w:t> </w:t>
            </w:r>
            <w:r>
              <w:rPr/>
              <w:t>instituciones</w:t>
            </w:r>
            <w:r>
              <w:rPr>
                <w:spacing w:val="-1"/>
              </w:rPr>
              <w:t> </w:t>
            </w:r>
            <w:r>
              <w:rPr/>
              <w:t>internacionales</w:t>
              <w:tab/>
              <w:t>24</w:t>
            </w:r>
          </w:hyperlink>
        </w:p>
        <w:p>
          <w:pPr>
            <w:pStyle w:val="TOC1"/>
            <w:numPr>
              <w:ilvl w:val="2"/>
              <w:numId w:val="2"/>
            </w:numPr>
            <w:tabs>
              <w:tab w:pos="704" w:val="left" w:leader="none"/>
              <w:tab w:pos="8933" w:val="right" w:leader="dot"/>
            </w:tabs>
            <w:spacing w:line="240" w:lineRule="auto" w:before="377" w:after="0"/>
            <w:ind w:left="954" w:right="0" w:hanging="852"/>
            <w:jc w:val="left"/>
          </w:pPr>
          <w:hyperlink w:history="true" w:anchor="_bookmark12">
            <w:r>
              <w:rPr/>
              <w:t>Propuestas del Foro por una Nueva</w:t>
            </w:r>
            <w:r>
              <w:rPr>
                <w:spacing w:val="-9"/>
              </w:rPr>
              <w:t> </w:t>
            </w:r>
            <w:r>
              <w:rPr/>
              <w:t>Gobernanza</w:t>
            </w:r>
            <w:r>
              <w:rPr>
                <w:spacing w:val="-1"/>
              </w:rPr>
              <w:t> </w:t>
            </w:r>
            <w:r>
              <w:rPr/>
              <w:t>Mundial</w:t>
              <w:tab/>
              <w:t>24</w:t>
            </w:r>
          </w:hyperlink>
        </w:p>
        <w:p>
          <w:pPr>
            <w:pStyle w:val="TOC1"/>
            <w:numPr>
              <w:ilvl w:val="2"/>
              <w:numId w:val="2"/>
            </w:numPr>
            <w:tabs>
              <w:tab w:pos="704" w:val="left" w:leader="none"/>
              <w:tab w:pos="8933" w:val="right" w:leader="dot"/>
            </w:tabs>
            <w:spacing w:line="240" w:lineRule="auto" w:before="379" w:after="0"/>
            <w:ind w:left="703" w:right="0" w:hanging="601"/>
            <w:jc w:val="left"/>
          </w:pPr>
          <w:hyperlink w:history="true" w:anchor="_bookmark13">
            <w:r>
              <w:rPr/>
              <w:t>La Organización de las Naciones Unidas y la</w:t>
            </w:r>
            <w:r>
              <w:rPr>
                <w:spacing w:val="-12"/>
              </w:rPr>
              <w:t> </w:t>
            </w:r>
            <w:r>
              <w:rPr/>
              <w:t>gobernanza</w:t>
            </w:r>
            <w:r>
              <w:rPr>
                <w:spacing w:val="-1"/>
              </w:rPr>
              <w:t> </w:t>
            </w:r>
            <w:r>
              <w:rPr/>
              <w:t>mundial</w:t>
              <w:tab/>
              <w:t>27</w:t>
            </w:r>
          </w:hyperlink>
        </w:p>
        <w:p>
          <w:pPr>
            <w:pStyle w:val="TOC1"/>
            <w:numPr>
              <w:ilvl w:val="2"/>
              <w:numId w:val="2"/>
            </w:numPr>
            <w:tabs>
              <w:tab w:pos="704" w:val="left" w:leader="none"/>
              <w:tab w:pos="8933" w:val="right" w:leader="dot"/>
            </w:tabs>
            <w:spacing w:line="240" w:lineRule="auto" w:before="377" w:after="0"/>
            <w:ind w:left="703" w:right="0" w:hanging="601"/>
            <w:jc w:val="left"/>
          </w:pPr>
          <w:hyperlink w:history="true" w:anchor="_bookmark14">
            <w:r>
              <w:rPr/>
              <w:t>La promoción del ‘buen gobierno’ por el</w:t>
            </w:r>
            <w:r>
              <w:rPr>
                <w:spacing w:val="-11"/>
              </w:rPr>
              <w:t> </w:t>
            </w:r>
            <w:r>
              <w:rPr/>
              <w:t>Banco</w:t>
            </w:r>
            <w:r>
              <w:rPr>
                <w:spacing w:val="-3"/>
              </w:rPr>
              <w:t> </w:t>
            </w:r>
            <w:r>
              <w:rPr/>
              <w:t>Mundial</w:t>
              <w:tab/>
              <w:t>28</w:t>
            </w:r>
          </w:hyperlink>
        </w:p>
        <w:p>
          <w:pPr>
            <w:pStyle w:val="TOC1"/>
            <w:numPr>
              <w:ilvl w:val="2"/>
              <w:numId w:val="2"/>
            </w:numPr>
            <w:tabs>
              <w:tab w:pos="704" w:val="left" w:leader="none"/>
            </w:tabs>
            <w:spacing w:line="240" w:lineRule="auto" w:before="379" w:after="0"/>
            <w:ind w:left="703" w:right="0" w:hanging="601"/>
            <w:jc w:val="left"/>
          </w:pPr>
          <w:hyperlink w:history="true" w:anchor="_bookmark15">
            <w:r>
              <w:rPr/>
              <w:t>La implementación de la gobernanza en el Fondo Monetario Internacional.</w:t>
            </w:r>
            <w:r>
              <w:rPr>
                <w:spacing w:val="-42"/>
              </w:rPr>
              <w:t> </w:t>
            </w:r>
            <w:r>
              <w:rPr/>
              <w:t>31</w:t>
            </w:r>
          </w:hyperlink>
        </w:p>
        <w:p>
          <w:pPr>
            <w:pStyle w:val="TOC1"/>
            <w:numPr>
              <w:ilvl w:val="2"/>
              <w:numId w:val="2"/>
            </w:numPr>
            <w:tabs>
              <w:tab w:pos="704" w:val="left" w:leader="none"/>
              <w:tab w:pos="8933" w:val="right" w:leader="dot"/>
            </w:tabs>
            <w:spacing w:line="360" w:lineRule="auto" w:before="377" w:after="0"/>
            <w:ind w:left="954" w:right="104" w:hanging="852"/>
            <w:jc w:val="left"/>
          </w:pPr>
          <w:hyperlink w:history="true" w:anchor="_bookmark16">
            <w:r>
              <w:rPr/>
              <w:t>Los principios de la gobernanza de la Organización para la Cooperación y</w:t>
            </w:r>
          </w:hyperlink>
          <w:r>
            <w:rPr/>
            <w:t> </w:t>
          </w:r>
          <w:hyperlink w:history="true" w:anchor="_bookmark16">
            <w:r>
              <w:rPr/>
              <w:t>Desarrollo</w:t>
            </w:r>
            <w:r>
              <w:rPr>
                <w:spacing w:val="-1"/>
              </w:rPr>
              <w:t> </w:t>
            </w:r>
            <w:r>
              <w:rPr/>
              <w:t>Económicos</w:t>
              <w:tab/>
              <w:t>32</w:t>
            </w:r>
          </w:hyperlink>
        </w:p>
        <w:p>
          <w:pPr>
            <w:pStyle w:val="TOC1"/>
            <w:tabs>
              <w:tab w:pos="8933" w:val="right" w:leader="dot"/>
            </w:tabs>
            <w:spacing w:before="242"/>
            <w:ind w:left="102" w:firstLine="0"/>
          </w:pPr>
          <w:hyperlink w:history="true" w:anchor="_bookmark18">
            <w:r>
              <w:rPr/>
              <w:t>1.4 Indicadores de desempeño internacionales para</w:t>
            </w:r>
            <w:r>
              <w:rPr>
                <w:spacing w:val="-8"/>
              </w:rPr>
              <w:t> </w:t>
            </w:r>
            <w:r>
              <w:rPr/>
              <w:t>la</w:t>
            </w:r>
            <w:r>
              <w:rPr>
                <w:spacing w:val="-3"/>
              </w:rPr>
              <w:t> </w:t>
            </w:r>
            <w:r>
              <w:rPr/>
              <w:t>gobernanza</w:t>
              <w:tab/>
              <w:t>36</w:t>
            </w:r>
          </w:hyperlink>
        </w:p>
        <w:p>
          <w:pPr>
            <w:pStyle w:val="TOC1"/>
            <w:tabs>
              <w:tab w:pos="8933" w:val="right" w:leader="dot"/>
            </w:tabs>
            <w:spacing w:before="380"/>
            <w:ind w:left="102" w:firstLine="0"/>
          </w:pPr>
          <w:hyperlink w:history="true" w:anchor="_bookmark19">
            <w:r>
              <w:rPr/>
              <w:t>1.4.1 Análisis de</w:t>
            </w:r>
            <w:r>
              <w:rPr>
                <w:spacing w:val="-1"/>
              </w:rPr>
              <w:t> </w:t>
            </w:r>
            <w:r>
              <w:rPr/>
              <w:t>indicadores</w:t>
            </w:r>
            <w:r>
              <w:rPr>
                <w:spacing w:val="-1"/>
              </w:rPr>
              <w:t> </w:t>
            </w:r>
            <w:r>
              <w:rPr/>
              <w:t>internacionales</w:t>
              <w:tab/>
              <w:t>38</w:t>
            </w:r>
          </w:hyperlink>
        </w:p>
        <w:p>
          <w:pPr>
            <w:pStyle w:val="TOC1"/>
            <w:tabs>
              <w:tab w:pos="8933" w:val="right" w:leader="dot"/>
            </w:tabs>
            <w:spacing w:line="360" w:lineRule="auto"/>
            <w:ind w:left="954" w:right="104" w:hanging="852"/>
          </w:pPr>
          <w:hyperlink w:history="true" w:anchor="_bookmark39">
            <w:r>
              <w:rPr/>
              <w:t>CAPÍTULO SEGUNDO. LA EVOLUCIÓN DEL ESTADO Y LA RENDICIÓN DE</w:t>
            </w:r>
          </w:hyperlink>
          <w:r>
            <w:rPr/>
            <w:t> </w:t>
          </w:r>
          <w:hyperlink w:history="true" w:anchor="_bookmark39">
            <w:r>
              <w:rPr/>
              <w:t>CUENTAS EN MÉXICO: UNA</w:t>
            </w:r>
            <w:r>
              <w:rPr>
                <w:spacing w:val="-4"/>
              </w:rPr>
              <w:t> </w:t>
            </w:r>
            <w:r>
              <w:rPr/>
              <w:t>PERSPECTIVA</w:t>
            </w:r>
            <w:r>
              <w:rPr>
                <w:spacing w:val="-1"/>
              </w:rPr>
              <w:t> </w:t>
            </w:r>
            <w:r>
              <w:rPr/>
              <w:t>POLÍTICA</w:t>
              <w:tab/>
              <w:t>65</w:t>
            </w:r>
          </w:hyperlink>
        </w:p>
        <w:p>
          <w:pPr>
            <w:pStyle w:val="TOC1"/>
            <w:tabs>
              <w:tab w:pos="8933" w:val="right" w:leader="dot"/>
            </w:tabs>
            <w:spacing w:before="242"/>
            <w:ind w:left="102" w:firstLine="0"/>
          </w:pPr>
          <w:hyperlink w:history="true" w:anchor="_bookmark41">
            <w:r>
              <w:rPr/>
              <w:t>2.1 La Nueva</w:t>
            </w:r>
            <w:r>
              <w:rPr>
                <w:spacing w:val="-2"/>
              </w:rPr>
              <w:t> </w:t>
            </w:r>
            <w:r>
              <w:rPr/>
              <w:t>España</w:t>
            </w:r>
            <w:r>
              <w:rPr>
                <w:spacing w:val="-1"/>
              </w:rPr>
              <w:t> </w:t>
            </w:r>
            <w:r>
              <w:rPr/>
              <w:t>(1521-1821)</w:t>
              <w:tab/>
              <w:t>68</w:t>
            </w:r>
          </w:hyperlink>
        </w:p>
      </w:sdtContent>
    </w:sdt>
    <w:p>
      <w:pPr>
        <w:spacing w:after="0"/>
        <w:sectPr>
          <w:pgSz w:w="12240" w:h="15840"/>
          <w:pgMar w:header="0" w:footer="1003" w:top="1500" w:bottom="1200" w:left="1600" w:right="1600"/>
        </w:sectPr>
      </w:pPr>
    </w:p>
    <w:p>
      <w:pPr>
        <w:pStyle w:val="ListParagraph"/>
        <w:numPr>
          <w:ilvl w:val="2"/>
          <w:numId w:val="3"/>
        </w:numPr>
        <w:tabs>
          <w:tab w:pos="704" w:val="left" w:leader="none"/>
          <w:tab w:pos="8933" w:val="right" w:leader="dot"/>
        </w:tabs>
        <w:spacing w:line="362" w:lineRule="auto" w:before="54" w:after="0"/>
        <w:ind w:left="954" w:right="124" w:hanging="852"/>
        <w:jc w:val="left"/>
        <w:rPr>
          <w:sz w:val="24"/>
        </w:rPr>
      </w:pPr>
      <w:hyperlink w:history="true" w:anchor="_bookmark42">
        <w:r>
          <w:rPr>
            <w:sz w:val="24"/>
          </w:rPr>
          <w:t>La institución de rendición de cuentas en la Nueva España: La herencia</w:t>
        </w:r>
      </w:hyperlink>
      <w:r>
        <w:rPr>
          <w:sz w:val="24"/>
        </w:rPr>
        <w:t> </w:t>
      </w:r>
      <w:hyperlink w:history="true" w:anchor="_bookmark42">
        <w:r>
          <w:rPr>
            <w:sz w:val="24"/>
          </w:rPr>
          <w:t>extranjera</w:t>
          <w:tab/>
          <w:t>68</w:t>
        </w:r>
      </w:hyperlink>
    </w:p>
    <w:p>
      <w:pPr>
        <w:pStyle w:val="ListParagraph"/>
        <w:numPr>
          <w:ilvl w:val="2"/>
          <w:numId w:val="3"/>
        </w:numPr>
        <w:tabs>
          <w:tab w:pos="704" w:val="left" w:leader="none"/>
          <w:tab w:pos="8933" w:val="right" w:leader="dot"/>
        </w:tabs>
        <w:spacing w:line="240" w:lineRule="auto" w:before="240" w:after="0"/>
        <w:ind w:left="703" w:right="0" w:hanging="601"/>
        <w:jc w:val="left"/>
        <w:rPr>
          <w:sz w:val="24"/>
        </w:rPr>
      </w:pPr>
      <w:hyperlink w:history="true" w:anchor="_bookmark43">
        <w:r>
          <w:rPr>
            <w:sz w:val="24"/>
          </w:rPr>
          <w:t>Las instituciones europeas en la</w:t>
        </w:r>
        <w:r>
          <w:rPr>
            <w:spacing w:val="-10"/>
            <w:sz w:val="24"/>
          </w:rPr>
          <w:t> </w:t>
        </w:r>
        <w:r>
          <w:rPr>
            <w:sz w:val="24"/>
          </w:rPr>
          <w:t>Nueva</w:t>
        </w:r>
        <w:r>
          <w:rPr>
            <w:spacing w:val="-3"/>
            <w:sz w:val="24"/>
          </w:rPr>
          <w:t> </w:t>
        </w:r>
        <w:r>
          <w:rPr>
            <w:sz w:val="24"/>
          </w:rPr>
          <w:t>España</w:t>
          <w:tab/>
          <w:t>72</w:t>
        </w:r>
      </w:hyperlink>
    </w:p>
    <w:p>
      <w:pPr>
        <w:pStyle w:val="ListParagraph"/>
        <w:numPr>
          <w:ilvl w:val="1"/>
          <w:numId w:val="3"/>
        </w:numPr>
        <w:tabs>
          <w:tab w:pos="505" w:val="left" w:leader="none"/>
          <w:tab w:pos="8933" w:val="right" w:leader="dot"/>
        </w:tabs>
        <w:spacing w:line="240" w:lineRule="auto" w:before="379" w:after="0"/>
        <w:ind w:left="504" w:right="0" w:hanging="402"/>
        <w:jc w:val="left"/>
        <w:rPr>
          <w:sz w:val="24"/>
        </w:rPr>
      </w:pPr>
      <w:hyperlink w:history="true" w:anchor="_bookmark44">
        <w:r>
          <w:rPr>
            <w:sz w:val="24"/>
          </w:rPr>
          <w:t>Siglos XIX</w:t>
        </w:r>
        <w:r>
          <w:rPr>
            <w:spacing w:val="-3"/>
            <w:sz w:val="24"/>
          </w:rPr>
          <w:t> </w:t>
        </w:r>
        <w:r>
          <w:rPr>
            <w:sz w:val="24"/>
          </w:rPr>
          <w:t>y</w:t>
        </w:r>
        <w:r>
          <w:rPr>
            <w:spacing w:val="-3"/>
            <w:sz w:val="24"/>
          </w:rPr>
          <w:t> </w:t>
        </w:r>
        <w:r>
          <w:rPr>
            <w:sz w:val="24"/>
          </w:rPr>
          <w:t>XX</w:t>
          <w:tab/>
          <w:t>75</w:t>
        </w:r>
      </w:hyperlink>
    </w:p>
    <w:p>
      <w:pPr>
        <w:pStyle w:val="ListParagraph"/>
        <w:numPr>
          <w:ilvl w:val="2"/>
          <w:numId w:val="3"/>
        </w:numPr>
        <w:tabs>
          <w:tab w:pos="704" w:val="left" w:leader="none"/>
          <w:tab w:pos="8933" w:val="right" w:leader="dot"/>
        </w:tabs>
        <w:spacing w:line="240" w:lineRule="auto" w:before="377" w:after="0"/>
        <w:ind w:left="703" w:right="0" w:hanging="601"/>
        <w:jc w:val="left"/>
        <w:rPr>
          <w:sz w:val="24"/>
        </w:rPr>
      </w:pPr>
      <w:hyperlink w:history="true" w:anchor="_bookmark45">
        <w:r>
          <w:rPr>
            <w:sz w:val="24"/>
          </w:rPr>
          <w:t>Estado</w:t>
        </w:r>
        <w:r>
          <w:rPr>
            <w:spacing w:val="-3"/>
            <w:sz w:val="24"/>
          </w:rPr>
          <w:t> </w:t>
        </w:r>
        <w:r>
          <w:rPr>
            <w:sz w:val="24"/>
          </w:rPr>
          <w:t>y</w:t>
        </w:r>
        <w:r>
          <w:rPr>
            <w:spacing w:val="-3"/>
            <w:sz w:val="24"/>
          </w:rPr>
          <w:t> </w:t>
        </w:r>
        <w:r>
          <w:rPr>
            <w:sz w:val="24"/>
          </w:rPr>
          <w:t>política</w:t>
          <w:tab/>
          <w:t>75</w:t>
        </w:r>
      </w:hyperlink>
    </w:p>
    <w:p>
      <w:pPr>
        <w:pStyle w:val="ListParagraph"/>
        <w:numPr>
          <w:ilvl w:val="2"/>
          <w:numId w:val="3"/>
        </w:numPr>
        <w:tabs>
          <w:tab w:pos="704" w:val="left" w:leader="none"/>
          <w:tab w:pos="8933" w:val="right" w:leader="dot"/>
        </w:tabs>
        <w:spacing w:line="240" w:lineRule="auto" w:before="379" w:after="0"/>
        <w:ind w:left="703" w:right="0" w:hanging="601"/>
        <w:jc w:val="left"/>
        <w:rPr>
          <w:sz w:val="24"/>
        </w:rPr>
      </w:pPr>
      <w:hyperlink w:history="true" w:anchor="_bookmark47">
        <w:r>
          <w:rPr>
            <w:sz w:val="24"/>
          </w:rPr>
          <w:t>Principales características de la intervención del Estado en</w:t>
        </w:r>
        <w:r>
          <w:rPr>
            <w:spacing w:val="-11"/>
            <w:sz w:val="24"/>
          </w:rPr>
          <w:t> </w:t>
        </w:r>
        <w:r>
          <w:rPr>
            <w:sz w:val="24"/>
          </w:rPr>
          <w:t>la</w:t>
        </w:r>
        <w:r>
          <w:rPr>
            <w:spacing w:val="-4"/>
            <w:sz w:val="24"/>
          </w:rPr>
          <w:t> </w:t>
        </w:r>
        <w:r>
          <w:rPr>
            <w:sz w:val="24"/>
          </w:rPr>
          <w:t>política</w:t>
          <w:tab/>
          <w:t>82</w:t>
        </w:r>
      </w:hyperlink>
    </w:p>
    <w:p>
      <w:pPr>
        <w:pStyle w:val="BodyText"/>
        <w:tabs>
          <w:tab w:pos="8933" w:val="right" w:leader="dot"/>
        </w:tabs>
        <w:spacing w:line="360" w:lineRule="auto" w:before="377"/>
        <w:ind w:left="954" w:right="124" w:hanging="852"/>
      </w:pPr>
      <w:hyperlink w:history="true" w:anchor="_bookmark52">
        <w:r>
          <w:rPr/>
          <w:t>CAPÍTULO TERCERO. SISTEMAS POLÍTICOS Y DE RENDICIÓN DE CUENTAS</w:t>
        </w:r>
      </w:hyperlink>
      <w:r>
        <w:rPr/>
        <w:t> </w:t>
      </w:r>
      <w:hyperlink w:history="true" w:anchor="_bookmark52">
        <w:r>
          <w:rPr/>
          <w:t>EN AMÉRICA</w:t>
        </w:r>
        <w:r>
          <w:rPr>
            <w:spacing w:val="-1"/>
          </w:rPr>
          <w:t> </w:t>
        </w:r>
        <w:r>
          <w:rPr/>
          <w:t>Y</w:t>
        </w:r>
        <w:r>
          <w:rPr>
            <w:spacing w:val="-2"/>
          </w:rPr>
          <w:t> </w:t>
        </w:r>
        <w:r>
          <w:rPr/>
          <w:t>EUROPA</w:t>
          <w:tab/>
          <w:t>93</w:t>
        </w:r>
      </w:hyperlink>
    </w:p>
    <w:p>
      <w:pPr>
        <w:pStyle w:val="ListParagraph"/>
        <w:numPr>
          <w:ilvl w:val="1"/>
          <w:numId w:val="4"/>
        </w:numPr>
        <w:tabs>
          <w:tab w:pos="505" w:val="left" w:leader="none"/>
          <w:tab w:pos="8933" w:val="right" w:leader="dot"/>
        </w:tabs>
        <w:spacing w:line="240" w:lineRule="auto" w:before="242" w:after="0"/>
        <w:ind w:left="504" w:right="0" w:hanging="402"/>
        <w:jc w:val="left"/>
        <w:rPr>
          <w:sz w:val="24"/>
        </w:rPr>
      </w:pPr>
      <w:hyperlink w:history="true" w:anchor="_bookmark53">
        <w:r>
          <w:rPr>
            <w:sz w:val="24"/>
          </w:rPr>
          <w:t>El régimen</w:t>
        </w:r>
        <w:r>
          <w:rPr>
            <w:spacing w:val="-3"/>
            <w:sz w:val="24"/>
          </w:rPr>
          <w:t> </w:t>
        </w:r>
        <w:r>
          <w:rPr>
            <w:sz w:val="24"/>
          </w:rPr>
          <w:t>político</w:t>
        </w:r>
        <w:r>
          <w:rPr>
            <w:spacing w:val="-3"/>
            <w:sz w:val="24"/>
          </w:rPr>
          <w:t> </w:t>
        </w:r>
        <w:r>
          <w:rPr>
            <w:sz w:val="24"/>
          </w:rPr>
          <w:t>democrático</w:t>
          <w:tab/>
          <w:t>93</w:t>
        </w:r>
      </w:hyperlink>
    </w:p>
    <w:p>
      <w:pPr>
        <w:pStyle w:val="ListParagraph"/>
        <w:numPr>
          <w:ilvl w:val="1"/>
          <w:numId w:val="4"/>
        </w:numPr>
        <w:tabs>
          <w:tab w:pos="505" w:val="left" w:leader="none"/>
          <w:tab w:pos="8933" w:val="right" w:leader="dot"/>
        </w:tabs>
        <w:spacing w:line="240" w:lineRule="auto" w:before="379" w:after="0"/>
        <w:ind w:left="504" w:right="0" w:hanging="402"/>
        <w:jc w:val="left"/>
        <w:rPr>
          <w:sz w:val="24"/>
        </w:rPr>
      </w:pPr>
      <w:hyperlink w:history="true" w:anchor="_bookmark55">
        <w:r>
          <w:rPr>
            <w:sz w:val="24"/>
          </w:rPr>
          <w:t>El control político mediante la división</w:t>
        </w:r>
        <w:r>
          <w:rPr>
            <w:spacing w:val="-7"/>
            <w:sz w:val="24"/>
          </w:rPr>
          <w:t> </w:t>
        </w:r>
        <w:r>
          <w:rPr>
            <w:sz w:val="24"/>
          </w:rPr>
          <w:t>de</w:t>
        </w:r>
        <w:r>
          <w:rPr>
            <w:spacing w:val="-3"/>
            <w:sz w:val="24"/>
          </w:rPr>
          <w:t> </w:t>
        </w:r>
        <w:r>
          <w:rPr>
            <w:sz w:val="24"/>
          </w:rPr>
          <w:t>poderes</w:t>
          <w:tab/>
          <w:t>96</w:t>
        </w:r>
      </w:hyperlink>
    </w:p>
    <w:p>
      <w:pPr>
        <w:pStyle w:val="ListParagraph"/>
        <w:numPr>
          <w:ilvl w:val="1"/>
          <w:numId w:val="4"/>
        </w:numPr>
        <w:tabs>
          <w:tab w:pos="505" w:val="left" w:leader="none"/>
          <w:tab w:pos="8933" w:val="right" w:leader="dot"/>
        </w:tabs>
        <w:spacing w:line="240" w:lineRule="auto" w:before="377" w:after="0"/>
        <w:ind w:left="504" w:right="0" w:hanging="402"/>
        <w:jc w:val="left"/>
        <w:rPr>
          <w:sz w:val="24"/>
        </w:rPr>
      </w:pPr>
      <w:hyperlink w:history="true" w:anchor="_bookmark58">
        <w:r>
          <w:rPr>
            <w:sz w:val="24"/>
          </w:rPr>
          <w:t>El control político mediante la rendición</w:t>
        </w:r>
        <w:r>
          <w:rPr>
            <w:spacing w:val="-9"/>
            <w:sz w:val="24"/>
          </w:rPr>
          <w:t> </w:t>
        </w:r>
        <w:r>
          <w:rPr>
            <w:sz w:val="24"/>
          </w:rPr>
          <w:t>de</w:t>
        </w:r>
        <w:r>
          <w:rPr>
            <w:spacing w:val="-1"/>
            <w:sz w:val="24"/>
          </w:rPr>
          <w:t> </w:t>
        </w:r>
        <w:r>
          <w:rPr>
            <w:sz w:val="24"/>
          </w:rPr>
          <w:t>cuentas</w:t>
          <w:tab/>
          <w:t>100</w:t>
        </w:r>
      </w:hyperlink>
    </w:p>
    <w:p>
      <w:pPr>
        <w:pStyle w:val="ListParagraph"/>
        <w:numPr>
          <w:ilvl w:val="2"/>
          <w:numId w:val="4"/>
        </w:numPr>
        <w:tabs>
          <w:tab w:pos="704" w:val="left" w:leader="none"/>
          <w:tab w:pos="8933" w:val="right" w:leader="dot"/>
        </w:tabs>
        <w:spacing w:line="240" w:lineRule="auto" w:before="379" w:after="0"/>
        <w:ind w:left="954" w:right="0" w:hanging="852"/>
        <w:jc w:val="left"/>
        <w:rPr>
          <w:sz w:val="24"/>
        </w:rPr>
      </w:pPr>
      <w:hyperlink w:history="true" w:anchor="_bookmark60">
        <w:r>
          <w:rPr>
            <w:sz w:val="24"/>
          </w:rPr>
          <w:t>Modelos institucionales de rendición de cuentas en</w:t>
        </w:r>
        <w:r>
          <w:rPr>
            <w:spacing w:val="-13"/>
            <w:sz w:val="24"/>
          </w:rPr>
          <w:t> </w:t>
        </w:r>
        <w:r>
          <w:rPr>
            <w:sz w:val="24"/>
          </w:rPr>
          <w:t>el</w:t>
        </w:r>
        <w:r>
          <w:rPr>
            <w:spacing w:val="-1"/>
            <w:sz w:val="24"/>
          </w:rPr>
          <w:t> </w:t>
        </w:r>
        <w:r>
          <w:rPr>
            <w:sz w:val="24"/>
          </w:rPr>
          <w:t>mundo</w:t>
          <w:tab/>
          <w:t>106</w:t>
        </w:r>
      </w:hyperlink>
    </w:p>
    <w:p>
      <w:pPr>
        <w:pStyle w:val="ListParagraph"/>
        <w:numPr>
          <w:ilvl w:val="2"/>
          <w:numId w:val="4"/>
        </w:numPr>
        <w:tabs>
          <w:tab w:pos="704" w:val="left" w:leader="none"/>
          <w:tab w:pos="8933" w:val="right" w:leader="dot"/>
        </w:tabs>
        <w:spacing w:line="240" w:lineRule="auto" w:before="377" w:after="0"/>
        <w:ind w:left="703" w:right="0" w:hanging="601"/>
        <w:jc w:val="left"/>
        <w:rPr>
          <w:sz w:val="24"/>
        </w:rPr>
      </w:pPr>
      <w:hyperlink w:history="true" w:anchor="_bookmark64">
        <w:r>
          <w:rPr>
            <w:sz w:val="24"/>
          </w:rPr>
          <w:t>La Organización Internacional de Entidades de</w:t>
        </w:r>
        <w:r>
          <w:rPr>
            <w:spacing w:val="-14"/>
            <w:sz w:val="24"/>
          </w:rPr>
          <w:t> </w:t>
        </w:r>
        <w:r>
          <w:rPr>
            <w:sz w:val="24"/>
          </w:rPr>
          <w:t>Fiscalización</w:t>
        </w:r>
        <w:r>
          <w:rPr>
            <w:spacing w:val="-1"/>
            <w:sz w:val="24"/>
          </w:rPr>
          <w:t> </w:t>
        </w:r>
        <w:r>
          <w:rPr>
            <w:sz w:val="24"/>
          </w:rPr>
          <w:t>Superior</w:t>
          <w:tab/>
          <w:t>110</w:t>
        </w:r>
      </w:hyperlink>
    </w:p>
    <w:p>
      <w:pPr>
        <w:pStyle w:val="ListParagraph"/>
        <w:numPr>
          <w:ilvl w:val="2"/>
          <w:numId w:val="4"/>
        </w:numPr>
        <w:tabs>
          <w:tab w:pos="704" w:val="left" w:leader="none"/>
          <w:tab w:pos="8933" w:val="right" w:leader="dot"/>
        </w:tabs>
        <w:spacing w:line="360" w:lineRule="auto" w:before="379" w:after="0"/>
        <w:ind w:left="954" w:right="124" w:hanging="852"/>
        <w:jc w:val="left"/>
        <w:rPr>
          <w:sz w:val="24"/>
        </w:rPr>
      </w:pPr>
      <w:hyperlink w:history="true" w:anchor="_bookmark67">
        <w:r>
          <w:rPr>
            <w:sz w:val="24"/>
          </w:rPr>
          <w:t>Declaración de México sobre la Independencia de las Entidades</w:t>
        </w:r>
      </w:hyperlink>
      <w:r>
        <w:rPr>
          <w:sz w:val="24"/>
        </w:rPr>
        <w:t> </w:t>
      </w:r>
      <w:hyperlink w:history="true" w:anchor="_bookmark67">
        <w:r>
          <w:rPr>
            <w:sz w:val="24"/>
          </w:rPr>
          <w:t>Fiscalizadoras</w:t>
        </w:r>
        <w:r>
          <w:rPr>
            <w:spacing w:val="-1"/>
            <w:sz w:val="24"/>
          </w:rPr>
          <w:t> </w:t>
        </w:r>
        <w:r>
          <w:rPr>
            <w:sz w:val="24"/>
          </w:rPr>
          <w:t>Superiores</w:t>
          <w:tab/>
          <w:t>113</w:t>
        </w:r>
      </w:hyperlink>
    </w:p>
    <w:p>
      <w:pPr>
        <w:pStyle w:val="ListParagraph"/>
        <w:numPr>
          <w:ilvl w:val="1"/>
          <w:numId w:val="4"/>
        </w:numPr>
        <w:tabs>
          <w:tab w:pos="505" w:val="left" w:leader="none"/>
          <w:tab w:pos="8933" w:val="right" w:leader="dot"/>
        </w:tabs>
        <w:spacing w:line="240" w:lineRule="auto" w:before="245" w:after="0"/>
        <w:ind w:left="504" w:right="0" w:hanging="402"/>
        <w:jc w:val="left"/>
        <w:rPr>
          <w:sz w:val="24"/>
        </w:rPr>
      </w:pPr>
      <w:hyperlink w:history="true" w:anchor="_bookmark69">
        <w:r>
          <w:rPr>
            <w:sz w:val="24"/>
          </w:rPr>
          <w:t>Gobernanza, rendición de cuentas</w:t>
        </w:r>
        <w:r>
          <w:rPr>
            <w:spacing w:val="-4"/>
            <w:sz w:val="24"/>
          </w:rPr>
          <w:t> </w:t>
        </w:r>
        <w:r>
          <w:rPr>
            <w:sz w:val="24"/>
          </w:rPr>
          <w:t>y</w:t>
        </w:r>
        <w:r>
          <w:rPr>
            <w:spacing w:val="-3"/>
            <w:sz w:val="24"/>
          </w:rPr>
          <w:t> </w:t>
        </w:r>
        <w:r>
          <w:rPr>
            <w:sz w:val="24"/>
          </w:rPr>
          <w:t>corrupción</w:t>
          <w:tab/>
          <w:t>114</w:t>
        </w:r>
      </w:hyperlink>
    </w:p>
    <w:p>
      <w:pPr>
        <w:pStyle w:val="BodyText"/>
        <w:tabs>
          <w:tab w:pos="8933" w:val="right" w:leader="dot"/>
        </w:tabs>
        <w:spacing w:line="362" w:lineRule="auto" w:before="377"/>
        <w:ind w:left="954" w:right="124" w:hanging="852"/>
      </w:pPr>
      <w:hyperlink w:history="true" w:anchor="_bookmark70">
        <w:r>
          <w:rPr/>
          <w:t>CAPÍTULO CUARTO. SIGLO XXI: POLÍTICAS PÚBLICAS Y EVALUACIÓN DEL</w:t>
        </w:r>
      </w:hyperlink>
      <w:r>
        <w:rPr/>
        <w:t> </w:t>
      </w:r>
      <w:hyperlink w:history="true" w:anchor="_bookmark70">
        <w:r>
          <w:rPr/>
          <w:t>ESTADO</w:t>
        </w:r>
        <w:r>
          <w:rPr>
            <w:spacing w:val="-1"/>
          </w:rPr>
          <w:t> </w:t>
        </w:r>
        <w:r>
          <w:rPr/>
          <w:t>MEXICANO</w:t>
          <w:tab/>
          <w:t>117</w:t>
        </w:r>
      </w:hyperlink>
    </w:p>
    <w:p>
      <w:pPr>
        <w:pStyle w:val="ListParagraph"/>
        <w:numPr>
          <w:ilvl w:val="1"/>
          <w:numId w:val="5"/>
        </w:numPr>
        <w:tabs>
          <w:tab w:pos="505" w:val="left" w:leader="none"/>
          <w:tab w:pos="8933" w:val="right" w:leader="dot"/>
        </w:tabs>
        <w:spacing w:line="240" w:lineRule="auto" w:before="240" w:after="0"/>
        <w:ind w:left="504" w:right="0" w:hanging="402"/>
        <w:jc w:val="left"/>
        <w:rPr>
          <w:sz w:val="24"/>
        </w:rPr>
      </w:pPr>
      <w:hyperlink w:history="true" w:anchor="_bookmark72">
        <w:r>
          <w:rPr>
            <w:sz w:val="24"/>
          </w:rPr>
          <w:t>Evaluación de las</w:t>
        </w:r>
        <w:r>
          <w:rPr>
            <w:spacing w:val="-8"/>
            <w:sz w:val="24"/>
          </w:rPr>
          <w:t> </w:t>
        </w:r>
        <w:r>
          <w:rPr>
            <w:sz w:val="24"/>
          </w:rPr>
          <w:t>políticas</w:t>
        </w:r>
        <w:r>
          <w:rPr>
            <w:spacing w:val="-1"/>
            <w:sz w:val="24"/>
          </w:rPr>
          <w:t> </w:t>
        </w:r>
        <w:r>
          <w:rPr>
            <w:sz w:val="24"/>
          </w:rPr>
          <w:t>públicas</w:t>
          <w:tab/>
          <w:t>122</w:t>
        </w:r>
      </w:hyperlink>
    </w:p>
    <w:p>
      <w:pPr>
        <w:pStyle w:val="ListParagraph"/>
        <w:numPr>
          <w:ilvl w:val="1"/>
          <w:numId w:val="5"/>
        </w:numPr>
        <w:tabs>
          <w:tab w:pos="505" w:val="left" w:leader="none"/>
          <w:tab w:pos="8933" w:val="right" w:leader="dot"/>
        </w:tabs>
        <w:spacing w:line="240" w:lineRule="auto" w:before="379" w:after="0"/>
        <w:ind w:left="504" w:right="0" w:hanging="402"/>
        <w:jc w:val="left"/>
        <w:rPr>
          <w:sz w:val="24"/>
        </w:rPr>
      </w:pPr>
      <w:hyperlink w:history="true" w:anchor="_bookmark76">
        <w:r>
          <w:rPr>
            <w:sz w:val="24"/>
          </w:rPr>
          <w:t>Fragmentación de la Política de Combate a</w:t>
        </w:r>
        <w:r>
          <w:rPr>
            <w:spacing w:val="-2"/>
            <w:sz w:val="24"/>
          </w:rPr>
          <w:t> </w:t>
        </w:r>
        <w:r>
          <w:rPr>
            <w:sz w:val="24"/>
          </w:rPr>
          <w:t>la</w:t>
        </w:r>
        <w:r>
          <w:rPr>
            <w:spacing w:val="-1"/>
            <w:sz w:val="24"/>
          </w:rPr>
          <w:t> </w:t>
        </w:r>
        <w:r>
          <w:rPr>
            <w:sz w:val="24"/>
          </w:rPr>
          <w:t>Corrupción</w:t>
          <w:tab/>
          <w:t>129</w:t>
        </w:r>
      </w:hyperlink>
    </w:p>
    <w:p>
      <w:pPr>
        <w:pStyle w:val="BodyText"/>
        <w:tabs>
          <w:tab w:pos="8933" w:val="right" w:leader="dot"/>
        </w:tabs>
        <w:spacing w:before="377"/>
        <w:ind w:left="102"/>
      </w:pPr>
      <w:hyperlink w:history="true" w:anchor="_bookmark77">
        <w:r>
          <w:rPr/>
          <w:t>4.2.1 Mecanismos de control interno</w:t>
        </w:r>
        <w:r>
          <w:rPr>
            <w:spacing w:val="-7"/>
          </w:rPr>
          <w:t> </w:t>
        </w:r>
        <w:r>
          <w:rPr/>
          <w:t>y</w:t>
        </w:r>
        <w:r>
          <w:rPr>
            <w:spacing w:val="-3"/>
          </w:rPr>
          <w:t> </w:t>
        </w:r>
        <w:r>
          <w:rPr/>
          <w:t>externo</w:t>
          <w:tab/>
          <w:t>129</w:t>
        </w:r>
      </w:hyperlink>
    </w:p>
    <w:p>
      <w:pPr>
        <w:spacing w:after="0"/>
        <w:sectPr>
          <w:pgSz w:w="12240" w:h="15840"/>
          <w:pgMar w:header="0" w:footer="943" w:top="1360" w:bottom="1200" w:left="1600" w:right="1580"/>
        </w:sectPr>
      </w:pPr>
    </w:p>
    <w:p>
      <w:pPr>
        <w:pStyle w:val="ListParagraph"/>
        <w:numPr>
          <w:ilvl w:val="1"/>
          <w:numId w:val="6"/>
        </w:numPr>
        <w:tabs>
          <w:tab w:pos="505" w:val="left" w:leader="none"/>
          <w:tab w:pos="8933" w:val="right" w:leader="dot"/>
        </w:tabs>
        <w:spacing w:line="240" w:lineRule="auto" w:before="54" w:after="0"/>
        <w:ind w:left="504" w:right="0" w:hanging="402"/>
        <w:jc w:val="left"/>
        <w:rPr>
          <w:sz w:val="24"/>
        </w:rPr>
      </w:pPr>
      <w:hyperlink w:history="true" w:anchor="_bookmark84">
        <w:r>
          <w:rPr>
            <w:sz w:val="24"/>
          </w:rPr>
          <w:t>Fortalecimiento de la</w:t>
        </w:r>
        <w:r>
          <w:rPr>
            <w:spacing w:val="-3"/>
            <w:sz w:val="24"/>
          </w:rPr>
          <w:t> </w:t>
        </w:r>
        <w:r>
          <w:rPr>
            <w:sz w:val="24"/>
          </w:rPr>
          <w:t>Administración</w:t>
        </w:r>
        <w:r>
          <w:rPr>
            <w:spacing w:val="-1"/>
            <w:sz w:val="24"/>
          </w:rPr>
          <w:t> </w:t>
        </w:r>
        <w:r>
          <w:rPr>
            <w:sz w:val="24"/>
          </w:rPr>
          <w:t>Pública</w:t>
          <w:tab/>
          <w:t>146</w:t>
        </w:r>
      </w:hyperlink>
    </w:p>
    <w:p>
      <w:pPr>
        <w:pStyle w:val="ListParagraph"/>
        <w:numPr>
          <w:ilvl w:val="1"/>
          <w:numId w:val="6"/>
        </w:numPr>
        <w:tabs>
          <w:tab w:pos="505" w:val="left" w:leader="none"/>
          <w:tab w:pos="8933" w:val="right" w:leader="dot"/>
        </w:tabs>
        <w:spacing w:line="240" w:lineRule="auto" w:before="379" w:after="0"/>
        <w:ind w:left="504" w:right="0" w:hanging="402"/>
        <w:jc w:val="left"/>
        <w:rPr>
          <w:sz w:val="24"/>
        </w:rPr>
      </w:pPr>
      <w:hyperlink w:history="true" w:anchor="_bookmark85">
        <w:r>
          <w:rPr>
            <w:sz w:val="24"/>
          </w:rPr>
          <w:t>Hacia la gobernanza y el</w:t>
        </w:r>
        <w:r>
          <w:rPr>
            <w:spacing w:val="-4"/>
            <w:sz w:val="24"/>
          </w:rPr>
          <w:t> </w:t>
        </w:r>
        <w:r>
          <w:rPr>
            <w:sz w:val="24"/>
          </w:rPr>
          <w:t>buen</w:t>
        </w:r>
        <w:r>
          <w:rPr>
            <w:spacing w:val="-1"/>
            <w:sz w:val="24"/>
          </w:rPr>
          <w:t> </w:t>
        </w:r>
        <w:r>
          <w:rPr>
            <w:sz w:val="24"/>
          </w:rPr>
          <w:t>gobierno</w:t>
          <w:tab/>
          <w:t>148</w:t>
        </w:r>
      </w:hyperlink>
    </w:p>
    <w:p>
      <w:pPr>
        <w:pStyle w:val="ListParagraph"/>
        <w:numPr>
          <w:ilvl w:val="1"/>
          <w:numId w:val="6"/>
        </w:numPr>
        <w:tabs>
          <w:tab w:pos="505" w:val="left" w:leader="none"/>
          <w:tab w:pos="8933" w:val="right" w:leader="dot"/>
        </w:tabs>
        <w:spacing w:line="240" w:lineRule="auto" w:before="377" w:after="0"/>
        <w:ind w:left="504" w:right="0" w:hanging="402"/>
        <w:jc w:val="left"/>
        <w:rPr>
          <w:sz w:val="24"/>
        </w:rPr>
      </w:pPr>
      <w:hyperlink w:history="true" w:anchor="_bookmark86">
        <w:r>
          <w:rPr>
            <w:sz w:val="24"/>
          </w:rPr>
          <w:t>Indicadores</w:t>
        </w:r>
        <w:r>
          <w:rPr>
            <w:spacing w:val="-3"/>
            <w:sz w:val="24"/>
          </w:rPr>
          <w:t> </w:t>
        </w:r>
        <w:r>
          <w:rPr>
            <w:sz w:val="24"/>
          </w:rPr>
          <w:t>de</w:t>
        </w:r>
        <w:r>
          <w:rPr>
            <w:spacing w:val="-3"/>
            <w:sz w:val="24"/>
          </w:rPr>
          <w:t> </w:t>
        </w:r>
        <w:r>
          <w:rPr>
            <w:sz w:val="24"/>
          </w:rPr>
          <w:t>desempeño</w:t>
          <w:tab/>
          <w:t>154</w:t>
        </w:r>
      </w:hyperlink>
    </w:p>
    <w:p>
      <w:pPr>
        <w:pStyle w:val="BodyText"/>
        <w:tabs>
          <w:tab w:pos="8933" w:val="right" w:leader="dot"/>
        </w:tabs>
        <w:spacing w:before="379"/>
        <w:ind w:left="102"/>
      </w:pPr>
      <w:hyperlink w:history="true" w:anchor="_bookmark95">
        <w:r>
          <w:rPr/>
          <w:t>CONCLUSIONES</w:t>
          <w:tab/>
          <w:t>166</w:t>
        </w:r>
      </w:hyperlink>
    </w:p>
    <w:p>
      <w:pPr>
        <w:pStyle w:val="BodyText"/>
        <w:tabs>
          <w:tab w:pos="8933" w:val="right" w:leader="dot"/>
        </w:tabs>
        <w:spacing w:before="377"/>
        <w:ind w:left="102"/>
      </w:pPr>
      <w:hyperlink w:history="true" w:anchor="_bookmark96">
        <w:r>
          <w:rPr/>
          <w:t>PROPUESTA</w:t>
          <w:tab/>
          <w:t>169</w:t>
        </w:r>
      </w:hyperlink>
    </w:p>
    <w:p>
      <w:pPr>
        <w:pStyle w:val="BodyText"/>
        <w:tabs>
          <w:tab w:pos="8933" w:val="right" w:leader="dot"/>
        </w:tabs>
        <w:spacing w:before="379"/>
        <w:ind w:left="102"/>
      </w:pPr>
      <w:hyperlink w:history="true" w:anchor="_bookmark97">
        <w:r>
          <w:rPr/>
          <w:t>Referencias</w:t>
          <w:tab/>
          <w:t>172</w:t>
        </w:r>
      </w:hyperlink>
    </w:p>
    <w:p>
      <w:pPr>
        <w:pStyle w:val="BodyText"/>
        <w:tabs>
          <w:tab w:pos="8933" w:val="right" w:leader="dot"/>
        </w:tabs>
        <w:spacing w:before="377"/>
        <w:ind w:left="102"/>
      </w:pPr>
      <w:hyperlink w:history="true" w:anchor="_bookmark98">
        <w:r>
          <w:rPr/>
          <w:t>Consultas</w:t>
        </w:r>
        <w:r>
          <w:rPr>
            <w:spacing w:val="-3"/>
          </w:rPr>
          <w:t> </w:t>
        </w:r>
        <w:r>
          <w:rPr/>
          <w:t>en</w:t>
        </w:r>
        <w:r>
          <w:rPr>
            <w:spacing w:val="-1"/>
          </w:rPr>
          <w:t> </w:t>
        </w:r>
        <w:r>
          <w:rPr/>
          <w:t>línea</w:t>
          <w:tab/>
          <w:t>178</w:t>
        </w:r>
      </w:hyperlink>
    </w:p>
    <w:p>
      <w:pPr>
        <w:pStyle w:val="BodyText"/>
        <w:tabs>
          <w:tab w:pos="8933" w:val="right" w:leader="dot"/>
        </w:tabs>
        <w:spacing w:before="379"/>
        <w:ind w:left="102"/>
      </w:pPr>
      <w:hyperlink w:history="true" w:anchor="_bookmark99">
        <w:r>
          <w:rPr/>
          <w:t>Marco jurídico</w:t>
        </w:r>
        <w:r>
          <w:rPr>
            <w:spacing w:val="-1"/>
          </w:rPr>
          <w:t> </w:t>
        </w:r>
        <w:r>
          <w:rPr/>
          <w:t>y</w:t>
        </w:r>
        <w:r>
          <w:rPr>
            <w:spacing w:val="-4"/>
          </w:rPr>
          <w:t> </w:t>
        </w:r>
        <w:r>
          <w:rPr/>
          <w:t>normativo</w:t>
          <w:tab/>
          <w:t>188</w:t>
        </w:r>
      </w:hyperlink>
    </w:p>
    <w:p>
      <w:pPr>
        <w:pStyle w:val="BodyText"/>
        <w:tabs>
          <w:tab w:pos="8933" w:val="right" w:leader="dot"/>
        </w:tabs>
        <w:spacing w:before="377"/>
        <w:ind w:left="102"/>
      </w:pPr>
      <w:hyperlink w:history="true" w:anchor="_bookmark100">
        <w:r>
          <w:rPr/>
          <w:t>Índices</w:t>
        </w:r>
        <w:r>
          <w:rPr>
            <w:spacing w:val="-2"/>
          </w:rPr>
          <w:t> </w:t>
        </w:r>
        <w:r>
          <w:rPr/>
          <w:t>e</w:t>
        </w:r>
        <w:r>
          <w:rPr>
            <w:spacing w:val="-1"/>
          </w:rPr>
          <w:t> </w:t>
        </w:r>
        <w:r>
          <w:rPr/>
          <w:t>indicadores</w:t>
          <w:tab/>
          <w:t>190</w:t>
        </w:r>
      </w:hyperlink>
    </w:p>
    <w:p>
      <w:pPr>
        <w:spacing w:after="0"/>
        <w:sectPr>
          <w:pgSz w:w="12240" w:h="15840"/>
          <w:pgMar w:header="0" w:footer="1003" w:top="1360" w:bottom="1200" w:left="1600" w:right="1600"/>
        </w:sectPr>
      </w:pPr>
    </w:p>
    <w:p>
      <w:pPr>
        <w:spacing w:before="31"/>
        <w:ind w:left="102" w:right="0" w:firstLine="0"/>
        <w:jc w:val="left"/>
        <w:rPr>
          <w:b/>
          <w:sz w:val="32"/>
        </w:rPr>
      </w:pPr>
      <w:r>
        <w:rPr>
          <w:b/>
          <w:sz w:val="32"/>
        </w:rPr>
        <w:t>ÍNDICE DE CUADROS</w:t>
      </w:r>
    </w:p>
    <w:p>
      <w:pPr>
        <w:pStyle w:val="BodyText"/>
        <w:tabs>
          <w:tab w:pos="8796" w:val="left" w:leader="dot"/>
        </w:tabs>
        <w:spacing w:before="259"/>
        <w:ind w:left="102"/>
      </w:pPr>
      <w:r>
        <w:rPr/>
        <w:t>Cuadro 1.1. Algunas definiciones</w:t>
      </w:r>
      <w:r>
        <w:rPr>
          <w:spacing w:val="-15"/>
        </w:rPr>
        <w:t> </w:t>
      </w:r>
      <w:r>
        <w:rPr/>
        <w:t>de</w:t>
      </w:r>
      <w:r>
        <w:rPr>
          <w:spacing w:val="-4"/>
        </w:rPr>
        <w:t> </w:t>
      </w:r>
      <w:r>
        <w:rPr/>
        <w:t>gobernanza</w:t>
        <w:tab/>
        <w:t>8</w:t>
      </w:r>
    </w:p>
    <w:p>
      <w:pPr>
        <w:pStyle w:val="BodyText"/>
        <w:tabs>
          <w:tab w:pos="8664" w:val="left" w:leader="dot"/>
        </w:tabs>
        <w:spacing w:before="139"/>
        <w:ind w:left="102"/>
      </w:pPr>
      <w:hyperlink w:history="true" w:anchor="_bookmark4">
        <w:r>
          <w:rPr/>
          <w:t>Cuadro 1.2. Características de la</w:t>
        </w:r>
        <w:r>
          <w:rPr>
            <w:spacing w:val="-11"/>
          </w:rPr>
          <w:t> </w:t>
        </w:r>
        <w:r>
          <w:rPr/>
          <w:t>acción</w:t>
        </w:r>
        <w:r>
          <w:rPr>
            <w:spacing w:val="-1"/>
          </w:rPr>
          <w:t> </w:t>
        </w:r>
        <w:r>
          <w:rPr/>
          <w:t>pública</w:t>
        </w:r>
      </w:hyperlink>
      <w:r>
        <w:rPr/>
        <w:tab/>
        <w:t>12</w:t>
      </w:r>
    </w:p>
    <w:p>
      <w:pPr>
        <w:pStyle w:val="BodyText"/>
        <w:tabs>
          <w:tab w:pos="8664" w:val="left" w:leader="dot"/>
        </w:tabs>
        <w:spacing w:before="137"/>
        <w:ind w:left="102"/>
      </w:pPr>
      <w:hyperlink w:history="true" w:anchor="_bookmark6">
        <w:r>
          <w:rPr/>
          <w:t>Cuadro 1.3. Algunos problemas y soluciones de</w:t>
        </w:r>
        <w:r>
          <w:rPr>
            <w:spacing w:val="-13"/>
          </w:rPr>
          <w:t> </w:t>
        </w:r>
        <w:r>
          <w:rPr/>
          <w:t>los</w:t>
        </w:r>
        <w:r>
          <w:rPr>
            <w:spacing w:val="-3"/>
          </w:rPr>
          <w:t> </w:t>
        </w:r>
        <w:r>
          <w:rPr/>
          <w:t>Estados</w:t>
        </w:r>
      </w:hyperlink>
      <w:r>
        <w:rPr/>
        <w:tab/>
        <w:t>13</w:t>
      </w:r>
    </w:p>
    <w:p>
      <w:pPr>
        <w:pStyle w:val="BodyText"/>
        <w:tabs>
          <w:tab w:pos="8664" w:val="left" w:leader="dot"/>
        </w:tabs>
        <w:spacing w:before="139"/>
        <w:ind w:left="102"/>
      </w:pPr>
      <w:hyperlink w:history="true" w:anchor="_bookmark8">
        <w:r>
          <w:rPr/>
          <w:t>Cuadro 1.4. Formas</w:t>
        </w:r>
        <w:r>
          <w:rPr>
            <w:spacing w:val="-6"/>
          </w:rPr>
          <w:t> </w:t>
        </w:r>
        <w:r>
          <w:rPr/>
          <w:t>de</w:t>
        </w:r>
        <w:r>
          <w:rPr>
            <w:spacing w:val="-1"/>
          </w:rPr>
          <w:t> </w:t>
        </w:r>
        <w:r>
          <w:rPr/>
          <w:t>gobierno</w:t>
        </w:r>
      </w:hyperlink>
      <w:r>
        <w:rPr/>
        <w:tab/>
        <w:t>15</w:t>
      </w:r>
    </w:p>
    <w:p>
      <w:pPr>
        <w:pStyle w:val="BodyText"/>
        <w:tabs>
          <w:tab w:pos="8664" w:val="left" w:leader="dot"/>
        </w:tabs>
        <w:spacing w:before="137"/>
        <w:ind w:left="102"/>
      </w:pPr>
      <w:hyperlink w:history="true" w:anchor="_bookmark17">
        <w:r>
          <w:rPr/>
          <w:t>Cuadro 1.5. Principios de la gobernanza corporativa de</w:t>
        </w:r>
        <w:r>
          <w:rPr>
            <w:spacing w:val="-16"/>
          </w:rPr>
          <w:t> </w:t>
        </w:r>
        <w:r>
          <w:rPr/>
          <w:t>la</w:t>
        </w:r>
        <w:r>
          <w:rPr>
            <w:spacing w:val="-4"/>
          </w:rPr>
          <w:t> </w:t>
        </w:r>
        <w:r>
          <w:rPr/>
          <w:t>OCDE</w:t>
        </w:r>
      </w:hyperlink>
      <w:r>
        <w:rPr/>
        <w:tab/>
        <w:t>34</w:t>
      </w:r>
    </w:p>
    <w:p>
      <w:pPr>
        <w:pStyle w:val="BodyText"/>
        <w:tabs>
          <w:tab w:pos="8664" w:val="left" w:leader="dot"/>
        </w:tabs>
        <w:spacing w:before="137"/>
        <w:ind w:left="102"/>
      </w:pPr>
      <w:hyperlink w:history="true" w:anchor="_bookmark21">
        <w:r>
          <w:rPr/>
          <w:t>Cuadro 1.6. Clasificación de indicadores internacionales</w:t>
        </w:r>
        <w:r>
          <w:rPr>
            <w:spacing w:val="-11"/>
          </w:rPr>
          <w:t> </w:t>
        </w:r>
        <w:r>
          <w:rPr/>
          <w:t>por</w:t>
        </w:r>
        <w:r>
          <w:rPr>
            <w:spacing w:val="-2"/>
          </w:rPr>
          <w:t> </w:t>
        </w:r>
        <w:r>
          <w:rPr/>
          <w:t>sub-indicadores</w:t>
        </w:r>
      </w:hyperlink>
      <w:r>
        <w:rPr/>
        <w:tab/>
        <w:t>40</w:t>
      </w:r>
    </w:p>
    <w:p>
      <w:pPr>
        <w:pStyle w:val="BodyText"/>
        <w:tabs>
          <w:tab w:pos="8664" w:val="left" w:leader="dot"/>
        </w:tabs>
        <w:spacing w:before="139"/>
        <w:ind w:left="102"/>
      </w:pPr>
      <w:hyperlink w:history="true" w:anchor="_bookmark22">
        <w:r>
          <w:rPr/>
          <w:t>Cuadro 1.7. Detalle de indicadores líderes, indicadores</w:t>
        </w:r>
        <w:r>
          <w:rPr>
            <w:spacing w:val="-10"/>
          </w:rPr>
          <w:t> </w:t>
        </w:r>
        <w:r>
          <w:rPr/>
          <w:t>y</w:t>
        </w:r>
        <w:r>
          <w:rPr>
            <w:spacing w:val="-2"/>
          </w:rPr>
          <w:t> </w:t>
        </w:r>
        <w:r>
          <w:rPr/>
          <w:t>sub-indicadores</w:t>
        </w:r>
      </w:hyperlink>
      <w:r>
        <w:rPr/>
        <w:tab/>
        <w:t>41</w:t>
      </w:r>
    </w:p>
    <w:p>
      <w:pPr>
        <w:pStyle w:val="BodyText"/>
        <w:tabs>
          <w:tab w:pos="8664" w:val="left" w:leader="dot"/>
        </w:tabs>
        <w:spacing w:before="137"/>
        <w:ind w:left="102"/>
      </w:pPr>
      <w:hyperlink w:history="true" w:anchor="_bookmark26">
        <w:r>
          <w:rPr/>
          <w:t>Cuadro 1.8. Índice de percepción de la</w:t>
        </w:r>
        <w:r>
          <w:rPr>
            <w:spacing w:val="-14"/>
          </w:rPr>
          <w:t> </w:t>
        </w:r>
        <w:r>
          <w:rPr/>
          <w:t>corrupción,</w:t>
        </w:r>
        <w:r>
          <w:rPr>
            <w:spacing w:val="-4"/>
          </w:rPr>
          <w:t> </w:t>
        </w:r>
        <w:r>
          <w:rPr/>
          <w:t>2012</w:t>
          <w:tab/>
          <w:t>48</w:t>
        </w:r>
      </w:hyperlink>
    </w:p>
    <w:p>
      <w:pPr>
        <w:pStyle w:val="BodyText"/>
        <w:spacing w:before="139"/>
        <w:ind w:left="102"/>
      </w:pPr>
      <w:hyperlink w:history="true" w:anchor="_bookmark31">
        <w:r>
          <w:rPr/>
          <w:t>Cuadro 1.9. Oficinas legislativas de análisis del presupuesto, 2000, 2003 y 2007</w:t>
        </w:r>
      </w:hyperlink>
      <w:r>
        <w:rPr/>
        <w:t> 53</w:t>
      </w:r>
    </w:p>
    <w:p>
      <w:pPr>
        <w:pStyle w:val="BodyText"/>
        <w:tabs>
          <w:tab w:pos="8664" w:val="left" w:leader="dot"/>
        </w:tabs>
        <w:spacing w:before="137"/>
        <w:ind w:left="102"/>
      </w:pPr>
      <w:hyperlink w:history="true" w:anchor="_bookmark34">
        <w:r>
          <w:rPr/>
          <w:t>Cuadro 1.10. Índice de calidad</w:t>
        </w:r>
        <w:r>
          <w:rPr>
            <w:spacing w:val="-12"/>
          </w:rPr>
          <w:t> </w:t>
        </w:r>
        <w:r>
          <w:rPr/>
          <w:t>institucional,</w:t>
        </w:r>
        <w:r>
          <w:rPr>
            <w:spacing w:val="-3"/>
          </w:rPr>
          <w:t> </w:t>
        </w:r>
        <w:r>
          <w:rPr/>
          <w:t>2012</w:t>
        </w:r>
      </w:hyperlink>
      <w:r>
        <w:rPr/>
        <w:tab/>
        <w:t>57</w:t>
      </w:r>
    </w:p>
    <w:p>
      <w:pPr>
        <w:pStyle w:val="BodyText"/>
        <w:tabs>
          <w:tab w:pos="8664" w:val="left" w:leader="dot"/>
        </w:tabs>
        <w:spacing w:before="139"/>
        <w:ind w:left="102"/>
      </w:pPr>
      <w:hyperlink w:history="true" w:anchor="_bookmark35">
        <w:r>
          <w:rPr/>
          <w:t>Cuadro 1.11. Índice de competitividad</w:t>
        </w:r>
        <w:r>
          <w:rPr>
            <w:spacing w:val="-12"/>
          </w:rPr>
          <w:t> </w:t>
        </w:r>
        <w:r>
          <w:rPr/>
          <w:t>internacional,</w:t>
        </w:r>
        <w:r>
          <w:rPr>
            <w:spacing w:val="-4"/>
          </w:rPr>
          <w:t> </w:t>
        </w:r>
        <w:r>
          <w:rPr/>
          <w:t>2011</w:t>
        </w:r>
      </w:hyperlink>
      <w:r>
        <w:rPr/>
        <w:tab/>
        <w:t>58</w:t>
      </w:r>
    </w:p>
    <w:p>
      <w:pPr>
        <w:pStyle w:val="BodyText"/>
        <w:tabs>
          <w:tab w:pos="8664" w:val="left" w:leader="dot"/>
        </w:tabs>
        <w:spacing w:before="137"/>
        <w:ind w:left="102"/>
      </w:pPr>
      <w:hyperlink w:history="true" w:anchor="_bookmark36">
        <w:r>
          <w:rPr/>
          <w:t>Cuadro 1.12. Participación en</w:t>
        </w:r>
        <w:r>
          <w:rPr>
            <w:spacing w:val="-6"/>
          </w:rPr>
          <w:t> </w:t>
        </w:r>
        <w:r>
          <w:rPr/>
          <w:t>elecciones,</w:t>
        </w:r>
        <w:r>
          <w:rPr>
            <w:spacing w:val="-4"/>
          </w:rPr>
          <w:t> </w:t>
        </w:r>
        <w:r>
          <w:rPr/>
          <w:t>2011</w:t>
        </w:r>
      </w:hyperlink>
      <w:r>
        <w:rPr/>
        <w:tab/>
        <w:t>59</w:t>
      </w:r>
    </w:p>
    <w:p>
      <w:pPr>
        <w:pStyle w:val="BodyText"/>
        <w:tabs>
          <w:tab w:pos="8664" w:val="left" w:leader="dot"/>
        </w:tabs>
        <w:spacing w:before="139"/>
        <w:ind w:left="102"/>
      </w:pPr>
      <w:hyperlink w:history="true" w:anchor="_bookmark37">
        <w:r>
          <w:rPr/>
          <w:t>Cuadro 1.13. Índice de mejor</w:t>
        </w:r>
        <w:r>
          <w:rPr>
            <w:spacing w:val="-10"/>
          </w:rPr>
          <w:t> </w:t>
        </w:r>
        <w:r>
          <w:rPr/>
          <w:t>vida,</w:t>
        </w:r>
        <w:r>
          <w:rPr>
            <w:spacing w:val="-3"/>
          </w:rPr>
          <w:t> </w:t>
        </w:r>
        <w:r>
          <w:rPr/>
          <w:t>2013</w:t>
          <w:tab/>
          <w:t>61</w:t>
        </w:r>
      </w:hyperlink>
    </w:p>
    <w:p>
      <w:pPr>
        <w:pStyle w:val="BodyText"/>
        <w:tabs>
          <w:tab w:pos="8664" w:val="left" w:leader="dot"/>
        </w:tabs>
        <w:spacing w:before="137"/>
        <w:ind w:left="102"/>
      </w:pPr>
      <w:hyperlink w:history="true" w:anchor="_bookmark38">
        <w:r>
          <w:rPr/>
          <w:t>Cuadro 1.14. Índice de planeta</w:t>
        </w:r>
        <w:r>
          <w:rPr>
            <w:spacing w:val="-11"/>
          </w:rPr>
          <w:t> </w:t>
        </w:r>
        <w:r>
          <w:rPr/>
          <w:t>feliz,</w:t>
        </w:r>
        <w:r>
          <w:rPr>
            <w:spacing w:val="-1"/>
          </w:rPr>
          <w:t> </w:t>
        </w:r>
        <w:r>
          <w:rPr/>
          <w:t>2012</w:t>
        </w:r>
      </w:hyperlink>
      <w:r>
        <w:rPr/>
        <w:tab/>
        <w:t>63</w:t>
      </w:r>
    </w:p>
    <w:p>
      <w:pPr>
        <w:pStyle w:val="BodyText"/>
        <w:tabs>
          <w:tab w:pos="8664" w:val="left" w:leader="dot"/>
        </w:tabs>
        <w:spacing w:line="360" w:lineRule="auto" w:before="139"/>
        <w:ind w:left="102" w:right="124"/>
      </w:pPr>
      <w:r>
        <w:rPr/>
        <w:t>Cuadro 1.15. Índice de integridad pública, 2011 </w:t>
      </w:r>
      <w:r>
        <w:rPr>
          <w:spacing w:val="2"/>
        </w:rPr>
        <w:t>..</w:t>
      </w:r>
      <w:r>
        <w:rPr>
          <w:b/>
          <w:spacing w:val="2"/>
        </w:rPr>
        <w:t>¡Error! </w:t>
      </w:r>
      <w:r>
        <w:rPr>
          <w:b/>
        </w:rPr>
        <w:t>Marcador no</w:t>
      </w:r>
      <w:r>
        <w:rPr>
          <w:b/>
          <w:spacing w:val="-46"/>
        </w:rPr>
        <w:t> </w:t>
      </w:r>
      <w:r>
        <w:rPr>
          <w:b/>
        </w:rPr>
        <w:t>definido.6</w:t>
      </w:r>
      <w:r>
        <w:rPr/>
        <w:t>4 </w:t>
      </w:r>
      <w:hyperlink w:history="true" w:anchor="_bookmark51">
        <w:r>
          <w:rPr/>
          <w:t>Cuadro 2. 1.Reformas constitucionales y legislativas de la institución de control</w:t>
        </w:r>
      </w:hyperlink>
      <w:r>
        <w:rPr/>
        <w:t> </w:t>
      </w:r>
      <w:hyperlink w:history="true" w:anchor="_bookmark51">
        <w:r>
          <w:rPr/>
          <w:t>externo</w:t>
        </w:r>
      </w:hyperlink>
      <w:r>
        <w:rPr/>
        <w:tab/>
        <w:t>68</w:t>
      </w:r>
    </w:p>
    <w:p>
      <w:pPr>
        <w:pStyle w:val="BodyText"/>
        <w:spacing w:line="360" w:lineRule="auto" w:before="2"/>
        <w:ind w:left="102"/>
        <w:rPr>
          <w:b/>
        </w:rPr>
      </w:pPr>
      <w:r>
        <w:rPr/>
        <w:t>Cuadro 2. 2. Reformas constitucionales y legislativas de la Institución de control interno ....................................................................</w:t>
      </w:r>
      <w:r>
        <w:rPr>
          <w:b/>
        </w:rPr>
        <w:t>¡Error! Marcador no definido.2</w:t>
      </w:r>
    </w:p>
    <w:p>
      <w:pPr>
        <w:pStyle w:val="BodyText"/>
        <w:tabs>
          <w:tab w:pos="8664" w:val="left" w:leader="dot"/>
        </w:tabs>
        <w:spacing w:before="2"/>
        <w:ind w:left="102"/>
      </w:pPr>
      <w:hyperlink w:history="true" w:anchor="_bookmark54">
        <w:r>
          <w:rPr/>
          <w:t>Cuadro 3. 1. Características principales de los</w:t>
        </w:r>
        <w:r>
          <w:rPr>
            <w:spacing w:val="-17"/>
          </w:rPr>
          <w:t> </w:t>
        </w:r>
        <w:r>
          <w:rPr/>
          <w:t>regímenes</w:t>
        </w:r>
        <w:r>
          <w:rPr>
            <w:spacing w:val="-2"/>
          </w:rPr>
          <w:t> </w:t>
        </w:r>
        <w:r>
          <w:rPr/>
          <w:t>políticos</w:t>
          <w:tab/>
          <w:t>95</w:t>
        </w:r>
      </w:hyperlink>
    </w:p>
    <w:p>
      <w:pPr>
        <w:pStyle w:val="BodyText"/>
        <w:tabs>
          <w:tab w:pos="8664" w:val="left" w:leader="dot"/>
        </w:tabs>
        <w:spacing w:before="139"/>
        <w:ind w:left="102"/>
      </w:pPr>
      <w:hyperlink w:history="true" w:anchor="_bookmark57">
        <w:r>
          <w:rPr/>
          <w:t>Cuadro 3. 2. Marco político de los Estados americanos</w:t>
        </w:r>
        <w:r>
          <w:rPr>
            <w:spacing w:val="-16"/>
          </w:rPr>
          <w:t> </w:t>
        </w:r>
        <w:r>
          <w:rPr/>
          <w:t>y</w:t>
        </w:r>
        <w:r>
          <w:rPr>
            <w:spacing w:val="-4"/>
          </w:rPr>
          <w:t> </w:t>
        </w:r>
        <w:r>
          <w:rPr/>
          <w:t>europeos</w:t>
          <w:tab/>
          <w:t>99</w:t>
        </w:r>
      </w:hyperlink>
    </w:p>
    <w:p>
      <w:pPr>
        <w:pStyle w:val="BodyText"/>
        <w:tabs>
          <w:tab w:pos="8529" w:val="left" w:leader="dot"/>
        </w:tabs>
        <w:spacing w:before="137"/>
        <w:ind w:left="102"/>
      </w:pPr>
      <w:hyperlink w:history="true" w:anchor="_bookmark59">
        <w:r>
          <w:rPr/>
          <w:t>Cuadro 3. 3. Criterios normativos de la rendición</w:t>
        </w:r>
        <w:r>
          <w:rPr>
            <w:spacing w:val="-16"/>
          </w:rPr>
          <w:t> </w:t>
        </w:r>
        <w:r>
          <w:rPr/>
          <w:t>de</w:t>
        </w:r>
        <w:r>
          <w:rPr>
            <w:spacing w:val="-2"/>
          </w:rPr>
          <w:t> </w:t>
        </w:r>
        <w:r>
          <w:rPr/>
          <w:t>cuentas</w:t>
          <w:tab/>
          <w:t>104</w:t>
        </w:r>
      </w:hyperlink>
    </w:p>
    <w:p>
      <w:pPr>
        <w:pStyle w:val="BodyText"/>
        <w:tabs>
          <w:tab w:pos="8529" w:val="left" w:leader="dot"/>
        </w:tabs>
        <w:spacing w:before="139"/>
        <w:ind w:left="102"/>
      </w:pPr>
      <w:hyperlink w:history="true" w:anchor="_bookmark61">
        <w:r>
          <w:rPr/>
          <w:t>Cuadro 3. 4. Modelos institucionales de rendición de cuentas en</w:t>
        </w:r>
        <w:r>
          <w:rPr>
            <w:spacing w:val="-17"/>
          </w:rPr>
          <w:t> </w:t>
        </w:r>
        <w:r>
          <w:rPr/>
          <w:t>el</w:t>
        </w:r>
        <w:r>
          <w:rPr>
            <w:spacing w:val="-5"/>
          </w:rPr>
          <w:t> </w:t>
        </w:r>
        <w:r>
          <w:rPr/>
          <w:t>mundo</w:t>
          <w:tab/>
          <w:t>107</w:t>
        </w:r>
      </w:hyperlink>
    </w:p>
    <w:p>
      <w:pPr>
        <w:pStyle w:val="BodyText"/>
        <w:tabs>
          <w:tab w:pos="8529" w:val="left" w:leader="dot"/>
        </w:tabs>
        <w:spacing w:before="137"/>
        <w:ind w:left="102"/>
      </w:pPr>
      <w:hyperlink w:history="true" w:anchor="_bookmark62">
        <w:r>
          <w:rPr/>
          <w:t>Cuadro 3. 5. Modelos de rendición de cuentas en América</w:t>
        </w:r>
        <w:r>
          <w:rPr>
            <w:spacing w:val="-20"/>
          </w:rPr>
          <w:t> </w:t>
        </w:r>
        <w:r>
          <w:rPr/>
          <w:t>y</w:t>
        </w:r>
        <w:r>
          <w:rPr>
            <w:spacing w:val="-4"/>
          </w:rPr>
          <w:t> </w:t>
        </w:r>
        <w:r>
          <w:rPr/>
          <w:t>Europa</w:t>
          <w:tab/>
          <w:t>108</w:t>
        </w:r>
      </w:hyperlink>
    </w:p>
    <w:p>
      <w:pPr>
        <w:pStyle w:val="BodyText"/>
        <w:tabs>
          <w:tab w:pos="8529" w:val="left" w:leader="dot"/>
        </w:tabs>
        <w:spacing w:before="139"/>
        <w:ind w:left="102"/>
      </w:pPr>
      <w:hyperlink w:history="true" w:anchor="_bookmark63">
        <w:r>
          <w:rPr/>
          <w:t>Cuadro 3. 6. Tipos de instituciones de rendición de cuentas</w:t>
        </w:r>
        <w:r>
          <w:rPr>
            <w:spacing w:val="-20"/>
          </w:rPr>
          <w:t> </w:t>
        </w:r>
        <w:r>
          <w:rPr/>
          <w:t>por</w:t>
        </w:r>
        <w:r>
          <w:rPr>
            <w:spacing w:val="-2"/>
          </w:rPr>
          <w:t> </w:t>
        </w:r>
        <w:r>
          <w:rPr/>
          <w:t>continente</w:t>
          <w:tab/>
          <w:t>110</w:t>
        </w:r>
      </w:hyperlink>
    </w:p>
    <w:p>
      <w:pPr>
        <w:pStyle w:val="BodyText"/>
        <w:spacing w:before="137"/>
        <w:ind w:left="102"/>
      </w:pPr>
      <w:hyperlink w:history="true" w:anchor="_bookmark65">
        <w:r>
          <w:rPr/>
          <w:t>Cuadro 3. 7. Organizaciones de rendición de cuentas integrantes de la INTOSAI</w:t>
        </w:r>
      </w:hyperlink>
    </w:p>
    <w:p>
      <w:pPr>
        <w:pStyle w:val="BodyText"/>
        <w:spacing w:before="139"/>
        <w:ind w:left="147"/>
      </w:pPr>
      <w:hyperlink w:history="true" w:anchor="_bookmark65">
        <w:r>
          <w:rPr/>
          <w:t>............................................................................................................................ 111</w:t>
        </w:r>
      </w:hyperlink>
    </w:p>
    <w:p>
      <w:pPr>
        <w:pStyle w:val="BodyText"/>
        <w:tabs>
          <w:tab w:pos="8529" w:val="left" w:leader="dot"/>
        </w:tabs>
        <w:spacing w:before="137"/>
        <w:ind w:left="102"/>
      </w:pPr>
      <w:hyperlink w:history="true" w:anchor="_bookmark68">
        <w:r>
          <w:rPr/>
          <w:t>Cuadro 3. 8. Principios básicos de la INTOSAI para</w:t>
        </w:r>
        <w:r>
          <w:rPr>
            <w:spacing w:val="-18"/>
          </w:rPr>
          <w:t> </w:t>
        </w:r>
        <w:r>
          <w:rPr/>
          <w:t>la</w:t>
        </w:r>
        <w:r>
          <w:rPr>
            <w:spacing w:val="-3"/>
          </w:rPr>
          <w:t> </w:t>
        </w:r>
        <w:r>
          <w:rPr/>
          <w:t>fiscalización</w:t>
          <w:tab/>
          <w:t>113</w:t>
        </w:r>
      </w:hyperlink>
    </w:p>
    <w:p>
      <w:pPr>
        <w:pStyle w:val="BodyText"/>
        <w:tabs>
          <w:tab w:pos="8529" w:val="left" w:leader="dot"/>
        </w:tabs>
        <w:spacing w:before="139"/>
        <w:ind w:left="102"/>
      </w:pPr>
      <w:hyperlink w:history="true" w:anchor="_bookmark74">
        <w:r>
          <w:rPr/>
          <w:t>Cuadro 4. 1. Cambios y adiciones a la legislación de rendición</w:t>
        </w:r>
        <w:r>
          <w:rPr>
            <w:spacing w:val="-20"/>
          </w:rPr>
          <w:t> </w:t>
        </w:r>
        <w:r>
          <w:rPr/>
          <w:t>de</w:t>
        </w:r>
        <w:r>
          <w:rPr>
            <w:spacing w:val="-2"/>
          </w:rPr>
          <w:t> </w:t>
        </w:r>
        <w:r>
          <w:rPr/>
          <w:t>cuentas</w:t>
          <w:tab/>
          <w:t>127</w:t>
        </w:r>
      </w:hyperlink>
    </w:p>
    <w:p>
      <w:pPr>
        <w:spacing w:after="0"/>
        <w:sectPr>
          <w:pgSz w:w="12240" w:h="15840"/>
          <w:pgMar w:header="0" w:footer="943" w:top="1380" w:bottom="1200" w:left="1600" w:right="1580"/>
        </w:sectPr>
      </w:pPr>
    </w:p>
    <w:p>
      <w:pPr>
        <w:pStyle w:val="BodyText"/>
        <w:tabs>
          <w:tab w:pos="8933" w:val="right" w:leader="dot"/>
        </w:tabs>
        <w:spacing w:line="362" w:lineRule="auto" w:before="54"/>
        <w:ind w:left="102" w:right="104"/>
      </w:pPr>
      <w:hyperlink w:history="true" w:anchor="_bookmark75">
        <w:r>
          <w:rPr/>
          <w:t>Cuadro 4. 2. Reformas aprobadas por la Cámara de Diputados para fortalecer la</w:t>
        </w:r>
      </w:hyperlink>
      <w:r>
        <w:rPr/>
        <w:t> </w:t>
      </w:r>
      <w:hyperlink w:history="true" w:anchor="_bookmark75">
        <w:r>
          <w:rPr/>
          <w:t>rendición de</w:t>
        </w:r>
        <w:r>
          <w:rPr>
            <w:spacing w:val="-3"/>
          </w:rPr>
          <w:t> </w:t>
        </w:r>
        <w:r>
          <w:rPr/>
          <w:t>cuentas,</w:t>
        </w:r>
        <w:r>
          <w:rPr>
            <w:spacing w:val="-5"/>
          </w:rPr>
          <w:t> </w:t>
        </w:r>
        <w:r>
          <w:rPr/>
          <w:t>2012</w:t>
          <w:tab/>
          <w:t>128</w:t>
        </w:r>
      </w:hyperlink>
    </w:p>
    <w:p>
      <w:pPr>
        <w:pStyle w:val="BodyText"/>
        <w:tabs>
          <w:tab w:pos="8933" w:val="right" w:leader="dot"/>
        </w:tabs>
        <w:spacing w:line="360" w:lineRule="auto"/>
        <w:ind w:left="102" w:right="104"/>
      </w:pPr>
      <w:hyperlink w:history="true" w:anchor="_bookmark78">
        <w:r>
          <w:rPr/>
          <w:t>Cuadro 4. 3. Comparativo de la orientación de las instituciones de rendición de</w:t>
        </w:r>
      </w:hyperlink>
      <w:r>
        <w:rPr/>
        <w:t> </w:t>
      </w:r>
      <w:hyperlink w:history="true" w:anchor="_bookmark78">
        <w:r>
          <w:rPr/>
          <w:t>cuentas</w:t>
          <w:tab/>
          <w:t>131</w:t>
        </w:r>
      </w:hyperlink>
    </w:p>
    <w:p>
      <w:pPr>
        <w:pStyle w:val="BodyText"/>
        <w:spacing w:before="2"/>
        <w:ind w:left="102"/>
      </w:pPr>
      <w:hyperlink w:history="true" w:anchor="_bookmark79">
        <w:r>
          <w:rPr/>
          <w:t>Cuadro 4. 4. Medios de impugnación a la rendición de cuentas, 2007 y 2008 ... 135</w:t>
        </w:r>
      </w:hyperlink>
    </w:p>
    <w:p>
      <w:pPr>
        <w:pStyle w:val="BodyText"/>
        <w:tabs>
          <w:tab w:pos="8933" w:val="right" w:leader="dot"/>
        </w:tabs>
        <w:spacing w:before="139"/>
        <w:ind w:left="102"/>
      </w:pPr>
      <w:hyperlink w:history="true" w:anchor="_bookmark81">
        <w:r>
          <w:rPr/>
          <w:t>Cuadro 4. 5. Proceso</w:t>
        </w:r>
        <w:r>
          <w:rPr>
            <w:spacing w:val="-5"/>
          </w:rPr>
          <w:t> </w:t>
        </w:r>
        <w:r>
          <w:rPr/>
          <w:t>de</w:t>
        </w:r>
        <w:r>
          <w:rPr>
            <w:spacing w:val="-1"/>
          </w:rPr>
          <w:t> </w:t>
        </w:r>
        <w:r>
          <w:rPr/>
          <w:t>prevención</w:t>
          <w:tab/>
          <w:t>138</w:t>
        </w:r>
      </w:hyperlink>
    </w:p>
    <w:p>
      <w:pPr>
        <w:pStyle w:val="BodyText"/>
        <w:tabs>
          <w:tab w:pos="8933" w:val="right" w:leader="dot"/>
        </w:tabs>
        <w:spacing w:before="137"/>
        <w:ind w:left="102"/>
      </w:pPr>
      <w:hyperlink w:history="true" w:anchor="_bookmark82">
        <w:r>
          <w:rPr/>
          <w:t>Cuadro 4. 6. Proceso</w:t>
        </w:r>
        <w:r>
          <w:rPr>
            <w:spacing w:val="-5"/>
          </w:rPr>
          <w:t> </w:t>
        </w:r>
        <w:r>
          <w:rPr/>
          <w:t>de</w:t>
        </w:r>
        <w:r>
          <w:rPr>
            <w:spacing w:val="-1"/>
          </w:rPr>
          <w:t> </w:t>
        </w:r>
        <w:r>
          <w:rPr/>
          <w:t>detección</w:t>
          <w:tab/>
          <w:t>140</w:t>
        </w:r>
      </w:hyperlink>
    </w:p>
    <w:p>
      <w:pPr>
        <w:pStyle w:val="BodyText"/>
        <w:tabs>
          <w:tab w:pos="8933" w:val="right" w:leader="dot"/>
        </w:tabs>
        <w:spacing w:before="139"/>
        <w:ind w:left="102"/>
      </w:pPr>
      <w:hyperlink w:history="true" w:anchor="_bookmark83">
        <w:r>
          <w:rPr/>
          <w:t>Cuadro 4. 7. Procesos de procuración e impartición</w:t>
        </w:r>
        <w:r>
          <w:rPr>
            <w:spacing w:val="-8"/>
          </w:rPr>
          <w:t> </w:t>
        </w:r>
        <w:r>
          <w:rPr/>
          <w:t>de</w:t>
        </w:r>
        <w:r>
          <w:rPr>
            <w:spacing w:val="-1"/>
          </w:rPr>
          <w:t> </w:t>
        </w:r>
        <w:r>
          <w:rPr/>
          <w:t>justicia</w:t>
          <w:tab/>
          <w:t>142</w:t>
        </w:r>
      </w:hyperlink>
    </w:p>
    <w:p>
      <w:pPr>
        <w:pStyle w:val="BodyText"/>
        <w:tabs>
          <w:tab w:pos="8933" w:val="right" w:leader="dot"/>
        </w:tabs>
        <w:spacing w:before="137"/>
        <w:ind w:left="102"/>
      </w:pPr>
      <w:hyperlink w:history="true" w:anchor="_bookmark88">
        <w:r>
          <w:rPr/>
          <w:t>Cuadro 4. 8. Índice de corrupción por Entidad</w:t>
        </w:r>
        <w:r>
          <w:rPr>
            <w:spacing w:val="-14"/>
          </w:rPr>
          <w:t> </w:t>
        </w:r>
        <w:r>
          <w:rPr/>
          <w:t>Federativa,</w:t>
        </w:r>
        <w:r>
          <w:rPr>
            <w:spacing w:val="-1"/>
          </w:rPr>
          <w:t> </w:t>
        </w:r>
        <w:r>
          <w:rPr/>
          <w:t>2005-2010</w:t>
          <w:tab/>
          <w:t>155</w:t>
        </w:r>
      </w:hyperlink>
    </w:p>
    <w:p>
      <w:pPr>
        <w:pStyle w:val="BodyText"/>
        <w:spacing w:before="140"/>
        <w:ind w:left="102"/>
      </w:pPr>
      <w:hyperlink w:history="true" w:anchor="_bookmark89">
        <w:r>
          <w:rPr/>
          <w:t>Cuadro 4. 9. Índice Latinoamericano de Transparencia Presupuestaria, 2001-2011</w:t>
        </w:r>
      </w:hyperlink>
    </w:p>
    <w:p>
      <w:pPr>
        <w:pStyle w:val="BodyText"/>
        <w:spacing w:before="137"/>
        <w:ind w:left="147"/>
      </w:pPr>
      <w:hyperlink w:history="true" w:anchor="_bookmark89">
        <w:r>
          <w:rPr/>
          <w:t>............................................................................................................................ 156</w:t>
        </w:r>
      </w:hyperlink>
    </w:p>
    <w:p>
      <w:pPr>
        <w:pStyle w:val="BodyText"/>
        <w:spacing w:before="139"/>
        <w:ind w:left="102"/>
      </w:pPr>
      <w:hyperlink w:history="true" w:anchor="_bookmark90">
        <w:r>
          <w:rPr/>
          <w:t>Cuadro 4. 10. Transparencia Presupuestaria en México, percepciones por variable</w:t>
        </w:r>
      </w:hyperlink>
    </w:p>
    <w:p>
      <w:pPr>
        <w:pStyle w:val="BodyText"/>
        <w:spacing w:before="137"/>
        <w:ind w:left="147"/>
      </w:pPr>
      <w:hyperlink w:history="true" w:anchor="_bookmark90">
        <w:r>
          <w:rPr/>
          <w:t>............................................................................................................................ 157</w:t>
        </w:r>
      </w:hyperlink>
    </w:p>
    <w:p>
      <w:pPr>
        <w:pStyle w:val="BodyText"/>
        <w:tabs>
          <w:tab w:pos="8933" w:val="right" w:leader="dot"/>
        </w:tabs>
        <w:spacing w:line="360" w:lineRule="auto" w:before="139"/>
        <w:ind w:left="102" w:right="104"/>
      </w:pPr>
      <w:hyperlink w:history="true" w:anchor="_bookmark91">
        <w:r>
          <w:rPr/>
          <w:t>Cuadro 4. 11. Índice de transparencia de la disponibilidad de la información fiscal,</w:t>
        </w:r>
      </w:hyperlink>
      <w:r>
        <w:rPr/>
        <w:t> </w:t>
      </w:r>
      <w:hyperlink w:history="true" w:anchor="_bookmark91">
        <w:r>
          <w:rPr/>
          <w:t>2011-2012</w:t>
          <w:tab/>
          <w:t>160</w:t>
        </w:r>
      </w:hyperlink>
    </w:p>
    <w:p>
      <w:pPr>
        <w:pStyle w:val="BodyText"/>
        <w:tabs>
          <w:tab w:pos="8933" w:val="right" w:leader="dot"/>
        </w:tabs>
        <w:spacing w:before="5"/>
        <w:ind w:left="102"/>
      </w:pPr>
      <w:hyperlink w:history="true" w:anchor="_bookmark92">
        <w:r>
          <w:rPr/>
          <w:t>Cuadro 4. 12. Evaluación general de la fiscalización</w:t>
        </w:r>
        <w:r>
          <w:rPr>
            <w:spacing w:val="-11"/>
          </w:rPr>
          <w:t> </w:t>
        </w:r>
        <w:r>
          <w:rPr/>
          <w:t>superior,</w:t>
        </w:r>
        <w:r>
          <w:rPr>
            <w:spacing w:val="-4"/>
          </w:rPr>
          <w:t> </w:t>
        </w:r>
        <w:r>
          <w:rPr/>
          <w:t>2009</w:t>
          <w:tab/>
          <w:t>163</w:t>
        </w:r>
      </w:hyperlink>
    </w:p>
    <w:p>
      <w:pPr>
        <w:pStyle w:val="BodyText"/>
        <w:tabs>
          <w:tab w:pos="8933" w:val="right" w:leader="dot"/>
        </w:tabs>
        <w:spacing w:line="362" w:lineRule="auto" w:before="137"/>
        <w:ind w:left="102" w:right="104"/>
      </w:pPr>
      <w:hyperlink w:history="true" w:anchor="_bookmark93">
        <w:r>
          <w:rPr/>
          <w:t>Cuadro 4. 13. Confianza en las instituciones de países de América Latina, 1996-</w:t>
        </w:r>
      </w:hyperlink>
      <w:r>
        <w:rPr/>
        <w:t> </w:t>
      </w:r>
      <w:hyperlink w:history="true" w:anchor="_bookmark93">
        <w:r>
          <w:rPr/>
          <w:t>2010 y</w:t>
        </w:r>
        <w:r>
          <w:rPr>
            <w:spacing w:val="-2"/>
          </w:rPr>
          <w:t> </w:t>
        </w:r>
        <w:r>
          <w:rPr/>
          <w:t>2011</w:t>
          <w:tab/>
          <w:t>164</w:t>
        </w:r>
      </w:hyperlink>
    </w:p>
    <w:p>
      <w:pPr>
        <w:pStyle w:val="BodyText"/>
        <w:ind w:left="102"/>
      </w:pPr>
      <w:hyperlink w:history="true" w:anchor="_bookmark94">
        <w:r>
          <w:rPr/>
          <w:t>Cuadro 4. 14. Índice de confianza en las instituciones de México, 2008-2012 ... 165</w:t>
        </w:r>
      </w:hyperlink>
    </w:p>
    <w:p>
      <w:pPr>
        <w:spacing w:after="0"/>
        <w:sectPr>
          <w:footerReference w:type="even" r:id="rId17"/>
          <w:footerReference w:type="default" r:id="rId18"/>
          <w:pgSz w:w="12240" w:h="15840"/>
          <w:pgMar w:footer="1003" w:header="0" w:top="1360" w:bottom="1200" w:left="1600" w:right="1600"/>
          <w:pgNumType w:start="8"/>
        </w:sectPr>
      </w:pPr>
    </w:p>
    <w:p>
      <w:pPr>
        <w:spacing w:before="29"/>
        <w:ind w:left="102" w:right="0" w:firstLine="0"/>
        <w:jc w:val="left"/>
        <w:rPr>
          <w:b/>
          <w:sz w:val="32"/>
        </w:rPr>
      </w:pPr>
      <w:r>
        <w:rPr>
          <w:b/>
          <w:sz w:val="32"/>
        </w:rPr>
        <w:t>ÍNDICE DE ESQUEMAS</w:t>
      </w:r>
    </w:p>
    <w:p>
      <w:pPr>
        <w:pStyle w:val="BodyText"/>
        <w:spacing w:before="4"/>
        <w:rPr>
          <w:b/>
          <w:sz w:val="44"/>
        </w:rPr>
      </w:pPr>
    </w:p>
    <w:p>
      <w:pPr>
        <w:pStyle w:val="BodyText"/>
        <w:tabs>
          <w:tab w:pos="8688" w:val="left" w:leader="dot"/>
        </w:tabs>
        <w:ind w:left="102"/>
        <w:rPr>
          <w:rFonts w:ascii="Calibri" w:hAnsi="Calibri"/>
        </w:rPr>
      </w:pPr>
      <w:hyperlink w:history="true" w:anchor="_bookmark3">
        <w:r>
          <w:rPr/>
          <w:t>Esquema 1.1. Relación entre sistema político, gobernabilidad</w:t>
        </w:r>
        <w:r>
          <w:rPr>
            <w:spacing w:val="-21"/>
          </w:rPr>
          <w:t> </w:t>
        </w:r>
        <w:r>
          <w:rPr/>
          <w:t>y</w:t>
        </w:r>
        <w:r>
          <w:rPr>
            <w:spacing w:val="-5"/>
          </w:rPr>
          <w:t> </w:t>
        </w:r>
        <w:r>
          <w:rPr/>
          <w:t>gobernanza</w:t>
        </w:r>
        <w:r>
          <w:rPr>
            <w:rFonts w:ascii="Calibri" w:hAnsi="Calibri"/>
          </w:rPr>
          <w:tab/>
          <w:t>10</w:t>
        </w:r>
      </w:hyperlink>
    </w:p>
    <w:p>
      <w:pPr>
        <w:pStyle w:val="BodyText"/>
        <w:tabs>
          <w:tab w:pos="8688" w:val="left" w:leader="dot"/>
        </w:tabs>
        <w:spacing w:line="360" w:lineRule="auto" w:before="145"/>
        <w:ind w:left="102" w:right="104"/>
        <w:rPr>
          <w:rFonts w:ascii="Calibri" w:hAnsi="Calibri"/>
        </w:rPr>
      </w:pPr>
      <w:hyperlink w:history="true" w:anchor="_bookmark20">
        <w:r>
          <w:rPr/>
          <w:t>Esquema 1.2. Relación de índices e indicadores internacionales del desempeño</w:t>
        </w:r>
      </w:hyperlink>
      <w:r>
        <w:rPr/>
        <w:t> </w:t>
      </w:r>
      <w:hyperlink w:history="true" w:anchor="_bookmark20">
        <w:r>
          <w:rPr/>
          <w:t>del</w:t>
        </w:r>
        <w:r>
          <w:rPr>
            <w:spacing w:val="-1"/>
          </w:rPr>
          <w:t> </w:t>
        </w:r>
        <w:r>
          <w:rPr/>
          <w:t>Estado</w:t>
        </w:r>
        <w:r>
          <w:rPr>
            <w:rFonts w:ascii="Calibri" w:hAnsi="Calibri"/>
          </w:rPr>
          <w:tab/>
          <w:t>39</w:t>
        </w:r>
      </w:hyperlink>
    </w:p>
    <w:p>
      <w:pPr>
        <w:pStyle w:val="BodyText"/>
        <w:tabs>
          <w:tab w:pos="8688" w:val="left" w:leader="dot"/>
        </w:tabs>
        <w:spacing w:line="293" w:lineRule="exact"/>
        <w:ind w:left="102"/>
        <w:rPr>
          <w:rFonts w:ascii="Calibri" w:hAnsi="Calibri"/>
        </w:rPr>
      </w:pPr>
      <w:hyperlink w:history="true" w:anchor="_bookmark28">
        <w:r>
          <w:rPr/>
          <w:t>Esquema 1.3. Barómetro global de la</w:t>
        </w:r>
        <w:r>
          <w:rPr>
            <w:spacing w:val="-14"/>
          </w:rPr>
          <w:t> </w:t>
        </w:r>
        <w:r>
          <w:rPr/>
          <w:t>corrupción,</w:t>
        </w:r>
        <w:r>
          <w:rPr>
            <w:spacing w:val="-4"/>
          </w:rPr>
          <w:t> </w:t>
        </w:r>
        <w:r>
          <w:rPr/>
          <w:t>2010</w:t>
        </w:r>
        <w:r>
          <w:rPr>
            <w:rFonts w:ascii="Calibri" w:hAnsi="Calibri"/>
          </w:rPr>
          <w:tab/>
          <w:t>49</w:t>
        </w:r>
      </w:hyperlink>
    </w:p>
    <w:p>
      <w:pPr>
        <w:pStyle w:val="BodyText"/>
        <w:tabs>
          <w:tab w:pos="8688" w:val="left" w:leader="dot"/>
        </w:tabs>
        <w:spacing w:before="146"/>
        <w:ind w:left="102"/>
        <w:rPr>
          <w:rFonts w:ascii="Calibri" w:hAnsi="Calibri"/>
        </w:rPr>
      </w:pPr>
      <w:hyperlink w:history="true" w:anchor="_bookmark29">
        <w:r>
          <w:rPr/>
          <w:t>Esquema 1.4. Barómetro global de la</w:t>
        </w:r>
        <w:r>
          <w:rPr>
            <w:spacing w:val="-14"/>
          </w:rPr>
          <w:t> </w:t>
        </w:r>
        <w:r>
          <w:rPr/>
          <w:t>corrupción,</w:t>
        </w:r>
        <w:r>
          <w:rPr>
            <w:spacing w:val="-4"/>
          </w:rPr>
          <w:t> </w:t>
        </w:r>
        <w:r>
          <w:rPr/>
          <w:t>2010</w:t>
        </w:r>
        <w:r>
          <w:rPr>
            <w:rFonts w:ascii="Calibri" w:hAnsi="Calibri"/>
          </w:rPr>
          <w:tab/>
          <w:t>50</w:t>
        </w:r>
      </w:hyperlink>
    </w:p>
    <w:p>
      <w:pPr>
        <w:pStyle w:val="BodyText"/>
        <w:tabs>
          <w:tab w:pos="8688" w:val="left" w:leader="dot"/>
        </w:tabs>
        <w:spacing w:before="148"/>
        <w:ind w:left="102"/>
        <w:rPr>
          <w:rFonts w:ascii="Calibri" w:hAnsi="Calibri"/>
        </w:rPr>
      </w:pPr>
      <w:hyperlink w:history="true" w:anchor="_bookmark30">
        <w:r>
          <w:rPr/>
          <w:t>Esquema 1.5. Barómetro global de la</w:t>
        </w:r>
        <w:r>
          <w:rPr>
            <w:spacing w:val="-14"/>
          </w:rPr>
          <w:t> </w:t>
        </w:r>
        <w:r>
          <w:rPr/>
          <w:t>corrupción,</w:t>
        </w:r>
        <w:r>
          <w:rPr>
            <w:spacing w:val="-4"/>
          </w:rPr>
          <w:t> </w:t>
        </w:r>
        <w:r>
          <w:rPr/>
          <w:t>2010</w:t>
        </w:r>
        <w:r>
          <w:rPr>
            <w:rFonts w:ascii="Calibri" w:hAnsi="Calibri"/>
          </w:rPr>
          <w:tab/>
          <w:t>51</w:t>
        </w:r>
      </w:hyperlink>
    </w:p>
    <w:p>
      <w:pPr>
        <w:pStyle w:val="BodyText"/>
        <w:tabs>
          <w:tab w:pos="8688" w:val="left" w:leader="dot"/>
        </w:tabs>
        <w:spacing w:before="147"/>
        <w:ind w:left="102"/>
        <w:rPr>
          <w:rFonts w:ascii="Calibri" w:hAnsi="Calibri"/>
        </w:rPr>
      </w:pPr>
      <w:hyperlink w:history="true" w:anchor="_bookmark33">
        <w:r>
          <w:rPr/>
          <w:t>Esquema 1.6. Índice de Presupuesto</w:t>
        </w:r>
        <w:r>
          <w:rPr>
            <w:spacing w:val="-12"/>
          </w:rPr>
          <w:t> </w:t>
        </w:r>
        <w:r>
          <w:rPr/>
          <w:t>Abierto,</w:t>
        </w:r>
        <w:r>
          <w:rPr>
            <w:spacing w:val="-4"/>
          </w:rPr>
          <w:t> </w:t>
        </w:r>
        <w:r>
          <w:rPr/>
          <w:t>2006-2012</w:t>
        </w:r>
        <w:r>
          <w:rPr>
            <w:rFonts w:ascii="Calibri" w:hAnsi="Calibri"/>
          </w:rPr>
          <w:tab/>
          <w:t>56</w:t>
        </w:r>
      </w:hyperlink>
    </w:p>
    <w:p>
      <w:pPr>
        <w:pStyle w:val="BodyText"/>
        <w:tabs>
          <w:tab w:pos="8688" w:val="left" w:leader="dot"/>
        </w:tabs>
        <w:spacing w:before="146"/>
        <w:ind w:left="102"/>
        <w:rPr>
          <w:rFonts w:ascii="Calibri" w:hAnsi="Calibri"/>
        </w:rPr>
      </w:pPr>
      <w:hyperlink w:history="true" w:anchor="_bookmark40">
        <w:r>
          <w:rPr/>
          <w:t>Esquema 2. 1. Evolución del Estado mexicano y del</w:t>
        </w:r>
        <w:r>
          <w:rPr>
            <w:spacing w:val="-17"/>
          </w:rPr>
          <w:t> </w:t>
        </w:r>
        <w:r>
          <w:rPr/>
          <w:t>control</w:t>
        </w:r>
        <w:r>
          <w:rPr>
            <w:spacing w:val="-1"/>
          </w:rPr>
          <w:t> </w:t>
        </w:r>
        <w:r>
          <w:rPr/>
          <w:t>estatal</w:t>
        </w:r>
        <w:r>
          <w:rPr>
            <w:rFonts w:ascii="Calibri" w:hAnsi="Calibri"/>
          </w:rPr>
          <w:tab/>
          <w:t>67</w:t>
        </w:r>
      </w:hyperlink>
    </w:p>
    <w:p>
      <w:pPr>
        <w:pStyle w:val="BodyText"/>
        <w:tabs>
          <w:tab w:pos="8688" w:val="left" w:leader="dot"/>
        </w:tabs>
        <w:spacing w:before="146"/>
        <w:ind w:left="102"/>
        <w:rPr>
          <w:rFonts w:ascii="Calibri" w:hAnsi="Calibri"/>
        </w:rPr>
      </w:pPr>
      <w:hyperlink w:history="true" w:anchor="_bookmark46">
        <w:r>
          <w:rPr/>
          <w:t>Esquema 2. 2. Poder político y ciclos de poder</w:t>
        </w:r>
        <w:r>
          <w:rPr>
            <w:spacing w:val="-17"/>
          </w:rPr>
          <w:t> </w:t>
        </w:r>
        <w:r>
          <w:rPr/>
          <w:t>en</w:t>
        </w:r>
        <w:r>
          <w:rPr>
            <w:spacing w:val="-2"/>
          </w:rPr>
          <w:t> </w:t>
        </w:r>
        <w:r>
          <w:rPr/>
          <w:t>México</w:t>
        </w:r>
        <w:r>
          <w:rPr>
            <w:rFonts w:ascii="Calibri" w:hAnsi="Calibri"/>
          </w:rPr>
          <w:tab/>
          <w:t>76</w:t>
        </w:r>
      </w:hyperlink>
    </w:p>
    <w:p>
      <w:pPr>
        <w:pStyle w:val="BodyText"/>
        <w:tabs>
          <w:tab w:pos="8688" w:val="left" w:leader="dot"/>
        </w:tabs>
        <w:spacing w:before="146"/>
        <w:ind w:left="102"/>
        <w:rPr>
          <w:rFonts w:ascii="Calibri"/>
        </w:rPr>
      </w:pPr>
      <w:hyperlink w:history="true" w:anchor="_bookmark48">
        <w:r>
          <w:rPr/>
          <w:t>Esquema 2. 3. Control y vigilancia del patrimonio del</w:t>
        </w:r>
        <w:r>
          <w:rPr>
            <w:spacing w:val="-20"/>
          </w:rPr>
          <w:t> </w:t>
        </w:r>
        <w:r>
          <w:rPr/>
          <w:t>Estado</w:t>
        </w:r>
        <w:r>
          <w:rPr>
            <w:spacing w:val="-4"/>
          </w:rPr>
          <w:t> </w:t>
        </w:r>
        <w:r>
          <w:rPr/>
          <w:t>mexicano</w:t>
        </w:r>
        <w:r>
          <w:rPr>
            <w:rFonts w:ascii="Calibri"/>
          </w:rPr>
          <w:tab/>
          <w:t>85</w:t>
        </w:r>
      </w:hyperlink>
    </w:p>
    <w:p>
      <w:pPr>
        <w:pStyle w:val="BodyText"/>
        <w:tabs>
          <w:tab w:pos="8688" w:val="left" w:leader="dot"/>
        </w:tabs>
        <w:spacing w:before="146"/>
        <w:ind w:left="102"/>
        <w:rPr>
          <w:rFonts w:ascii="Calibri" w:hAnsi="Calibri"/>
        </w:rPr>
      </w:pPr>
      <w:hyperlink w:history="true" w:anchor="_bookmark49">
        <w:r>
          <w:rPr/>
          <w:t>Esquema 2. 4. Origen de la rendición de cuentas</w:t>
        </w:r>
        <w:r>
          <w:rPr>
            <w:spacing w:val="-13"/>
          </w:rPr>
          <w:t> </w:t>
        </w:r>
        <w:r>
          <w:rPr/>
          <w:t>en</w:t>
        </w:r>
        <w:r>
          <w:rPr>
            <w:spacing w:val="-1"/>
          </w:rPr>
          <w:t> </w:t>
        </w:r>
        <w:r>
          <w:rPr/>
          <w:t>México</w:t>
        </w:r>
        <w:r>
          <w:rPr>
            <w:rFonts w:ascii="Calibri" w:hAnsi="Calibri"/>
          </w:rPr>
          <w:tab/>
          <w:t>86</w:t>
        </w:r>
      </w:hyperlink>
    </w:p>
    <w:p>
      <w:pPr>
        <w:pStyle w:val="BodyText"/>
        <w:tabs>
          <w:tab w:pos="8688" w:val="left" w:leader="dot"/>
        </w:tabs>
        <w:spacing w:before="146"/>
        <w:ind w:left="102"/>
        <w:rPr>
          <w:rFonts w:ascii="Calibri" w:hAnsi="Calibri"/>
        </w:rPr>
      </w:pPr>
      <w:hyperlink w:history="true" w:anchor="_bookmark50">
        <w:r>
          <w:rPr/>
          <w:t>Esquema 2. 5. Origen y evolución del control externo del</w:t>
        </w:r>
        <w:r>
          <w:rPr>
            <w:spacing w:val="-21"/>
          </w:rPr>
          <w:t> </w:t>
        </w:r>
        <w:r>
          <w:rPr/>
          <w:t>Estado</w:t>
        </w:r>
        <w:r>
          <w:rPr>
            <w:spacing w:val="-3"/>
          </w:rPr>
          <w:t> </w:t>
        </w:r>
        <w:r>
          <w:rPr/>
          <w:t>mexicano</w:t>
        </w:r>
        <w:r>
          <w:rPr>
            <w:rFonts w:ascii="Calibri" w:hAnsi="Calibri"/>
          </w:rPr>
          <w:tab/>
          <w:t>88</w:t>
        </w:r>
      </w:hyperlink>
    </w:p>
    <w:p>
      <w:pPr>
        <w:pStyle w:val="BodyText"/>
        <w:tabs>
          <w:tab w:pos="8688" w:val="left" w:leader="dot"/>
        </w:tabs>
        <w:spacing w:before="146"/>
        <w:ind w:left="102"/>
        <w:rPr>
          <w:rFonts w:ascii="Calibri" w:hAnsi="Calibri"/>
        </w:rPr>
      </w:pPr>
      <w:hyperlink w:history="true" w:anchor="_bookmark56">
        <w:r>
          <w:rPr/>
          <w:t>Esquema 3. 1.</w:t>
        </w:r>
        <w:r>
          <w:rPr>
            <w:spacing w:val="-8"/>
          </w:rPr>
          <w:t> </w:t>
        </w:r>
        <w:r>
          <w:rPr/>
          <w:t>Equilibrio</w:t>
        </w:r>
        <w:r>
          <w:rPr>
            <w:spacing w:val="-2"/>
          </w:rPr>
          <w:t> </w:t>
        </w:r>
        <w:r>
          <w:rPr/>
          <w:t>político</w:t>
        </w:r>
        <w:r>
          <w:rPr>
            <w:rFonts w:ascii="Calibri" w:hAnsi="Calibri"/>
          </w:rPr>
          <w:tab/>
          <w:t>97</w:t>
        </w:r>
      </w:hyperlink>
    </w:p>
    <w:p>
      <w:pPr>
        <w:pStyle w:val="BodyText"/>
        <w:tabs>
          <w:tab w:pos="8565" w:val="left" w:leader="dot"/>
        </w:tabs>
        <w:spacing w:before="146"/>
        <w:ind w:left="102"/>
        <w:rPr>
          <w:rFonts w:ascii="Calibri" w:hAnsi="Calibri"/>
        </w:rPr>
      </w:pPr>
      <w:hyperlink w:history="true" w:anchor="_bookmark66">
        <w:r>
          <w:rPr/>
          <w:t>Esquema 3. 2. Características del</w:t>
        </w:r>
        <w:r>
          <w:rPr>
            <w:spacing w:val="-7"/>
          </w:rPr>
          <w:t> </w:t>
        </w:r>
        <w:r>
          <w:rPr/>
          <w:t>control</w:t>
        </w:r>
        <w:r>
          <w:rPr>
            <w:spacing w:val="-4"/>
          </w:rPr>
          <w:t> </w:t>
        </w:r>
        <w:r>
          <w:rPr/>
          <w:t>estatal</w:t>
        </w:r>
        <w:r>
          <w:rPr>
            <w:rFonts w:ascii="Calibri" w:hAnsi="Calibri"/>
          </w:rPr>
          <w:tab/>
          <w:t>112</w:t>
        </w:r>
      </w:hyperlink>
    </w:p>
    <w:p>
      <w:pPr>
        <w:pStyle w:val="BodyText"/>
        <w:tabs>
          <w:tab w:pos="8565" w:val="left" w:leader="dot"/>
        </w:tabs>
        <w:spacing w:before="146"/>
        <w:ind w:left="102"/>
        <w:rPr>
          <w:rFonts w:ascii="Calibri" w:hAnsi="Calibri"/>
        </w:rPr>
      </w:pPr>
      <w:hyperlink w:history="true" w:anchor="_bookmark71">
        <w:r>
          <w:rPr/>
          <w:t>Esquema 4. 1. Ciclo de las</w:t>
        </w:r>
        <w:r>
          <w:rPr>
            <w:spacing w:val="-10"/>
          </w:rPr>
          <w:t> </w:t>
        </w:r>
        <w:r>
          <w:rPr/>
          <w:t>políticas</w:t>
        </w:r>
        <w:r>
          <w:rPr>
            <w:spacing w:val="-1"/>
          </w:rPr>
          <w:t> </w:t>
        </w:r>
        <w:r>
          <w:rPr/>
          <w:t>públicas</w:t>
        </w:r>
        <w:r>
          <w:rPr>
            <w:rFonts w:ascii="Calibri" w:hAnsi="Calibri"/>
          </w:rPr>
          <w:tab/>
          <w:t>119</w:t>
        </w:r>
      </w:hyperlink>
    </w:p>
    <w:p>
      <w:pPr>
        <w:pStyle w:val="BodyText"/>
        <w:tabs>
          <w:tab w:pos="8565" w:val="left" w:leader="dot"/>
        </w:tabs>
        <w:spacing w:before="148"/>
        <w:ind w:left="102"/>
        <w:rPr>
          <w:rFonts w:ascii="Calibri" w:hAnsi="Calibri"/>
        </w:rPr>
      </w:pPr>
      <w:hyperlink w:history="true" w:anchor="_bookmark73">
        <w:r>
          <w:rPr/>
          <w:t>Esquema 4. 2. Antecedentes del acceso a la información</w:t>
        </w:r>
        <w:r>
          <w:rPr>
            <w:spacing w:val="-20"/>
          </w:rPr>
          <w:t> </w:t>
        </w:r>
        <w:r>
          <w:rPr/>
          <w:t>en</w:t>
        </w:r>
        <w:r>
          <w:rPr>
            <w:spacing w:val="-2"/>
          </w:rPr>
          <w:t> </w:t>
        </w:r>
        <w:r>
          <w:rPr/>
          <w:t>México</w:t>
        </w:r>
        <w:r>
          <w:rPr>
            <w:rFonts w:ascii="Calibri" w:hAnsi="Calibri"/>
          </w:rPr>
          <w:tab/>
          <w:t>124</w:t>
        </w:r>
      </w:hyperlink>
    </w:p>
    <w:p>
      <w:pPr>
        <w:pStyle w:val="BodyText"/>
        <w:spacing w:before="145"/>
        <w:ind w:left="102"/>
      </w:pPr>
      <w:hyperlink w:history="true" w:anchor="_bookmark80">
        <w:r>
          <w:rPr/>
          <w:t>Esquema 4. 3. Procesos evaluados de la política de combate a la corrupción,</w:t>
        </w:r>
      </w:hyperlink>
    </w:p>
    <w:p>
      <w:pPr>
        <w:pStyle w:val="BodyText"/>
        <w:spacing w:before="138"/>
        <w:ind w:left="102"/>
        <w:rPr>
          <w:rFonts w:ascii="Calibri"/>
        </w:rPr>
      </w:pPr>
      <w:hyperlink w:history="true" w:anchor="_bookmark80">
        <w:r>
          <w:rPr>
            <w:spacing w:val="-1"/>
          </w:rPr>
          <w:t>1983-2013 </w:t>
        </w:r>
        <w:r>
          <w:rPr>
            <w:rFonts w:ascii="Calibri"/>
            <w:spacing w:val="-1"/>
          </w:rPr>
          <w:t>......................................................................................................................... </w:t>
        </w:r>
        <w:r>
          <w:rPr>
            <w:rFonts w:ascii="Calibri"/>
          </w:rPr>
          <w:t>137</w:t>
        </w:r>
      </w:hyperlink>
    </w:p>
    <w:p>
      <w:pPr>
        <w:pStyle w:val="BodyText"/>
        <w:tabs>
          <w:tab w:pos="8565" w:val="left" w:leader="dot"/>
        </w:tabs>
        <w:spacing w:line="362" w:lineRule="auto" w:before="145"/>
        <w:ind w:left="102" w:right="104"/>
        <w:rPr>
          <w:rFonts w:ascii="Calibri" w:hAnsi="Calibri"/>
        </w:rPr>
      </w:pPr>
      <w:hyperlink w:history="true" w:anchor="_bookmark87">
        <w:r>
          <w:rPr/>
          <w:t>Esquema 4. 4. Relación de índices e indicadores regionales y nacionales del</w:t>
        </w:r>
      </w:hyperlink>
      <w:r>
        <w:rPr/>
        <w:t> </w:t>
      </w:r>
      <w:hyperlink w:history="true" w:anchor="_bookmark87">
        <w:r>
          <w:rPr/>
          <w:t>desempeño</w:t>
        </w:r>
        <w:r>
          <w:rPr>
            <w:spacing w:val="-3"/>
          </w:rPr>
          <w:t> </w:t>
        </w:r>
        <w:r>
          <w:rPr/>
          <w:t>del</w:t>
        </w:r>
        <w:r>
          <w:rPr>
            <w:spacing w:val="-4"/>
          </w:rPr>
          <w:t> </w:t>
        </w:r>
        <w:r>
          <w:rPr/>
          <w:t>Estado</w:t>
        </w:r>
        <w:r>
          <w:rPr>
            <w:rFonts w:ascii="Calibri" w:hAnsi="Calibri"/>
          </w:rPr>
          <w:tab/>
          <w:t>154</w:t>
        </w:r>
      </w:hyperlink>
    </w:p>
    <w:p>
      <w:pPr>
        <w:pStyle w:val="BodyText"/>
        <w:tabs>
          <w:tab w:pos="8565" w:val="left" w:leader="dot"/>
        </w:tabs>
        <w:spacing w:line="290" w:lineRule="exact"/>
        <w:ind w:left="102"/>
        <w:rPr>
          <w:rFonts w:ascii="Calibri"/>
        </w:rPr>
      </w:pPr>
      <w:r>
        <w:rPr/>
        <w:t>Esquema 4. 5. Niveles de transparencia en las Entidades</w:t>
      </w:r>
      <w:r>
        <w:rPr>
          <w:spacing w:val="-24"/>
        </w:rPr>
        <w:t> </w:t>
      </w:r>
      <w:r>
        <w:rPr/>
        <w:t>Federativas,</w:t>
      </w:r>
      <w:r>
        <w:rPr>
          <w:spacing w:val="-2"/>
        </w:rPr>
        <w:t> </w:t>
      </w:r>
      <w:r>
        <w:rPr/>
        <w:t>2011</w:t>
      </w:r>
      <w:r>
        <w:rPr>
          <w:rFonts w:ascii="Calibri"/>
        </w:rPr>
        <w:tab/>
        <w:t>161</w:t>
      </w:r>
    </w:p>
    <w:p>
      <w:pPr>
        <w:spacing w:after="0" w:line="290" w:lineRule="exact"/>
        <w:rPr>
          <w:rFonts w:ascii="Calibri"/>
        </w:rPr>
        <w:sectPr>
          <w:pgSz w:w="12240" w:h="15840"/>
          <w:pgMar w:header="0" w:footer="1003" w:top="1380" w:bottom="1200" w:left="1600" w:right="1600"/>
        </w:sectPr>
      </w:pPr>
    </w:p>
    <w:p>
      <w:pPr>
        <w:spacing w:before="31"/>
        <w:ind w:left="2809" w:right="2812" w:firstLine="0"/>
        <w:jc w:val="center"/>
        <w:rPr>
          <w:b/>
          <w:sz w:val="32"/>
        </w:rPr>
      </w:pPr>
      <w:r>
        <w:rPr>
          <w:b/>
          <w:sz w:val="32"/>
        </w:rPr>
        <w:t>ÍNDICE DE GRAFICAS</w:t>
      </w:r>
    </w:p>
    <w:p>
      <w:pPr>
        <w:pStyle w:val="BodyText"/>
        <w:tabs>
          <w:tab w:pos="8933" w:val="right" w:leader="dot"/>
        </w:tabs>
        <w:spacing w:before="260"/>
        <w:ind w:left="102"/>
        <w:rPr>
          <w:rFonts w:ascii="Calibri" w:hAnsi="Calibri"/>
        </w:rPr>
      </w:pPr>
      <w:hyperlink w:history="true" w:anchor="_bookmark23">
        <w:r>
          <w:rPr/>
          <w:t>Grafica 1.1. Índice de gobernanza</w:t>
        </w:r>
        <w:r>
          <w:rPr>
            <w:spacing w:val="-8"/>
          </w:rPr>
          <w:t> </w:t>
        </w:r>
        <w:r>
          <w:rPr/>
          <w:t>mundial,</w:t>
        </w:r>
        <w:r>
          <w:rPr>
            <w:spacing w:val="-3"/>
          </w:rPr>
          <w:t> </w:t>
        </w:r>
        <w:r>
          <w:rPr/>
          <w:t>2011</w:t>
        </w:r>
        <w:r>
          <w:rPr>
            <w:rFonts w:ascii="Calibri" w:hAnsi="Calibri"/>
          </w:rPr>
          <w:tab/>
          <w:t>42</w:t>
        </w:r>
      </w:hyperlink>
    </w:p>
    <w:p>
      <w:pPr>
        <w:pStyle w:val="BodyText"/>
        <w:tabs>
          <w:tab w:pos="8933" w:val="right" w:leader="dot"/>
        </w:tabs>
        <w:spacing w:before="146"/>
        <w:ind w:left="102"/>
        <w:rPr>
          <w:rFonts w:ascii="Calibri" w:hAnsi="Calibri"/>
        </w:rPr>
      </w:pPr>
      <w:hyperlink w:history="true" w:anchor="_bookmark24">
        <w:r>
          <w:rPr/>
          <w:t>Grafica 1.2. Índice de Estados</w:t>
        </w:r>
        <w:r>
          <w:rPr>
            <w:spacing w:val="-9"/>
          </w:rPr>
          <w:t> </w:t>
        </w:r>
        <w:r>
          <w:rPr/>
          <w:t>fallidos,</w:t>
        </w:r>
        <w:r>
          <w:rPr>
            <w:spacing w:val="-1"/>
          </w:rPr>
          <w:t> </w:t>
        </w:r>
        <w:r>
          <w:rPr/>
          <w:t>2007-2011</w:t>
        </w:r>
        <w:r>
          <w:rPr>
            <w:rFonts w:ascii="Calibri" w:hAnsi="Calibri"/>
          </w:rPr>
          <w:tab/>
          <w:t>45</w:t>
        </w:r>
      </w:hyperlink>
    </w:p>
    <w:p>
      <w:pPr>
        <w:pStyle w:val="BodyText"/>
        <w:tabs>
          <w:tab w:pos="8933" w:val="right" w:leader="dot"/>
        </w:tabs>
        <w:spacing w:before="146"/>
        <w:ind w:left="102"/>
        <w:rPr>
          <w:rFonts w:ascii="Calibri" w:hAnsi="Calibri"/>
        </w:rPr>
      </w:pPr>
      <w:hyperlink w:history="true" w:anchor="_bookmark25">
        <w:r>
          <w:rPr/>
          <w:t>Grafica 1.3. Índice de</w:t>
        </w:r>
        <w:r>
          <w:rPr>
            <w:spacing w:val="-7"/>
          </w:rPr>
          <w:t> </w:t>
        </w:r>
        <w:r>
          <w:rPr/>
          <w:t>opacidad,</w:t>
        </w:r>
        <w:r>
          <w:rPr>
            <w:spacing w:val="-3"/>
          </w:rPr>
          <w:t> </w:t>
        </w:r>
        <w:r>
          <w:rPr/>
          <w:t>2009</w:t>
        </w:r>
        <w:r>
          <w:rPr>
            <w:rFonts w:ascii="Calibri" w:hAnsi="Calibri"/>
          </w:rPr>
          <w:tab/>
          <w:t>46</w:t>
        </w:r>
      </w:hyperlink>
    </w:p>
    <w:p>
      <w:pPr>
        <w:pStyle w:val="BodyText"/>
        <w:tabs>
          <w:tab w:pos="8933" w:val="right" w:leader="dot"/>
        </w:tabs>
        <w:spacing w:before="146"/>
        <w:ind w:left="102"/>
        <w:rPr>
          <w:rFonts w:ascii="Calibri" w:hAnsi="Calibri"/>
        </w:rPr>
      </w:pPr>
      <w:hyperlink w:history="true" w:anchor="_bookmark27">
        <w:r>
          <w:rPr/>
          <w:t>Grafica 1.4. Barómetro global de la</w:t>
        </w:r>
        <w:r>
          <w:rPr>
            <w:spacing w:val="-6"/>
          </w:rPr>
          <w:t> </w:t>
        </w:r>
        <w:r>
          <w:rPr/>
          <w:t>corrupción,</w:t>
        </w:r>
        <w:r>
          <w:rPr>
            <w:spacing w:val="-1"/>
          </w:rPr>
          <w:t> </w:t>
        </w:r>
        <w:r>
          <w:rPr/>
          <w:t>2010</w:t>
        </w:r>
        <w:r>
          <w:rPr>
            <w:rFonts w:ascii="Calibri" w:hAnsi="Calibri"/>
          </w:rPr>
          <w:tab/>
          <w:t>49</w:t>
        </w:r>
      </w:hyperlink>
    </w:p>
    <w:p>
      <w:pPr>
        <w:pStyle w:val="BodyText"/>
        <w:tabs>
          <w:tab w:pos="8933" w:val="right" w:leader="dot"/>
        </w:tabs>
        <w:spacing w:line="362" w:lineRule="auto" w:before="145"/>
        <w:ind w:left="102" w:right="104"/>
        <w:rPr>
          <w:rFonts w:ascii="Calibri" w:hAnsi="Calibri"/>
        </w:rPr>
      </w:pPr>
      <w:hyperlink w:history="true" w:anchor="_bookmark32">
        <w:r>
          <w:rPr/>
          <w:t>Grafica 1.5. Tiempo para la discusión legislativa del presupuesto en los países de</w:t>
        </w:r>
      </w:hyperlink>
      <w:r>
        <w:rPr/>
        <w:t> </w:t>
      </w:r>
      <w:hyperlink w:history="true" w:anchor="_bookmark32">
        <w:r>
          <w:rPr/>
          <w:t>la</w:t>
        </w:r>
        <w:r>
          <w:rPr>
            <w:spacing w:val="-1"/>
          </w:rPr>
          <w:t> </w:t>
        </w:r>
        <w:r>
          <w:rPr/>
          <w:t>OCDE, 2007</w:t>
        </w:r>
        <w:r>
          <w:rPr>
            <w:rFonts w:ascii="Calibri" w:hAnsi="Calibri"/>
          </w:rPr>
          <w:tab/>
          <w:t>54</w:t>
        </w:r>
      </w:hyperlink>
    </w:p>
    <w:p>
      <w:pPr>
        <w:spacing w:after="0" w:line="362" w:lineRule="auto"/>
        <w:rPr>
          <w:rFonts w:ascii="Calibri" w:hAnsi="Calibri"/>
        </w:rPr>
        <w:sectPr>
          <w:pgSz w:w="12240" w:h="15840"/>
          <w:pgMar w:header="0" w:footer="1003" w:top="1380" w:bottom="1200" w:left="1600" w:right="1600"/>
        </w:sectPr>
      </w:pPr>
    </w:p>
    <w:p>
      <w:pPr>
        <w:pStyle w:val="Heading3"/>
        <w:spacing w:before="54"/>
        <w:ind w:left="102"/>
        <w:jc w:val="left"/>
      </w:pPr>
      <w:r>
        <w:rPr/>
        <w:t>Siglas y acrónimos</w:t>
      </w:r>
    </w:p>
    <w:p>
      <w:pPr>
        <w:pStyle w:val="BodyText"/>
        <w:rPr>
          <w:b/>
          <w:sz w:val="20"/>
        </w:rPr>
      </w:pPr>
    </w:p>
    <w:p>
      <w:pPr>
        <w:pStyle w:val="BodyText"/>
        <w:spacing w:before="2"/>
        <w:rPr>
          <w:b/>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7401"/>
      </w:tblGrid>
      <w:tr>
        <w:trPr>
          <w:trHeight w:val="470" w:hRule="exact"/>
        </w:trPr>
        <w:tc>
          <w:tcPr>
            <w:tcW w:w="1428" w:type="dxa"/>
          </w:tcPr>
          <w:p>
            <w:pPr>
              <w:pStyle w:val="TableParagraph"/>
              <w:ind w:left="204" w:firstLine="127"/>
              <w:rPr>
                <w:b/>
                <w:sz w:val="20"/>
              </w:rPr>
            </w:pPr>
            <w:r>
              <w:rPr>
                <w:b/>
                <w:sz w:val="20"/>
              </w:rPr>
              <w:t>Siglas y </w:t>
            </w:r>
            <w:r>
              <w:rPr>
                <w:b/>
                <w:w w:val="95"/>
                <w:sz w:val="20"/>
              </w:rPr>
              <w:t>acrónimos</w:t>
            </w:r>
          </w:p>
        </w:tc>
        <w:tc>
          <w:tcPr>
            <w:tcW w:w="7401" w:type="dxa"/>
          </w:tcPr>
          <w:p>
            <w:pPr>
              <w:pStyle w:val="TableParagraph"/>
              <w:spacing w:before="110"/>
              <w:ind w:left="2875" w:right="2875"/>
              <w:jc w:val="center"/>
              <w:rPr>
                <w:b/>
                <w:sz w:val="20"/>
              </w:rPr>
            </w:pPr>
            <w:r>
              <w:rPr>
                <w:b/>
                <w:sz w:val="20"/>
              </w:rPr>
              <w:t>Denominaciones</w:t>
            </w:r>
          </w:p>
        </w:tc>
      </w:tr>
      <w:tr>
        <w:trPr>
          <w:trHeight w:val="470" w:hRule="exact"/>
        </w:trPr>
        <w:tc>
          <w:tcPr>
            <w:tcW w:w="1428" w:type="dxa"/>
          </w:tcPr>
          <w:p>
            <w:pPr>
              <w:pStyle w:val="TableParagraph"/>
              <w:spacing w:line="227" w:lineRule="exact"/>
              <w:ind w:left="103"/>
              <w:rPr>
                <w:sz w:val="20"/>
              </w:rPr>
            </w:pPr>
            <w:r>
              <w:rPr>
                <w:sz w:val="20"/>
              </w:rPr>
              <w:t>APSA</w:t>
            </w:r>
          </w:p>
        </w:tc>
        <w:tc>
          <w:tcPr>
            <w:tcW w:w="7401" w:type="dxa"/>
          </w:tcPr>
          <w:p>
            <w:pPr>
              <w:pStyle w:val="TableParagraph"/>
              <w:spacing w:line="242" w:lineRule="auto"/>
              <w:ind w:left="103" w:right="20"/>
              <w:rPr>
                <w:sz w:val="20"/>
              </w:rPr>
            </w:pPr>
            <w:r>
              <w:rPr>
                <w:sz w:val="20"/>
              </w:rPr>
              <w:t>Asociación</w:t>
            </w:r>
            <w:r>
              <w:rPr>
                <w:spacing w:val="-14"/>
                <w:sz w:val="20"/>
              </w:rPr>
              <w:t> </w:t>
            </w:r>
            <w:r>
              <w:rPr>
                <w:sz w:val="20"/>
              </w:rPr>
              <w:t>Americana</w:t>
            </w:r>
            <w:r>
              <w:rPr>
                <w:spacing w:val="-14"/>
                <w:sz w:val="20"/>
              </w:rPr>
              <w:t> </w:t>
            </w:r>
            <w:r>
              <w:rPr>
                <w:sz w:val="20"/>
              </w:rPr>
              <w:t>de</w:t>
            </w:r>
            <w:r>
              <w:rPr>
                <w:spacing w:val="-14"/>
                <w:sz w:val="20"/>
              </w:rPr>
              <w:t> </w:t>
            </w:r>
            <w:r>
              <w:rPr>
                <w:sz w:val="20"/>
              </w:rPr>
              <w:t>Ciencia</w:t>
            </w:r>
            <w:r>
              <w:rPr>
                <w:spacing w:val="-14"/>
                <w:sz w:val="20"/>
              </w:rPr>
              <w:t> </w:t>
            </w:r>
            <w:r>
              <w:rPr>
                <w:sz w:val="20"/>
              </w:rPr>
              <w:t>Política</w:t>
            </w:r>
            <w:r>
              <w:rPr>
                <w:spacing w:val="-14"/>
                <w:sz w:val="20"/>
              </w:rPr>
              <w:t> </w:t>
            </w:r>
            <w:r>
              <w:rPr>
                <w:sz w:val="20"/>
              </w:rPr>
              <w:t>(</w:t>
            </w:r>
            <w:r>
              <w:rPr>
                <w:i/>
                <w:sz w:val="20"/>
              </w:rPr>
              <w:t>American</w:t>
            </w:r>
            <w:r>
              <w:rPr>
                <w:i/>
                <w:spacing w:val="-14"/>
                <w:sz w:val="20"/>
              </w:rPr>
              <w:t> </w:t>
            </w:r>
            <w:r>
              <w:rPr>
                <w:i/>
                <w:sz w:val="20"/>
              </w:rPr>
              <w:t>Política</w:t>
            </w:r>
            <w:r>
              <w:rPr>
                <w:i/>
                <w:spacing w:val="-13"/>
                <w:sz w:val="20"/>
              </w:rPr>
              <w:t> </w:t>
            </w:r>
            <w:r>
              <w:rPr>
                <w:i/>
                <w:sz w:val="20"/>
              </w:rPr>
              <w:t>Science</w:t>
            </w:r>
            <w:r>
              <w:rPr>
                <w:i/>
                <w:spacing w:val="-13"/>
                <w:sz w:val="20"/>
              </w:rPr>
              <w:t> </w:t>
            </w:r>
            <w:r>
              <w:rPr>
                <w:i/>
                <w:sz w:val="20"/>
              </w:rPr>
              <w:t>Association</w:t>
            </w:r>
            <w:r>
              <w:rPr>
                <w:sz w:val="20"/>
              </w:rPr>
              <w:t>, APSA, por sus siglas en</w:t>
            </w:r>
            <w:r>
              <w:rPr>
                <w:spacing w:val="-13"/>
                <w:sz w:val="20"/>
              </w:rPr>
              <w:t> </w:t>
            </w:r>
            <w:r>
              <w:rPr>
                <w:sz w:val="20"/>
              </w:rPr>
              <w:t>inglés)</w:t>
            </w:r>
          </w:p>
        </w:tc>
      </w:tr>
      <w:tr>
        <w:trPr>
          <w:trHeight w:val="240" w:hRule="exact"/>
        </w:trPr>
        <w:tc>
          <w:tcPr>
            <w:tcW w:w="1428" w:type="dxa"/>
          </w:tcPr>
          <w:p>
            <w:pPr>
              <w:pStyle w:val="TableParagraph"/>
              <w:spacing w:line="227" w:lineRule="exact"/>
              <w:ind w:left="103"/>
              <w:rPr>
                <w:sz w:val="20"/>
              </w:rPr>
            </w:pPr>
            <w:r>
              <w:rPr>
                <w:sz w:val="20"/>
              </w:rPr>
              <w:t>APF</w:t>
            </w:r>
          </w:p>
        </w:tc>
        <w:tc>
          <w:tcPr>
            <w:tcW w:w="7401" w:type="dxa"/>
          </w:tcPr>
          <w:p>
            <w:pPr>
              <w:pStyle w:val="TableParagraph"/>
              <w:spacing w:line="227" w:lineRule="exact"/>
              <w:ind w:left="103" w:right="20"/>
              <w:rPr>
                <w:sz w:val="20"/>
              </w:rPr>
            </w:pPr>
            <w:r>
              <w:rPr>
                <w:sz w:val="20"/>
              </w:rPr>
              <w:t>Administración Pública Federal</w:t>
            </w:r>
          </w:p>
        </w:tc>
      </w:tr>
      <w:tr>
        <w:trPr>
          <w:trHeight w:val="240" w:hRule="exact"/>
        </w:trPr>
        <w:tc>
          <w:tcPr>
            <w:tcW w:w="1428" w:type="dxa"/>
          </w:tcPr>
          <w:p>
            <w:pPr>
              <w:pStyle w:val="TableParagraph"/>
              <w:spacing w:line="227" w:lineRule="exact"/>
              <w:ind w:left="103"/>
              <w:rPr>
                <w:sz w:val="20"/>
              </w:rPr>
            </w:pPr>
            <w:r>
              <w:rPr>
                <w:sz w:val="20"/>
              </w:rPr>
              <w:t>ASF</w:t>
            </w:r>
          </w:p>
        </w:tc>
        <w:tc>
          <w:tcPr>
            <w:tcW w:w="7401" w:type="dxa"/>
          </w:tcPr>
          <w:p>
            <w:pPr>
              <w:pStyle w:val="TableParagraph"/>
              <w:spacing w:line="227" w:lineRule="exact"/>
              <w:ind w:left="103" w:right="20"/>
              <w:rPr>
                <w:sz w:val="20"/>
              </w:rPr>
            </w:pPr>
            <w:r>
              <w:rPr>
                <w:sz w:val="20"/>
              </w:rPr>
              <w:t>Auditoría Superior de la Federación</w:t>
            </w:r>
          </w:p>
        </w:tc>
      </w:tr>
      <w:tr>
        <w:trPr>
          <w:trHeight w:val="240" w:hRule="exact"/>
        </w:trPr>
        <w:tc>
          <w:tcPr>
            <w:tcW w:w="1428" w:type="dxa"/>
          </w:tcPr>
          <w:p>
            <w:pPr>
              <w:pStyle w:val="TableParagraph"/>
              <w:spacing w:line="227" w:lineRule="exact"/>
              <w:ind w:left="103"/>
              <w:rPr>
                <w:sz w:val="20"/>
              </w:rPr>
            </w:pPr>
            <w:r>
              <w:rPr>
                <w:sz w:val="20"/>
              </w:rPr>
              <w:t>CIDE</w:t>
            </w:r>
          </w:p>
        </w:tc>
        <w:tc>
          <w:tcPr>
            <w:tcW w:w="7401" w:type="dxa"/>
          </w:tcPr>
          <w:p>
            <w:pPr>
              <w:pStyle w:val="TableParagraph"/>
              <w:spacing w:line="227" w:lineRule="exact"/>
              <w:ind w:left="103" w:right="20"/>
              <w:rPr>
                <w:sz w:val="20"/>
              </w:rPr>
            </w:pPr>
            <w:r>
              <w:rPr>
                <w:sz w:val="20"/>
              </w:rPr>
              <w:t>Centro de Investigación y Docencia Económicas, A.C.</w:t>
            </w:r>
          </w:p>
        </w:tc>
      </w:tr>
      <w:tr>
        <w:trPr>
          <w:trHeight w:val="240" w:hRule="exact"/>
        </w:trPr>
        <w:tc>
          <w:tcPr>
            <w:tcW w:w="1428" w:type="dxa"/>
          </w:tcPr>
          <w:p>
            <w:pPr>
              <w:pStyle w:val="TableParagraph"/>
              <w:spacing w:line="227" w:lineRule="exact"/>
              <w:ind w:left="103"/>
              <w:rPr>
                <w:sz w:val="20"/>
              </w:rPr>
            </w:pPr>
            <w:r>
              <w:rPr>
                <w:sz w:val="20"/>
              </w:rPr>
              <w:t>CHPF</w:t>
            </w:r>
          </w:p>
        </w:tc>
        <w:tc>
          <w:tcPr>
            <w:tcW w:w="7401" w:type="dxa"/>
          </w:tcPr>
          <w:p>
            <w:pPr>
              <w:pStyle w:val="TableParagraph"/>
              <w:spacing w:line="227" w:lineRule="exact"/>
              <w:ind w:left="103" w:right="20"/>
              <w:rPr>
                <w:sz w:val="20"/>
              </w:rPr>
            </w:pPr>
            <w:r>
              <w:rPr>
                <w:sz w:val="20"/>
              </w:rPr>
              <w:t>Cuenta de la Hacienda Pública Federal, Cuenta Pública</w:t>
            </w:r>
          </w:p>
        </w:tc>
      </w:tr>
      <w:tr>
        <w:trPr>
          <w:trHeight w:val="240" w:hRule="exact"/>
        </w:trPr>
        <w:tc>
          <w:tcPr>
            <w:tcW w:w="1428" w:type="dxa"/>
          </w:tcPr>
          <w:p>
            <w:pPr>
              <w:pStyle w:val="TableParagraph"/>
              <w:spacing w:line="227" w:lineRule="exact"/>
              <w:ind w:left="103"/>
              <w:rPr>
                <w:sz w:val="20"/>
              </w:rPr>
            </w:pPr>
            <w:r>
              <w:rPr>
                <w:sz w:val="20"/>
              </w:rPr>
              <w:t>CMH</w:t>
            </w:r>
          </w:p>
        </w:tc>
        <w:tc>
          <w:tcPr>
            <w:tcW w:w="7401" w:type="dxa"/>
          </w:tcPr>
          <w:p>
            <w:pPr>
              <w:pStyle w:val="TableParagraph"/>
              <w:spacing w:line="227" w:lineRule="exact"/>
              <w:ind w:left="103" w:right="20"/>
              <w:rPr>
                <w:sz w:val="20"/>
              </w:rPr>
            </w:pPr>
            <w:r>
              <w:rPr>
                <w:sz w:val="20"/>
              </w:rPr>
              <w:t>Contaduría Mayor de Hacienda</w:t>
            </w:r>
          </w:p>
        </w:tc>
      </w:tr>
      <w:tr>
        <w:trPr>
          <w:trHeight w:val="240" w:hRule="exact"/>
        </w:trPr>
        <w:tc>
          <w:tcPr>
            <w:tcW w:w="1428" w:type="dxa"/>
          </w:tcPr>
          <w:p>
            <w:pPr>
              <w:pStyle w:val="TableParagraph"/>
              <w:spacing w:line="227" w:lineRule="exact"/>
              <w:ind w:left="103"/>
              <w:rPr>
                <w:sz w:val="20"/>
              </w:rPr>
            </w:pPr>
            <w:r>
              <w:rPr>
                <w:sz w:val="20"/>
              </w:rPr>
              <w:t>CVASF</w:t>
            </w:r>
          </w:p>
        </w:tc>
        <w:tc>
          <w:tcPr>
            <w:tcW w:w="7401" w:type="dxa"/>
          </w:tcPr>
          <w:p>
            <w:pPr>
              <w:pStyle w:val="TableParagraph"/>
              <w:spacing w:line="227" w:lineRule="exact"/>
              <w:ind w:left="103" w:right="20"/>
              <w:rPr>
                <w:sz w:val="20"/>
              </w:rPr>
            </w:pPr>
            <w:r>
              <w:rPr>
                <w:sz w:val="20"/>
              </w:rPr>
              <w:t>Comisión de Vigilancia de la Auditoría Superior de la Federación</w:t>
            </w:r>
          </w:p>
        </w:tc>
      </w:tr>
      <w:tr>
        <w:trPr>
          <w:trHeight w:val="240" w:hRule="exact"/>
        </w:trPr>
        <w:tc>
          <w:tcPr>
            <w:tcW w:w="1428" w:type="dxa"/>
          </w:tcPr>
          <w:p>
            <w:pPr>
              <w:pStyle w:val="TableParagraph"/>
              <w:spacing w:line="227" w:lineRule="exact"/>
              <w:ind w:left="103"/>
              <w:rPr>
                <w:sz w:val="20"/>
              </w:rPr>
            </w:pPr>
            <w:r>
              <w:rPr>
                <w:sz w:val="20"/>
              </w:rPr>
              <w:t>DOF</w:t>
            </w:r>
          </w:p>
        </w:tc>
        <w:tc>
          <w:tcPr>
            <w:tcW w:w="7401" w:type="dxa"/>
          </w:tcPr>
          <w:p>
            <w:pPr>
              <w:pStyle w:val="TableParagraph"/>
              <w:spacing w:line="227" w:lineRule="exact"/>
              <w:ind w:left="103" w:right="20"/>
              <w:rPr>
                <w:sz w:val="20"/>
              </w:rPr>
            </w:pPr>
            <w:r>
              <w:rPr>
                <w:sz w:val="20"/>
              </w:rPr>
              <w:t>Diario Oficial de la Federación</w:t>
            </w:r>
          </w:p>
        </w:tc>
      </w:tr>
      <w:tr>
        <w:trPr>
          <w:trHeight w:val="241" w:hRule="exact"/>
        </w:trPr>
        <w:tc>
          <w:tcPr>
            <w:tcW w:w="1428" w:type="dxa"/>
          </w:tcPr>
          <w:p>
            <w:pPr>
              <w:pStyle w:val="TableParagraph"/>
              <w:spacing w:line="227" w:lineRule="exact"/>
              <w:ind w:left="103"/>
              <w:rPr>
                <w:sz w:val="20"/>
              </w:rPr>
            </w:pPr>
            <w:r>
              <w:rPr>
                <w:sz w:val="20"/>
              </w:rPr>
              <w:t>EFS</w:t>
            </w:r>
          </w:p>
        </w:tc>
        <w:tc>
          <w:tcPr>
            <w:tcW w:w="7401" w:type="dxa"/>
          </w:tcPr>
          <w:p>
            <w:pPr>
              <w:pStyle w:val="TableParagraph"/>
              <w:spacing w:line="227" w:lineRule="exact"/>
              <w:ind w:left="103" w:right="20"/>
              <w:rPr>
                <w:sz w:val="20"/>
              </w:rPr>
            </w:pPr>
            <w:r>
              <w:rPr>
                <w:sz w:val="20"/>
              </w:rPr>
              <w:t>Entidad(es) de Fiscalización Superior</w:t>
            </w:r>
          </w:p>
        </w:tc>
      </w:tr>
      <w:tr>
        <w:trPr>
          <w:trHeight w:val="240" w:hRule="exact"/>
        </w:trPr>
        <w:tc>
          <w:tcPr>
            <w:tcW w:w="1428" w:type="dxa"/>
          </w:tcPr>
          <w:p>
            <w:pPr>
              <w:pStyle w:val="TableParagraph"/>
              <w:spacing w:line="227" w:lineRule="exact"/>
              <w:ind w:left="103"/>
              <w:rPr>
                <w:sz w:val="20"/>
              </w:rPr>
            </w:pPr>
            <w:r>
              <w:rPr>
                <w:sz w:val="20"/>
              </w:rPr>
              <w:t>FMI</w:t>
            </w:r>
          </w:p>
        </w:tc>
        <w:tc>
          <w:tcPr>
            <w:tcW w:w="7401" w:type="dxa"/>
          </w:tcPr>
          <w:p>
            <w:pPr>
              <w:pStyle w:val="TableParagraph"/>
              <w:spacing w:line="227" w:lineRule="exact"/>
              <w:ind w:left="103" w:right="20"/>
              <w:rPr>
                <w:sz w:val="20"/>
              </w:rPr>
            </w:pPr>
            <w:r>
              <w:rPr>
                <w:sz w:val="20"/>
              </w:rPr>
              <w:t>Fondo Monetario Internacional</w:t>
            </w:r>
          </w:p>
        </w:tc>
      </w:tr>
      <w:tr>
        <w:trPr>
          <w:trHeight w:val="240" w:hRule="exact"/>
        </w:trPr>
        <w:tc>
          <w:tcPr>
            <w:tcW w:w="1428" w:type="dxa"/>
          </w:tcPr>
          <w:p>
            <w:pPr>
              <w:pStyle w:val="TableParagraph"/>
              <w:spacing w:line="227" w:lineRule="exact"/>
              <w:ind w:left="103"/>
              <w:rPr>
                <w:sz w:val="20"/>
              </w:rPr>
            </w:pPr>
            <w:r>
              <w:rPr>
                <w:sz w:val="20"/>
              </w:rPr>
              <w:t>FnGM</w:t>
            </w:r>
          </w:p>
        </w:tc>
        <w:tc>
          <w:tcPr>
            <w:tcW w:w="7401" w:type="dxa"/>
          </w:tcPr>
          <w:p>
            <w:pPr>
              <w:pStyle w:val="TableParagraph"/>
              <w:spacing w:line="227" w:lineRule="exact"/>
              <w:ind w:left="103" w:right="20"/>
              <w:rPr>
                <w:sz w:val="20"/>
              </w:rPr>
            </w:pPr>
            <w:r>
              <w:rPr>
                <w:sz w:val="20"/>
              </w:rPr>
              <w:t>Foro por una Nueva Gobernanza Mundial</w:t>
            </w:r>
          </w:p>
        </w:tc>
      </w:tr>
      <w:tr>
        <w:trPr>
          <w:trHeight w:val="240" w:hRule="exact"/>
        </w:trPr>
        <w:tc>
          <w:tcPr>
            <w:tcW w:w="1428" w:type="dxa"/>
          </w:tcPr>
          <w:p>
            <w:pPr>
              <w:pStyle w:val="TableParagraph"/>
              <w:spacing w:line="227" w:lineRule="exact"/>
              <w:ind w:left="103"/>
              <w:rPr>
                <w:sz w:val="20"/>
              </w:rPr>
            </w:pPr>
            <w:r>
              <w:rPr>
                <w:sz w:val="20"/>
              </w:rPr>
              <w:t>FOBAPROA</w:t>
            </w:r>
          </w:p>
        </w:tc>
        <w:tc>
          <w:tcPr>
            <w:tcW w:w="7401" w:type="dxa"/>
          </w:tcPr>
          <w:p>
            <w:pPr>
              <w:pStyle w:val="TableParagraph"/>
              <w:spacing w:line="227" w:lineRule="exact"/>
              <w:ind w:left="103" w:right="20"/>
              <w:rPr>
                <w:sz w:val="20"/>
              </w:rPr>
            </w:pPr>
            <w:r>
              <w:rPr>
                <w:sz w:val="20"/>
              </w:rPr>
              <w:t>Fondo Bancario de Protección al Ahorro</w:t>
            </w:r>
          </w:p>
        </w:tc>
      </w:tr>
      <w:tr>
        <w:trPr>
          <w:trHeight w:val="240" w:hRule="exact"/>
        </w:trPr>
        <w:tc>
          <w:tcPr>
            <w:tcW w:w="1428" w:type="dxa"/>
          </w:tcPr>
          <w:p>
            <w:pPr>
              <w:pStyle w:val="TableParagraph"/>
              <w:spacing w:line="227" w:lineRule="exact"/>
              <w:ind w:left="103"/>
              <w:rPr>
                <w:sz w:val="20"/>
              </w:rPr>
            </w:pPr>
            <w:r>
              <w:rPr>
                <w:sz w:val="20"/>
              </w:rPr>
              <w:t>IFAI</w:t>
            </w:r>
          </w:p>
        </w:tc>
        <w:tc>
          <w:tcPr>
            <w:tcW w:w="7401" w:type="dxa"/>
          </w:tcPr>
          <w:p>
            <w:pPr>
              <w:pStyle w:val="TableParagraph"/>
              <w:spacing w:line="227" w:lineRule="exact"/>
              <w:ind w:left="103" w:right="20"/>
              <w:rPr>
                <w:sz w:val="20"/>
              </w:rPr>
            </w:pPr>
            <w:r>
              <w:rPr>
                <w:sz w:val="20"/>
              </w:rPr>
              <w:t>Instituto Federal de Acceso a la Información y Protección de Datos</w:t>
            </w:r>
          </w:p>
        </w:tc>
      </w:tr>
      <w:tr>
        <w:trPr>
          <w:trHeight w:val="240" w:hRule="exact"/>
        </w:trPr>
        <w:tc>
          <w:tcPr>
            <w:tcW w:w="1428" w:type="dxa"/>
          </w:tcPr>
          <w:p>
            <w:pPr>
              <w:pStyle w:val="TableParagraph"/>
              <w:spacing w:line="227" w:lineRule="exact"/>
              <w:ind w:left="103"/>
              <w:rPr>
                <w:sz w:val="20"/>
              </w:rPr>
            </w:pPr>
            <w:r>
              <w:rPr>
                <w:sz w:val="20"/>
              </w:rPr>
              <w:t>IMCO</w:t>
            </w:r>
          </w:p>
        </w:tc>
        <w:tc>
          <w:tcPr>
            <w:tcW w:w="7401" w:type="dxa"/>
          </w:tcPr>
          <w:p>
            <w:pPr>
              <w:pStyle w:val="TableParagraph"/>
              <w:spacing w:line="227" w:lineRule="exact"/>
              <w:ind w:left="103" w:right="20"/>
              <w:rPr>
                <w:sz w:val="20"/>
              </w:rPr>
            </w:pPr>
            <w:r>
              <w:rPr>
                <w:sz w:val="20"/>
              </w:rPr>
              <w:t>Instituto Mexicano para la Competitividad, A.C.</w:t>
            </w:r>
          </w:p>
        </w:tc>
      </w:tr>
      <w:tr>
        <w:trPr>
          <w:trHeight w:val="698" w:hRule="exact"/>
        </w:trPr>
        <w:tc>
          <w:tcPr>
            <w:tcW w:w="1428" w:type="dxa"/>
          </w:tcPr>
          <w:p>
            <w:pPr>
              <w:pStyle w:val="TableParagraph"/>
              <w:spacing w:line="227" w:lineRule="exact"/>
              <w:ind w:left="103"/>
              <w:rPr>
                <w:sz w:val="20"/>
              </w:rPr>
            </w:pPr>
            <w:r>
              <w:rPr>
                <w:sz w:val="20"/>
              </w:rPr>
              <w:t>INTOSAI</w:t>
            </w:r>
          </w:p>
        </w:tc>
        <w:tc>
          <w:tcPr>
            <w:tcW w:w="7401" w:type="dxa"/>
          </w:tcPr>
          <w:p>
            <w:pPr>
              <w:pStyle w:val="TableParagraph"/>
              <w:ind w:left="103" w:right="103"/>
              <w:jc w:val="both"/>
              <w:rPr>
                <w:sz w:val="20"/>
              </w:rPr>
            </w:pPr>
            <w:r>
              <w:rPr>
                <w:sz w:val="20"/>
              </w:rPr>
              <w:t>Organización Internacional de las Entidades Fiscalizadoras Superiores (</w:t>
            </w:r>
            <w:r>
              <w:rPr>
                <w:i/>
                <w:sz w:val="20"/>
              </w:rPr>
              <w:t>International</w:t>
            </w:r>
            <w:r>
              <w:rPr>
                <w:i/>
                <w:spacing w:val="-7"/>
                <w:sz w:val="20"/>
              </w:rPr>
              <w:t> </w:t>
            </w:r>
            <w:r>
              <w:rPr>
                <w:i/>
                <w:sz w:val="20"/>
              </w:rPr>
              <w:t>Organisation</w:t>
            </w:r>
            <w:r>
              <w:rPr>
                <w:i/>
                <w:spacing w:val="-7"/>
                <w:sz w:val="20"/>
              </w:rPr>
              <w:t> </w:t>
            </w:r>
            <w:r>
              <w:rPr>
                <w:i/>
                <w:sz w:val="20"/>
              </w:rPr>
              <w:t>of</w:t>
            </w:r>
            <w:r>
              <w:rPr>
                <w:i/>
                <w:spacing w:val="-7"/>
                <w:sz w:val="20"/>
              </w:rPr>
              <w:t> </w:t>
            </w:r>
            <w:r>
              <w:rPr>
                <w:i/>
                <w:sz w:val="20"/>
              </w:rPr>
              <w:t>Supreme</w:t>
            </w:r>
            <w:r>
              <w:rPr>
                <w:i/>
                <w:spacing w:val="-1"/>
                <w:sz w:val="20"/>
              </w:rPr>
              <w:t> </w:t>
            </w:r>
            <w:r>
              <w:rPr>
                <w:i/>
                <w:sz w:val="20"/>
              </w:rPr>
              <w:t>Audit</w:t>
            </w:r>
            <w:r>
              <w:rPr>
                <w:i/>
                <w:spacing w:val="-6"/>
                <w:sz w:val="20"/>
              </w:rPr>
              <w:t> </w:t>
            </w:r>
            <w:r>
              <w:rPr>
                <w:i/>
                <w:sz w:val="20"/>
              </w:rPr>
              <w:t>Institutions</w:t>
            </w:r>
            <w:r>
              <w:rPr>
                <w:sz w:val="20"/>
              </w:rPr>
              <w:t>,</w:t>
            </w:r>
            <w:r>
              <w:rPr>
                <w:spacing w:val="-6"/>
                <w:sz w:val="20"/>
              </w:rPr>
              <w:t> </w:t>
            </w:r>
            <w:r>
              <w:rPr>
                <w:sz w:val="20"/>
              </w:rPr>
              <w:t>INTOSAI,</w:t>
            </w:r>
            <w:r>
              <w:rPr>
                <w:spacing w:val="-6"/>
                <w:sz w:val="20"/>
              </w:rPr>
              <w:t> </w:t>
            </w:r>
            <w:r>
              <w:rPr>
                <w:sz w:val="20"/>
              </w:rPr>
              <w:t>por</w:t>
            </w:r>
            <w:r>
              <w:rPr>
                <w:spacing w:val="-6"/>
                <w:sz w:val="20"/>
              </w:rPr>
              <w:t> </w:t>
            </w:r>
            <w:r>
              <w:rPr>
                <w:sz w:val="20"/>
              </w:rPr>
              <w:t>sus</w:t>
            </w:r>
            <w:r>
              <w:rPr>
                <w:spacing w:val="-6"/>
                <w:sz w:val="20"/>
              </w:rPr>
              <w:t> </w:t>
            </w:r>
            <w:r>
              <w:rPr>
                <w:sz w:val="20"/>
              </w:rPr>
              <w:t>siglas en</w:t>
            </w:r>
            <w:r>
              <w:rPr>
                <w:spacing w:val="-4"/>
                <w:sz w:val="20"/>
              </w:rPr>
              <w:t> </w:t>
            </w:r>
            <w:r>
              <w:rPr>
                <w:sz w:val="20"/>
              </w:rPr>
              <w:t>inglés)</w:t>
            </w:r>
          </w:p>
        </w:tc>
      </w:tr>
      <w:tr>
        <w:trPr>
          <w:trHeight w:val="240" w:hRule="exact"/>
        </w:trPr>
        <w:tc>
          <w:tcPr>
            <w:tcW w:w="1428" w:type="dxa"/>
          </w:tcPr>
          <w:p>
            <w:pPr>
              <w:pStyle w:val="TableParagraph"/>
              <w:spacing w:line="230" w:lineRule="exact"/>
              <w:ind w:left="103"/>
              <w:rPr>
                <w:sz w:val="20"/>
              </w:rPr>
            </w:pPr>
            <w:r>
              <w:rPr>
                <w:sz w:val="20"/>
              </w:rPr>
              <w:t>LCF</w:t>
            </w:r>
          </w:p>
        </w:tc>
        <w:tc>
          <w:tcPr>
            <w:tcW w:w="7401" w:type="dxa"/>
          </w:tcPr>
          <w:p>
            <w:pPr>
              <w:pStyle w:val="TableParagraph"/>
              <w:spacing w:line="230" w:lineRule="exact"/>
              <w:ind w:left="103" w:right="20"/>
              <w:rPr>
                <w:sz w:val="20"/>
              </w:rPr>
            </w:pPr>
            <w:r>
              <w:rPr>
                <w:sz w:val="20"/>
              </w:rPr>
              <w:t>Ley de Coordinación Fiscal</w:t>
            </w:r>
          </w:p>
        </w:tc>
      </w:tr>
      <w:tr>
        <w:trPr>
          <w:trHeight w:val="240" w:hRule="exact"/>
        </w:trPr>
        <w:tc>
          <w:tcPr>
            <w:tcW w:w="1428" w:type="dxa"/>
          </w:tcPr>
          <w:p>
            <w:pPr>
              <w:pStyle w:val="TableParagraph"/>
              <w:spacing w:line="230" w:lineRule="exact"/>
              <w:ind w:left="103"/>
              <w:rPr>
                <w:sz w:val="20"/>
              </w:rPr>
            </w:pPr>
            <w:r>
              <w:rPr>
                <w:sz w:val="20"/>
              </w:rPr>
              <w:t>LFRCF</w:t>
            </w:r>
          </w:p>
        </w:tc>
        <w:tc>
          <w:tcPr>
            <w:tcW w:w="7401" w:type="dxa"/>
          </w:tcPr>
          <w:p>
            <w:pPr>
              <w:pStyle w:val="TableParagraph"/>
              <w:spacing w:line="230" w:lineRule="exact"/>
              <w:ind w:left="103" w:right="20"/>
              <w:rPr>
                <w:sz w:val="20"/>
              </w:rPr>
            </w:pPr>
            <w:r>
              <w:rPr>
                <w:sz w:val="20"/>
              </w:rPr>
              <w:t>Ley de Fiscalización y Rendición de Cuentas de la Federación</w:t>
            </w:r>
          </w:p>
        </w:tc>
      </w:tr>
      <w:tr>
        <w:trPr>
          <w:trHeight w:val="240" w:hRule="exact"/>
        </w:trPr>
        <w:tc>
          <w:tcPr>
            <w:tcW w:w="1428" w:type="dxa"/>
          </w:tcPr>
          <w:p>
            <w:pPr>
              <w:pStyle w:val="TableParagraph"/>
              <w:spacing w:line="230" w:lineRule="exact"/>
              <w:ind w:left="103"/>
              <w:rPr>
                <w:sz w:val="20"/>
              </w:rPr>
            </w:pPr>
            <w:r>
              <w:rPr>
                <w:sz w:val="20"/>
              </w:rPr>
              <w:t>LFSF</w:t>
            </w:r>
          </w:p>
        </w:tc>
        <w:tc>
          <w:tcPr>
            <w:tcW w:w="7401" w:type="dxa"/>
          </w:tcPr>
          <w:p>
            <w:pPr>
              <w:pStyle w:val="TableParagraph"/>
              <w:spacing w:line="230" w:lineRule="exact"/>
              <w:ind w:left="103" w:right="20"/>
              <w:rPr>
                <w:sz w:val="20"/>
              </w:rPr>
            </w:pPr>
            <w:r>
              <w:rPr>
                <w:sz w:val="20"/>
              </w:rPr>
              <w:t>Ley de Fiscalización Superior de la Federación (abrogada)</w:t>
            </w:r>
          </w:p>
        </w:tc>
      </w:tr>
      <w:tr>
        <w:trPr>
          <w:trHeight w:val="240" w:hRule="exact"/>
        </w:trPr>
        <w:tc>
          <w:tcPr>
            <w:tcW w:w="1428" w:type="dxa"/>
          </w:tcPr>
          <w:p>
            <w:pPr>
              <w:pStyle w:val="TableParagraph"/>
              <w:spacing w:line="230" w:lineRule="exact"/>
              <w:ind w:left="103"/>
              <w:rPr>
                <w:sz w:val="20"/>
              </w:rPr>
            </w:pPr>
            <w:r>
              <w:rPr>
                <w:sz w:val="20"/>
              </w:rPr>
              <w:t>LFTAI</w:t>
            </w:r>
          </w:p>
        </w:tc>
        <w:tc>
          <w:tcPr>
            <w:tcW w:w="7401" w:type="dxa"/>
          </w:tcPr>
          <w:p>
            <w:pPr>
              <w:pStyle w:val="TableParagraph"/>
              <w:spacing w:line="230" w:lineRule="exact"/>
              <w:ind w:left="103" w:right="20"/>
              <w:rPr>
                <w:sz w:val="20"/>
              </w:rPr>
            </w:pPr>
            <w:r>
              <w:rPr>
                <w:sz w:val="20"/>
              </w:rPr>
              <w:t>Ley Federal de Transparencia y Acceso a la Información Pública Gubernamental</w:t>
            </w:r>
          </w:p>
        </w:tc>
      </w:tr>
      <w:tr>
        <w:trPr>
          <w:trHeight w:val="240" w:hRule="exact"/>
        </w:trPr>
        <w:tc>
          <w:tcPr>
            <w:tcW w:w="1428" w:type="dxa"/>
          </w:tcPr>
          <w:p>
            <w:pPr>
              <w:pStyle w:val="TableParagraph"/>
              <w:spacing w:line="227" w:lineRule="exact"/>
              <w:ind w:left="103"/>
              <w:rPr>
                <w:sz w:val="20"/>
              </w:rPr>
            </w:pPr>
            <w:r>
              <w:rPr>
                <w:sz w:val="20"/>
              </w:rPr>
              <w:t>LSPCAPF</w:t>
            </w:r>
          </w:p>
        </w:tc>
        <w:tc>
          <w:tcPr>
            <w:tcW w:w="7401" w:type="dxa"/>
          </w:tcPr>
          <w:p>
            <w:pPr>
              <w:pStyle w:val="TableParagraph"/>
              <w:spacing w:line="227" w:lineRule="exact"/>
              <w:ind w:left="103" w:right="20"/>
              <w:rPr>
                <w:sz w:val="20"/>
              </w:rPr>
            </w:pPr>
            <w:r>
              <w:rPr>
                <w:sz w:val="20"/>
              </w:rPr>
              <w:t>Ley del Servicio Profesional de Carrera de la Administración Pública Federal</w:t>
            </w:r>
          </w:p>
        </w:tc>
      </w:tr>
      <w:tr>
        <w:trPr>
          <w:trHeight w:val="471" w:hRule="exact"/>
        </w:trPr>
        <w:tc>
          <w:tcPr>
            <w:tcW w:w="1428" w:type="dxa"/>
          </w:tcPr>
          <w:p>
            <w:pPr>
              <w:pStyle w:val="TableParagraph"/>
              <w:spacing w:line="227" w:lineRule="exact"/>
              <w:ind w:left="103"/>
              <w:rPr>
                <w:sz w:val="20"/>
              </w:rPr>
            </w:pPr>
            <w:r>
              <w:rPr>
                <w:sz w:val="20"/>
              </w:rPr>
              <w:t>NEF</w:t>
            </w:r>
          </w:p>
        </w:tc>
        <w:tc>
          <w:tcPr>
            <w:tcW w:w="7401" w:type="dxa"/>
          </w:tcPr>
          <w:p>
            <w:pPr>
              <w:pStyle w:val="TableParagraph"/>
              <w:spacing w:line="242" w:lineRule="auto"/>
              <w:ind w:left="103" w:right="20"/>
              <w:rPr>
                <w:sz w:val="20"/>
              </w:rPr>
            </w:pPr>
            <w:r>
              <w:rPr>
                <w:sz w:val="20"/>
              </w:rPr>
              <w:t>Nueva Fundación Económica (</w:t>
            </w:r>
            <w:r>
              <w:rPr>
                <w:i/>
                <w:sz w:val="20"/>
              </w:rPr>
              <w:t>New Economic Foundation</w:t>
            </w:r>
            <w:r>
              <w:rPr>
                <w:sz w:val="20"/>
              </w:rPr>
              <w:t>, NEF, por sus siglas en inglés)</w:t>
            </w:r>
          </w:p>
        </w:tc>
      </w:tr>
      <w:tr>
        <w:trPr>
          <w:trHeight w:val="240" w:hRule="exact"/>
        </w:trPr>
        <w:tc>
          <w:tcPr>
            <w:tcW w:w="1428" w:type="dxa"/>
          </w:tcPr>
          <w:p>
            <w:pPr>
              <w:pStyle w:val="TableParagraph"/>
              <w:spacing w:line="227" w:lineRule="exact"/>
              <w:ind w:left="103"/>
              <w:rPr>
                <w:sz w:val="20"/>
              </w:rPr>
            </w:pPr>
            <w:r>
              <w:rPr>
                <w:sz w:val="20"/>
              </w:rPr>
              <w:t>LOAPF</w:t>
            </w:r>
          </w:p>
        </w:tc>
        <w:tc>
          <w:tcPr>
            <w:tcW w:w="7401" w:type="dxa"/>
          </w:tcPr>
          <w:p>
            <w:pPr>
              <w:pStyle w:val="TableParagraph"/>
              <w:spacing w:line="227" w:lineRule="exact"/>
              <w:ind w:left="103" w:right="20"/>
              <w:rPr>
                <w:sz w:val="20"/>
              </w:rPr>
            </w:pPr>
            <w:r>
              <w:rPr>
                <w:sz w:val="20"/>
              </w:rPr>
              <w:t>Ley Orgánica de la Administración Pública Federal</w:t>
            </w:r>
          </w:p>
        </w:tc>
      </w:tr>
      <w:tr>
        <w:trPr>
          <w:trHeight w:val="240" w:hRule="exact"/>
        </w:trPr>
        <w:tc>
          <w:tcPr>
            <w:tcW w:w="1428" w:type="dxa"/>
          </w:tcPr>
          <w:p>
            <w:pPr>
              <w:pStyle w:val="TableParagraph"/>
              <w:spacing w:line="227" w:lineRule="exact"/>
              <w:ind w:left="103"/>
              <w:rPr>
                <w:sz w:val="20"/>
              </w:rPr>
            </w:pPr>
            <w:r>
              <w:rPr>
                <w:sz w:val="20"/>
              </w:rPr>
              <w:t>LOCMH</w:t>
            </w:r>
          </w:p>
        </w:tc>
        <w:tc>
          <w:tcPr>
            <w:tcW w:w="7401" w:type="dxa"/>
          </w:tcPr>
          <w:p>
            <w:pPr>
              <w:pStyle w:val="TableParagraph"/>
              <w:spacing w:line="227" w:lineRule="exact"/>
              <w:ind w:left="103" w:right="20"/>
              <w:rPr>
                <w:sz w:val="20"/>
              </w:rPr>
            </w:pPr>
            <w:r>
              <w:rPr>
                <w:sz w:val="20"/>
              </w:rPr>
              <w:t>Ley Orgánica de la Contaduría Mayor de Hacienda (abrogada)</w:t>
            </w:r>
          </w:p>
        </w:tc>
      </w:tr>
      <w:tr>
        <w:trPr>
          <w:trHeight w:val="470" w:hRule="exact"/>
        </w:trPr>
        <w:tc>
          <w:tcPr>
            <w:tcW w:w="1428" w:type="dxa"/>
          </w:tcPr>
          <w:p>
            <w:pPr>
              <w:pStyle w:val="TableParagraph"/>
              <w:spacing w:line="227" w:lineRule="exact"/>
              <w:ind w:left="103"/>
              <w:rPr>
                <w:sz w:val="20"/>
              </w:rPr>
            </w:pPr>
            <w:r>
              <w:rPr>
                <w:sz w:val="20"/>
              </w:rPr>
              <w:t>OCDE/OECD</w:t>
            </w:r>
          </w:p>
        </w:tc>
        <w:tc>
          <w:tcPr>
            <w:tcW w:w="7401" w:type="dxa"/>
          </w:tcPr>
          <w:p>
            <w:pPr>
              <w:pStyle w:val="TableParagraph"/>
              <w:ind w:left="103" w:right="20"/>
              <w:rPr>
                <w:sz w:val="20"/>
              </w:rPr>
            </w:pPr>
            <w:r>
              <w:rPr>
                <w:sz w:val="20"/>
              </w:rPr>
              <w:t>Organización para la Cooperación y Desarrollo Económicos (</w:t>
            </w:r>
            <w:hyperlink r:id="rId21">
              <w:r>
                <w:rPr>
                  <w:i/>
                  <w:sz w:val="20"/>
                </w:rPr>
                <w:t>Organisation for</w:t>
              </w:r>
            </w:hyperlink>
            <w:r>
              <w:rPr>
                <w:i/>
                <w:sz w:val="20"/>
              </w:rPr>
              <w:t> </w:t>
            </w:r>
            <w:hyperlink r:id="rId21">
              <w:r>
                <w:rPr>
                  <w:i/>
                  <w:sz w:val="20"/>
                </w:rPr>
                <w:t>Economic Co-operation and Development</w:t>
              </w:r>
              <w:r>
                <w:rPr>
                  <w:sz w:val="20"/>
                </w:rPr>
                <w:t>,</w:t>
              </w:r>
            </w:hyperlink>
            <w:r>
              <w:rPr>
                <w:sz w:val="20"/>
              </w:rPr>
              <w:t> OECD, por sus siglas en inglés)</w:t>
            </w:r>
          </w:p>
        </w:tc>
      </w:tr>
      <w:tr>
        <w:trPr>
          <w:trHeight w:val="240" w:hRule="exact"/>
        </w:trPr>
        <w:tc>
          <w:tcPr>
            <w:tcW w:w="1428" w:type="dxa"/>
          </w:tcPr>
          <w:p>
            <w:pPr>
              <w:pStyle w:val="TableParagraph"/>
              <w:spacing w:line="227" w:lineRule="exact"/>
              <w:ind w:left="103"/>
              <w:rPr>
                <w:sz w:val="20"/>
              </w:rPr>
            </w:pPr>
            <w:r>
              <w:rPr>
                <w:sz w:val="20"/>
              </w:rPr>
              <w:t>ONG</w:t>
            </w:r>
          </w:p>
        </w:tc>
        <w:tc>
          <w:tcPr>
            <w:tcW w:w="7401" w:type="dxa"/>
          </w:tcPr>
          <w:p>
            <w:pPr>
              <w:pStyle w:val="TableParagraph"/>
              <w:spacing w:line="227" w:lineRule="exact"/>
              <w:ind w:left="103" w:right="20"/>
              <w:rPr>
                <w:sz w:val="20"/>
              </w:rPr>
            </w:pPr>
            <w:r>
              <w:rPr>
                <w:sz w:val="20"/>
              </w:rPr>
              <w:t>Organización(es) No Gubernamental(es)</w:t>
            </w:r>
          </w:p>
        </w:tc>
      </w:tr>
      <w:tr>
        <w:trPr>
          <w:trHeight w:val="240" w:hRule="exact"/>
        </w:trPr>
        <w:tc>
          <w:tcPr>
            <w:tcW w:w="1428" w:type="dxa"/>
          </w:tcPr>
          <w:p>
            <w:pPr>
              <w:pStyle w:val="TableParagraph"/>
              <w:spacing w:line="227" w:lineRule="exact"/>
              <w:ind w:left="103"/>
              <w:rPr>
                <w:sz w:val="20"/>
              </w:rPr>
            </w:pPr>
            <w:r>
              <w:rPr>
                <w:sz w:val="20"/>
              </w:rPr>
              <w:t>OEA</w:t>
            </w:r>
          </w:p>
        </w:tc>
        <w:tc>
          <w:tcPr>
            <w:tcW w:w="7401" w:type="dxa"/>
          </w:tcPr>
          <w:p>
            <w:pPr>
              <w:pStyle w:val="TableParagraph"/>
              <w:spacing w:line="227" w:lineRule="exact"/>
              <w:ind w:left="103" w:right="20"/>
              <w:rPr>
                <w:sz w:val="20"/>
              </w:rPr>
            </w:pPr>
            <w:r>
              <w:rPr>
                <w:sz w:val="20"/>
              </w:rPr>
              <w:t>Organización de Estados Americanos</w:t>
            </w:r>
          </w:p>
        </w:tc>
      </w:tr>
      <w:tr>
        <w:trPr>
          <w:trHeight w:val="240" w:hRule="exact"/>
        </w:trPr>
        <w:tc>
          <w:tcPr>
            <w:tcW w:w="1428" w:type="dxa"/>
          </w:tcPr>
          <w:p>
            <w:pPr>
              <w:pStyle w:val="TableParagraph"/>
              <w:spacing w:line="227" w:lineRule="exact"/>
              <w:ind w:left="103"/>
              <w:rPr>
                <w:sz w:val="20"/>
              </w:rPr>
            </w:pPr>
            <w:r>
              <w:rPr>
                <w:sz w:val="20"/>
              </w:rPr>
              <w:t>ONU</w:t>
            </w:r>
          </w:p>
        </w:tc>
        <w:tc>
          <w:tcPr>
            <w:tcW w:w="7401" w:type="dxa"/>
          </w:tcPr>
          <w:p>
            <w:pPr>
              <w:pStyle w:val="TableParagraph"/>
              <w:spacing w:line="227" w:lineRule="exact"/>
              <w:ind w:left="103" w:right="20"/>
              <w:rPr>
                <w:sz w:val="20"/>
              </w:rPr>
            </w:pPr>
            <w:r>
              <w:rPr>
                <w:sz w:val="20"/>
              </w:rPr>
              <w:t>Organización de las Naciones Unidas</w:t>
            </w:r>
          </w:p>
        </w:tc>
      </w:tr>
      <w:tr>
        <w:trPr>
          <w:trHeight w:val="240" w:hRule="exact"/>
        </w:trPr>
        <w:tc>
          <w:tcPr>
            <w:tcW w:w="1428" w:type="dxa"/>
          </w:tcPr>
          <w:p>
            <w:pPr>
              <w:pStyle w:val="TableParagraph"/>
              <w:spacing w:line="227" w:lineRule="exact"/>
              <w:ind w:left="103"/>
              <w:rPr>
                <w:sz w:val="20"/>
              </w:rPr>
            </w:pPr>
            <w:r>
              <w:rPr>
                <w:sz w:val="20"/>
              </w:rPr>
              <w:t>PIIC</w:t>
            </w:r>
          </w:p>
        </w:tc>
        <w:tc>
          <w:tcPr>
            <w:tcW w:w="7401" w:type="dxa"/>
          </w:tcPr>
          <w:p>
            <w:pPr>
              <w:pStyle w:val="TableParagraph"/>
              <w:spacing w:line="227" w:lineRule="exact"/>
              <w:ind w:left="103" w:right="20"/>
              <w:rPr>
                <w:sz w:val="20"/>
              </w:rPr>
            </w:pPr>
            <w:r>
              <w:rPr>
                <w:sz w:val="20"/>
              </w:rPr>
              <w:t>Promoción de Intervención de la Instancia de Control</w:t>
            </w:r>
          </w:p>
        </w:tc>
      </w:tr>
      <w:tr>
        <w:trPr>
          <w:trHeight w:val="240" w:hRule="exact"/>
        </w:trPr>
        <w:tc>
          <w:tcPr>
            <w:tcW w:w="1428" w:type="dxa"/>
          </w:tcPr>
          <w:p>
            <w:pPr>
              <w:pStyle w:val="TableParagraph"/>
              <w:spacing w:line="227" w:lineRule="exact"/>
              <w:ind w:left="103"/>
              <w:rPr>
                <w:sz w:val="20"/>
              </w:rPr>
            </w:pPr>
            <w:r>
              <w:rPr>
                <w:sz w:val="20"/>
              </w:rPr>
              <w:t>PGR</w:t>
            </w:r>
          </w:p>
        </w:tc>
        <w:tc>
          <w:tcPr>
            <w:tcW w:w="7401" w:type="dxa"/>
          </w:tcPr>
          <w:p>
            <w:pPr>
              <w:pStyle w:val="TableParagraph"/>
              <w:spacing w:line="227" w:lineRule="exact"/>
              <w:ind w:left="103" w:right="20"/>
              <w:rPr>
                <w:sz w:val="20"/>
              </w:rPr>
            </w:pPr>
            <w:r>
              <w:rPr>
                <w:sz w:val="20"/>
              </w:rPr>
              <w:t>Procuraduría General de la República</w:t>
            </w:r>
          </w:p>
        </w:tc>
      </w:tr>
      <w:tr>
        <w:trPr>
          <w:trHeight w:val="470" w:hRule="exact"/>
        </w:trPr>
        <w:tc>
          <w:tcPr>
            <w:tcW w:w="1428" w:type="dxa"/>
          </w:tcPr>
          <w:p>
            <w:pPr>
              <w:pStyle w:val="TableParagraph"/>
              <w:spacing w:line="227" w:lineRule="exact"/>
              <w:ind w:left="103"/>
              <w:rPr>
                <w:sz w:val="20"/>
              </w:rPr>
            </w:pPr>
            <w:r>
              <w:rPr>
                <w:sz w:val="20"/>
              </w:rPr>
              <w:t>PNRCTCC</w:t>
            </w:r>
          </w:p>
        </w:tc>
        <w:tc>
          <w:tcPr>
            <w:tcW w:w="7401" w:type="dxa"/>
          </w:tcPr>
          <w:p>
            <w:pPr>
              <w:pStyle w:val="TableParagraph"/>
              <w:ind w:left="103" w:right="20"/>
              <w:rPr>
                <w:sz w:val="20"/>
              </w:rPr>
            </w:pPr>
            <w:r>
              <w:rPr>
                <w:sz w:val="20"/>
              </w:rPr>
              <w:t>Programa Nacional de Rendición de Cuentas, Transparencia y Combate a la Corrupción</w:t>
            </w:r>
          </w:p>
        </w:tc>
      </w:tr>
      <w:tr>
        <w:trPr>
          <w:trHeight w:val="240" w:hRule="exact"/>
        </w:trPr>
        <w:tc>
          <w:tcPr>
            <w:tcW w:w="1428" w:type="dxa"/>
          </w:tcPr>
          <w:p>
            <w:pPr>
              <w:pStyle w:val="TableParagraph"/>
              <w:spacing w:line="227" w:lineRule="exact"/>
              <w:ind w:left="103"/>
              <w:rPr>
                <w:sz w:val="20"/>
              </w:rPr>
            </w:pPr>
            <w:r>
              <w:rPr>
                <w:sz w:val="20"/>
              </w:rPr>
              <w:t>PNUD</w:t>
            </w:r>
          </w:p>
        </w:tc>
        <w:tc>
          <w:tcPr>
            <w:tcW w:w="7401" w:type="dxa"/>
          </w:tcPr>
          <w:p>
            <w:pPr>
              <w:pStyle w:val="TableParagraph"/>
              <w:spacing w:line="227" w:lineRule="exact"/>
              <w:ind w:left="103" w:right="20"/>
              <w:rPr>
                <w:sz w:val="20"/>
              </w:rPr>
            </w:pPr>
            <w:r>
              <w:rPr>
                <w:sz w:val="20"/>
              </w:rPr>
              <w:t>Programa de las Naciones Unidas para el Desarrollo</w:t>
            </w:r>
          </w:p>
        </w:tc>
      </w:tr>
      <w:tr>
        <w:trPr>
          <w:trHeight w:val="241" w:hRule="exact"/>
        </w:trPr>
        <w:tc>
          <w:tcPr>
            <w:tcW w:w="1428" w:type="dxa"/>
          </w:tcPr>
          <w:p>
            <w:pPr>
              <w:pStyle w:val="TableParagraph"/>
              <w:spacing w:line="227" w:lineRule="exact"/>
              <w:ind w:left="103"/>
              <w:rPr>
                <w:sz w:val="20"/>
              </w:rPr>
            </w:pPr>
            <w:r>
              <w:rPr>
                <w:sz w:val="20"/>
              </w:rPr>
              <w:t>PRAS</w:t>
            </w:r>
          </w:p>
        </w:tc>
        <w:tc>
          <w:tcPr>
            <w:tcW w:w="7401" w:type="dxa"/>
          </w:tcPr>
          <w:p>
            <w:pPr>
              <w:pStyle w:val="TableParagraph"/>
              <w:spacing w:line="227" w:lineRule="exact"/>
              <w:ind w:left="103" w:right="20"/>
              <w:rPr>
                <w:sz w:val="20"/>
              </w:rPr>
            </w:pPr>
            <w:r>
              <w:rPr>
                <w:sz w:val="20"/>
              </w:rPr>
              <w:t>Fincamiento de las Responsabilidades Administrativas Sancionatorias</w:t>
            </w:r>
          </w:p>
        </w:tc>
      </w:tr>
      <w:tr>
        <w:trPr>
          <w:trHeight w:val="240" w:hRule="exact"/>
        </w:trPr>
        <w:tc>
          <w:tcPr>
            <w:tcW w:w="1428" w:type="dxa"/>
          </w:tcPr>
          <w:p>
            <w:pPr>
              <w:pStyle w:val="TableParagraph"/>
              <w:spacing w:line="227" w:lineRule="exact"/>
              <w:ind w:left="103"/>
              <w:rPr>
                <w:sz w:val="20"/>
              </w:rPr>
            </w:pPr>
            <w:r>
              <w:rPr>
                <w:sz w:val="20"/>
              </w:rPr>
              <w:t>PRI</w:t>
            </w:r>
          </w:p>
        </w:tc>
        <w:tc>
          <w:tcPr>
            <w:tcW w:w="7401" w:type="dxa"/>
          </w:tcPr>
          <w:p>
            <w:pPr>
              <w:pStyle w:val="TableParagraph"/>
              <w:spacing w:line="227" w:lineRule="exact"/>
              <w:ind w:left="103" w:right="20"/>
              <w:rPr>
                <w:sz w:val="20"/>
              </w:rPr>
            </w:pPr>
            <w:r>
              <w:rPr>
                <w:sz w:val="20"/>
              </w:rPr>
              <w:t>Partido Revolucionario Institucional</w:t>
            </w:r>
          </w:p>
        </w:tc>
      </w:tr>
      <w:tr>
        <w:trPr>
          <w:trHeight w:val="240" w:hRule="exact"/>
        </w:trPr>
        <w:tc>
          <w:tcPr>
            <w:tcW w:w="1428" w:type="dxa"/>
          </w:tcPr>
          <w:p>
            <w:pPr>
              <w:pStyle w:val="TableParagraph"/>
              <w:spacing w:line="227" w:lineRule="exact"/>
              <w:ind w:left="103"/>
              <w:rPr>
                <w:sz w:val="20"/>
              </w:rPr>
            </w:pPr>
            <w:r>
              <w:rPr>
                <w:sz w:val="20"/>
              </w:rPr>
              <w:t>RRC</w:t>
            </w:r>
          </w:p>
        </w:tc>
        <w:tc>
          <w:tcPr>
            <w:tcW w:w="7401" w:type="dxa"/>
          </w:tcPr>
          <w:p>
            <w:pPr>
              <w:pStyle w:val="TableParagraph"/>
              <w:spacing w:line="227" w:lineRule="exact"/>
              <w:ind w:left="103" w:right="20"/>
              <w:rPr>
                <w:sz w:val="20"/>
              </w:rPr>
            </w:pPr>
            <w:r>
              <w:rPr>
                <w:sz w:val="20"/>
              </w:rPr>
              <w:t>Red por la Rendición de Cuentas</w:t>
            </w:r>
          </w:p>
        </w:tc>
      </w:tr>
      <w:tr>
        <w:trPr>
          <w:trHeight w:val="698" w:hRule="exact"/>
        </w:trPr>
        <w:tc>
          <w:tcPr>
            <w:tcW w:w="1428" w:type="dxa"/>
          </w:tcPr>
          <w:p>
            <w:pPr>
              <w:pStyle w:val="TableParagraph"/>
              <w:spacing w:line="227" w:lineRule="exact"/>
              <w:ind w:left="103"/>
              <w:rPr>
                <w:sz w:val="20"/>
              </w:rPr>
            </w:pPr>
            <w:r>
              <w:rPr>
                <w:sz w:val="20"/>
              </w:rPr>
              <w:t>UNESCO</w:t>
            </w:r>
          </w:p>
        </w:tc>
        <w:tc>
          <w:tcPr>
            <w:tcW w:w="7401" w:type="dxa"/>
          </w:tcPr>
          <w:p>
            <w:pPr>
              <w:pStyle w:val="TableParagraph"/>
              <w:ind w:left="103" w:right="102"/>
              <w:jc w:val="both"/>
              <w:rPr>
                <w:sz w:val="20"/>
              </w:rPr>
            </w:pPr>
            <w:r>
              <w:rPr>
                <w:sz w:val="20"/>
              </w:rPr>
              <w:t>Organización de las Naciones Unidas para la Educación, la Ciencia y la Cultura (</w:t>
            </w:r>
            <w:hyperlink r:id="rId22">
              <w:r>
                <w:rPr>
                  <w:i/>
                  <w:sz w:val="20"/>
                </w:rPr>
                <w:t>United Nations Educational, Scientific and Cultural Organization</w:t>
              </w:r>
              <w:r>
                <w:rPr>
                  <w:sz w:val="20"/>
                </w:rPr>
                <w:t>,</w:t>
              </w:r>
            </w:hyperlink>
            <w:r>
              <w:rPr>
                <w:sz w:val="20"/>
              </w:rPr>
              <w:t> UNESCO, por sus siglas en inglés)</w:t>
            </w:r>
          </w:p>
        </w:tc>
      </w:tr>
      <w:tr>
        <w:trPr>
          <w:trHeight w:val="240" w:hRule="exact"/>
        </w:trPr>
        <w:tc>
          <w:tcPr>
            <w:tcW w:w="1428" w:type="dxa"/>
          </w:tcPr>
          <w:p>
            <w:pPr>
              <w:pStyle w:val="TableParagraph"/>
              <w:spacing w:line="227" w:lineRule="exact"/>
              <w:ind w:left="103"/>
              <w:rPr>
                <w:sz w:val="20"/>
              </w:rPr>
            </w:pPr>
            <w:r>
              <w:rPr>
                <w:sz w:val="20"/>
              </w:rPr>
              <w:t>SCJN</w:t>
            </w:r>
          </w:p>
        </w:tc>
        <w:tc>
          <w:tcPr>
            <w:tcW w:w="7401" w:type="dxa"/>
          </w:tcPr>
          <w:p>
            <w:pPr>
              <w:pStyle w:val="TableParagraph"/>
              <w:spacing w:line="227" w:lineRule="exact"/>
              <w:ind w:left="103" w:right="20"/>
              <w:rPr>
                <w:sz w:val="20"/>
              </w:rPr>
            </w:pPr>
            <w:r>
              <w:rPr>
                <w:sz w:val="20"/>
              </w:rPr>
              <w:t>Suprema Corte de Justicia de la Nación</w:t>
            </w:r>
          </w:p>
        </w:tc>
      </w:tr>
      <w:tr>
        <w:trPr>
          <w:trHeight w:val="240" w:hRule="exact"/>
        </w:trPr>
        <w:tc>
          <w:tcPr>
            <w:tcW w:w="1428" w:type="dxa"/>
          </w:tcPr>
          <w:p>
            <w:pPr>
              <w:pStyle w:val="TableParagraph"/>
              <w:spacing w:line="227" w:lineRule="exact"/>
              <w:ind w:left="103"/>
              <w:rPr>
                <w:sz w:val="20"/>
              </w:rPr>
            </w:pPr>
            <w:r>
              <w:rPr>
                <w:sz w:val="20"/>
              </w:rPr>
              <w:t>SECODAM</w:t>
            </w:r>
          </w:p>
        </w:tc>
        <w:tc>
          <w:tcPr>
            <w:tcW w:w="7401" w:type="dxa"/>
          </w:tcPr>
          <w:p>
            <w:pPr>
              <w:pStyle w:val="TableParagraph"/>
              <w:spacing w:line="227" w:lineRule="exact"/>
              <w:ind w:left="103" w:right="20"/>
              <w:rPr>
                <w:sz w:val="20"/>
              </w:rPr>
            </w:pPr>
            <w:r>
              <w:rPr>
                <w:sz w:val="20"/>
              </w:rPr>
              <w:t>Secretaría de Contraloría y Desarrollo Administrativo</w:t>
            </w:r>
          </w:p>
        </w:tc>
      </w:tr>
      <w:tr>
        <w:trPr>
          <w:trHeight w:val="240" w:hRule="exact"/>
        </w:trPr>
        <w:tc>
          <w:tcPr>
            <w:tcW w:w="1428" w:type="dxa"/>
          </w:tcPr>
          <w:p>
            <w:pPr>
              <w:pStyle w:val="TableParagraph"/>
              <w:spacing w:line="227" w:lineRule="exact"/>
              <w:ind w:left="103"/>
              <w:rPr>
                <w:sz w:val="20"/>
              </w:rPr>
            </w:pPr>
            <w:r>
              <w:rPr>
                <w:sz w:val="20"/>
              </w:rPr>
              <w:t>SFP</w:t>
            </w:r>
          </w:p>
        </w:tc>
        <w:tc>
          <w:tcPr>
            <w:tcW w:w="7401" w:type="dxa"/>
          </w:tcPr>
          <w:p>
            <w:pPr>
              <w:pStyle w:val="TableParagraph"/>
              <w:spacing w:line="227" w:lineRule="exact"/>
              <w:ind w:left="103" w:right="20"/>
              <w:rPr>
                <w:sz w:val="20"/>
              </w:rPr>
            </w:pPr>
            <w:r>
              <w:rPr>
                <w:sz w:val="20"/>
              </w:rPr>
              <w:t>Secretaría de la Función Pública</w:t>
            </w:r>
          </w:p>
        </w:tc>
      </w:tr>
    </w:tbl>
    <w:p>
      <w:pPr>
        <w:spacing w:after="0" w:line="227" w:lineRule="exact"/>
        <w:rPr>
          <w:sz w:val="20"/>
        </w:rPr>
        <w:sectPr>
          <w:footerReference w:type="default" r:id="rId19"/>
          <w:footerReference w:type="even" r:id="rId20"/>
          <w:pgSz w:w="12240" w:h="15840"/>
          <w:pgMar w:footer="1003" w:header="0" w:top="1360" w:bottom="1200" w:left="1600" w:right="1580"/>
        </w:sectPr>
      </w:pPr>
    </w:p>
    <w:p>
      <w:pPr>
        <w:spacing w:before="54"/>
        <w:ind w:left="102" w:right="0" w:firstLine="0"/>
        <w:jc w:val="left"/>
        <w:rPr>
          <w:b/>
          <w:sz w:val="24"/>
        </w:rPr>
      </w:pPr>
      <w:r>
        <w:rPr>
          <w:b/>
          <w:sz w:val="24"/>
        </w:rPr>
        <w:t>Siglas y acrónimos</w:t>
      </w:r>
    </w:p>
    <w:p>
      <w:pPr>
        <w:pStyle w:val="BodyText"/>
        <w:rPr>
          <w:b/>
          <w:sz w:val="20"/>
        </w:rPr>
      </w:pPr>
    </w:p>
    <w:p>
      <w:pPr>
        <w:pStyle w:val="BodyText"/>
        <w:rPr>
          <w:b/>
          <w:sz w:val="20"/>
        </w:rPr>
      </w:pPr>
    </w:p>
    <w:p>
      <w:pPr>
        <w:pStyle w:val="BodyText"/>
        <w:rPr>
          <w:b/>
          <w:sz w:val="20"/>
        </w:rPr>
      </w:pPr>
    </w:p>
    <w:p>
      <w:pPr>
        <w:pStyle w:val="BodyText"/>
        <w:spacing w:before="6"/>
        <w:rPr>
          <w:b/>
          <w:sz w:val="15"/>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1"/>
        <w:gridCol w:w="7408"/>
      </w:tblGrid>
      <w:tr>
        <w:trPr>
          <w:trHeight w:val="468" w:hRule="exact"/>
        </w:trPr>
        <w:tc>
          <w:tcPr>
            <w:tcW w:w="1421" w:type="dxa"/>
          </w:tcPr>
          <w:p>
            <w:pPr>
              <w:pStyle w:val="TableParagraph"/>
              <w:ind w:left="199" w:firstLine="129"/>
              <w:rPr>
                <w:b/>
                <w:sz w:val="20"/>
              </w:rPr>
            </w:pPr>
            <w:r>
              <w:rPr>
                <w:b/>
                <w:sz w:val="20"/>
              </w:rPr>
              <w:t>Siglas y </w:t>
            </w:r>
            <w:r>
              <w:rPr>
                <w:b/>
                <w:w w:val="95"/>
                <w:sz w:val="20"/>
              </w:rPr>
              <w:t>acrónimos</w:t>
            </w:r>
          </w:p>
        </w:tc>
        <w:tc>
          <w:tcPr>
            <w:tcW w:w="7408" w:type="dxa"/>
          </w:tcPr>
          <w:p>
            <w:pPr>
              <w:pStyle w:val="TableParagraph"/>
              <w:spacing w:before="110"/>
              <w:ind w:left="2877" w:right="2880"/>
              <w:jc w:val="center"/>
              <w:rPr>
                <w:b/>
                <w:sz w:val="20"/>
              </w:rPr>
            </w:pPr>
            <w:r>
              <w:rPr>
                <w:b/>
                <w:sz w:val="20"/>
              </w:rPr>
              <w:t>Denominaciones</w:t>
            </w:r>
          </w:p>
        </w:tc>
      </w:tr>
      <w:tr>
        <w:trPr>
          <w:trHeight w:val="240" w:hRule="exact"/>
        </w:trPr>
        <w:tc>
          <w:tcPr>
            <w:tcW w:w="1421" w:type="dxa"/>
          </w:tcPr>
          <w:p>
            <w:pPr>
              <w:pStyle w:val="TableParagraph"/>
              <w:spacing w:line="230" w:lineRule="exact"/>
              <w:ind w:left="103"/>
              <w:rPr>
                <w:sz w:val="20"/>
              </w:rPr>
            </w:pPr>
            <w:r>
              <w:rPr>
                <w:sz w:val="20"/>
              </w:rPr>
              <w:t>SPC</w:t>
            </w:r>
          </w:p>
        </w:tc>
        <w:tc>
          <w:tcPr>
            <w:tcW w:w="7408" w:type="dxa"/>
          </w:tcPr>
          <w:p>
            <w:pPr>
              <w:pStyle w:val="TableParagraph"/>
              <w:spacing w:line="230" w:lineRule="exact"/>
              <w:ind w:left="103"/>
              <w:rPr>
                <w:sz w:val="20"/>
              </w:rPr>
            </w:pPr>
            <w:r>
              <w:rPr>
                <w:sz w:val="20"/>
              </w:rPr>
              <w:t>Servicio Profesional de Carrera</w:t>
            </w:r>
          </w:p>
        </w:tc>
      </w:tr>
      <w:tr>
        <w:trPr>
          <w:trHeight w:val="240" w:hRule="exact"/>
        </w:trPr>
        <w:tc>
          <w:tcPr>
            <w:tcW w:w="1421" w:type="dxa"/>
          </w:tcPr>
          <w:p>
            <w:pPr>
              <w:pStyle w:val="TableParagraph"/>
              <w:spacing w:line="230" w:lineRule="exact"/>
              <w:ind w:left="103"/>
              <w:rPr>
                <w:sz w:val="20"/>
              </w:rPr>
            </w:pPr>
            <w:r>
              <w:rPr>
                <w:sz w:val="20"/>
              </w:rPr>
              <w:t>SED</w:t>
            </w:r>
          </w:p>
        </w:tc>
        <w:tc>
          <w:tcPr>
            <w:tcW w:w="7408" w:type="dxa"/>
          </w:tcPr>
          <w:p>
            <w:pPr>
              <w:pStyle w:val="TableParagraph"/>
              <w:spacing w:line="230" w:lineRule="exact"/>
              <w:ind w:left="103"/>
              <w:rPr>
                <w:sz w:val="20"/>
              </w:rPr>
            </w:pPr>
            <w:r>
              <w:rPr>
                <w:sz w:val="20"/>
              </w:rPr>
              <w:t>Sistema de Evaluación del Desempeño</w:t>
            </w:r>
          </w:p>
        </w:tc>
      </w:tr>
      <w:tr>
        <w:trPr>
          <w:trHeight w:val="240" w:hRule="exact"/>
        </w:trPr>
        <w:tc>
          <w:tcPr>
            <w:tcW w:w="1421" w:type="dxa"/>
          </w:tcPr>
          <w:p>
            <w:pPr>
              <w:pStyle w:val="TableParagraph"/>
              <w:spacing w:line="230" w:lineRule="exact"/>
              <w:ind w:left="103"/>
              <w:rPr>
                <w:sz w:val="20"/>
              </w:rPr>
            </w:pPr>
            <w:r>
              <w:rPr>
                <w:sz w:val="20"/>
              </w:rPr>
              <w:t>SHCP</w:t>
            </w:r>
          </w:p>
        </w:tc>
        <w:tc>
          <w:tcPr>
            <w:tcW w:w="7408" w:type="dxa"/>
          </w:tcPr>
          <w:p>
            <w:pPr>
              <w:pStyle w:val="TableParagraph"/>
              <w:spacing w:line="230" w:lineRule="exact"/>
              <w:ind w:left="103"/>
              <w:rPr>
                <w:sz w:val="20"/>
              </w:rPr>
            </w:pPr>
            <w:r>
              <w:rPr>
                <w:sz w:val="20"/>
              </w:rPr>
              <w:t>Secretaría de Hacienda y Crédito Público</w:t>
            </w:r>
          </w:p>
        </w:tc>
      </w:tr>
      <w:tr>
        <w:trPr>
          <w:trHeight w:val="240" w:hRule="exact"/>
        </w:trPr>
        <w:tc>
          <w:tcPr>
            <w:tcW w:w="1421" w:type="dxa"/>
          </w:tcPr>
          <w:p>
            <w:pPr>
              <w:pStyle w:val="TableParagraph"/>
              <w:spacing w:line="230" w:lineRule="exact"/>
              <w:ind w:left="103"/>
              <w:rPr>
                <w:sz w:val="20"/>
              </w:rPr>
            </w:pPr>
            <w:r>
              <w:rPr>
                <w:sz w:val="20"/>
              </w:rPr>
              <w:t>SNF</w:t>
            </w:r>
          </w:p>
        </w:tc>
        <w:tc>
          <w:tcPr>
            <w:tcW w:w="7408" w:type="dxa"/>
          </w:tcPr>
          <w:p>
            <w:pPr>
              <w:pStyle w:val="TableParagraph"/>
              <w:spacing w:line="230" w:lineRule="exact"/>
              <w:ind w:left="103"/>
              <w:rPr>
                <w:sz w:val="20"/>
              </w:rPr>
            </w:pPr>
            <w:r>
              <w:rPr>
                <w:sz w:val="20"/>
              </w:rPr>
              <w:t>Sistema Nacional de Fiscalización</w:t>
            </w:r>
          </w:p>
        </w:tc>
      </w:tr>
      <w:tr>
        <w:trPr>
          <w:trHeight w:val="240" w:hRule="exact"/>
        </w:trPr>
        <w:tc>
          <w:tcPr>
            <w:tcW w:w="1421" w:type="dxa"/>
          </w:tcPr>
          <w:p>
            <w:pPr>
              <w:pStyle w:val="TableParagraph"/>
              <w:spacing w:line="230" w:lineRule="exact"/>
              <w:ind w:left="103"/>
              <w:rPr>
                <w:sz w:val="20"/>
              </w:rPr>
            </w:pPr>
            <w:r>
              <w:rPr>
                <w:sz w:val="20"/>
              </w:rPr>
              <w:t>UE</w:t>
            </w:r>
          </w:p>
        </w:tc>
        <w:tc>
          <w:tcPr>
            <w:tcW w:w="7408" w:type="dxa"/>
          </w:tcPr>
          <w:p>
            <w:pPr>
              <w:pStyle w:val="TableParagraph"/>
              <w:spacing w:line="230" w:lineRule="exact"/>
              <w:ind w:left="103"/>
              <w:rPr>
                <w:sz w:val="20"/>
              </w:rPr>
            </w:pPr>
            <w:r>
              <w:rPr>
                <w:sz w:val="20"/>
              </w:rPr>
              <w:t>Unión Europea</w:t>
            </w:r>
          </w:p>
        </w:tc>
      </w:tr>
      <w:tr>
        <w:trPr>
          <w:trHeight w:val="242" w:hRule="exact"/>
        </w:trPr>
        <w:tc>
          <w:tcPr>
            <w:tcW w:w="1421" w:type="dxa"/>
          </w:tcPr>
          <w:p>
            <w:pPr>
              <w:pStyle w:val="TableParagraph"/>
              <w:spacing w:line="230" w:lineRule="exact"/>
              <w:ind w:left="103"/>
              <w:rPr>
                <w:sz w:val="20"/>
              </w:rPr>
            </w:pPr>
            <w:r>
              <w:rPr>
                <w:sz w:val="20"/>
              </w:rPr>
              <w:t>UEC</w:t>
            </w:r>
          </w:p>
        </w:tc>
        <w:tc>
          <w:tcPr>
            <w:tcW w:w="7408" w:type="dxa"/>
          </w:tcPr>
          <w:p>
            <w:pPr>
              <w:pStyle w:val="TableParagraph"/>
              <w:spacing w:line="230" w:lineRule="exact"/>
              <w:ind w:left="103"/>
              <w:rPr>
                <w:sz w:val="20"/>
              </w:rPr>
            </w:pPr>
            <w:r>
              <w:rPr>
                <w:sz w:val="20"/>
              </w:rPr>
              <w:t>Unidad de Evaluación y Control</w:t>
            </w:r>
          </w:p>
        </w:tc>
      </w:tr>
    </w:tbl>
    <w:p>
      <w:pPr>
        <w:spacing w:after="0" w:line="230" w:lineRule="exact"/>
        <w:rPr>
          <w:sz w:val="20"/>
        </w:rPr>
        <w:sectPr>
          <w:pgSz w:w="12240" w:h="15840"/>
          <w:pgMar w:header="0" w:footer="1003" w:top="1360" w:bottom="1200" w:left="1600" w:right="1580"/>
        </w:sectPr>
      </w:pPr>
    </w:p>
    <w:p>
      <w:pPr>
        <w:pStyle w:val="Heading1"/>
        <w:spacing w:before="52"/>
        <w:ind w:right="99"/>
      </w:pPr>
      <w:bookmarkStart w:name="_bookmark0" w:id="1"/>
      <w:bookmarkEnd w:id="1"/>
      <w:r>
        <w:rPr>
          <w:b w:val="0"/>
        </w:rPr>
      </w:r>
      <w:r>
        <w:rPr/>
        <w:t>INTRODUCCIÓN</w:t>
      </w:r>
    </w:p>
    <w:p>
      <w:pPr>
        <w:pStyle w:val="BodyText"/>
        <w:rPr>
          <w:b/>
          <w:sz w:val="28"/>
        </w:rPr>
      </w:pPr>
    </w:p>
    <w:p>
      <w:pPr>
        <w:pStyle w:val="BodyText"/>
        <w:rPr>
          <w:b/>
          <w:sz w:val="28"/>
        </w:rPr>
      </w:pPr>
    </w:p>
    <w:p>
      <w:pPr>
        <w:pStyle w:val="BodyText"/>
        <w:spacing w:before="5"/>
        <w:rPr>
          <w:b/>
        </w:rPr>
      </w:pPr>
    </w:p>
    <w:p>
      <w:pPr>
        <w:pStyle w:val="BodyText"/>
        <w:spacing w:line="360" w:lineRule="auto"/>
        <w:ind w:left="102" w:right="115"/>
        <w:jc w:val="both"/>
      </w:pPr>
      <w:r>
        <w:rPr/>
        <w:t>El enfoque de la elección racional (</w:t>
      </w:r>
      <w:r>
        <w:rPr>
          <w:i/>
        </w:rPr>
        <w:t>Rational choice</w:t>
      </w:r>
      <w:r>
        <w:rPr/>
        <w:t>) de la ciencia política considera que</w:t>
      </w:r>
      <w:r>
        <w:rPr>
          <w:spacing w:val="-9"/>
        </w:rPr>
        <w:t> </w:t>
      </w:r>
      <w:r>
        <w:rPr/>
        <w:t>el</w:t>
      </w:r>
      <w:r>
        <w:rPr>
          <w:spacing w:val="-11"/>
        </w:rPr>
        <w:t> </w:t>
      </w:r>
      <w:r>
        <w:rPr/>
        <w:t>máximo</w:t>
      </w:r>
      <w:r>
        <w:rPr>
          <w:spacing w:val="-12"/>
        </w:rPr>
        <w:t> </w:t>
      </w:r>
      <w:r>
        <w:rPr/>
        <w:t>beneficio</w:t>
      </w:r>
      <w:r>
        <w:rPr>
          <w:spacing w:val="-9"/>
        </w:rPr>
        <w:t> </w:t>
      </w:r>
      <w:r>
        <w:rPr/>
        <w:t>social</w:t>
      </w:r>
      <w:r>
        <w:rPr>
          <w:spacing w:val="-10"/>
        </w:rPr>
        <w:t> </w:t>
      </w:r>
      <w:r>
        <w:rPr/>
        <w:t>sólo</w:t>
      </w:r>
      <w:r>
        <w:rPr>
          <w:spacing w:val="-12"/>
        </w:rPr>
        <w:t> </w:t>
      </w:r>
      <w:r>
        <w:rPr/>
        <w:t>puede</w:t>
      </w:r>
      <w:r>
        <w:rPr>
          <w:spacing w:val="-9"/>
        </w:rPr>
        <w:t> </w:t>
      </w:r>
      <w:r>
        <w:rPr/>
        <w:t>lograrse</w:t>
      </w:r>
      <w:r>
        <w:rPr>
          <w:spacing w:val="-10"/>
        </w:rPr>
        <w:t> </w:t>
      </w:r>
      <w:r>
        <w:rPr/>
        <w:t>mediante</w:t>
      </w:r>
      <w:r>
        <w:rPr>
          <w:spacing w:val="-3"/>
        </w:rPr>
        <w:t> </w:t>
      </w:r>
      <w:r>
        <w:rPr/>
        <w:t>la</w:t>
      </w:r>
      <w:r>
        <w:rPr>
          <w:spacing w:val="-10"/>
        </w:rPr>
        <w:t> </w:t>
      </w:r>
      <w:r>
        <w:rPr/>
        <w:t>correcta</w:t>
      </w:r>
      <w:r>
        <w:rPr>
          <w:spacing w:val="-9"/>
        </w:rPr>
        <w:t> </w:t>
      </w:r>
      <w:r>
        <w:rPr/>
        <w:t>interacción Estado-sociedad, la ciencia económica menciona que el máximo beneficio debe realizarse al menor costo. Tal enlace debe garantizarse mediante las instituciones políticas del Estado, en este sentido un proceso de legitimación del Estado es la rendición de cuentas, es decir se requiere que el ciudadano confíe en el gobierno. Para ello, es necesario que el Estado disminuya los niveles de corrupción y que </w:t>
      </w:r>
      <w:r>
        <w:rPr>
          <w:spacing w:val="5"/>
        </w:rPr>
        <w:t> </w:t>
      </w:r>
      <w:r>
        <w:rPr/>
        <w:t>el</w:t>
      </w:r>
    </w:p>
    <w:p>
      <w:pPr>
        <w:pStyle w:val="BodyText"/>
        <w:spacing w:line="360" w:lineRule="auto" w:before="2"/>
        <w:ind w:left="102" w:right="121"/>
        <w:jc w:val="both"/>
      </w:pPr>
      <w:r>
        <w:rPr/>
        <w:t>H.</w:t>
      </w:r>
      <w:r>
        <w:rPr>
          <w:spacing w:val="-9"/>
        </w:rPr>
        <w:t> </w:t>
      </w:r>
      <w:r>
        <w:rPr/>
        <w:t>Congreso</w:t>
      </w:r>
      <w:r>
        <w:rPr>
          <w:spacing w:val="-8"/>
        </w:rPr>
        <w:t> </w:t>
      </w:r>
      <w:r>
        <w:rPr/>
        <w:t>de</w:t>
      </w:r>
      <w:r>
        <w:rPr>
          <w:spacing w:val="-8"/>
        </w:rPr>
        <w:t> </w:t>
      </w:r>
      <w:r>
        <w:rPr/>
        <w:t>la</w:t>
      </w:r>
      <w:r>
        <w:rPr>
          <w:spacing w:val="-9"/>
        </w:rPr>
        <w:t> </w:t>
      </w:r>
      <w:r>
        <w:rPr/>
        <w:t>Unión</w:t>
      </w:r>
      <w:r>
        <w:rPr>
          <w:spacing w:val="-8"/>
        </w:rPr>
        <w:t> </w:t>
      </w:r>
      <w:r>
        <w:rPr/>
        <w:t>sea</w:t>
      </w:r>
      <w:r>
        <w:rPr>
          <w:spacing w:val="-11"/>
        </w:rPr>
        <w:t> </w:t>
      </w:r>
      <w:r>
        <w:rPr/>
        <w:t>un</w:t>
      </w:r>
      <w:r>
        <w:rPr>
          <w:spacing w:val="-8"/>
        </w:rPr>
        <w:t> </w:t>
      </w:r>
      <w:r>
        <w:rPr/>
        <w:t>ejemplo</w:t>
      </w:r>
      <w:r>
        <w:rPr>
          <w:spacing w:val="-8"/>
        </w:rPr>
        <w:t> </w:t>
      </w:r>
      <w:r>
        <w:rPr/>
        <w:t>de</w:t>
      </w:r>
      <w:r>
        <w:rPr>
          <w:spacing w:val="-8"/>
        </w:rPr>
        <w:t> </w:t>
      </w:r>
      <w:r>
        <w:rPr/>
        <w:t>transparencia.</w:t>
      </w:r>
      <w:r>
        <w:rPr>
          <w:spacing w:val="-8"/>
        </w:rPr>
        <w:t> </w:t>
      </w:r>
      <w:r>
        <w:rPr/>
        <w:t>En</w:t>
      </w:r>
      <w:r>
        <w:rPr>
          <w:spacing w:val="-8"/>
        </w:rPr>
        <w:t> </w:t>
      </w:r>
      <w:r>
        <w:rPr/>
        <w:t>la</w:t>
      </w:r>
      <w:r>
        <w:rPr>
          <w:spacing w:val="-9"/>
        </w:rPr>
        <w:t> </w:t>
      </w:r>
      <w:r>
        <w:rPr/>
        <w:t>actualidad</w:t>
      </w:r>
      <w:r>
        <w:rPr>
          <w:spacing w:val="-8"/>
        </w:rPr>
        <w:t> </w:t>
      </w:r>
      <w:r>
        <w:rPr/>
        <w:t>se</w:t>
      </w:r>
      <w:r>
        <w:rPr>
          <w:spacing w:val="-8"/>
        </w:rPr>
        <w:t> </w:t>
      </w:r>
      <w:r>
        <w:rPr/>
        <w:t>sabe que el buen desempeño del Estado coadyuva a lograr su legitimación y al combate a la</w:t>
      </w:r>
      <w:r>
        <w:rPr>
          <w:spacing w:val="-3"/>
        </w:rPr>
        <w:t> </w:t>
      </w:r>
      <w:r>
        <w:rPr/>
        <w:t>corrupción.</w:t>
      </w:r>
    </w:p>
    <w:p>
      <w:pPr>
        <w:pStyle w:val="BodyText"/>
        <w:spacing w:line="360" w:lineRule="auto" w:before="5"/>
        <w:ind w:left="102" w:right="118" w:firstLine="427"/>
        <w:jc w:val="both"/>
      </w:pPr>
      <w:r>
        <w:rPr/>
        <w:t>En general, entendemos por rendición de cuentas la revisión métrica del cumplimiento</w:t>
      </w:r>
      <w:r>
        <w:rPr>
          <w:spacing w:val="-18"/>
        </w:rPr>
        <w:t> </w:t>
      </w:r>
      <w:r>
        <w:rPr/>
        <w:t>de</w:t>
      </w:r>
      <w:r>
        <w:rPr>
          <w:spacing w:val="-18"/>
        </w:rPr>
        <w:t> </w:t>
      </w:r>
      <w:r>
        <w:rPr/>
        <w:t>los</w:t>
      </w:r>
      <w:r>
        <w:rPr>
          <w:spacing w:val="-18"/>
        </w:rPr>
        <w:t> </w:t>
      </w:r>
      <w:r>
        <w:rPr/>
        <w:t>objetivos</w:t>
      </w:r>
      <w:r>
        <w:rPr>
          <w:spacing w:val="-19"/>
        </w:rPr>
        <w:t> </w:t>
      </w:r>
      <w:r>
        <w:rPr/>
        <w:t>de</w:t>
      </w:r>
      <w:r>
        <w:rPr>
          <w:spacing w:val="-15"/>
        </w:rPr>
        <w:t> </w:t>
      </w:r>
      <w:r>
        <w:rPr/>
        <w:t>la</w:t>
      </w:r>
      <w:r>
        <w:rPr>
          <w:spacing w:val="-18"/>
        </w:rPr>
        <w:t> </w:t>
      </w:r>
      <w:r>
        <w:rPr/>
        <w:t>política</w:t>
      </w:r>
      <w:r>
        <w:rPr>
          <w:spacing w:val="-18"/>
        </w:rPr>
        <w:t> </w:t>
      </w:r>
      <w:r>
        <w:rPr/>
        <w:t>pública</w:t>
      </w:r>
      <w:r>
        <w:rPr>
          <w:spacing w:val="-18"/>
        </w:rPr>
        <w:t> </w:t>
      </w:r>
      <w:r>
        <w:rPr/>
        <w:t>por</w:t>
      </w:r>
      <w:r>
        <w:rPr>
          <w:spacing w:val="-19"/>
        </w:rPr>
        <w:t> </w:t>
      </w:r>
      <w:r>
        <w:rPr/>
        <w:t>parte</w:t>
      </w:r>
      <w:r>
        <w:rPr>
          <w:spacing w:val="-21"/>
        </w:rPr>
        <w:t> </w:t>
      </w:r>
      <w:r>
        <w:rPr/>
        <w:t>de</w:t>
      </w:r>
      <w:r>
        <w:rPr>
          <w:spacing w:val="-18"/>
        </w:rPr>
        <w:t> </w:t>
      </w:r>
      <w:r>
        <w:rPr/>
        <w:t>la</w:t>
      </w:r>
      <w:r>
        <w:rPr>
          <w:spacing w:val="-18"/>
        </w:rPr>
        <w:t> </w:t>
      </w:r>
      <w:r>
        <w:rPr/>
        <w:t>sociedad,</w:t>
      </w:r>
      <w:r>
        <w:rPr>
          <w:spacing w:val="-18"/>
        </w:rPr>
        <w:t> </w:t>
      </w:r>
      <w:r>
        <w:rPr/>
        <w:t>es</w:t>
      </w:r>
      <w:r>
        <w:rPr>
          <w:spacing w:val="-19"/>
        </w:rPr>
        <w:t> </w:t>
      </w:r>
      <w:r>
        <w:rPr/>
        <w:t>decir, el desempeño del Estado. Por ende, para legitimar al Estado mediante la rendición de</w:t>
      </w:r>
      <w:r>
        <w:rPr>
          <w:spacing w:val="-14"/>
        </w:rPr>
        <w:t> </w:t>
      </w:r>
      <w:r>
        <w:rPr/>
        <w:t>cuentas,</w:t>
      </w:r>
      <w:r>
        <w:rPr>
          <w:spacing w:val="-14"/>
        </w:rPr>
        <w:t> </w:t>
      </w:r>
      <w:r>
        <w:rPr/>
        <w:t>el</w:t>
      </w:r>
      <w:r>
        <w:rPr>
          <w:spacing w:val="-15"/>
        </w:rPr>
        <w:t> </w:t>
      </w:r>
      <w:r>
        <w:rPr/>
        <w:t>desempeño</w:t>
      </w:r>
      <w:r>
        <w:rPr>
          <w:spacing w:val="-16"/>
        </w:rPr>
        <w:t> </w:t>
      </w:r>
      <w:r>
        <w:rPr/>
        <w:t>de</w:t>
      </w:r>
      <w:r>
        <w:rPr>
          <w:spacing w:val="-14"/>
        </w:rPr>
        <w:t> </w:t>
      </w:r>
      <w:r>
        <w:rPr/>
        <w:t>las</w:t>
      </w:r>
      <w:r>
        <w:rPr>
          <w:spacing w:val="-16"/>
        </w:rPr>
        <w:t> </w:t>
      </w:r>
      <w:r>
        <w:rPr/>
        <w:t>instituciones</w:t>
      </w:r>
      <w:r>
        <w:rPr>
          <w:spacing w:val="-15"/>
        </w:rPr>
        <w:t> </w:t>
      </w:r>
      <w:r>
        <w:rPr/>
        <w:t>públicas</w:t>
      </w:r>
      <w:r>
        <w:rPr>
          <w:spacing w:val="-13"/>
        </w:rPr>
        <w:t> </w:t>
      </w:r>
      <w:r>
        <w:rPr/>
        <w:t>de</w:t>
      </w:r>
      <w:r>
        <w:rPr>
          <w:spacing w:val="-14"/>
        </w:rPr>
        <w:t> </w:t>
      </w:r>
      <w:r>
        <w:rPr/>
        <w:t>la</w:t>
      </w:r>
      <w:r>
        <w:rPr>
          <w:spacing w:val="-16"/>
        </w:rPr>
        <w:t> </w:t>
      </w:r>
      <w:r>
        <w:rPr/>
        <w:t>revisión</w:t>
      </w:r>
      <w:r>
        <w:rPr>
          <w:spacing w:val="-14"/>
        </w:rPr>
        <w:t> </w:t>
      </w:r>
      <w:r>
        <w:rPr/>
        <w:t>de</w:t>
      </w:r>
      <w:r>
        <w:rPr>
          <w:spacing w:val="-14"/>
        </w:rPr>
        <w:t> </w:t>
      </w:r>
      <w:r>
        <w:rPr/>
        <w:t>las</w:t>
      </w:r>
      <w:r>
        <w:rPr>
          <w:spacing w:val="-15"/>
        </w:rPr>
        <w:t> </w:t>
      </w:r>
      <w:r>
        <w:rPr/>
        <w:t>políticas públicas mediante la rendición de cuentas, deben orientarse a revisar el correcto uso de los recursos</w:t>
      </w:r>
      <w:r>
        <w:rPr>
          <w:spacing w:val="-8"/>
        </w:rPr>
        <w:t> </w:t>
      </w:r>
      <w:r>
        <w:rPr/>
        <w:t>públicos.</w:t>
      </w:r>
    </w:p>
    <w:p>
      <w:pPr>
        <w:pStyle w:val="BodyText"/>
        <w:spacing w:line="360" w:lineRule="auto" w:before="5"/>
        <w:ind w:left="102" w:right="115" w:firstLine="427"/>
        <w:jc w:val="both"/>
      </w:pPr>
      <w:r>
        <w:rPr/>
        <w:t>Desafortunadamente en México, la cultura política ha engendrado problemas que impiden una rendición de cuentas eficiente. Aunque se observan avances importantes en la materia, sobre todo a fines del Siglo XX y en este siglo, los resultados</w:t>
      </w:r>
      <w:r>
        <w:rPr>
          <w:spacing w:val="-8"/>
        </w:rPr>
        <w:t> </w:t>
      </w:r>
      <w:r>
        <w:rPr/>
        <w:t>indican</w:t>
      </w:r>
      <w:r>
        <w:rPr>
          <w:spacing w:val="-9"/>
        </w:rPr>
        <w:t> </w:t>
      </w:r>
      <w:r>
        <w:rPr/>
        <w:t>aún</w:t>
      </w:r>
      <w:r>
        <w:rPr>
          <w:spacing w:val="-9"/>
        </w:rPr>
        <w:t> </w:t>
      </w:r>
      <w:r>
        <w:rPr/>
        <w:t>una</w:t>
      </w:r>
      <w:r>
        <w:rPr>
          <w:spacing w:val="-7"/>
        </w:rPr>
        <w:t> </w:t>
      </w:r>
      <w:r>
        <w:rPr/>
        <w:t>rendición</w:t>
      </w:r>
      <w:r>
        <w:rPr>
          <w:spacing w:val="-7"/>
        </w:rPr>
        <w:t> </w:t>
      </w:r>
      <w:r>
        <w:rPr/>
        <w:t>de</w:t>
      </w:r>
      <w:r>
        <w:rPr>
          <w:spacing w:val="-7"/>
        </w:rPr>
        <w:t> </w:t>
      </w:r>
      <w:r>
        <w:rPr/>
        <w:t>cuentas</w:t>
      </w:r>
      <w:r>
        <w:rPr>
          <w:spacing w:val="-8"/>
        </w:rPr>
        <w:t> </w:t>
      </w:r>
      <w:r>
        <w:rPr/>
        <w:t>laxa,</w:t>
      </w:r>
      <w:r>
        <w:rPr>
          <w:spacing w:val="-7"/>
        </w:rPr>
        <w:t> </w:t>
      </w:r>
      <w:r>
        <w:rPr/>
        <w:t>una</w:t>
      </w:r>
      <w:r>
        <w:rPr>
          <w:spacing w:val="-9"/>
        </w:rPr>
        <w:t> </w:t>
      </w:r>
      <w:r>
        <w:rPr/>
        <w:t>débil</w:t>
      </w:r>
      <w:r>
        <w:rPr>
          <w:spacing w:val="-11"/>
        </w:rPr>
        <w:t> </w:t>
      </w:r>
      <w:r>
        <w:rPr/>
        <w:t>división</w:t>
      </w:r>
      <w:r>
        <w:rPr>
          <w:spacing w:val="-7"/>
        </w:rPr>
        <w:t> </w:t>
      </w:r>
      <w:r>
        <w:rPr/>
        <w:t>de</w:t>
      </w:r>
      <w:r>
        <w:rPr>
          <w:spacing w:val="-9"/>
        </w:rPr>
        <w:t> </w:t>
      </w:r>
      <w:r>
        <w:rPr/>
        <w:t>poderes y una elevada</w:t>
      </w:r>
      <w:r>
        <w:rPr>
          <w:spacing w:val="-11"/>
        </w:rPr>
        <w:t> </w:t>
      </w:r>
      <w:r>
        <w:rPr/>
        <w:t>corrupción.</w:t>
      </w:r>
    </w:p>
    <w:p>
      <w:pPr>
        <w:pStyle w:val="BodyText"/>
        <w:spacing w:line="360" w:lineRule="auto" w:before="2"/>
        <w:ind w:left="102" w:right="118" w:firstLine="427"/>
        <w:jc w:val="both"/>
      </w:pPr>
      <w:r>
        <w:rPr/>
        <w:t>Uno de los problemas centrales que le impide a México avanzar hacia una legitimación del Estado es la corrupción, la cual disminuye la confianza de los ciudadanos en las instituciones del Estado. El Centro de Investigación y Docencia Económicas,</w:t>
      </w:r>
      <w:r>
        <w:rPr>
          <w:spacing w:val="-7"/>
        </w:rPr>
        <w:t> </w:t>
      </w:r>
      <w:r>
        <w:rPr/>
        <w:t>A.C.,</w:t>
      </w:r>
      <w:r>
        <w:rPr>
          <w:spacing w:val="-5"/>
        </w:rPr>
        <w:t> </w:t>
      </w:r>
      <w:r>
        <w:rPr/>
        <w:t>(CIDE)</w:t>
      </w:r>
      <w:r>
        <w:rPr>
          <w:spacing w:val="-6"/>
        </w:rPr>
        <w:t> </w:t>
      </w:r>
      <w:r>
        <w:rPr/>
        <w:t>afirma</w:t>
      </w:r>
      <w:r>
        <w:rPr>
          <w:spacing w:val="-7"/>
        </w:rPr>
        <w:t> </w:t>
      </w:r>
      <w:r>
        <w:rPr/>
        <w:t>que</w:t>
      </w:r>
      <w:r>
        <w:rPr>
          <w:spacing w:val="-5"/>
        </w:rPr>
        <w:t> </w:t>
      </w:r>
      <w:r>
        <w:rPr/>
        <w:t>el</w:t>
      </w:r>
      <w:r>
        <w:rPr>
          <w:spacing w:val="-8"/>
        </w:rPr>
        <w:t> </w:t>
      </w:r>
      <w:r>
        <w:rPr/>
        <w:t>principal</w:t>
      </w:r>
      <w:r>
        <w:rPr>
          <w:spacing w:val="-6"/>
        </w:rPr>
        <w:t> </w:t>
      </w:r>
      <w:r>
        <w:rPr/>
        <w:t>antídoto</w:t>
      </w:r>
      <w:r>
        <w:rPr>
          <w:spacing w:val="-6"/>
        </w:rPr>
        <w:t> </w:t>
      </w:r>
      <w:r>
        <w:rPr/>
        <w:t>contra</w:t>
      </w:r>
      <w:r>
        <w:rPr>
          <w:spacing w:val="-5"/>
        </w:rPr>
        <w:t> </w:t>
      </w:r>
      <w:r>
        <w:rPr/>
        <w:t>la</w:t>
      </w:r>
      <w:r>
        <w:rPr>
          <w:spacing w:val="-7"/>
        </w:rPr>
        <w:t> </w:t>
      </w:r>
      <w:r>
        <w:rPr/>
        <w:t>corrupción</w:t>
      </w:r>
      <w:r>
        <w:rPr>
          <w:spacing w:val="-7"/>
        </w:rPr>
        <w:t> </w:t>
      </w:r>
      <w:r>
        <w:rPr/>
        <w:t>es</w:t>
      </w:r>
      <w:r>
        <w:rPr>
          <w:spacing w:val="-5"/>
        </w:rPr>
        <w:t> </w:t>
      </w:r>
      <w:r>
        <w:rPr/>
        <w:t>la rendición de cuentas, instrumento de política que busca que </w:t>
      </w:r>
      <w:r>
        <w:rPr>
          <w:spacing w:val="3"/>
        </w:rPr>
        <w:t>la </w:t>
      </w:r>
      <w:r>
        <w:rPr/>
        <w:t>población tenga la seguridad de que las instituciones del Estado realizan correctamente su administración</w:t>
      </w:r>
      <w:r>
        <w:rPr>
          <w:spacing w:val="-8"/>
        </w:rPr>
        <w:t> </w:t>
      </w:r>
      <w:r>
        <w:rPr/>
        <w:t>pública.</w:t>
      </w:r>
    </w:p>
    <w:p>
      <w:pPr>
        <w:spacing w:after="0" w:line="360" w:lineRule="auto"/>
        <w:jc w:val="both"/>
        <w:sectPr>
          <w:footerReference w:type="default" r:id="rId23"/>
          <w:footerReference w:type="even" r:id="rId24"/>
          <w:pgSz w:w="12240" w:h="15840"/>
          <w:pgMar w:footer="1003" w:header="0" w:top="1440" w:bottom="1200" w:left="1600" w:right="1580"/>
          <w:pgNumType w:start="1"/>
        </w:sectPr>
      </w:pPr>
    </w:p>
    <w:p>
      <w:pPr>
        <w:pStyle w:val="BodyText"/>
        <w:spacing w:line="360" w:lineRule="auto" w:before="54"/>
        <w:ind w:left="102" w:right="117" w:firstLine="427"/>
        <w:jc w:val="both"/>
      </w:pPr>
      <w:r>
        <w:rPr/>
        <w:t>Desde 1824, con la creación de la Contaduría Mayor de Hacienda (CMH), el país ha contado con una institución de control, que es denominada actualmente Auditoría</w:t>
      </w:r>
      <w:r>
        <w:rPr>
          <w:spacing w:val="-14"/>
        </w:rPr>
        <w:t> </w:t>
      </w:r>
      <w:r>
        <w:rPr/>
        <w:t>Superior</w:t>
      </w:r>
      <w:r>
        <w:rPr>
          <w:spacing w:val="-16"/>
        </w:rPr>
        <w:t> </w:t>
      </w:r>
      <w:r>
        <w:rPr/>
        <w:t>de</w:t>
      </w:r>
      <w:r>
        <w:rPr>
          <w:spacing w:val="-14"/>
        </w:rPr>
        <w:t> </w:t>
      </w:r>
      <w:r>
        <w:rPr/>
        <w:t>la</w:t>
      </w:r>
      <w:r>
        <w:rPr>
          <w:spacing w:val="-11"/>
        </w:rPr>
        <w:t> </w:t>
      </w:r>
      <w:r>
        <w:rPr/>
        <w:t>Federación</w:t>
      </w:r>
      <w:r>
        <w:rPr>
          <w:spacing w:val="-14"/>
        </w:rPr>
        <w:t> </w:t>
      </w:r>
      <w:r>
        <w:rPr/>
        <w:t>(ASF);</w:t>
      </w:r>
      <w:r>
        <w:rPr>
          <w:spacing w:val="-14"/>
        </w:rPr>
        <w:t> </w:t>
      </w:r>
      <w:r>
        <w:rPr/>
        <w:t>aún</w:t>
      </w:r>
      <w:r>
        <w:rPr>
          <w:spacing w:val="-14"/>
        </w:rPr>
        <w:t> </w:t>
      </w:r>
      <w:r>
        <w:rPr/>
        <w:t>con</w:t>
      </w:r>
      <w:r>
        <w:rPr>
          <w:spacing w:val="-14"/>
        </w:rPr>
        <w:t> </w:t>
      </w:r>
      <w:r>
        <w:rPr/>
        <w:t>ello,</w:t>
      </w:r>
      <w:r>
        <w:rPr>
          <w:spacing w:val="-14"/>
        </w:rPr>
        <w:t> </w:t>
      </w:r>
      <w:r>
        <w:rPr/>
        <w:t>las</w:t>
      </w:r>
      <w:r>
        <w:rPr>
          <w:spacing w:val="-17"/>
        </w:rPr>
        <w:t> </w:t>
      </w:r>
      <w:r>
        <w:rPr/>
        <w:t>estadísticas</w:t>
      </w:r>
      <w:r>
        <w:rPr>
          <w:spacing w:val="-15"/>
        </w:rPr>
        <w:t> </w:t>
      </w:r>
      <w:r>
        <w:rPr/>
        <w:t>indican</w:t>
      </w:r>
      <w:r>
        <w:rPr>
          <w:spacing w:val="-14"/>
        </w:rPr>
        <w:t> </w:t>
      </w:r>
      <w:r>
        <w:rPr/>
        <w:t>que en México existe un problema muy importante de la efectividad de la rendición de cuentas para combatir la corrupción y legitimar el Estado</w:t>
      </w:r>
      <w:r>
        <w:rPr>
          <w:spacing w:val="-21"/>
        </w:rPr>
        <w:t> </w:t>
      </w:r>
      <w:r>
        <w:rPr/>
        <w:t>mexicano.</w:t>
      </w:r>
    </w:p>
    <w:p>
      <w:pPr>
        <w:pStyle w:val="BodyText"/>
        <w:spacing w:line="360" w:lineRule="auto" w:before="5"/>
        <w:ind w:left="102" w:right="116" w:firstLine="427"/>
        <w:jc w:val="both"/>
      </w:pPr>
      <w:r>
        <w:rPr/>
        <w:t>La institución de fiscalización de la cuenta pública de nuestro país (perteneciente al Poder Legislativo) sólo está facultada para recomendar, y en algunos casos promover sanciones y resarcimientos, pero la rendición de cuentas implica mucho más que la actuación de una institución, implica la articulación de una red donde intervienen reglas, poderes, instituciones y la participación de la sociedad.</w:t>
      </w:r>
    </w:p>
    <w:p>
      <w:pPr>
        <w:pStyle w:val="BodyText"/>
        <w:spacing w:line="360" w:lineRule="auto" w:before="5"/>
        <w:ind w:left="102" w:right="115" w:firstLine="427"/>
        <w:jc w:val="both"/>
      </w:pPr>
      <w:r>
        <w:rPr/>
        <w:t>Ciertamente la corrupción es un problema cultural nacional e internacional; los países más avanzados (aquellos que cuentan con mayores índices de desarrollo humano) son los que presentan una corrupción más sofisticada, pero al parecer también</w:t>
      </w:r>
      <w:r>
        <w:rPr>
          <w:spacing w:val="-13"/>
        </w:rPr>
        <w:t> </w:t>
      </w:r>
      <w:r>
        <w:rPr/>
        <w:t>presentan</w:t>
      </w:r>
      <w:r>
        <w:rPr>
          <w:spacing w:val="-11"/>
        </w:rPr>
        <w:t> </w:t>
      </w:r>
      <w:r>
        <w:rPr/>
        <w:t>los</w:t>
      </w:r>
      <w:r>
        <w:rPr>
          <w:spacing w:val="-14"/>
        </w:rPr>
        <w:t> </w:t>
      </w:r>
      <w:r>
        <w:rPr/>
        <w:t>menores</w:t>
      </w:r>
      <w:r>
        <w:rPr>
          <w:spacing w:val="-12"/>
        </w:rPr>
        <w:t> </w:t>
      </w:r>
      <w:r>
        <w:rPr/>
        <w:t>impactos</w:t>
      </w:r>
      <w:r>
        <w:rPr>
          <w:spacing w:val="-13"/>
        </w:rPr>
        <w:t> </w:t>
      </w:r>
      <w:r>
        <w:rPr/>
        <w:t>sociales</w:t>
      </w:r>
      <w:r>
        <w:rPr>
          <w:spacing w:val="-9"/>
        </w:rPr>
        <w:t> </w:t>
      </w:r>
      <w:r>
        <w:rPr/>
        <w:t>derivados</w:t>
      </w:r>
      <w:r>
        <w:rPr>
          <w:spacing w:val="-13"/>
        </w:rPr>
        <w:t> </w:t>
      </w:r>
      <w:r>
        <w:rPr/>
        <w:t>de</w:t>
      </w:r>
      <w:r>
        <w:rPr>
          <w:spacing w:val="-10"/>
        </w:rPr>
        <w:t> </w:t>
      </w:r>
      <w:r>
        <w:rPr/>
        <w:t>ella.</w:t>
      </w:r>
      <w:r>
        <w:rPr>
          <w:spacing w:val="-14"/>
        </w:rPr>
        <w:t> </w:t>
      </w:r>
      <w:r>
        <w:rPr/>
        <w:t>En</w:t>
      </w:r>
      <w:r>
        <w:rPr>
          <w:spacing w:val="-12"/>
        </w:rPr>
        <w:t> </w:t>
      </w:r>
      <w:r>
        <w:rPr/>
        <w:t>México,</w:t>
      </w:r>
      <w:r>
        <w:rPr>
          <w:spacing w:val="-12"/>
        </w:rPr>
        <w:t> </w:t>
      </w:r>
      <w:r>
        <w:rPr/>
        <w:t>por ser un país emergente y contar con una sofisticada y creciente corrupción, este problema</w:t>
      </w:r>
      <w:r>
        <w:rPr>
          <w:spacing w:val="-11"/>
        </w:rPr>
        <w:t> </w:t>
      </w:r>
      <w:r>
        <w:rPr/>
        <w:t>tiene</w:t>
      </w:r>
      <w:r>
        <w:rPr>
          <w:spacing w:val="-11"/>
        </w:rPr>
        <w:t> </w:t>
      </w:r>
      <w:r>
        <w:rPr/>
        <w:t>un</w:t>
      </w:r>
      <w:r>
        <w:rPr>
          <w:spacing w:val="-11"/>
        </w:rPr>
        <w:t> </w:t>
      </w:r>
      <w:r>
        <w:rPr/>
        <w:t>mayor</w:t>
      </w:r>
      <w:r>
        <w:rPr>
          <w:spacing w:val="-12"/>
        </w:rPr>
        <w:t> </w:t>
      </w:r>
      <w:r>
        <w:rPr/>
        <w:t>impacto</w:t>
      </w:r>
      <w:r>
        <w:rPr>
          <w:spacing w:val="-11"/>
        </w:rPr>
        <w:t> </w:t>
      </w:r>
      <w:r>
        <w:rPr/>
        <w:t>social,</w:t>
      </w:r>
      <w:r>
        <w:rPr>
          <w:spacing w:val="-7"/>
        </w:rPr>
        <w:t> </w:t>
      </w:r>
      <w:r>
        <w:rPr/>
        <w:t>ello</w:t>
      </w:r>
      <w:r>
        <w:rPr>
          <w:spacing w:val="-10"/>
        </w:rPr>
        <w:t> </w:t>
      </w:r>
      <w:r>
        <w:rPr/>
        <w:t>implica</w:t>
      </w:r>
      <w:r>
        <w:rPr>
          <w:spacing w:val="-11"/>
        </w:rPr>
        <w:t> </w:t>
      </w:r>
      <w:r>
        <w:rPr/>
        <w:t>que</w:t>
      </w:r>
      <w:r>
        <w:rPr>
          <w:spacing w:val="-11"/>
        </w:rPr>
        <w:t> </w:t>
      </w:r>
      <w:r>
        <w:rPr/>
        <w:t>la</w:t>
      </w:r>
      <w:r>
        <w:rPr>
          <w:spacing w:val="-11"/>
        </w:rPr>
        <w:t> </w:t>
      </w:r>
      <w:r>
        <w:rPr/>
        <w:t>población</w:t>
      </w:r>
      <w:r>
        <w:rPr>
          <w:spacing w:val="-11"/>
        </w:rPr>
        <w:t> </w:t>
      </w:r>
      <w:r>
        <w:rPr/>
        <w:t>deja</w:t>
      </w:r>
      <w:r>
        <w:rPr>
          <w:spacing w:val="-11"/>
        </w:rPr>
        <w:t> </w:t>
      </w:r>
      <w:r>
        <w:rPr/>
        <w:t>de</w:t>
      </w:r>
      <w:r>
        <w:rPr>
          <w:spacing w:val="-11"/>
        </w:rPr>
        <w:t> </w:t>
      </w:r>
      <w:r>
        <w:rPr/>
        <w:t>recibir bienes y servicios públicos, por lo que en primera instancia se atenta contra los derechos humanos, políticos y</w:t>
      </w:r>
      <w:r>
        <w:rPr>
          <w:spacing w:val="-16"/>
        </w:rPr>
        <w:t> </w:t>
      </w:r>
      <w:r>
        <w:rPr/>
        <w:t>sociales.</w:t>
      </w:r>
    </w:p>
    <w:p>
      <w:pPr>
        <w:pStyle w:val="BodyText"/>
        <w:spacing w:line="360" w:lineRule="auto" w:before="5"/>
        <w:ind w:left="102" w:right="117" w:firstLine="427"/>
        <w:jc w:val="both"/>
      </w:pPr>
      <w:r>
        <w:rPr/>
        <w:t>El país cuenta con todo un marco jurídico, instituciones, organizaciones civiles e investigadoras que han fomentado la rendición de cuentas ¿Por qué México no ha</w:t>
      </w:r>
      <w:r>
        <w:rPr>
          <w:spacing w:val="-6"/>
        </w:rPr>
        <w:t> </w:t>
      </w:r>
      <w:r>
        <w:rPr/>
        <w:t>logrado</w:t>
      </w:r>
      <w:r>
        <w:rPr>
          <w:spacing w:val="-6"/>
        </w:rPr>
        <w:t> </w:t>
      </w:r>
      <w:r>
        <w:rPr/>
        <w:t>una</w:t>
      </w:r>
      <w:r>
        <w:rPr>
          <w:spacing w:val="-6"/>
        </w:rPr>
        <w:t> </w:t>
      </w:r>
      <w:r>
        <w:rPr/>
        <w:t>eficiente</w:t>
      </w:r>
      <w:r>
        <w:rPr>
          <w:spacing w:val="-6"/>
        </w:rPr>
        <w:t> </w:t>
      </w:r>
      <w:r>
        <w:rPr/>
        <w:t>rendición</w:t>
      </w:r>
      <w:r>
        <w:rPr>
          <w:spacing w:val="-8"/>
        </w:rPr>
        <w:t> </w:t>
      </w:r>
      <w:r>
        <w:rPr/>
        <w:t>de</w:t>
      </w:r>
      <w:r>
        <w:rPr>
          <w:spacing w:val="-6"/>
        </w:rPr>
        <w:t> </w:t>
      </w:r>
      <w:r>
        <w:rPr/>
        <w:t>cuentas?</w:t>
      </w:r>
      <w:r>
        <w:rPr>
          <w:spacing w:val="-6"/>
        </w:rPr>
        <w:t> </w:t>
      </w:r>
      <w:r>
        <w:rPr/>
        <w:t>¿Es</w:t>
      </w:r>
      <w:r>
        <w:rPr>
          <w:spacing w:val="-6"/>
        </w:rPr>
        <w:t> </w:t>
      </w:r>
      <w:r>
        <w:rPr/>
        <w:t>la</w:t>
      </w:r>
      <w:r>
        <w:rPr>
          <w:spacing w:val="-6"/>
        </w:rPr>
        <w:t> </w:t>
      </w:r>
      <w:r>
        <w:rPr/>
        <w:t>institución</w:t>
      </w:r>
      <w:r>
        <w:rPr>
          <w:spacing w:val="-6"/>
        </w:rPr>
        <w:t> </w:t>
      </w:r>
      <w:r>
        <w:rPr/>
        <w:t>de</w:t>
      </w:r>
      <w:r>
        <w:rPr>
          <w:spacing w:val="-6"/>
        </w:rPr>
        <w:t> </w:t>
      </w:r>
      <w:r>
        <w:rPr/>
        <w:t>fiscalización</w:t>
      </w:r>
      <w:r>
        <w:rPr>
          <w:spacing w:val="-6"/>
        </w:rPr>
        <w:t> </w:t>
      </w:r>
      <w:r>
        <w:rPr/>
        <w:t>de la cuenta pública la encargada de disminuir la corrupción? ¿De qué manera las políticas públicas deben ser orientadas para contrarrestar el abuso de lo  </w:t>
      </w:r>
      <w:r>
        <w:rPr>
          <w:spacing w:val="19"/>
        </w:rPr>
        <w:t> </w:t>
      </w:r>
      <w:r>
        <w:rPr/>
        <w:t>público?</w:t>
      </w:r>
    </w:p>
    <w:p>
      <w:pPr>
        <w:pStyle w:val="BodyText"/>
        <w:spacing w:line="362" w:lineRule="auto" w:before="2"/>
        <w:ind w:left="102"/>
      </w:pPr>
      <w:r>
        <w:rPr/>
        <w:t>¿Es</w:t>
      </w:r>
      <w:r>
        <w:rPr>
          <w:spacing w:val="-18"/>
        </w:rPr>
        <w:t> </w:t>
      </w:r>
      <w:r>
        <w:rPr/>
        <w:t>posible</w:t>
      </w:r>
      <w:r>
        <w:rPr>
          <w:spacing w:val="-18"/>
        </w:rPr>
        <w:t> </w:t>
      </w:r>
      <w:r>
        <w:rPr/>
        <w:t>construir</w:t>
      </w:r>
      <w:r>
        <w:rPr>
          <w:spacing w:val="-20"/>
        </w:rPr>
        <w:t> </w:t>
      </w:r>
      <w:r>
        <w:rPr/>
        <w:t>un</w:t>
      </w:r>
      <w:r>
        <w:rPr>
          <w:spacing w:val="-18"/>
        </w:rPr>
        <w:t> </w:t>
      </w:r>
      <w:r>
        <w:rPr/>
        <w:t>sistema</w:t>
      </w:r>
      <w:r>
        <w:rPr>
          <w:spacing w:val="-18"/>
        </w:rPr>
        <w:t> </w:t>
      </w:r>
      <w:r>
        <w:rPr/>
        <w:t>de</w:t>
      </w:r>
      <w:r>
        <w:rPr>
          <w:spacing w:val="-18"/>
        </w:rPr>
        <w:t> </w:t>
      </w:r>
      <w:r>
        <w:rPr/>
        <w:t>rendición</w:t>
      </w:r>
      <w:r>
        <w:rPr>
          <w:spacing w:val="-18"/>
        </w:rPr>
        <w:t> </w:t>
      </w:r>
      <w:r>
        <w:rPr/>
        <w:t>de</w:t>
      </w:r>
      <w:r>
        <w:rPr>
          <w:spacing w:val="-18"/>
        </w:rPr>
        <w:t> </w:t>
      </w:r>
      <w:r>
        <w:rPr/>
        <w:t>cuentas</w:t>
      </w:r>
      <w:r>
        <w:rPr>
          <w:spacing w:val="-19"/>
        </w:rPr>
        <w:t> </w:t>
      </w:r>
      <w:r>
        <w:rPr/>
        <w:t>que</w:t>
      </w:r>
      <w:r>
        <w:rPr>
          <w:spacing w:val="-18"/>
        </w:rPr>
        <w:t> </w:t>
      </w:r>
      <w:r>
        <w:rPr/>
        <w:t>incluya</w:t>
      </w:r>
      <w:r>
        <w:rPr>
          <w:spacing w:val="-18"/>
        </w:rPr>
        <w:t> </w:t>
      </w:r>
      <w:r>
        <w:rPr/>
        <w:t>la</w:t>
      </w:r>
      <w:r>
        <w:rPr>
          <w:spacing w:val="-18"/>
        </w:rPr>
        <w:t> </w:t>
      </w:r>
      <w:r>
        <w:rPr/>
        <w:t>participación de las instituciones y una sociedad civil</w:t>
      </w:r>
      <w:r>
        <w:rPr>
          <w:spacing w:val="-21"/>
        </w:rPr>
        <w:t> </w:t>
      </w:r>
      <w:r>
        <w:rPr/>
        <w:t>organizada?</w:t>
      </w:r>
    </w:p>
    <w:p>
      <w:pPr>
        <w:pStyle w:val="BodyText"/>
        <w:spacing w:line="360" w:lineRule="auto"/>
        <w:ind w:left="102" w:right="118" w:firstLine="427"/>
        <w:jc w:val="both"/>
      </w:pPr>
      <w:r>
        <w:rPr/>
        <w:t>El tema no se remite únicamente a comprobar que los registros contables</w:t>
      </w:r>
      <w:r>
        <w:rPr>
          <w:spacing w:val="-43"/>
        </w:rPr>
        <w:t> </w:t>
      </w:r>
      <w:r>
        <w:rPr/>
        <w:t>sean correctos, sino a la evaluación del desempeño del Estado en alcanzar metas, objetivos nacionales y erradicar los problemas que dieron origen a una política pública, y con ello generar un valor social para la población. Se identifica al Poder Ejecutivo</w:t>
      </w:r>
      <w:r>
        <w:rPr>
          <w:spacing w:val="-7"/>
        </w:rPr>
        <w:t> </w:t>
      </w:r>
      <w:r>
        <w:rPr/>
        <w:t>como</w:t>
      </w:r>
      <w:r>
        <w:rPr>
          <w:spacing w:val="-8"/>
        </w:rPr>
        <w:t> </w:t>
      </w:r>
      <w:r>
        <w:rPr/>
        <w:t>el</w:t>
      </w:r>
      <w:r>
        <w:rPr>
          <w:spacing w:val="-8"/>
        </w:rPr>
        <w:t> </w:t>
      </w:r>
      <w:r>
        <w:rPr/>
        <w:t>principal</w:t>
      </w:r>
      <w:r>
        <w:rPr>
          <w:spacing w:val="-6"/>
        </w:rPr>
        <w:t> </w:t>
      </w:r>
      <w:r>
        <w:rPr/>
        <w:t>administrador</w:t>
      </w:r>
      <w:r>
        <w:rPr>
          <w:spacing w:val="-8"/>
        </w:rPr>
        <w:t> </w:t>
      </w:r>
      <w:r>
        <w:rPr/>
        <w:t>de</w:t>
      </w:r>
      <w:r>
        <w:rPr>
          <w:spacing w:val="-7"/>
        </w:rPr>
        <w:t> </w:t>
      </w:r>
      <w:r>
        <w:rPr/>
        <w:t>los</w:t>
      </w:r>
      <w:r>
        <w:rPr>
          <w:spacing w:val="-8"/>
        </w:rPr>
        <w:t> </w:t>
      </w:r>
      <w:r>
        <w:rPr/>
        <w:t>recursos</w:t>
      </w:r>
      <w:r>
        <w:rPr>
          <w:spacing w:val="-9"/>
        </w:rPr>
        <w:t> </w:t>
      </w:r>
      <w:r>
        <w:rPr/>
        <w:t>del</w:t>
      </w:r>
      <w:r>
        <w:rPr>
          <w:spacing w:val="-10"/>
        </w:rPr>
        <w:t> </w:t>
      </w:r>
      <w:r>
        <w:rPr/>
        <w:t>erario;</w:t>
      </w:r>
      <w:r>
        <w:rPr>
          <w:spacing w:val="-9"/>
        </w:rPr>
        <w:t> </w:t>
      </w:r>
      <w:r>
        <w:rPr/>
        <w:t>sin</w:t>
      </w:r>
      <w:r>
        <w:rPr>
          <w:spacing w:val="-7"/>
        </w:rPr>
        <w:t> </w:t>
      </w:r>
      <w:r>
        <w:rPr/>
        <w:t>embargo,</w:t>
      </w:r>
      <w:r>
        <w:rPr>
          <w:spacing w:val="-7"/>
        </w:rPr>
        <w:t> </w:t>
      </w:r>
      <w:r>
        <w:rPr/>
        <w:t>la</w:t>
      </w:r>
    </w:p>
    <w:p>
      <w:pPr>
        <w:spacing w:after="0" w:line="360" w:lineRule="auto"/>
        <w:jc w:val="both"/>
        <w:sectPr>
          <w:pgSz w:w="12240" w:h="15840"/>
          <w:pgMar w:header="0" w:footer="1003" w:top="1360" w:bottom="1200" w:left="1600" w:right="1580"/>
        </w:sectPr>
      </w:pPr>
    </w:p>
    <w:p>
      <w:pPr>
        <w:pStyle w:val="BodyText"/>
        <w:spacing w:line="362" w:lineRule="auto" w:before="54"/>
        <w:ind w:left="102" w:right="118"/>
        <w:jc w:val="both"/>
      </w:pPr>
      <w:r>
        <w:rPr/>
        <w:t>teoría</w:t>
      </w:r>
      <w:r>
        <w:rPr>
          <w:spacing w:val="-6"/>
        </w:rPr>
        <w:t> </w:t>
      </w:r>
      <w:r>
        <w:rPr/>
        <w:t>de</w:t>
      </w:r>
      <w:r>
        <w:rPr>
          <w:spacing w:val="-8"/>
        </w:rPr>
        <w:t> </w:t>
      </w:r>
      <w:r>
        <w:rPr/>
        <w:t>la</w:t>
      </w:r>
      <w:r>
        <w:rPr>
          <w:spacing w:val="-9"/>
        </w:rPr>
        <w:t> </w:t>
      </w:r>
      <w:r>
        <w:rPr/>
        <w:t>división</w:t>
      </w:r>
      <w:r>
        <w:rPr>
          <w:spacing w:val="-6"/>
        </w:rPr>
        <w:t> </w:t>
      </w:r>
      <w:r>
        <w:rPr/>
        <w:t>de</w:t>
      </w:r>
      <w:r>
        <w:rPr>
          <w:spacing w:val="-8"/>
        </w:rPr>
        <w:t> </w:t>
      </w:r>
      <w:r>
        <w:rPr/>
        <w:t>poderes</w:t>
      </w:r>
      <w:r>
        <w:rPr>
          <w:spacing w:val="-7"/>
        </w:rPr>
        <w:t> </w:t>
      </w:r>
      <w:r>
        <w:rPr/>
        <w:t>promulga</w:t>
      </w:r>
      <w:r>
        <w:rPr>
          <w:spacing w:val="-6"/>
        </w:rPr>
        <w:t> </w:t>
      </w:r>
      <w:r>
        <w:rPr/>
        <w:t>que</w:t>
      </w:r>
      <w:r>
        <w:rPr>
          <w:spacing w:val="-8"/>
        </w:rPr>
        <w:t> </w:t>
      </w:r>
      <w:r>
        <w:rPr/>
        <w:t>el</w:t>
      </w:r>
      <w:r>
        <w:rPr>
          <w:spacing w:val="-7"/>
        </w:rPr>
        <w:t> </w:t>
      </w:r>
      <w:r>
        <w:rPr/>
        <w:t>poder</w:t>
      </w:r>
      <w:r>
        <w:rPr>
          <w:spacing w:val="-7"/>
        </w:rPr>
        <w:t> </w:t>
      </w:r>
      <w:r>
        <w:rPr/>
        <w:t>controle</w:t>
      </w:r>
      <w:r>
        <w:rPr>
          <w:spacing w:val="-8"/>
        </w:rPr>
        <w:t> </w:t>
      </w:r>
      <w:r>
        <w:rPr/>
        <w:t>al</w:t>
      </w:r>
      <w:r>
        <w:rPr>
          <w:spacing w:val="-10"/>
        </w:rPr>
        <w:t> </w:t>
      </w:r>
      <w:r>
        <w:rPr/>
        <w:t>mismo</w:t>
      </w:r>
      <w:r>
        <w:rPr>
          <w:spacing w:val="-8"/>
        </w:rPr>
        <w:t> </w:t>
      </w:r>
      <w:r>
        <w:rPr/>
        <w:t>poder,</w:t>
      </w:r>
      <w:r>
        <w:rPr>
          <w:spacing w:val="-9"/>
        </w:rPr>
        <w:t> </w:t>
      </w:r>
      <w:r>
        <w:rPr/>
        <w:t>por lo que lo poderes de la Unión deben tener un ámbito</w:t>
      </w:r>
      <w:r>
        <w:rPr>
          <w:spacing w:val="-23"/>
        </w:rPr>
        <w:t> </w:t>
      </w:r>
      <w:r>
        <w:rPr/>
        <w:t>limitado.</w:t>
      </w:r>
    </w:p>
    <w:p>
      <w:pPr>
        <w:pStyle w:val="BodyText"/>
        <w:spacing w:line="360" w:lineRule="auto"/>
        <w:ind w:left="102" w:right="121" w:firstLine="427"/>
        <w:jc w:val="both"/>
      </w:pPr>
      <w:r>
        <w:rPr/>
        <w:t>La</w:t>
      </w:r>
      <w:r>
        <w:rPr>
          <w:spacing w:val="-11"/>
        </w:rPr>
        <w:t> </w:t>
      </w:r>
      <w:r>
        <w:rPr/>
        <w:t>razón</w:t>
      </w:r>
      <w:r>
        <w:rPr>
          <w:spacing w:val="-13"/>
        </w:rPr>
        <w:t> </w:t>
      </w:r>
      <w:r>
        <w:rPr/>
        <w:t>de</w:t>
      </w:r>
      <w:r>
        <w:rPr>
          <w:spacing w:val="-13"/>
        </w:rPr>
        <w:t> </w:t>
      </w:r>
      <w:r>
        <w:rPr/>
        <w:t>la</w:t>
      </w:r>
      <w:r>
        <w:rPr>
          <w:spacing w:val="-13"/>
        </w:rPr>
        <w:t> </w:t>
      </w:r>
      <w:r>
        <w:rPr/>
        <w:t>existencia</w:t>
      </w:r>
      <w:r>
        <w:rPr>
          <w:spacing w:val="-11"/>
        </w:rPr>
        <w:t> </w:t>
      </w:r>
      <w:r>
        <w:rPr/>
        <w:t>del</w:t>
      </w:r>
      <w:r>
        <w:rPr>
          <w:spacing w:val="-14"/>
        </w:rPr>
        <w:t> </w:t>
      </w:r>
      <w:r>
        <w:rPr/>
        <w:t>Estado</w:t>
      </w:r>
      <w:r>
        <w:rPr>
          <w:spacing w:val="-13"/>
        </w:rPr>
        <w:t> </w:t>
      </w:r>
      <w:r>
        <w:rPr/>
        <w:t>es</w:t>
      </w:r>
      <w:r>
        <w:rPr>
          <w:spacing w:val="-14"/>
        </w:rPr>
        <w:t> </w:t>
      </w:r>
      <w:r>
        <w:rPr/>
        <w:t>la</w:t>
      </w:r>
      <w:r>
        <w:rPr>
          <w:spacing w:val="-11"/>
        </w:rPr>
        <w:t> </w:t>
      </w:r>
      <w:r>
        <w:rPr/>
        <w:t>sociedad,</w:t>
      </w:r>
      <w:r>
        <w:rPr>
          <w:spacing w:val="-11"/>
        </w:rPr>
        <w:t> </w:t>
      </w:r>
      <w:r>
        <w:rPr/>
        <w:t>y</w:t>
      </w:r>
      <w:r>
        <w:rPr>
          <w:spacing w:val="-14"/>
        </w:rPr>
        <w:t> </w:t>
      </w:r>
      <w:r>
        <w:rPr/>
        <w:t>es</w:t>
      </w:r>
      <w:r>
        <w:rPr>
          <w:spacing w:val="-14"/>
        </w:rPr>
        <w:t> </w:t>
      </w:r>
      <w:r>
        <w:rPr/>
        <w:t>la</w:t>
      </w:r>
      <w:r>
        <w:rPr>
          <w:spacing w:val="-11"/>
        </w:rPr>
        <w:t> </w:t>
      </w:r>
      <w:r>
        <w:rPr/>
        <w:t>sociedad</w:t>
      </w:r>
      <w:r>
        <w:rPr>
          <w:spacing w:val="-13"/>
        </w:rPr>
        <w:t> </w:t>
      </w:r>
      <w:r>
        <w:rPr/>
        <w:t>quien</w:t>
      </w:r>
      <w:r>
        <w:rPr>
          <w:spacing w:val="-10"/>
        </w:rPr>
        <w:t> </w:t>
      </w:r>
      <w:r>
        <w:rPr/>
        <w:t>debe calificar</w:t>
      </w:r>
      <w:r>
        <w:rPr>
          <w:spacing w:val="38"/>
        </w:rPr>
        <w:t> </w:t>
      </w:r>
      <w:r>
        <w:rPr/>
        <w:t>la</w:t>
      </w:r>
      <w:r>
        <w:rPr>
          <w:spacing w:val="36"/>
        </w:rPr>
        <w:t> </w:t>
      </w:r>
      <w:r>
        <w:rPr/>
        <w:t>efectividad</w:t>
      </w:r>
      <w:r>
        <w:rPr>
          <w:spacing w:val="36"/>
        </w:rPr>
        <w:t> </w:t>
      </w:r>
      <w:r>
        <w:rPr/>
        <w:t>de</w:t>
      </w:r>
      <w:r>
        <w:rPr>
          <w:spacing w:val="39"/>
        </w:rPr>
        <w:t> </w:t>
      </w:r>
      <w:r>
        <w:rPr/>
        <w:t>las</w:t>
      </w:r>
      <w:r>
        <w:rPr>
          <w:spacing w:val="38"/>
        </w:rPr>
        <w:t> </w:t>
      </w:r>
      <w:r>
        <w:rPr/>
        <w:t>políticas</w:t>
      </w:r>
      <w:r>
        <w:rPr>
          <w:spacing w:val="38"/>
        </w:rPr>
        <w:t> </w:t>
      </w:r>
      <w:r>
        <w:rPr/>
        <w:t>públicas</w:t>
      </w:r>
      <w:r>
        <w:rPr>
          <w:spacing w:val="38"/>
        </w:rPr>
        <w:t> </w:t>
      </w:r>
      <w:r>
        <w:rPr/>
        <w:t>llevadas</w:t>
      </w:r>
      <w:r>
        <w:rPr>
          <w:spacing w:val="38"/>
        </w:rPr>
        <w:t> </w:t>
      </w:r>
      <w:r>
        <w:rPr/>
        <w:t>a</w:t>
      </w:r>
      <w:r>
        <w:rPr>
          <w:spacing w:val="36"/>
        </w:rPr>
        <w:t> </w:t>
      </w:r>
      <w:r>
        <w:rPr/>
        <w:t>cabo</w:t>
      </w:r>
      <w:r>
        <w:rPr>
          <w:spacing w:val="36"/>
        </w:rPr>
        <w:t> </w:t>
      </w:r>
      <w:r>
        <w:rPr/>
        <w:t>por</w:t>
      </w:r>
      <w:r>
        <w:rPr>
          <w:spacing w:val="37"/>
        </w:rPr>
        <w:t> </w:t>
      </w:r>
      <w:r>
        <w:rPr/>
        <w:t>el</w:t>
      </w:r>
      <w:r>
        <w:rPr>
          <w:spacing w:val="37"/>
        </w:rPr>
        <w:t> </w:t>
      </w:r>
      <w:r>
        <w:rPr/>
        <w:t>gobierno.</w:t>
      </w:r>
    </w:p>
    <w:p>
      <w:pPr>
        <w:pStyle w:val="BodyText"/>
        <w:spacing w:line="360" w:lineRule="auto" w:before="2"/>
        <w:ind w:left="102" w:right="118"/>
        <w:jc w:val="both"/>
      </w:pPr>
      <w:r>
        <w:rPr/>
        <w:t>¿Cómo implementar políticas públicas exitosas de rendición de cuentas? ¿Es responsabilidad exclusiva del Estado combatir la corrupción? ¿Es posible que las instituciones de rendición de cuentas puedan combatir la corrupción sin tener que politizarse?</w:t>
      </w:r>
    </w:p>
    <w:p>
      <w:pPr>
        <w:pStyle w:val="BodyText"/>
        <w:spacing w:line="360" w:lineRule="auto" w:before="2"/>
        <w:ind w:left="102" w:right="118" w:firstLine="427"/>
        <w:jc w:val="both"/>
      </w:pPr>
      <w:r>
        <w:rPr/>
        <w:t>Una efectiva rendición de cuentas debe eficientar el servicio público y prevenir los actos de corrupción, aplicar correctamente los recursos en lo que fueron destinados ¿Cómo lograrlo? Lo anterior sugiere un análisis de la red de rendición de cuentas y generar propuestas para lograr la eficiencia de las políticas públicas en la obtención de un valor público (impactos sociales y económicos positivos). Lo anterior es posible cuando la sociedad adquiere conciencia sobre su responsabilidad cívica y se convierte en un elemento altamente demandante.</w:t>
      </w:r>
    </w:p>
    <w:p>
      <w:pPr>
        <w:pStyle w:val="BodyText"/>
        <w:spacing w:line="360" w:lineRule="auto" w:before="5"/>
        <w:ind w:left="102" w:right="118" w:firstLine="427"/>
        <w:jc w:val="both"/>
      </w:pPr>
      <w:r>
        <w:rPr/>
        <w:t>En la investigación se presenta una medición el desempeño del Estado mexicano a través de un conjunto específico de efectos de la rendición de cuentas contra las prácticas corruptas. El presente análisis se basa en gran medida en la ciencia</w:t>
      </w:r>
      <w:r>
        <w:rPr>
          <w:spacing w:val="-16"/>
        </w:rPr>
        <w:t> </w:t>
      </w:r>
      <w:r>
        <w:rPr/>
        <w:t>política,</w:t>
      </w:r>
      <w:r>
        <w:rPr>
          <w:spacing w:val="-16"/>
        </w:rPr>
        <w:t> </w:t>
      </w:r>
      <w:r>
        <w:rPr/>
        <w:t>la</w:t>
      </w:r>
      <w:r>
        <w:rPr>
          <w:spacing w:val="-16"/>
        </w:rPr>
        <w:t> </w:t>
      </w:r>
      <w:r>
        <w:rPr/>
        <w:t>cual</w:t>
      </w:r>
      <w:r>
        <w:rPr>
          <w:spacing w:val="-19"/>
        </w:rPr>
        <w:t> </w:t>
      </w:r>
      <w:r>
        <w:rPr/>
        <w:t>facilitó</w:t>
      </w:r>
      <w:r>
        <w:rPr>
          <w:spacing w:val="-13"/>
        </w:rPr>
        <w:t> </w:t>
      </w:r>
      <w:r>
        <w:rPr/>
        <w:t>la</w:t>
      </w:r>
      <w:r>
        <w:rPr>
          <w:spacing w:val="-16"/>
        </w:rPr>
        <w:t> </w:t>
      </w:r>
      <w:r>
        <w:rPr/>
        <w:t>comprensión</w:t>
      </w:r>
      <w:r>
        <w:rPr>
          <w:spacing w:val="-18"/>
        </w:rPr>
        <w:t> </w:t>
      </w:r>
      <w:r>
        <w:rPr/>
        <w:t>a</w:t>
      </w:r>
      <w:r>
        <w:rPr>
          <w:spacing w:val="-18"/>
        </w:rPr>
        <w:t> </w:t>
      </w:r>
      <w:r>
        <w:rPr/>
        <w:t>fondo</w:t>
      </w:r>
      <w:r>
        <w:rPr>
          <w:spacing w:val="-16"/>
        </w:rPr>
        <w:t> </w:t>
      </w:r>
      <w:r>
        <w:rPr/>
        <w:t>de</w:t>
      </w:r>
      <w:r>
        <w:rPr>
          <w:spacing w:val="-16"/>
        </w:rPr>
        <w:t> </w:t>
      </w:r>
      <w:r>
        <w:rPr/>
        <w:t>los</w:t>
      </w:r>
      <w:r>
        <w:rPr>
          <w:spacing w:val="-16"/>
        </w:rPr>
        <w:t> </w:t>
      </w:r>
      <w:r>
        <w:rPr/>
        <w:t>procesos</w:t>
      </w:r>
      <w:r>
        <w:rPr>
          <w:spacing w:val="-16"/>
        </w:rPr>
        <w:t> </w:t>
      </w:r>
      <w:r>
        <w:rPr/>
        <w:t>de</w:t>
      </w:r>
      <w:r>
        <w:rPr>
          <w:spacing w:val="-16"/>
        </w:rPr>
        <w:t> </w:t>
      </w:r>
      <w:r>
        <w:rPr/>
        <w:t>interacción entre El estado-sociedad, mediante la rendición de cuentas. Ella también permitió la</w:t>
      </w:r>
      <w:r>
        <w:rPr>
          <w:spacing w:val="-9"/>
        </w:rPr>
        <w:t> </w:t>
      </w:r>
      <w:r>
        <w:rPr/>
        <w:t>identificación</w:t>
      </w:r>
      <w:r>
        <w:rPr>
          <w:spacing w:val="-8"/>
        </w:rPr>
        <w:t> </w:t>
      </w:r>
      <w:r>
        <w:rPr/>
        <w:t>de</w:t>
      </w:r>
      <w:r>
        <w:rPr>
          <w:spacing w:val="-8"/>
        </w:rPr>
        <w:t> </w:t>
      </w:r>
      <w:r>
        <w:rPr/>
        <w:t>las</w:t>
      </w:r>
      <w:r>
        <w:rPr>
          <w:spacing w:val="-11"/>
        </w:rPr>
        <w:t> </w:t>
      </w:r>
      <w:r>
        <w:rPr/>
        <w:t>principales</w:t>
      </w:r>
      <w:r>
        <w:rPr>
          <w:spacing w:val="-9"/>
        </w:rPr>
        <w:t> </w:t>
      </w:r>
      <w:r>
        <w:rPr/>
        <w:t>variables</w:t>
      </w:r>
      <w:r>
        <w:rPr>
          <w:spacing w:val="-9"/>
        </w:rPr>
        <w:t> </w:t>
      </w:r>
      <w:r>
        <w:rPr/>
        <w:t>y</w:t>
      </w:r>
      <w:r>
        <w:rPr>
          <w:spacing w:val="-9"/>
        </w:rPr>
        <w:t> </w:t>
      </w:r>
      <w:r>
        <w:rPr/>
        <w:t>factores</w:t>
      </w:r>
      <w:r>
        <w:rPr>
          <w:spacing w:val="-9"/>
        </w:rPr>
        <w:t> </w:t>
      </w:r>
      <w:r>
        <w:rPr/>
        <w:t>responsables</w:t>
      </w:r>
      <w:r>
        <w:rPr>
          <w:spacing w:val="-11"/>
        </w:rPr>
        <w:t> </w:t>
      </w:r>
      <w:r>
        <w:rPr/>
        <w:t>del</w:t>
      </w:r>
      <w:r>
        <w:rPr>
          <w:spacing w:val="-10"/>
        </w:rPr>
        <w:t> </w:t>
      </w:r>
      <w:r>
        <w:rPr/>
        <w:t>desempeño del Estado</w:t>
      </w:r>
      <w:r>
        <w:rPr>
          <w:spacing w:val="-7"/>
        </w:rPr>
        <w:t> </w:t>
      </w:r>
      <w:r>
        <w:rPr/>
        <w:t>mexicano.</w:t>
      </w:r>
    </w:p>
    <w:p>
      <w:pPr>
        <w:pStyle w:val="BodyText"/>
        <w:spacing w:line="360" w:lineRule="auto" w:before="2"/>
        <w:ind w:left="102" w:right="115" w:firstLine="424"/>
        <w:jc w:val="both"/>
      </w:pPr>
      <w:r>
        <w:rPr/>
        <w:t>Se realiza un análisis comparativo entre los resultados de las políticas de rendición de cuentas llevadas por las instituciones de algunos países avanzados y de México. Debido a la naturaleza de las variables involucradas y el tipo de investigación, el diseño de investigación atiende dos momentos: a) cualitativo: cuando se realiza un análisis sin manipular deliberadamente las variables (no determinístico) y b) cuantitativo: relación entre el objeto que se estudia y otro que toma como unidad comparativa.</w:t>
      </w:r>
    </w:p>
    <w:p>
      <w:pPr>
        <w:pStyle w:val="BodyText"/>
        <w:spacing w:line="360" w:lineRule="auto" w:before="2"/>
        <w:ind w:left="102" w:right="117" w:firstLine="424"/>
        <w:jc w:val="both"/>
      </w:pPr>
      <w:r>
        <w:rPr/>
        <w:t>Un conjunto de 20 estudios, nacionales e internacionales, son considerados como</w:t>
      </w:r>
      <w:r>
        <w:rPr>
          <w:spacing w:val="52"/>
        </w:rPr>
        <w:t> </w:t>
      </w:r>
      <w:r>
        <w:rPr/>
        <w:t>la</w:t>
      </w:r>
      <w:r>
        <w:rPr>
          <w:spacing w:val="51"/>
        </w:rPr>
        <w:t> </w:t>
      </w:r>
      <w:r>
        <w:rPr/>
        <w:t>principal fuente</w:t>
      </w:r>
      <w:r>
        <w:rPr>
          <w:spacing w:val="52"/>
        </w:rPr>
        <w:t> </w:t>
      </w:r>
      <w:r>
        <w:rPr/>
        <w:t>de</w:t>
      </w:r>
      <w:r>
        <w:rPr>
          <w:spacing w:val="52"/>
        </w:rPr>
        <w:t> </w:t>
      </w:r>
      <w:r>
        <w:rPr/>
        <w:t>índices de</w:t>
      </w:r>
      <w:r>
        <w:rPr>
          <w:spacing w:val="52"/>
        </w:rPr>
        <w:t> </w:t>
      </w:r>
      <w:r>
        <w:rPr/>
        <w:t>desempeño</w:t>
      </w:r>
      <w:r>
        <w:rPr>
          <w:spacing w:val="52"/>
        </w:rPr>
        <w:t> </w:t>
      </w:r>
      <w:r>
        <w:rPr/>
        <w:t>del</w:t>
      </w:r>
      <w:r>
        <w:rPr>
          <w:spacing w:val="50"/>
        </w:rPr>
        <w:t> </w:t>
      </w:r>
      <w:r>
        <w:rPr/>
        <w:t>Estado. Estos</w:t>
      </w:r>
      <w:r>
        <w:rPr>
          <w:spacing w:val="51"/>
        </w:rPr>
        <w:t> </w:t>
      </w:r>
      <w:r>
        <w:rPr/>
        <w:t>estudios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incluyen tanto variables cuantitativas como cualitativas sobre la política y la rendición de cuentas del Estado. Por otro lado, también se llevó a cabo una comparación</w:t>
      </w:r>
      <w:r>
        <w:rPr>
          <w:spacing w:val="-5"/>
        </w:rPr>
        <w:t> </w:t>
      </w:r>
      <w:r>
        <w:rPr/>
        <w:t>de</w:t>
      </w:r>
      <w:r>
        <w:rPr>
          <w:spacing w:val="-6"/>
        </w:rPr>
        <w:t> </w:t>
      </w:r>
      <w:r>
        <w:rPr/>
        <w:t>la</w:t>
      </w:r>
      <w:r>
        <w:rPr>
          <w:spacing w:val="-4"/>
        </w:rPr>
        <w:t> </w:t>
      </w:r>
      <w:r>
        <w:rPr/>
        <w:t>política</w:t>
      </w:r>
      <w:r>
        <w:rPr>
          <w:spacing w:val="-4"/>
        </w:rPr>
        <w:t> </w:t>
      </w:r>
      <w:r>
        <w:rPr/>
        <w:t>y</w:t>
      </w:r>
      <w:r>
        <w:rPr>
          <w:spacing w:val="-7"/>
        </w:rPr>
        <w:t> </w:t>
      </w:r>
      <w:r>
        <w:rPr/>
        <w:t>la</w:t>
      </w:r>
      <w:r>
        <w:rPr>
          <w:spacing w:val="-4"/>
        </w:rPr>
        <w:t> </w:t>
      </w:r>
      <w:r>
        <w:rPr/>
        <w:t>rendición</w:t>
      </w:r>
      <w:r>
        <w:rPr>
          <w:spacing w:val="-6"/>
        </w:rPr>
        <w:t> </w:t>
      </w:r>
      <w:r>
        <w:rPr/>
        <w:t>de</w:t>
      </w:r>
      <w:r>
        <w:rPr>
          <w:spacing w:val="-6"/>
        </w:rPr>
        <w:t> </w:t>
      </w:r>
      <w:r>
        <w:rPr/>
        <w:t>cuentas</w:t>
      </w:r>
      <w:r>
        <w:rPr>
          <w:spacing w:val="-4"/>
        </w:rPr>
        <w:t> </w:t>
      </w:r>
      <w:r>
        <w:rPr/>
        <w:t>de</w:t>
      </w:r>
      <w:r>
        <w:rPr>
          <w:spacing w:val="-4"/>
        </w:rPr>
        <w:t> </w:t>
      </w:r>
      <w:r>
        <w:rPr/>
        <w:t>México</w:t>
      </w:r>
      <w:r>
        <w:rPr>
          <w:spacing w:val="-4"/>
        </w:rPr>
        <w:t> </w:t>
      </w:r>
      <w:r>
        <w:rPr/>
        <w:t>y</w:t>
      </w:r>
      <w:r>
        <w:rPr>
          <w:spacing w:val="-7"/>
        </w:rPr>
        <w:t> </w:t>
      </w:r>
      <w:r>
        <w:rPr/>
        <w:t>de</w:t>
      </w:r>
      <w:r>
        <w:rPr>
          <w:spacing w:val="-6"/>
        </w:rPr>
        <w:t> </w:t>
      </w:r>
      <w:r>
        <w:rPr/>
        <w:t>algunos</w:t>
      </w:r>
      <w:r>
        <w:rPr>
          <w:spacing w:val="-4"/>
        </w:rPr>
        <w:t> </w:t>
      </w:r>
      <w:r>
        <w:rPr/>
        <w:t>países avanzados.</w:t>
      </w:r>
    </w:p>
    <w:p>
      <w:pPr>
        <w:pStyle w:val="BodyText"/>
        <w:spacing w:line="360" w:lineRule="auto" w:before="2"/>
        <w:ind w:left="102" w:right="123" w:firstLine="427"/>
        <w:jc w:val="both"/>
      </w:pPr>
      <w:r>
        <w:rPr>
          <w:color w:val="333333"/>
        </w:rPr>
        <w:t>La</w:t>
      </w:r>
      <w:r>
        <w:rPr>
          <w:color w:val="333333"/>
          <w:spacing w:val="-14"/>
        </w:rPr>
        <w:t> </w:t>
      </w:r>
      <w:r>
        <w:rPr>
          <w:color w:val="333333"/>
        </w:rPr>
        <w:t>presente</w:t>
      </w:r>
      <w:r>
        <w:rPr>
          <w:color w:val="333333"/>
          <w:spacing w:val="-14"/>
        </w:rPr>
        <w:t> </w:t>
      </w:r>
      <w:r>
        <w:rPr>
          <w:color w:val="333333"/>
        </w:rPr>
        <w:t>investigación</w:t>
      </w:r>
      <w:r>
        <w:rPr>
          <w:color w:val="333333"/>
          <w:spacing w:val="-14"/>
        </w:rPr>
        <w:t> </w:t>
      </w:r>
      <w:r>
        <w:rPr>
          <w:color w:val="333333"/>
        </w:rPr>
        <w:t>determinó</w:t>
      </w:r>
      <w:r>
        <w:rPr>
          <w:color w:val="333333"/>
          <w:spacing w:val="-14"/>
        </w:rPr>
        <w:t> </w:t>
      </w:r>
      <w:r>
        <w:rPr>
          <w:color w:val="333333"/>
        </w:rPr>
        <w:t>que</w:t>
      </w:r>
      <w:r>
        <w:rPr>
          <w:color w:val="333333"/>
          <w:spacing w:val="-14"/>
        </w:rPr>
        <w:t> </w:t>
      </w:r>
      <w:r>
        <w:rPr>
          <w:color w:val="333333"/>
        </w:rPr>
        <w:t>la</w:t>
      </w:r>
      <w:r>
        <w:rPr>
          <w:color w:val="333333"/>
          <w:spacing w:val="-14"/>
        </w:rPr>
        <w:t> </w:t>
      </w:r>
      <w:r>
        <w:rPr>
          <w:color w:val="333333"/>
        </w:rPr>
        <w:t>clase</w:t>
      </w:r>
      <w:r>
        <w:rPr>
          <w:color w:val="333333"/>
          <w:spacing w:val="-14"/>
        </w:rPr>
        <w:t> </w:t>
      </w:r>
      <w:r>
        <w:rPr>
          <w:color w:val="333333"/>
        </w:rPr>
        <w:t>política</w:t>
      </w:r>
      <w:r>
        <w:rPr>
          <w:color w:val="333333"/>
          <w:spacing w:val="-14"/>
        </w:rPr>
        <w:t> </w:t>
      </w:r>
      <w:r>
        <w:rPr>
          <w:color w:val="333333"/>
        </w:rPr>
        <w:t>sin</w:t>
      </w:r>
      <w:r>
        <w:rPr>
          <w:color w:val="333333"/>
          <w:spacing w:val="-14"/>
        </w:rPr>
        <w:t> </w:t>
      </w:r>
      <w:r>
        <w:rPr>
          <w:color w:val="333333"/>
        </w:rPr>
        <w:t>duda</w:t>
      </w:r>
      <w:r>
        <w:rPr>
          <w:color w:val="333333"/>
          <w:spacing w:val="-17"/>
        </w:rPr>
        <w:t> </w:t>
      </w:r>
      <w:r>
        <w:rPr>
          <w:color w:val="333333"/>
        </w:rPr>
        <w:t>puede</w:t>
      </w:r>
      <w:r>
        <w:rPr>
          <w:color w:val="333333"/>
          <w:spacing w:val="-17"/>
        </w:rPr>
        <w:t> </w:t>
      </w:r>
      <w:r>
        <w:rPr>
          <w:color w:val="333333"/>
        </w:rPr>
        <w:t>apoyar </w:t>
      </w:r>
      <w:r>
        <w:rPr/>
        <w:t>las medidas de rendición de cuentas, esto es posible si el Estado mexicano distingue entre política y administración. En esta tesis se concluye que si el Estado implementa una arquitectura institucional, en paralelo con una sociedad altamente participativa, la rendición de cuentas se fortalecerá. Por último, se concluye que la gobernanza, a través de principios políticos, puede servir para erradicar la fragmentación que hay en la implementación de las políticas</w:t>
      </w:r>
      <w:r>
        <w:rPr>
          <w:spacing w:val="-27"/>
        </w:rPr>
        <w:t> </w:t>
      </w:r>
      <w:r>
        <w:rPr/>
        <w:t>públicas.</w:t>
      </w:r>
    </w:p>
    <w:p>
      <w:pPr>
        <w:pStyle w:val="BodyText"/>
        <w:spacing w:line="360" w:lineRule="auto" w:before="5"/>
        <w:ind w:left="102" w:right="116" w:firstLine="427"/>
        <w:jc w:val="both"/>
      </w:pPr>
      <w:r>
        <w:rPr/>
        <w:t>En general, esta investigación encontró que una rendición de cuentas sólida, puede sentar las bases para que la sociedad mexicana cambie su percepción del Estado. Este cambio será posible si el Congreso se dedica a revisar cuentas a profundidad.</w:t>
      </w:r>
    </w:p>
    <w:p>
      <w:pPr>
        <w:pStyle w:val="BodyText"/>
        <w:spacing w:line="360" w:lineRule="auto" w:before="5"/>
        <w:ind w:left="102" w:right="117" w:firstLine="427"/>
        <w:jc w:val="both"/>
      </w:pPr>
      <w:r>
        <w:rPr/>
        <w:t>Esta tesis afirma como supuesto, que para combatir la corrupción es necesario que la rendición de cuentas elimine la fragmentación de las políticas públicas e implemente</w:t>
      </w:r>
      <w:r>
        <w:rPr>
          <w:spacing w:val="-11"/>
        </w:rPr>
        <w:t> </w:t>
      </w:r>
      <w:r>
        <w:rPr/>
        <w:t>bases</w:t>
      </w:r>
      <w:r>
        <w:rPr>
          <w:spacing w:val="-13"/>
        </w:rPr>
        <w:t> </w:t>
      </w:r>
      <w:r>
        <w:rPr/>
        <w:t>para</w:t>
      </w:r>
      <w:r>
        <w:rPr>
          <w:spacing w:val="-9"/>
        </w:rPr>
        <w:t> </w:t>
      </w:r>
      <w:r>
        <w:rPr/>
        <w:t>la</w:t>
      </w:r>
      <w:r>
        <w:rPr>
          <w:spacing w:val="-10"/>
        </w:rPr>
        <w:t> </w:t>
      </w:r>
      <w:r>
        <w:rPr/>
        <w:t>gobernanza,</w:t>
      </w:r>
      <w:r>
        <w:rPr>
          <w:spacing w:val="-10"/>
        </w:rPr>
        <w:t> </w:t>
      </w:r>
      <w:r>
        <w:rPr/>
        <w:t>lo</w:t>
      </w:r>
      <w:r>
        <w:rPr>
          <w:spacing w:val="-10"/>
        </w:rPr>
        <w:t> </w:t>
      </w:r>
      <w:r>
        <w:rPr/>
        <w:t>cual</w:t>
      </w:r>
      <w:r>
        <w:rPr>
          <w:spacing w:val="-11"/>
        </w:rPr>
        <w:t> </w:t>
      </w:r>
      <w:r>
        <w:rPr/>
        <w:t>sólo</w:t>
      </w:r>
      <w:r>
        <w:rPr>
          <w:spacing w:val="-10"/>
        </w:rPr>
        <w:t> </w:t>
      </w:r>
      <w:r>
        <w:rPr/>
        <w:t>es</w:t>
      </w:r>
      <w:r>
        <w:rPr>
          <w:spacing w:val="-13"/>
        </w:rPr>
        <w:t> </w:t>
      </w:r>
      <w:r>
        <w:rPr/>
        <w:t>posible</w:t>
      </w:r>
      <w:r>
        <w:rPr>
          <w:spacing w:val="-10"/>
        </w:rPr>
        <w:t> </w:t>
      </w:r>
      <w:r>
        <w:rPr/>
        <w:t>si</w:t>
      </w:r>
      <w:r>
        <w:rPr>
          <w:spacing w:val="-11"/>
        </w:rPr>
        <w:t> </w:t>
      </w:r>
      <w:r>
        <w:rPr/>
        <w:t>el</w:t>
      </w:r>
      <w:r>
        <w:rPr>
          <w:spacing w:val="-13"/>
        </w:rPr>
        <w:t> </w:t>
      </w:r>
      <w:r>
        <w:rPr/>
        <w:t>Estado</w:t>
      </w:r>
      <w:r>
        <w:rPr>
          <w:spacing w:val="-9"/>
        </w:rPr>
        <w:t> </w:t>
      </w:r>
      <w:r>
        <w:rPr/>
        <w:t>aplica</w:t>
      </w:r>
      <w:r>
        <w:rPr>
          <w:spacing w:val="-9"/>
        </w:rPr>
        <w:t> </w:t>
      </w:r>
      <w:r>
        <w:rPr/>
        <w:t>los principios dela ciencia política: división de poderes, instituciones políticas sólidas y que se lleven a cabo medidas de política coordinada, entre otros</w:t>
      </w:r>
      <w:r>
        <w:rPr>
          <w:spacing w:val="-23"/>
        </w:rPr>
        <w:t> </w:t>
      </w:r>
      <w:r>
        <w:rPr/>
        <w:t>factores.</w:t>
      </w:r>
    </w:p>
    <w:p>
      <w:pPr>
        <w:pStyle w:val="BodyText"/>
        <w:spacing w:line="360" w:lineRule="auto" w:before="2"/>
        <w:ind w:left="102" w:right="115" w:firstLine="427"/>
        <w:jc w:val="both"/>
      </w:pPr>
      <w:r>
        <w:rPr/>
        <w:t>El propósito de la investigación es presentar una postura basada en la ciencia política –enfoque de la gobernanza- en la cual se resalta la importancia de participación coordinada de la sociedad, el sector público y el privado en aspectos políticos, con la perspectiva de servir para futuros estudios sobre modelos más incluyentes de administración pública en México, orientados hacia lograr una eficiente interacción entre las instituciones y la sociedad. A través de este documento,</w:t>
      </w:r>
      <w:r>
        <w:rPr>
          <w:spacing w:val="-19"/>
        </w:rPr>
        <w:t> </w:t>
      </w:r>
      <w:r>
        <w:rPr/>
        <w:t>también</w:t>
      </w:r>
      <w:r>
        <w:rPr>
          <w:spacing w:val="-17"/>
        </w:rPr>
        <w:t> </w:t>
      </w:r>
      <w:r>
        <w:rPr/>
        <w:t>se</w:t>
      </w:r>
      <w:r>
        <w:rPr>
          <w:spacing w:val="-17"/>
        </w:rPr>
        <w:t> </w:t>
      </w:r>
      <w:r>
        <w:rPr/>
        <w:t>aspira</w:t>
      </w:r>
      <w:r>
        <w:rPr>
          <w:spacing w:val="-17"/>
        </w:rPr>
        <w:t> </w:t>
      </w:r>
      <w:r>
        <w:rPr/>
        <w:t>a</w:t>
      </w:r>
      <w:r>
        <w:rPr>
          <w:spacing w:val="-19"/>
        </w:rPr>
        <w:t> </w:t>
      </w:r>
      <w:r>
        <w:rPr/>
        <w:t>sensibilizar</w:t>
      </w:r>
      <w:r>
        <w:rPr>
          <w:spacing w:val="-18"/>
        </w:rPr>
        <w:t> </w:t>
      </w:r>
      <w:r>
        <w:rPr/>
        <w:t>al</w:t>
      </w:r>
      <w:r>
        <w:rPr>
          <w:spacing w:val="-18"/>
        </w:rPr>
        <w:t> </w:t>
      </w:r>
      <w:r>
        <w:rPr/>
        <w:t>lector</w:t>
      </w:r>
      <w:r>
        <w:rPr>
          <w:spacing w:val="-18"/>
        </w:rPr>
        <w:t> </w:t>
      </w:r>
      <w:r>
        <w:rPr/>
        <w:t>sobre</w:t>
      </w:r>
      <w:r>
        <w:rPr>
          <w:spacing w:val="-17"/>
        </w:rPr>
        <w:t> </w:t>
      </w:r>
      <w:r>
        <w:rPr/>
        <w:t>la</w:t>
      </w:r>
      <w:r>
        <w:rPr>
          <w:spacing w:val="-19"/>
        </w:rPr>
        <w:t> </w:t>
      </w:r>
      <w:r>
        <w:rPr/>
        <w:t>importancia</w:t>
      </w:r>
      <w:r>
        <w:rPr>
          <w:spacing w:val="-17"/>
        </w:rPr>
        <w:t> </w:t>
      </w:r>
      <w:r>
        <w:rPr/>
        <w:t>de</w:t>
      </w:r>
      <w:r>
        <w:rPr>
          <w:spacing w:val="-17"/>
        </w:rPr>
        <w:t> </w:t>
      </w:r>
      <w:r>
        <w:rPr/>
        <w:t>la</w:t>
      </w:r>
      <w:r>
        <w:rPr>
          <w:spacing w:val="-19"/>
        </w:rPr>
        <w:t> </w:t>
      </w:r>
      <w:r>
        <w:rPr/>
        <w:t>lucha contra la corrupción en el servicio público de</w:t>
      </w:r>
      <w:r>
        <w:rPr>
          <w:spacing w:val="-16"/>
        </w:rPr>
        <w:t> </w:t>
      </w:r>
      <w:r>
        <w:rPr/>
        <w:t>México.</w:t>
      </w:r>
    </w:p>
    <w:p>
      <w:pPr>
        <w:pStyle w:val="BodyText"/>
        <w:spacing w:line="360" w:lineRule="auto" w:before="2"/>
        <w:ind w:left="102" w:right="117" w:firstLine="427"/>
        <w:jc w:val="both"/>
      </w:pPr>
      <w:r>
        <w:rPr/>
        <w:t>Para ello, la estructura de la investigación se presenta en cuatro capítulos. En el</w:t>
      </w:r>
      <w:r>
        <w:rPr>
          <w:spacing w:val="-5"/>
        </w:rPr>
        <w:t> </w:t>
      </w:r>
      <w:r>
        <w:rPr/>
        <w:t>capítulo</w:t>
      </w:r>
      <w:r>
        <w:rPr>
          <w:spacing w:val="-4"/>
        </w:rPr>
        <w:t> </w:t>
      </w:r>
      <w:r>
        <w:rPr/>
        <w:t>primero</w:t>
      </w:r>
      <w:r>
        <w:rPr>
          <w:spacing w:val="-2"/>
        </w:rPr>
        <w:t> </w:t>
      </w:r>
      <w:r>
        <w:rPr/>
        <w:t>se</w:t>
      </w:r>
      <w:r>
        <w:rPr>
          <w:spacing w:val="-6"/>
        </w:rPr>
        <w:t> </w:t>
      </w:r>
      <w:r>
        <w:rPr/>
        <w:t>analiza</w:t>
      </w:r>
      <w:r>
        <w:rPr>
          <w:spacing w:val="-4"/>
        </w:rPr>
        <w:t> </w:t>
      </w:r>
      <w:r>
        <w:rPr/>
        <w:t>la</w:t>
      </w:r>
      <w:r>
        <w:rPr>
          <w:spacing w:val="-4"/>
        </w:rPr>
        <w:t> </w:t>
      </w:r>
      <w:r>
        <w:rPr/>
        <w:t>contribución</w:t>
      </w:r>
      <w:r>
        <w:rPr>
          <w:spacing w:val="-4"/>
        </w:rPr>
        <w:t> </w:t>
      </w:r>
      <w:r>
        <w:rPr/>
        <w:t>de la</w:t>
      </w:r>
      <w:r>
        <w:rPr>
          <w:spacing w:val="-4"/>
        </w:rPr>
        <w:t> </w:t>
      </w:r>
      <w:r>
        <w:rPr/>
        <w:t>ciencia</w:t>
      </w:r>
      <w:r>
        <w:rPr>
          <w:spacing w:val="-4"/>
        </w:rPr>
        <w:t> </w:t>
      </w:r>
      <w:r>
        <w:rPr/>
        <w:t>política</w:t>
      </w:r>
      <w:r>
        <w:rPr>
          <w:spacing w:val="-4"/>
        </w:rPr>
        <w:t> </w:t>
      </w:r>
      <w:r>
        <w:rPr/>
        <w:t>en</w:t>
      </w:r>
      <w:r>
        <w:rPr>
          <w:spacing w:val="-4"/>
        </w:rPr>
        <w:t> </w:t>
      </w:r>
      <w:r>
        <w:rPr/>
        <w:t>el</w:t>
      </w:r>
      <w:r>
        <w:rPr>
          <w:spacing w:val="-5"/>
        </w:rPr>
        <w:t> </w:t>
      </w:r>
      <w:r>
        <w:rPr/>
        <w:t>contexto</w:t>
      </w:r>
      <w:r>
        <w:rPr>
          <w:spacing w:val="-3"/>
        </w:rPr>
        <w:t> </w:t>
      </w:r>
      <w:r>
        <w:rPr/>
        <w:t>de los sistemas políticos de países avanzados y emergentes–mediante el enfoque</w:t>
      </w:r>
      <w:r>
        <w:rPr>
          <w:spacing w:val="44"/>
        </w:rPr>
        <w:t> </w:t>
      </w:r>
      <w:r>
        <w:rPr/>
        <w:t>de</w:t>
      </w:r>
    </w:p>
    <w:p>
      <w:pPr>
        <w:spacing w:after="0" w:line="360" w:lineRule="auto"/>
        <w:jc w:val="both"/>
        <w:sectPr>
          <w:pgSz w:w="12240" w:h="15840"/>
          <w:pgMar w:header="0" w:footer="1003" w:top="1360" w:bottom="1200" w:left="1600" w:right="1580"/>
        </w:sectPr>
      </w:pPr>
    </w:p>
    <w:p>
      <w:pPr>
        <w:pStyle w:val="BodyText"/>
        <w:spacing w:line="362" w:lineRule="auto" w:before="54"/>
        <w:ind w:left="102" w:right="226"/>
      </w:pPr>
      <w:r>
        <w:rPr/>
        <w:t>la gobernanza- y se considera que la atención de las demandas de la sociedad genera gobernabilidad y sistemas políticos eficientes.</w:t>
      </w:r>
    </w:p>
    <w:p>
      <w:pPr>
        <w:pStyle w:val="BodyText"/>
        <w:spacing w:line="360" w:lineRule="auto"/>
        <w:ind w:left="102" w:right="197" w:firstLine="427"/>
        <w:jc w:val="right"/>
      </w:pPr>
      <w:r>
        <w:rPr/>
        <w:t>Las diversas formas de control que el Estado usa para lograr la legitimidad</w:t>
      </w:r>
      <w:r>
        <w:rPr>
          <w:spacing w:val="-4"/>
        </w:rPr>
        <w:t> </w:t>
      </w:r>
      <w:r>
        <w:rPr/>
        <w:t>y</w:t>
      </w:r>
      <w:r>
        <w:rPr>
          <w:spacing w:val="-2"/>
        </w:rPr>
        <w:t> </w:t>
      </w:r>
      <w:r>
        <w:rPr/>
        <w:t>el</w:t>
      </w:r>
      <w:r>
        <w:rPr>
          <w:w w:val="99"/>
        </w:rPr>
        <w:t> </w:t>
      </w:r>
      <w:r>
        <w:rPr/>
        <w:t>buen</w:t>
      </w:r>
      <w:r>
        <w:rPr>
          <w:spacing w:val="58"/>
        </w:rPr>
        <w:t> </w:t>
      </w:r>
      <w:r>
        <w:rPr/>
        <w:t>gobierno</w:t>
      </w:r>
      <w:r>
        <w:rPr>
          <w:spacing w:val="58"/>
        </w:rPr>
        <w:t> </w:t>
      </w:r>
      <w:r>
        <w:rPr/>
        <w:t>se</w:t>
      </w:r>
      <w:r>
        <w:rPr>
          <w:spacing w:val="58"/>
        </w:rPr>
        <w:t> </w:t>
      </w:r>
      <w:r>
        <w:rPr/>
        <w:t>revisan</w:t>
      </w:r>
      <w:r>
        <w:rPr>
          <w:spacing w:val="58"/>
        </w:rPr>
        <w:t> </w:t>
      </w:r>
      <w:r>
        <w:rPr/>
        <w:t>en</w:t>
      </w:r>
      <w:r>
        <w:rPr>
          <w:spacing w:val="55"/>
        </w:rPr>
        <w:t> </w:t>
      </w:r>
      <w:r>
        <w:rPr/>
        <w:t>el</w:t>
      </w:r>
      <w:r>
        <w:rPr>
          <w:spacing w:val="57"/>
        </w:rPr>
        <w:t> </w:t>
      </w:r>
      <w:r>
        <w:rPr/>
        <w:t>capítulo</w:t>
      </w:r>
      <w:r>
        <w:rPr>
          <w:spacing w:val="58"/>
        </w:rPr>
        <w:t> </w:t>
      </w:r>
      <w:r>
        <w:rPr/>
        <w:t>segundo.</w:t>
      </w:r>
      <w:r>
        <w:rPr>
          <w:spacing w:val="55"/>
        </w:rPr>
        <w:t> </w:t>
      </w:r>
      <w:r>
        <w:rPr/>
        <w:t>Para</w:t>
      </w:r>
      <w:r>
        <w:rPr>
          <w:spacing w:val="55"/>
        </w:rPr>
        <w:t> </w:t>
      </w:r>
      <w:r>
        <w:rPr/>
        <w:t>ello,</w:t>
      </w:r>
      <w:r>
        <w:rPr>
          <w:spacing w:val="58"/>
        </w:rPr>
        <w:t> </w:t>
      </w:r>
      <w:r>
        <w:rPr/>
        <w:t>se</w:t>
      </w:r>
      <w:r>
        <w:rPr>
          <w:spacing w:val="56"/>
        </w:rPr>
        <w:t> </w:t>
      </w:r>
      <w:r>
        <w:rPr/>
        <w:t>describen</w:t>
      </w:r>
      <w:r>
        <w:rPr>
          <w:spacing w:val="58"/>
        </w:rPr>
        <w:t> </w:t>
      </w:r>
      <w:r>
        <w:rPr/>
        <w:t>las características principales de los regímenes políticos democráticos,</w:t>
      </w:r>
      <w:r>
        <w:rPr>
          <w:spacing w:val="60"/>
        </w:rPr>
        <w:t> </w:t>
      </w:r>
      <w:r>
        <w:rPr/>
        <w:t>la</w:t>
      </w:r>
      <w:r>
        <w:rPr>
          <w:spacing w:val="8"/>
        </w:rPr>
        <w:t> </w:t>
      </w:r>
      <w:r>
        <w:rPr/>
        <w:t>importancia</w:t>
      </w:r>
      <w:r>
        <w:rPr>
          <w:w w:val="99"/>
        </w:rPr>
        <w:t> </w:t>
      </w:r>
      <w:r>
        <w:rPr/>
        <w:t>del</w:t>
      </w:r>
      <w:r>
        <w:rPr>
          <w:spacing w:val="-18"/>
        </w:rPr>
        <w:t> </w:t>
      </w:r>
      <w:r>
        <w:rPr/>
        <w:t>control</w:t>
      </w:r>
      <w:r>
        <w:rPr>
          <w:spacing w:val="-18"/>
        </w:rPr>
        <w:t> </w:t>
      </w:r>
      <w:r>
        <w:rPr/>
        <w:t>del</w:t>
      </w:r>
      <w:r>
        <w:rPr>
          <w:spacing w:val="-18"/>
        </w:rPr>
        <w:t> </w:t>
      </w:r>
      <w:r>
        <w:rPr/>
        <w:t>Estado</w:t>
      </w:r>
      <w:r>
        <w:rPr>
          <w:spacing w:val="-18"/>
        </w:rPr>
        <w:t> </w:t>
      </w:r>
      <w:r>
        <w:rPr/>
        <w:t>mediante</w:t>
      </w:r>
      <w:r>
        <w:rPr>
          <w:spacing w:val="-17"/>
        </w:rPr>
        <w:t> </w:t>
      </w:r>
      <w:r>
        <w:rPr/>
        <w:t>el</w:t>
      </w:r>
      <w:r>
        <w:rPr>
          <w:spacing w:val="-18"/>
        </w:rPr>
        <w:t> </w:t>
      </w:r>
      <w:r>
        <w:rPr/>
        <w:t>equilibrio</w:t>
      </w:r>
      <w:r>
        <w:rPr>
          <w:spacing w:val="-17"/>
        </w:rPr>
        <w:t> </w:t>
      </w:r>
      <w:r>
        <w:rPr/>
        <w:t>de</w:t>
      </w:r>
      <w:r>
        <w:rPr>
          <w:spacing w:val="-17"/>
        </w:rPr>
        <w:t> </w:t>
      </w:r>
      <w:r>
        <w:rPr/>
        <w:t>poderes</w:t>
      </w:r>
      <w:r>
        <w:rPr>
          <w:spacing w:val="-17"/>
        </w:rPr>
        <w:t> </w:t>
      </w:r>
      <w:r>
        <w:rPr/>
        <w:t>y</w:t>
      </w:r>
      <w:r>
        <w:rPr>
          <w:spacing w:val="-19"/>
        </w:rPr>
        <w:t> </w:t>
      </w:r>
      <w:r>
        <w:rPr/>
        <w:t>de</w:t>
      </w:r>
      <w:r>
        <w:rPr>
          <w:spacing w:val="-17"/>
        </w:rPr>
        <w:t> </w:t>
      </w:r>
      <w:r>
        <w:rPr/>
        <w:t>la</w:t>
      </w:r>
      <w:r>
        <w:rPr>
          <w:spacing w:val="-17"/>
        </w:rPr>
        <w:t> </w:t>
      </w:r>
      <w:r>
        <w:rPr/>
        <w:t>rendición</w:t>
      </w:r>
      <w:r>
        <w:rPr>
          <w:spacing w:val="-16"/>
        </w:rPr>
        <w:t> </w:t>
      </w:r>
      <w:r>
        <w:rPr/>
        <w:t>de</w:t>
      </w:r>
      <w:r>
        <w:rPr>
          <w:spacing w:val="-17"/>
        </w:rPr>
        <w:t> </w:t>
      </w:r>
      <w:r>
        <w:rPr/>
        <w:t>cuentas.</w:t>
      </w:r>
      <w:r>
        <w:rPr>
          <w:w w:val="100"/>
        </w:rPr>
        <w:t> </w:t>
      </w:r>
      <w:r>
        <w:rPr/>
        <w:t>En</w:t>
      </w:r>
      <w:r>
        <w:rPr>
          <w:spacing w:val="35"/>
        </w:rPr>
        <w:t> </w:t>
      </w:r>
      <w:r>
        <w:rPr/>
        <w:t>el</w:t>
      </w:r>
      <w:r>
        <w:rPr>
          <w:spacing w:val="34"/>
        </w:rPr>
        <w:t> </w:t>
      </w:r>
      <w:r>
        <w:rPr/>
        <w:t>capítulo</w:t>
      </w:r>
      <w:r>
        <w:rPr>
          <w:spacing w:val="35"/>
        </w:rPr>
        <w:t> </w:t>
      </w:r>
      <w:r>
        <w:rPr/>
        <w:t>tercero,</w:t>
      </w:r>
      <w:r>
        <w:rPr>
          <w:spacing w:val="32"/>
        </w:rPr>
        <w:t> </w:t>
      </w:r>
      <w:r>
        <w:rPr/>
        <w:t>se</w:t>
      </w:r>
      <w:r>
        <w:rPr>
          <w:spacing w:val="35"/>
        </w:rPr>
        <w:t> </w:t>
      </w:r>
      <w:r>
        <w:rPr/>
        <w:t>analizan</w:t>
      </w:r>
      <w:r>
        <w:rPr>
          <w:spacing w:val="35"/>
        </w:rPr>
        <w:t> </w:t>
      </w:r>
      <w:r>
        <w:rPr/>
        <w:t>algunos</w:t>
      </w:r>
      <w:r>
        <w:rPr>
          <w:spacing w:val="32"/>
        </w:rPr>
        <w:t> </w:t>
      </w:r>
      <w:r>
        <w:rPr/>
        <w:t>de</w:t>
      </w:r>
      <w:r>
        <w:rPr>
          <w:spacing w:val="35"/>
        </w:rPr>
        <w:t> </w:t>
      </w:r>
      <w:r>
        <w:rPr/>
        <w:t>los</w:t>
      </w:r>
      <w:r>
        <w:rPr>
          <w:spacing w:val="35"/>
        </w:rPr>
        <w:t> </w:t>
      </w:r>
      <w:r>
        <w:rPr/>
        <w:t>elementos</w:t>
      </w:r>
      <w:r>
        <w:rPr>
          <w:spacing w:val="34"/>
        </w:rPr>
        <w:t> </w:t>
      </w:r>
      <w:r>
        <w:rPr/>
        <w:t>históricos</w:t>
      </w:r>
      <w:r>
        <w:rPr>
          <w:spacing w:val="34"/>
        </w:rPr>
        <w:t> </w:t>
      </w:r>
      <w:r>
        <w:rPr/>
        <w:t>más importantes de cultura política que han impedido a México tener éxito</w:t>
      </w:r>
      <w:r>
        <w:rPr>
          <w:spacing w:val="25"/>
        </w:rPr>
        <w:t> </w:t>
      </w:r>
      <w:r>
        <w:rPr/>
        <w:t>hacia</w:t>
      </w:r>
      <w:r>
        <w:rPr>
          <w:spacing w:val="7"/>
        </w:rPr>
        <w:t> </w:t>
      </w:r>
      <w:r>
        <w:rPr/>
        <w:t>lograr</w:t>
      </w:r>
      <w:r>
        <w:rPr>
          <w:w w:val="99"/>
        </w:rPr>
        <w:t> </w:t>
      </w:r>
      <w:r>
        <w:rPr/>
        <w:t>el</w:t>
      </w:r>
      <w:r>
        <w:rPr>
          <w:spacing w:val="-8"/>
        </w:rPr>
        <w:t> </w:t>
      </w:r>
      <w:r>
        <w:rPr/>
        <w:t>buen</w:t>
      </w:r>
      <w:r>
        <w:rPr>
          <w:spacing w:val="-7"/>
        </w:rPr>
        <w:t> </w:t>
      </w:r>
      <w:r>
        <w:rPr/>
        <w:t>gobierno.</w:t>
      </w:r>
      <w:r>
        <w:rPr>
          <w:spacing w:val="-7"/>
        </w:rPr>
        <w:t> </w:t>
      </w:r>
      <w:r>
        <w:rPr/>
        <w:t>Aunque</w:t>
      </w:r>
      <w:r>
        <w:rPr>
          <w:spacing w:val="-7"/>
        </w:rPr>
        <w:t> </w:t>
      </w:r>
      <w:r>
        <w:rPr/>
        <w:t>resultan</w:t>
      </w:r>
      <w:r>
        <w:rPr>
          <w:spacing w:val="-9"/>
        </w:rPr>
        <w:t> </w:t>
      </w:r>
      <w:r>
        <w:rPr/>
        <w:t>ambiguos</w:t>
      </w:r>
      <w:r>
        <w:rPr>
          <w:spacing w:val="-10"/>
        </w:rPr>
        <w:t> </w:t>
      </w:r>
      <w:r>
        <w:rPr/>
        <w:t>para</w:t>
      </w:r>
      <w:r>
        <w:rPr>
          <w:spacing w:val="-8"/>
        </w:rPr>
        <w:t> </w:t>
      </w:r>
      <w:r>
        <w:rPr/>
        <w:t>un</w:t>
      </w:r>
      <w:r>
        <w:rPr>
          <w:spacing w:val="-7"/>
        </w:rPr>
        <w:t> </w:t>
      </w:r>
      <w:r>
        <w:rPr/>
        <w:t>análisis</w:t>
      </w:r>
      <w:r>
        <w:rPr>
          <w:spacing w:val="-8"/>
        </w:rPr>
        <w:t> </w:t>
      </w:r>
      <w:r>
        <w:rPr/>
        <w:t>detallado,</w:t>
      </w:r>
      <w:r>
        <w:rPr>
          <w:spacing w:val="-7"/>
        </w:rPr>
        <w:t> </w:t>
      </w:r>
      <w:r>
        <w:rPr/>
        <w:t>sirven</w:t>
      </w:r>
      <w:r>
        <w:rPr>
          <w:spacing w:val="-7"/>
        </w:rPr>
        <w:t> </w:t>
      </w:r>
      <w:r>
        <w:rPr/>
        <w:t>para</w:t>
      </w:r>
    </w:p>
    <w:p>
      <w:pPr>
        <w:pStyle w:val="BodyText"/>
        <w:spacing w:before="3"/>
        <w:ind w:left="102" w:right="226"/>
      </w:pPr>
      <w:r>
        <w:rPr/>
        <w:t>explicar </w:t>
      </w:r>
      <w:r>
        <w:rPr>
          <w:i/>
        </w:rPr>
        <w:t>grosso modo </w:t>
      </w:r>
      <w:r>
        <w:rPr/>
        <w:t>la inestabilidad política actual del país.</w:t>
      </w:r>
    </w:p>
    <w:p>
      <w:pPr>
        <w:pStyle w:val="BodyText"/>
        <w:spacing w:line="360" w:lineRule="auto" w:before="139"/>
        <w:ind w:left="102" w:right="102" w:firstLine="427"/>
        <w:jc w:val="both"/>
      </w:pPr>
      <w:r>
        <w:rPr/>
        <w:t>La</w:t>
      </w:r>
      <w:r>
        <w:rPr>
          <w:spacing w:val="-9"/>
        </w:rPr>
        <w:t> </w:t>
      </w:r>
      <w:r>
        <w:rPr/>
        <w:t>importancia</w:t>
      </w:r>
      <w:r>
        <w:rPr>
          <w:spacing w:val="-10"/>
        </w:rPr>
        <w:t> </w:t>
      </w:r>
      <w:r>
        <w:rPr/>
        <w:t>de</w:t>
      </w:r>
      <w:r>
        <w:rPr>
          <w:spacing w:val="-9"/>
        </w:rPr>
        <w:t> </w:t>
      </w:r>
      <w:r>
        <w:rPr/>
        <w:t>una</w:t>
      </w:r>
      <w:r>
        <w:rPr>
          <w:spacing w:val="-12"/>
        </w:rPr>
        <w:t> </w:t>
      </w:r>
      <w:r>
        <w:rPr/>
        <w:t>rendición</w:t>
      </w:r>
      <w:r>
        <w:rPr>
          <w:spacing w:val="-12"/>
        </w:rPr>
        <w:t> </w:t>
      </w:r>
      <w:r>
        <w:rPr/>
        <w:t>de</w:t>
      </w:r>
      <w:r>
        <w:rPr>
          <w:spacing w:val="-9"/>
        </w:rPr>
        <w:t> </w:t>
      </w:r>
      <w:r>
        <w:rPr/>
        <w:t>cuentas</w:t>
      </w:r>
      <w:r>
        <w:rPr>
          <w:spacing w:val="-10"/>
        </w:rPr>
        <w:t> </w:t>
      </w:r>
      <w:r>
        <w:rPr/>
        <w:t>eficiente</w:t>
      </w:r>
      <w:r>
        <w:rPr>
          <w:spacing w:val="-11"/>
        </w:rPr>
        <w:t> </w:t>
      </w:r>
      <w:r>
        <w:rPr/>
        <w:t>para</w:t>
      </w:r>
      <w:r>
        <w:rPr>
          <w:spacing w:val="-10"/>
        </w:rPr>
        <w:t> </w:t>
      </w:r>
      <w:r>
        <w:rPr/>
        <w:t>garantizar</w:t>
      </w:r>
      <w:r>
        <w:rPr>
          <w:spacing w:val="-11"/>
        </w:rPr>
        <w:t> </w:t>
      </w:r>
      <w:r>
        <w:rPr/>
        <w:t>el</w:t>
      </w:r>
      <w:r>
        <w:rPr>
          <w:spacing w:val="-11"/>
        </w:rPr>
        <w:t> </w:t>
      </w:r>
      <w:r>
        <w:rPr/>
        <w:t>equilibrio de poderes y reducir el déficit democrático se analiza en el capítulo cuarto. Se presentan</w:t>
      </w:r>
      <w:r>
        <w:rPr>
          <w:spacing w:val="-6"/>
        </w:rPr>
        <w:t> </w:t>
      </w:r>
      <w:r>
        <w:rPr/>
        <w:t>también</w:t>
      </w:r>
      <w:r>
        <w:rPr>
          <w:spacing w:val="-6"/>
        </w:rPr>
        <w:t> </w:t>
      </w:r>
      <w:r>
        <w:rPr/>
        <w:t>los</w:t>
      </w:r>
      <w:r>
        <w:rPr>
          <w:spacing w:val="-10"/>
        </w:rPr>
        <w:t> </w:t>
      </w:r>
      <w:r>
        <w:rPr/>
        <w:t>aspectos</w:t>
      </w:r>
      <w:r>
        <w:rPr>
          <w:spacing w:val="-8"/>
        </w:rPr>
        <w:t> </w:t>
      </w:r>
      <w:r>
        <w:rPr/>
        <w:t>más</w:t>
      </w:r>
      <w:r>
        <w:rPr>
          <w:spacing w:val="-8"/>
        </w:rPr>
        <w:t> </w:t>
      </w:r>
      <w:r>
        <w:rPr/>
        <w:t>importantes</w:t>
      </w:r>
      <w:r>
        <w:rPr>
          <w:spacing w:val="-8"/>
        </w:rPr>
        <w:t> </w:t>
      </w:r>
      <w:r>
        <w:rPr/>
        <w:t>que</w:t>
      </w:r>
      <w:r>
        <w:rPr>
          <w:spacing w:val="-9"/>
        </w:rPr>
        <w:t> </w:t>
      </w:r>
      <w:r>
        <w:rPr/>
        <w:t>ha</w:t>
      </w:r>
      <w:r>
        <w:rPr>
          <w:spacing w:val="-7"/>
        </w:rPr>
        <w:t> </w:t>
      </w:r>
      <w:r>
        <w:rPr/>
        <w:t>emprendido</w:t>
      </w:r>
      <w:r>
        <w:rPr>
          <w:spacing w:val="-7"/>
        </w:rPr>
        <w:t> </w:t>
      </w:r>
      <w:r>
        <w:rPr/>
        <w:t>el</w:t>
      </w:r>
      <w:r>
        <w:rPr>
          <w:spacing w:val="-8"/>
        </w:rPr>
        <w:t> </w:t>
      </w:r>
      <w:r>
        <w:rPr/>
        <w:t>Estado</w:t>
      </w:r>
      <w:r>
        <w:rPr>
          <w:spacing w:val="-9"/>
        </w:rPr>
        <w:t> </w:t>
      </w:r>
      <w:r>
        <w:rPr/>
        <w:t>para avanzar hacia la legitimidad y democracia y los resultados de </w:t>
      </w:r>
      <w:r>
        <w:rPr>
          <w:spacing w:val="2"/>
        </w:rPr>
        <w:t>la </w:t>
      </w:r>
      <w:r>
        <w:rPr/>
        <w:t>política pública de combate a la</w:t>
      </w:r>
      <w:r>
        <w:rPr>
          <w:spacing w:val="-7"/>
        </w:rPr>
        <w:t> </w:t>
      </w:r>
      <w:r>
        <w:rPr/>
        <w:t>corrupción.</w:t>
      </w:r>
    </w:p>
    <w:p>
      <w:pPr>
        <w:pStyle w:val="BodyText"/>
        <w:spacing w:line="360" w:lineRule="auto" w:before="5"/>
        <w:ind w:left="102" w:right="102" w:firstLine="427"/>
        <w:jc w:val="both"/>
      </w:pPr>
      <w:r>
        <w:rPr/>
        <w:t>Una de las conclusiones más importantes, es que se requiere mayor participación social en exigir cuentas al Estado. Esto solo se logra cuando cada habitante se concientiza que los bajos niveles de vida y de desarrollo humano pueden subsanarse si se exige al Estado regirse por principios políticos.</w:t>
      </w:r>
    </w:p>
    <w:p>
      <w:pPr>
        <w:spacing w:after="0" w:line="360" w:lineRule="auto"/>
        <w:jc w:val="both"/>
        <w:sectPr>
          <w:pgSz w:w="12240" w:h="15840"/>
          <w:pgMar w:header="0" w:footer="1003" w:top="1360" w:bottom="1200" w:left="1600" w:right="1500"/>
        </w:sectPr>
      </w:pPr>
    </w:p>
    <w:p>
      <w:pPr>
        <w:pStyle w:val="Heading1"/>
        <w:ind w:left="122"/>
        <w:jc w:val="both"/>
      </w:pPr>
      <w:bookmarkStart w:name="_bookmark1" w:id="2"/>
      <w:bookmarkEnd w:id="2"/>
      <w:r>
        <w:rPr>
          <w:b w:val="0"/>
        </w:rPr>
      </w:r>
      <w:r>
        <w:rPr/>
        <w:t>CAPÍTULO PRIMERO. LA GOBERNANZA</w:t>
      </w:r>
    </w:p>
    <w:p>
      <w:pPr>
        <w:pStyle w:val="Heading1"/>
        <w:numPr>
          <w:ilvl w:val="1"/>
          <w:numId w:val="7"/>
        </w:numPr>
        <w:tabs>
          <w:tab w:pos="590" w:val="left" w:leader="none"/>
        </w:tabs>
        <w:spacing w:line="240" w:lineRule="auto" w:before="249" w:after="0"/>
        <w:ind w:left="589" w:right="0" w:hanging="467"/>
        <w:jc w:val="both"/>
      </w:pPr>
      <w:bookmarkStart w:name="_bookmark2" w:id="3"/>
      <w:bookmarkEnd w:id="3"/>
      <w:r>
        <w:rPr>
          <w:b w:val="0"/>
        </w:rPr>
      </w:r>
      <w:bookmarkStart w:name="_bookmark2" w:id="4"/>
      <w:bookmarkEnd w:id="4"/>
      <w:r>
        <w:rPr/>
        <w:t>Si</w:t>
      </w:r>
      <w:r>
        <w:rPr/>
        <w:t>stema político, gobernabilidad y</w:t>
      </w:r>
      <w:r>
        <w:rPr>
          <w:spacing w:val="-28"/>
        </w:rPr>
        <w:t> </w:t>
      </w:r>
      <w:r>
        <w:rPr/>
        <w:t>gobernanza</w:t>
      </w:r>
    </w:p>
    <w:p>
      <w:pPr>
        <w:pStyle w:val="BodyText"/>
        <w:spacing w:before="7"/>
        <w:rPr>
          <w:b/>
          <w:sz w:val="41"/>
        </w:rPr>
      </w:pPr>
    </w:p>
    <w:p>
      <w:pPr>
        <w:pStyle w:val="BodyText"/>
        <w:spacing w:line="360" w:lineRule="auto"/>
        <w:ind w:left="122" w:right="115"/>
        <w:jc w:val="both"/>
      </w:pPr>
      <w:r>
        <w:rPr/>
        <w:t>El</w:t>
      </w:r>
      <w:r>
        <w:rPr>
          <w:spacing w:val="-11"/>
        </w:rPr>
        <w:t> </w:t>
      </w:r>
      <w:r>
        <w:rPr/>
        <w:t>enfoque</w:t>
      </w:r>
      <w:r>
        <w:rPr>
          <w:spacing w:val="-8"/>
        </w:rPr>
        <w:t> </w:t>
      </w:r>
      <w:r>
        <w:rPr/>
        <w:t>de</w:t>
      </w:r>
      <w:r>
        <w:rPr>
          <w:spacing w:val="-9"/>
        </w:rPr>
        <w:t> </w:t>
      </w:r>
      <w:r>
        <w:rPr/>
        <w:t>la</w:t>
      </w:r>
      <w:r>
        <w:rPr>
          <w:spacing w:val="-9"/>
        </w:rPr>
        <w:t> </w:t>
      </w:r>
      <w:r>
        <w:rPr/>
        <w:t>gobernanza</w:t>
      </w:r>
      <w:r>
        <w:rPr>
          <w:spacing w:val="-9"/>
        </w:rPr>
        <w:t> </w:t>
      </w:r>
      <w:r>
        <w:rPr/>
        <w:t>(como</w:t>
      </w:r>
      <w:r>
        <w:rPr>
          <w:spacing w:val="-10"/>
        </w:rPr>
        <w:t> </w:t>
      </w:r>
      <w:r>
        <w:rPr/>
        <w:t>suele</w:t>
      </w:r>
      <w:r>
        <w:rPr>
          <w:spacing w:val="-10"/>
        </w:rPr>
        <w:t> </w:t>
      </w:r>
      <w:r>
        <w:rPr/>
        <w:t>ser</w:t>
      </w:r>
      <w:r>
        <w:rPr>
          <w:spacing w:val="-13"/>
        </w:rPr>
        <w:t> </w:t>
      </w:r>
      <w:r>
        <w:rPr/>
        <w:t>traducida</w:t>
      </w:r>
      <w:r>
        <w:rPr>
          <w:spacing w:val="-9"/>
        </w:rPr>
        <w:t> </w:t>
      </w:r>
      <w:r>
        <w:rPr/>
        <w:t>del</w:t>
      </w:r>
      <w:r>
        <w:rPr>
          <w:spacing w:val="-13"/>
        </w:rPr>
        <w:t> </w:t>
      </w:r>
      <w:r>
        <w:rPr/>
        <w:t>anglosajón</w:t>
      </w:r>
      <w:r>
        <w:rPr>
          <w:spacing w:val="-2"/>
        </w:rPr>
        <w:t> </w:t>
      </w:r>
      <w:r>
        <w:rPr>
          <w:i/>
        </w:rPr>
        <w:t>governance) </w:t>
      </w:r>
      <w:r>
        <w:rPr/>
        <w:t>surge durante las décadas sesenta y setenta en los países que conforman la UE como una nueva forma de organización del Estado orientada hacia el “buen gobierno”.</w:t>
      </w:r>
    </w:p>
    <w:p>
      <w:pPr>
        <w:pStyle w:val="BodyText"/>
        <w:spacing w:line="357" w:lineRule="auto" w:before="2"/>
        <w:ind w:left="122" w:right="115" w:firstLine="427"/>
        <w:jc w:val="both"/>
      </w:pPr>
      <w:r>
        <w:rPr/>
        <w:t>De acuerdo con la ciencia política, la gobernanza es la forma de organización del</w:t>
      </w:r>
      <w:r>
        <w:rPr>
          <w:spacing w:val="-18"/>
        </w:rPr>
        <w:t> </w:t>
      </w:r>
      <w:r>
        <w:rPr/>
        <w:t>Estado</w:t>
      </w:r>
      <w:r>
        <w:rPr>
          <w:position w:val="8"/>
          <w:sz w:val="16"/>
        </w:rPr>
        <w:t>1</w:t>
      </w:r>
      <w:r>
        <w:rPr>
          <w:spacing w:val="4"/>
          <w:position w:val="8"/>
          <w:sz w:val="16"/>
        </w:rPr>
        <w:t> </w:t>
      </w:r>
      <w:r>
        <w:rPr/>
        <w:t>en</w:t>
      </w:r>
      <w:r>
        <w:rPr>
          <w:spacing w:val="-19"/>
        </w:rPr>
        <w:t> </w:t>
      </w:r>
      <w:r>
        <w:rPr/>
        <w:t>la</w:t>
      </w:r>
      <w:r>
        <w:rPr>
          <w:spacing w:val="-17"/>
        </w:rPr>
        <w:t> </w:t>
      </w:r>
      <w:r>
        <w:rPr/>
        <w:t>cual</w:t>
      </w:r>
      <w:r>
        <w:rPr>
          <w:spacing w:val="-18"/>
        </w:rPr>
        <w:t> </w:t>
      </w:r>
      <w:r>
        <w:rPr/>
        <w:t>se</w:t>
      </w:r>
      <w:r>
        <w:rPr>
          <w:spacing w:val="-17"/>
        </w:rPr>
        <w:t> </w:t>
      </w:r>
      <w:r>
        <w:rPr/>
        <w:t>permite</w:t>
      </w:r>
      <w:r>
        <w:rPr>
          <w:spacing w:val="-17"/>
        </w:rPr>
        <w:t> </w:t>
      </w:r>
      <w:r>
        <w:rPr/>
        <w:t>la</w:t>
      </w:r>
      <w:r>
        <w:rPr>
          <w:spacing w:val="-17"/>
        </w:rPr>
        <w:t> </w:t>
      </w:r>
      <w:r>
        <w:rPr/>
        <w:t>participación</w:t>
      </w:r>
      <w:r>
        <w:rPr>
          <w:spacing w:val="-17"/>
        </w:rPr>
        <w:t> </w:t>
      </w:r>
      <w:r>
        <w:rPr/>
        <w:t>del</w:t>
      </w:r>
      <w:r>
        <w:rPr>
          <w:spacing w:val="-18"/>
        </w:rPr>
        <w:t> </w:t>
      </w:r>
      <w:r>
        <w:rPr/>
        <w:t>sector</w:t>
      </w:r>
      <w:r>
        <w:rPr>
          <w:spacing w:val="-18"/>
        </w:rPr>
        <w:t> </w:t>
      </w:r>
      <w:r>
        <w:rPr/>
        <w:t>privado</w:t>
      </w:r>
      <w:r>
        <w:rPr>
          <w:spacing w:val="-17"/>
        </w:rPr>
        <w:t> </w:t>
      </w:r>
      <w:r>
        <w:rPr/>
        <w:t>en</w:t>
      </w:r>
      <w:r>
        <w:rPr>
          <w:spacing w:val="-17"/>
        </w:rPr>
        <w:t> </w:t>
      </w:r>
      <w:r>
        <w:rPr/>
        <w:t>las</w:t>
      </w:r>
      <w:r>
        <w:rPr>
          <w:spacing w:val="-17"/>
        </w:rPr>
        <w:t> </w:t>
      </w:r>
      <w:r>
        <w:rPr/>
        <w:t>decisiones e instrumentación de la política</w:t>
      </w:r>
      <w:r>
        <w:rPr>
          <w:position w:val="8"/>
          <w:sz w:val="16"/>
        </w:rPr>
        <w:t>2 </w:t>
      </w:r>
      <w:r>
        <w:rPr/>
        <w:t>y tiene lugar dentro del sistema político. Tanto las contribuciones académicas como de las instituciones gubernamentales y no gubernamentales</w:t>
      </w:r>
      <w:r>
        <w:rPr>
          <w:position w:val="8"/>
          <w:sz w:val="16"/>
        </w:rPr>
        <w:t>3</w:t>
      </w:r>
      <w:r>
        <w:rPr/>
        <w:t>(Peters, 2003: 53) difundieron el término y ha analizado sus alcances y limitaciones. En este capítulo se analiza la utilidad teórica y empírica de la gobernanza en el contexto de los sistemas políticos de países avanzados y emergentes en la política, en el Estado y en las instituciones de rendición de cuentas.</w:t>
      </w:r>
    </w:p>
    <w:p>
      <w:pPr>
        <w:pStyle w:val="BodyText"/>
        <w:spacing w:line="360" w:lineRule="auto" w:before="8"/>
        <w:ind w:left="122" w:right="119" w:firstLine="427"/>
        <w:jc w:val="both"/>
      </w:pPr>
      <w:r>
        <w:rPr/>
        <w:t>Algunos autores han realizado esfuerzos para clasificar la gobernanza (redes, instrumentos de participación y paternario), sin embargo, todas ellas se orientan a analizar la inclusión del sector privado en las actividades del Estado, es decir, en las decisiones públicas.</w:t>
      </w:r>
    </w:p>
    <w:p>
      <w:pPr>
        <w:pStyle w:val="BodyText"/>
        <w:spacing w:line="360" w:lineRule="auto" w:before="2"/>
        <w:ind w:left="122" w:right="116" w:firstLine="427"/>
        <w:jc w:val="both"/>
      </w:pPr>
      <w:r>
        <w:rPr/>
        <w:t>El término gobernabilidad (</w:t>
      </w:r>
      <w:r>
        <w:rPr>
          <w:i/>
        </w:rPr>
        <w:t>goverment</w:t>
      </w:r>
      <w:r>
        <w:rPr/>
        <w:t>) fue desde sus inicios un término muy general y envolvente que se refiere a los efectos de la gobernanza (</w:t>
      </w:r>
      <w:r>
        <w:rPr>
          <w:i/>
        </w:rPr>
        <w:t>governance </w:t>
      </w:r>
      <w:r>
        <w:rPr/>
        <w:t>o gobierno) en la política, la economía y en los aspectos sociales. El empleo del término gobernabilidad se desprende de la tesis que las demandas y  expectativas</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1768;mso-wrap-distance-left:0;mso-wrap-distance-right:0" from="85.103996pt,18.185871pt" to="229.123996pt,18.185871pt" stroked="true" strokeweight=".71997pt" strokecolor="#000000">
            <w10:wrap type="topAndBottom"/>
          </v:line>
        </w:pict>
      </w:r>
    </w:p>
    <w:p>
      <w:pPr>
        <w:spacing w:line="249" w:lineRule="auto" w:before="60"/>
        <w:ind w:left="122" w:right="117" w:firstLine="0"/>
        <w:jc w:val="both"/>
        <w:rPr>
          <w:i/>
          <w:sz w:val="16"/>
        </w:rPr>
      </w:pPr>
      <w:r>
        <w:rPr>
          <w:rFonts w:ascii="Times New Roman" w:hAnsi="Times New Roman"/>
          <w:position w:val="7"/>
          <w:sz w:val="13"/>
        </w:rPr>
        <w:t>1</w:t>
      </w:r>
      <w:r>
        <w:rPr>
          <w:sz w:val="16"/>
        </w:rPr>
        <w:t>El Estado, de acuerdo con Max Weber se considera como “una comunidad humana que reclama para sí el monopolio del uso legítimo de la fuerza física en un territorio determinado. El Estado es considerado </w:t>
      </w:r>
      <w:r>
        <w:rPr>
          <w:i/>
          <w:sz w:val="16"/>
        </w:rPr>
        <w:t>la única fuente del derecho de usar </w:t>
      </w:r>
      <w:r>
        <w:rPr>
          <w:i/>
          <w:sz w:val="16"/>
        </w:rPr>
        <w:t>violencia”</w:t>
      </w:r>
    </w:p>
    <w:p>
      <w:pPr>
        <w:spacing w:line="206" w:lineRule="exact" w:before="39"/>
        <w:ind w:left="122" w:right="123" w:firstLine="0"/>
        <w:jc w:val="both"/>
        <w:rPr>
          <w:sz w:val="16"/>
        </w:rPr>
      </w:pPr>
      <w:r>
        <w:rPr>
          <w:rFonts w:ascii="Calibri" w:hAnsi="Calibri"/>
          <w:position w:val="8"/>
          <w:sz w:val="14"/>
        </w:rPr>
        <w:t>2</w:t>
      </w:r>
      <w:r>
        <w:rPr>
          <w:sz w:val="16"/>
        </w:rPr>
        <w:t>Se considera que la política (Michael Oakeshott) consiste en “pensar acerca de las reglas de la sociedad civil que son incongruentes para corregirlas y poder hacerlas de aplicación general”.</w:t>
      </w:r>
    </w:p>
    <w:p>
      <w:pPr>
        <w:spacing w:line="240" w:lineRule="auto" w:before="0"/>
        <w:ind w:left="122" w:right="117" w:firstLine="0"/>
        <w:jc w:val="both"/>
        <w:rPr>
          <w:sz w:val="16"/>
        </w:rPr>
      </w:pPr>
      <w:r>
        <w:rPr>
          <w:sz w:val="16"/>
        </w:rPr>
        <w:t>Disponible en: </w:t>
      </w:r>
      <w:hyperlink r:id="rId25">
        <w:r>
          <w:rPr>
            <w:color w:val="0000FF"/>
            <w:sz w:val="16"/>
            <w:u w:val="single" w:color="0000FF"/>
          </w:rPr>
          <w:t>http://www.monografias.com/trabajos20/pensadores-politicos/pensadores-politicos.shtm</w:t>
        </w:r>
        <w:r>
          <w:rPr>
            <w:color w:val="0000FF"/>
            <w:sz w:val="16"/>
          </w:rPr>
          <w:t>l</w:t>
        </w:r>
      </w:hyperlink>
      <w:r>
        <w:rPr>
          <w:color w:val="0000FF"/>
          <w:sz w:val="16"/>
        </w:rPr>
        <w:t> </w:t>
      </w:r>
      <w:r>
        <w:rPr>
          <w:sz w:val="16"/>
        </w:rPr>
        <w:t>[Fecha de consulta: 15 de marzo, 2015]</w:t>
      </w:r>
    </w:p>
    <w:p>
      <w:pPr>
        <w:spacing w:line="216" w:lineRule="exact" w:before="0"/>
        <w:ind w:left="122" w:right="0" w:firstLine="0"/>
        <w:jc w:val="both"/>
        <w:rPr>
          <w:sz w:val="16"/>
        </w:rPr>
      </w:pPr>
      <w:r>
        <w:rPr>
          <w:rFonts w:ascii="Times New Roman" w:hAnsi="Times New Roman"/>
          <w:position w:val="7"/>
          <w:sz w:val="13"/>
        </w:rPr>
        <w:t>3</w:t>
      </w:r>
      <w:r>
        <w:rPr>
          <w:sz w:val="16"/>
        </w:rPr>
        <w:t>Se considera que una institución (de acuerdo con B. Guy Peters) es el “conjunto de reglas y valores normativos y no</w:t>
      </w:r>
    </w:p>
    <w:p>
      <w:pPr>
        <w:spacing w:before="13"/>
        <w:ind w:left="122" w:right="120" w:firstLine="0"/>
        <w:jc w:val="both"/>
        <w:rPr>
          <w:sz w:val="16"/>
        </w:rPr>
      </w:pPr>
      <w:r>
        <w:rPr>
          <w:sz w:val="16"/>
        </w:rPr>
        <w:t>cognitivos</w:t>
      </w:r>
      <w:r>
        <w:rPr>
          <w:spacing w:val="-6"/>
          <w:sz w:val="16"/>
        </w:rPr>
        <w:t> </w:t>
      </w:r>
      <w:r>
        <w:rPr>
          <w:sz w:val="16"/>
        </w:rPr>
        <w:t>respecto</w:t>
      </w:r>
      <w:r>
        <w:rPr>
          <w:spacing w:val="-7"/>
          <w:sz w:val="16"/>
        </w:rPr>
        <w:t> </w:t>
      </w:r>
      <w:r>
        <w:rPr>
          <w:sz w:val="16"/>
        </w:rPr>
        <w:t>de</w:t>
      </w:r>
      <w:r>
        <w:rPr>
          <w:spacing w:val="-9"/>
          <w:sz w:val="16"/>
        </w:rPr>
        <w:t> </w:t>
      </w:r>
      <w:r>
        <w:rPr>
          <w:sz w:val="16"/>
        </w:rPr>
        <w:t>la</w:t>
      </w:r>
      <w:r>
        <w:rPr>
          <w:spacing w:val="-11"/>
          <w:sz w:val="16"/>
        </w:rPr>
        <w:t> </w:t>
      </w:r>
      <w:r>
        <w:rPr>
          <w:sz w:val="16"/>
        </w:rPr>
        <w:t>manera</w:t>
      </w:r>
      <w:r>
        <w:rPr>
          <w:spacing w:val="-9"/>
          <w:sz w:val="16"/>
        </w:rPr>
        <w:t> </w:t>
      </w:r>
      <w:r>
        <w:rPr>
          <w:sz w:val="16"/>
        </w:rPr>
        <w:t>en</w:t>
      </w:r>
      <w:r>
        <w:rPr>
          <w:spacing w:val="-7"/>
          <w:sz w:val="16"/>
        </w:rPr>
        <w:t> </w:t>
      </w:r>
      <w:r>
        <w:rPr>
          <w:sz w:val="16"/>
        </w:rPr>
        <w:t>que</w:t>
      </w:r>
      <w:r>
        <w:rPr>
          <w:spacing w:val="-7"/>
          <w:sz w:val="16"/>
        </w:rPr>
        <w:t> </w:t>
      </w:r>
      <w:r>
        <w:rPr>
          <w:sz w:val="16"/>
        </w:rPr>
        <w:t>influyen</w:t>
      </w:r>
      <w:r>
        <w:rPr>
          <w:spacing w:val="-9"/>
          <w:sz w:val="16"/>
        </w:rPr>
        <w:t> </w:t>
      </w:r>
      <w:r>
        <w:rPr>
          <w:sz w:val="16"/>
        </w:rPr>
        <w:t>sobre</w:t>
      </w:r>
      <w:r>
        <w:rPr>
          <w:spacing w:val="-7"/>
          <w:sz w:val="16"/>
        </w:rPr>
        <w:t> </w:t>
      </w:r>
      <w:r>
        <w:rPr>
          <w:sz w:val="16"/>
        </w:rPr>
        <w:t>los</w:t>
      </w:r>
      <w:r>
        <w:rPr>
          <w:spacing w:val="-10"/>
          <w:sz w:val="16"/>
        </w:rPr>
        <w:t> </w:t>
      </w:r>
      <w:r>
        <w:rPr>
          <w:sz w:val="16"/>
        </w:rPr>
        <w:t>miembros</w:t>
      </w:r>
      <w:r>
        <w:rPr>
          <w:spacing w:val="-10"/>
          <w:sz w:val="16"/>
        </w:rPr>
        <w:t> </w:t>
      </w:r>
      <w:r>
        <w:rPr>
          <w:sz w:val="16"/>
        </w:rPr>
        <w:t>institucionales,</w:t>
      </w:r>
      <w:r>
        <w:rPr>
          <w:spacing w:val="-8"/>
          <w:sz w:val="16"/>
        </w:rPr>
        <w:t> </w:t>
      </w:r>
      <w:r>
        <w:rPr>
          <w:sz w:val="16"/>
        </w:rPr>
        <w:t>como</w:t>
      </w:r>
      <w:r>
        <w:rPr>
          <w:spacing w:val="-12"/>
          <w:sz w:val="16"/>
        </w:rPr>
        <w:t> </w:t>
      </w:r>
      <w:r>
        <w:rPr>
          <w:sz w:val="16"/>
        </w:rPr>
        <w:t>también</w:t>
      </w:r>
      <w:r>
        <w:rPr>
          <w:spacing w:val="-9"/>
          <w:sz w:val="16"/>
        </w:rPr>
        <w:t> </w:t>
      </w:r>
      <w:r>
        <w:rPr>
          <w:sz w:val="16"/>
        </w:rPr>
        <w:t>el</w:t>
      </w:r>
      <w:r>
        <w:rPr>
          <w:spacing w:val="-8"/>
          <w:sz w:val="16"/>
        </w:rPr>
        <w:t> </w:t>
      </w:r>
      <w:r>
        <w:rPr>
          <w:sz w:val="16"/>
        </w:rPr>
        <w:t>conjunto</w:t>
      </w:r>
      <w:r>
        <w:rPr>
          <w:spacing w:val="-7"/>
          <w:sz w:val="16"/>
        </w:rPr>
        <w:t> </w:t>
      </w:r>
      <w:r>
        <w:rPr>
          <w:sz w:val="16"/>
        </w:rPr>
        <w:t>de</w:t>
      </w:r>
      <w:r>
        <w:rPr>
          <w:spacing w:val="-9"/>
          <w:sz w:val="16"/>
        </w:rPr>
        <w:t> </w:t>
      </w:r>
      <w:r>
        <w:rPr>
          <w:sz w:val="16"/>
        </w:rPr>
        <w:t>rutinas</w:t>
      </w:r>
      <w:r>
        <w:rPr>
          <w:spacing w:val="-6"/>
          <w:sz w:val="16"/>
        </w:rPr>
        <w:t> </w:t>
      </w:r>
      <w:r>
        <w:rPr>
          <w:sz w:val="16"/>
        </w:rPr>
        <w:t>que se desarrollan para poner en ejecución e imponer esos</w:t>
      </w:r>
      <w:r>
        <w:rPr>
          <w:spacing w:val="-22"/>
          <w:sz w:val="16"/>
        </w:rPr>
        <w:t> </w:t>
      </w:r>
      <w:r>
        <w:rPr>
          <w:sz w:val="16"/>
        </w:rPr>
        <w:t>valores.”</w:t>
      </w:r>
    </w:p>
    <w:p>
      <w:pPr>
        <w:spacing w:after="0"/>
        <w:jc w:val="both"/>
        <w:rPr>
          <w:sz w:val="16"/>
        </w:rPr>
        <w:sectPr>
          <w:pgSz w:w="12240" w:h="15840"/>
          <w:pgMar w:header="0" w:footer="1003" w:top="1360" w:bottom="1200" w:left="1580" w:right="1580"/>
        </w:sectPr>
      </w:pPr>
    </w:p>
    <w:p>
      <w:pPr>
        <w:pStyle w:val="BodyText"/>
        <w:spacing w:line="362" w:lineRule="auto" w:before="54"/>
        <w:ind w:left="102"/>
      </w:pPr>
      <w:r>
        <w:rPr/>
        <w:t>ciudadanas respecto del Estado son mayores que la capacidad del mismo para atenderlas, lo que genera un problema de ingobernabilidad (Closa, 2003: 486).</w:t>
      </w:r>
    </w:p>
    <w:p>
      <w:pPr>
        <w:pStyle w:val="BodyText"/>
      </w:pPr>
    </w:p>
    <w:p>
      <w:pPr>
        <w:pStyle w:val="BodyText"/>
        <w:spacing w:line="360" w:lineRule="auto" w:before="139"/>
        <w:ind w:left="102" w:right="124" w:firstLine="427"/>
        <w:jc w:val="both"/>
      </w:pPr>
      <w:r>
        <w:rPr/>
        <w:t>De la tesis surgieron diversos conceptos de gobernanza (que hace posible la gobernabilidad); los académicos y las instituciones internacionales fueron quienes más contribuciones realizaron al término.</w:t>
      </w:r>
    </w:p>
    <w:p>
      <w:pPr>
        <w:pStyle w:val="BodyText"/>
      </w:pPr>
    </w:p>
    <w:p>
      <w:pPr>
        <w:pStyle w:val="BodyText"/>
        <w:spacing w:line="360" w:lineRule="auto" w:before="142"/>
        <w:ind w:left="102" w:right="118" w:firstLine="427"/>
        <w:jc w:val="both"/>
      </w:pPr>
      <w:r>
        <w:rPr/>
        <w:t>La definición que otorga la Comisión Europea a la gobernanza se orienta a las reglas, procesos y comportamientos que inciden en el ejercicio del poder y que se basa en cinco principios: apertura, participación, responsabilidad, efectividad y coherencia. A su vez, los principios consideran los tres aspectos siguientes:</w:t>
      </w:r>
    </w:p>
    <w:p>
      <w:pPr>
        <w:pStyle w:val="BodyText"/>
      </w:pPr>
    </w:p>
    <w:p>
      <w:pPr>
        <w:pStyle w:val="ListParagraph"/>
        <w:numPr>
          <w:ilvl w:val="2"/>
          <w:numId w:val="7"/>
        </w:numPr>
        <w:tabs>
          <w:tab w:pos="822" w:val="left" w:leader="none"/>
        </w:tabs>
        <w:spacing w:line="360" w:lineRule="auto" w:before="142" w:after="0"/>
        <w:ind w:left="822" w:right="123" w:hanging="360"/>
        <w:jc w:val="both"/>
        <w:rPr>
          <w:sz w:val="24"/>
        </w:rPr>
      </w:pPr>
      <w:r>
        <w:rPr>
          <w:sz w:val="24"/>
        </w:rPr>
        <w:t>Inclusión</w:t>
      </w:r>
      <w:r>
        <w:rPr>
          <w:spacing w:val="-6"/>
          <w:sz w:val="24"/>
        </w:rPr>
        <w:t> </w:t>
      </w:r>
      <w:r>
        <w:rPr>
          <w:sz w:val="24"/>
        </w:rPr>
        <w:t>de</w:t>
      </w:r>
      <w:r>
        <w:rPr>
          <w:spacing w:val="-6"/>
          <w:sz w:val="24"/>
        </w:rPr>
        <w:t> </w:t>
      </w:r>
      <w:r>
        <w:rPr>
          <w:sz w:val="24"/>
        </w:rPr>
        <w:t>personas</w:t>
      </w:r>
      <w:r>
        <w:rPr>
          <w:spacing w:val="-9"/>
          <w:sz w:val="24"/>
        </w:rPr>
        <w:t> </w:t>
      </w:r>
      <w:r>
        <w:rPr>
          <w:sz w:val="24"/>
        </w:rPr>
        <w:t>y</w:t>
      </w:r>
      <w:r>
        <w:rPr>
          <w:spacing w:val="-7"/>
          <w:sz w:val="24"/>
        </w:rPr>
        <w:t> </w:t>
      </w:r>
      <w:r>
        <w:rPr>
          <w:sz w:val="24"/>
        </w:rPr>
        <w:t>organizaciones</w:t>
      </w:r>
      <w:r>
        <w:rPr>
          <w:spacing w:val="-4"/>
          <w:sz w:val="24"/>
        </w:rPr>
        <w:t> </w:t>
      </w:r>
      <w:r>
        <w:rPr>
          <w:sz w:val="24"/>
        </w:rPr>
        <w:t>no</w:t>
      </w:r>
      <w:r>
        <w:rPr>
          <w:spacing w:val="-6"/>
          <w:sz w:val="24"/>
        </w:rPr>
        <w:t> </w:t>
      </w:r>
      <w:r>
        <w:rPr>
          <w:sz w:val="24"/>
        </w:rPr>
        <w:t>gubernamentales</w:t>
      </w:r>
      <w:r>
        <w:rPr>
          <w:spacing w:val="-6"/>
          <w:sz w:val="24"/>
        </w:rPr>
        <w:t> </w:t>
      </w:r>
      <w:r>
        <w:rPr>
          <w:sz w:val="24"/>
        </w:rPr>
        <w:t>en</w:t>
      </w:r>
      <w:r>
        <w:rPr>
          <w:spacing w:val="-6"/>
          <w:sz w:val="24"/>
        </w:rPr>
        <w:t> </w:t>
      </w:r>
      <w:r>
        <w:rPr>
          <w:sz w:val="24"/>
        </w:rPr>
        <w:t>el</w:t>
      </w:r>
      <w:r>
        <w:rPr>
          <w:spacing w:val="-10"/>
          <w:sz w:val="24"/>
        </w:rPr>
        <w:t> </w:t>
      </w:r>
      <w:r>
        <w:rPr>
          <w:sz w:val="24"/>
        </w:rPr>
        <w:t>diseño</w:t>
      </w:r>
      <w:r>
        <w:rPr>
          <w:spacing w:val="-6"/>
          <w:sz w:val="24"/>
        </w:rPr>
        <w:t> </w:t>
      </w:r>
      <w:r>
        <w:rPr>
          <w:sz w:val="24"/>
        </w:rPr>
        <w:t>de las políticas públicas, lo que se considera que hará las políticas más eficientes.</w:t>
      </w:r>
    </w:p>
    <w:p>
      <w:pPr>
        <w:pStyle w:val="BodyText"/>
      </w:pPr>
    </w:p>
    <w:p>
      <w:pPr>
        <w:pStyle w:val="ListParagraph"/>
        <w:numPr>
          <w:ilvl w:val="2"/>
          <w:numId w:val="7"/>
        </w:numPr>
        <w:tabs>
          <w:tab w:pos="822" w:val="left" w:leader="none"/>
        </w:tabs>
        <w:spacing w:line="240" w:lineRule="auto" w:before="142" w:after="0"/>
        <w:ind w:left="822" w:right="0" w:hanging="360"/>
        <w:jc w:val="left"/>
        <w:rPr>
          <w:sz w:val="24"/>
        </w:rPr>
      </w:pPr>
      <w:r>
        <w:rPr>
          <w:sz w:val="24"/>
        </w:rPr>
        <w:t>La valoración del Estado respecto de la pertinencia de</w:t>
      </w:r>
      <w:r>
        <w:rPr>
          <w:spacing w:val="-19"/>
          <w:sz w:val="24"/>
        </w:rPr>
        <w:t> </w:t>
      </w:r>
      <w:r>
        <w:rPr>
          <w:sz w:val="24"/>
        </w:rPr>
        <w:t>actuar.</w:t>
      </w:r>
    </w:p>
    <w:p>
      <w:pPr>
        <w:pStyle w:val="BodyText"/>
      </w:pPr>
    </w:p>
    <w:p>
      <w:pPr>
        <w:pStyle w:val="BodyText"/>
      </w:pPr>
    </w:p>
    <w:p>
      <w:pPr>
        <w:pStyle w:val="ListParagraph"/>
        <w:numPr>
          <w:ilvl w:val="2"/>
          <w:numId w:val="7"/>
        </w:numPr>
        <w:tabs>
          <w:tab w:pos="822" w:val="left" w:leader="none"/>
        </w:tabs>
        <w:spacing w:line="360" w:lineRule="auto" w:before="0" w:after="0"/>
        <w:ind w:left="822" w:right="121" w:hanging="360"/>
        <w:jc w:val="both"/>
        <w:rPr>
          <w:sz w:val="24"/>
        </w:rPr>
      </w:pPr>
      <w:r>
        <w:rPr>
          <w:sz w:val="24"/>
        </w:rPr>
        <w:t>La orientación de las instituciones del Estado a realizar sus funciones sustantivas.</w:t>
      </w:r>
    </w:p>
    <w:p>
      <w:pPr>
        <w:pStyle w:val="BodyText"/>
      </w:pPr>
    </w:p>
    <w:p>
      <w:pPr>
        <w:pStyle w:val="BodyText"/>
        <w:spacing w:line="360" w:lineRule="auto" w:before="142"/>
        <w:ind w:left="102" w:right="121" w:firstLine="427"/>
        <w:jc w:val="both"/>
      </w:pPr>
      <w:r>
        <w:rPr/>
        <w:t>En la academia se considera que una mejor gobernanza solucionará los problemas de gobernabilidad, es decir, la mejora en los procedimientos se</w:t>
      </w:r>
      <w:r>
        <w:rPr>
          <w:spacing w:val="-37"/>
        </w:rPr>
        <w:t> </w:t>
      </w:r>
      <w:r>
        <w:rPr/>
        <w:t>reflejará en una mejor atención de las demandas sociales y en la legitimidad del Estado (Closa 2003:</w:t>
      </w:r>
      <w:r>
        <w:rPr>
          <w:spacing w:val="-6"/>
        </w:rPr>
        <w:t> </w:t>
      </w:r>
      <w:r>
        <w:rPr/>
        <w:t>487-494).</w:t>
      </w:r>
    </w:p>
    <w:p>
      <w:pPr>
        <w:pStyle w:val="BodyText"/>
      </w:pPr>
    </w:p>
    <w:p>
      <w:pPr>
        <w:pStyle w:val="BodyText"/>
        <w:spacing w:line="360" w:lineRule="auto" w:before="142"/>
        <w:ind w:left="102" w:right="125" w:firstLine="427"/>
        <w:jc w:val="both"/>
      </w:pPr>
      <w:r>
        <w:rPr/>
        <w:t>Entre</w:t>
      </w:r>
      <w:r>
        <w:rPr>
          <w:spacing w:val="-7"/>
        </w:rPr>
        <w:t> </w:t>
      </w:r>
      <w:r>
        <w:rPr/>
        <w:t>las</w:t>
      </w:r>
      <w:r>
        <w:rPr>
          <w:spacing w:val="-10"/>
        </w:rPr>
        <w:t> </w:t>
      </w:r>
      <w:r>
        <w:rPr/>
        <w:t>diversas</w:t>
      </w:r>
      <w:r>
        <w:rPr>
          <w:spacing w:val="-8"/>
        </w:rPr>
        <w:t> </w:t>
      </w:r>
      <w:r>
        <w:rPr/>
        <w:t>contribuciones</w:t>
      </w:r>
      <w:r>
        <w:rPr>
          <w:spacing w:val="-8"/>
        </w:rPr>
        <w:t> </w:t>
      </w:r>
      <w:r>
        <w:rPr/>
        <w:t>que</w:t>
      </w:r>
      <w:r>
        <w:rPr>
          <w:spacing w:val="-9"/>
        </w:rPr>
        <w:t> </w:t>
      </w:r>
      <w:r>
        <w:rPr/>
        <w:t>se</w:t>
      </w:r>
      <w:r>
        <w:rPr>
          <w:spacing w:val="-7"/>
        </w:rPr>
        <w:t> </w:t>
      </w:r>
      <w:r>
        <w:rPr/>
        <w:t>realizaron</w:t>
      </w:r>
      <w:r>
        <w:rPr>
          <w:spacing w:val="-7"/>
        </w:rPr>
        <w:t> </w:t>
      </w:r>
      <w:r>
        <w:rPr/>
        <w:t>para</w:t>
      </w:r>
      <w:r>
        <w:rPr>
          <w:spacing w:val="-8"/>
        </w:rPr>
        <w:t> </w:t>
      </w:r>
      <w:r>
        <w:rPr/>
        <w:t>explicar</w:t>
      </w:r>
      <w:r>
        <w:rPr>
          <w:spacing w:val="-8"/>
        </w:rPr>
        <w:t> </w:t>
      </w:r>
      <w:r>
        <w:rPr/>
        <w:t>la</w:t>
      </w:r>
      <w:r>
        <w:rPr>
          <w:spacing w:val="-10"/>
        </w:rPr>
        <w:t> </w:t>
      </w:r>
      <w:r>
        <w:rPr/>
        <w:t>gobernanza destacan las</w:t>
      </w:r>
      <w:r>
        <w:rPr>
          <w:spacing w:val="-8"/>
        </w:rPr>
        <w:t> </w:t>
      </w:r>
      <w:r>
        <w:rPr/>
        <w:t>siguientes:</w:t>
      </w:r>
    </w:p>
    <w:p>
      <w:pPr>
        <w:spacing w:after="0" w:line="360" w:lineRule="auto"/>
        <w:jc w:val="both"/>
        <w:sectPr>
          <w:pgSz w:w="12240" w:h="15840"/>
          <w:pgMar w:header="0" w:footer="1003" w:top="1360" w:bottom="1200" w:left="1600" w:right="1580"/>
        </w:sectPr>
      </w:pPr>
    </w:p>
    <w:p>
      <w:pPr>
        <w:spacing w:before="55"/>
        <w:ind w:left="122" w:right="50" w:firstLine="0"/>
        <w:jc w:val="left"/>
        <w:rPr>
          <w:sz w:val="20"/>
        </w:rPr>
      </w:pPr>
      <w:r>
        <w:rPr>
          <w:sz w:val="20"/>
        </w:rPr>
        <w:t>Cuadro 1.1. Algunas definiciones de gobernanza</w:t>
      </w:r>
    </w:p>
    <w:p>
      <w:pPr>
        <w:pStyle w:val="BodyText"/>
        <w:spacing w:before="7"/>
        <w:rPr>
          <w:sz w:val="17"/>
        </w:rPr>
      </w:pPr>
    </w:p>
    <w:tbl>
      <w:tblPr>
        <w:tblW w:w="0" w:type="auto"/>
        <w:jc w:val="left"/>
        <w:tblInd w:w="122"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0" w:type="dxa"/>
          <w:left w:w="0" w:type="dxa"/>
          <w:bottom w:w="0" w:type="dxa"/>
          <w:right w:w="0" w:type="dxa"/>
        </w:tblCellMar>
        <w:tblLook w:val="01E0"/>
      </w:tblPr>
      <w:tblGrid>
        <w:gridCol w:w="1354"/>
        <w:gridCol w:w="1611"/>
        <w:gridCol w:w="1846"/>
        <w:gridCol w:w="2251"/>
        <w:gridCol w:w="1748"/>
      </w:tblGrid>
      <w:tr>
        <w:trPr>
          <w:trHeight w:val="665" w:hRule="exact"/>
        </w:trPr>
        <w:tc>
          <w:tcPr>
            <w:tcW w:w="1354" w:type="dxa"/>
          </w:tcPr>
          <w:p>
            <w:pPr>
              <w:pStyle w:val="TableParagraph"/>
              <w:spacing w:line="276" w:lineRule="auto"/>
              <w:ind w:left="168" w:right="163" w:hanging="7"/>
              <w:jc w:val="center"/>
              <w:rPr>
                <w:b/>
                <w:sz w:val="16"/>
              </w:rPr>
            </w:pPr>
            <w:r>
              <w:rPr>
                <w:b/>
                <w:sz w:val="16"/>
              </w:rPr>
              <w:t>Crozier, Hungtinton y Watanuki</w:t>
            </w:r>
          </w:p>
        </w:tc>
        <w:tc>
          <w:tcPr>
            <w:tcW w:w="1611" w:type="dxa"/>
          </w:tcPr>
          <w:p>
            <w:pPr>
              <w:pStyle w:val="TableParagraph"/>
              <w:spacing w:line="276" w:lineRule="auto"/>
              <w:ind w:left="98" w:right="105"/>
              <w:jc w:val="center"/>
              <w:rPr>
                <w:b/>
                <w:sz w:val="16"/>
              </w:rPr>
            </w:pPr>
            <w:r>
              <w:rPr>
                <w:b/>
                <w:sz w:val="16"/>
              </w:rPr>
              <w:t>Guillermo O’Donnell y Adam Przeworski</w:t>
            </w:r>
          </w:p>
        </w:tc>
        <w:tc>
          <w:tcPr>
            <w:tcW w:w="1846" w:type="dxa"/>
          </w:tcPr>
          <w:p>
            <w:pPr>
              <w:pStyle w:val="TableParagraph"/>
              <w:spacing w:line="276" w:lineRule="auto"/>
              <w:ind w:left="239" w:right="224" w:firstLine="396"/>
              <w:rPr>
                <w:b/>
                <w:sz w:val="16"/>
              </w:rPr>
            </w:pPr>
            <w:r>
              <w:rPr>
                <w:b/>
                <w:sz w:val="16"/>
              </w:rPr>
              <w:t>Mayntz Héritier y Scharpf</w:t>
            </w:r>
          </w:p>
        </w:tc>
        <w:tc>
          <w:tcPr>
            <w:tcW w:w="2251" w:type="dxa"/>
          </w:tcPr>
          <w:p>
            <w:pPr>
              <w:pStyle w:val="TableParagraph"/>
              <w:spacing w:line="180" w:lineRule="exact"/>
              <w:ind w:left="573"/>
              <w:rPr>
                <w:b/>
                <w:sz w:val="16"/>
              </w:rPr>
            </w:pPr>
            <w:r>
              <w:rPr>
                <w:b/>
                <w:sz w:val="16"/>
              </w:rPr>
              <w:t>Elinor Ostrom</w:t>
            </w:r>
          </w:p>
        </w:tc>
        <w:tc>
          <w:tcPr>
            <w:tcW w:w="1748" w:type="dxa"/>
          </w:tcPr>
          <w:p>
            <w:pPr>
              <w:pStyle w:val="TableParagraph"/>
              <w:spacing w:line="180" w:lineRule="exact"/>
              <w:ind w:left="235"/>
              <w:rPr>
                <w:b/>
                <w:sz w:val="16"/>
              </w:rPr>
            </w:pPr>
            <w:r>
              <w:rPr>
                <w:b/>
                <w:sz w:val="16"/>
              </w:rPr>
              <w:t>Patrick Le Galès</w:t>
            </w:r>
          </w:p>
        </w:tc>
      </w:tr>
      <w:tr>
        <w:trPr>
          <w:trHeight w:val="2352" w:hRule="exact"/>
        </w:trPr>
        <w:tc>
          <w:tcPr>
            <w:tcW w:w="1354" w:type="dxa"/>
            <w:tcBorders>
              <w:left w:val="single" w:sz="4" w:space="0" w:color="000000"/>
              <w:right w:val="single" w:sz="4" w:space="0" w:color="000000"/>
            </w:tcBorders>
          </w:tcPr>
          <w:p>
            <w:pPr>
              <w:pStyle w:val="TableParagraph"/>
              <w:spacing w:line="276" w:lineRule="auto"/>
              <w:ind w:left="103" w:right="115"/>
              <w:rPr>
                <w:sz w:val="14"/>
              </w:rPr>
            </w:pPr>
            <w:r>
              <w:rPr>
                <w:sz w:val="14"/>
              </w:rPr>
              <w:t>La distancia entre las demandas sociales y la habilidad de las instituciones públicas para satisfacerlas.</w:t>
            </w:r>
          </w:p>
        </w:tc>
        <w:tc>
          <w:tcPr>
            <w:tcW w:w="1611" w:type="dxa"/>
            <w:tcBorders>
              <w:left w:val="single" w:sz="4" w:space="0" w:color="000000"/>
              <w:right w:val="single" w:sz="4" w:space="0" w:color="000000"/>
            </w:tcBorders>
          </w:tcPr>
          <w:p>
            <w:pPr>
              <w:pStyle w:val="TableParagraph"/>
              <w:spacing w:line="276" w:lineRule="auto"/>
              <w:ind w:left="100" w:right="100"/>
              <w:rPr>
                <w:sz w:val="14"/>
              </w:rPr>
            </w:pPr>
            <w:r>
              <w:rPr>
                <w:sz w:val="14"/>
              </w:rPr>
              <w:t>Aquel estado de un país que, por un lado, evita la regresión autoritaria y, por otro, permite avanzar, expandir y aprovechar las oportunidades sociales, económicas y políticas.</w:t>
            </w:r>
          </w:p>
        </w:tc>
        <w:tc>
          <w:tcPr>
            <w:tcW w:w="1846" w:type="dxa"/>
            <w:tcBorders>
              <w:left w:val="single" w:sz="4" w:space="0" w:color="000000"/>
              <w:right w:val="single" w:sz="4" w:space="0" w:color="000000"/>
            </w:tcBorders>
          </w:tcPr>
          <w:p>
            <w:pPr>
              <w:pStyle w:val="TableParagraph"/>
              <w:spacing w:line="276" w:lineRule="auto"/>
              <w:ind w:left="103" w:right="86"/>
              <w:rPr>
                <w:sz w:val="14"/>
              </w:rPr>
            </w:pPr>
            <w:r>
              <w:rPr>
                <w:sz w:val="14"/>
              </w:rPr>
              <w:t>Una nueva conceptualización de la legitimidad de las instituciones políticas fundamentada en la eficiencia de un gobierno sobre todo para el pueblo, más que por o desde el pueblo.</w:t>
            </w:r>
          </w:p>
        </w:tc>
        <w:tc>
          <w:tcPr>
            <w:tcW w:w="2251" w:type="dxa"/>
            <w:tcBorders>
              <w:left w:val="single" w:sz="4" w:space="0" w:color="000000"/>
              <w:right w:val="single" w:sz="4" w:space="0" w:color="000000"/>
            </w:tcBorders>
          </w:tcPr>
          <w:p>
            <w:pPr>
              <w:pStyle w:val="TableParagraph"/>
              <w:ind w:left="100" w:right="160"/>
              <w:rPr>
                <w:sz w:val="14"/>
              </w:rPr>
            </w:pPr>
            <w:r>
              <w:rPr>
                <w:sz w:val="14"/>
              </w:rPr>
              <w:t>Gobernanza es la que determina la capacidad del gobierno para transformar las necesidades en políticas y, así establece patrones de interacción entre actores estratégicos no sesgados hacia grupos de interés (más equitativos) y que permitan la formulación e implementación de las políticas en el menor tiempo y esfuerzo posible (más eficientes).</w:t>
            </w:r>
          </w:p>
        </w:tc>
        <w:tc>
          <w:tcPr>
            <w:tcW w:w="1748" w:type="dxa"/>
            <w:tcBorders>
              <w:left w:val="single" w:sz="4" w:space="0" w:color="000000"/>
              <w:right w:val="single" w:sz="4" w:space="0" w:color="000000"/>
            </w:tcBorders>
          </w:tcPr>
          <w:p>
            <w:pPr>
              <w:pStyle w:val="TableParagraph"/>
              <w:spacing w:line="276" w:lineRule="auto"/>
              <w:ind w:left="103" w:right="109"/>
              <w:rPr>
                <w:sz w:val="14"/>
              </w:rPr>
            </w:pPr>
            <w:r>
              <w:rPr>
                <w:sz w:val="14"/>
              </w:rPr>
              <w:t>La gobernanza es un proceso de</w:t>
            </w:r>
            <w:r>
              <w:rPr>
                <w:spacing w:val="-8"/>
                <w:sz w:val="14"/>
              </w:rPr>
              <w:t> </w:t>
            </w:r>
            <w:r>
              <w:rPr>
                <w:sz w:val="14"/>
              </w:rPr>
              <w:t>coordinación de actores, de grupos sociales,  de instituciones para lograr metas definidas colectivamente en entornos fragmentados y caracterizados por la incertidumbre.</w:t>
            </w:r>
          </w:p>
        </w:tc>
      </w:tr>
    </w:tbl>
    <w:p>
      <w:pPr>
        <w:pStyle w:val="BodyText"/>
        <w:spacing w:before="3"/>
        <w:rPr>
          <w:sz w:val="6"/>
        </w:rPr>
      </w:pPr>
    </w:p>
    <w:p>
      <w:pPr>
        <w:spacing w:before="85"/>
        <w:ind w:left="122" w:right="50" w:firstLine="0"/>
        <w:jc w:val="left"/>
        <w:rPr>
          <w:sz w:val="12"/>
        </w:rPr>
      </w:pPr>
      <w:r>
        <w:rPr>
          <w:sz w:val="12"/>
        </w:rPr>
        <w:t>FUENTE:     </w:t>
      </w:r>
      <w:hyperlink r:id="rId26">
        <w:r>
          <w:rPr>
            <w:sz w:val="12"/>
          </w:rPr>
          <w:t>1http://www.robertexto.com/archivo17/gobernab_democrac.htm</w:t>
        </w:r>
      </w:hyperlink>
      <w:r>
        <w:rPr>
          <w:sz w:val="12"/>
        </w:rPr>
        <w:t>[Fecha de consulta: 20 de marzo, 2015], Prats (s.f.:   241), Prats (s.f.: 242), Prats (s.f.:</w:t>
      </w:r>
    </w:p>
    <w:p>
      <w:pPr>
        <w:spacing w:before="20"/>
        <w:ind w:left="830" w:right="50" w:firstLine="0"/>
        <w:jc w:val="left"/>
        <w:rPr>
          <w:sz w:val="12"/>
        </w:rPr>
      </w:pPr>
      <w:r>
        <w:rPr>
          <w:sz w:val="12"/>
        </w:rPr>
        <w:t>245) y Ruano (2002: 1), respectivamente,</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2"/>
        <w:rPr>
          <w:sz w:val="17"/>
        </w:rPr>
      </w:pPr>
    </w:p>
    <w:p>
      <w:pPr>
        <w:pStyle w:val="BodyText"/>
        <w:spacing w:line="360" w:lineRule="auto" w:before="1"/>
        <w:ind w:left="122" w:right="122" w:firstLine="427"/>
        <w:jc w:val="both"/>
      </w:pPr>
      <w:r>
        <w:rPr/>
        <w:t>Las definiciones anteriores convergen en que la gobernanza implica la acción del</w:t>
      </w:r>
      <w:r>
        <w:rPr>
          <w:spacing w:val="-6"/>
        </w:rPr>
        <w:t> </w:t>
      </w:r>
      <w:r>
        <w:rPr/>
        <w:t>Estado</w:t>
      </w:r>
      <w:r>
        <w:rPr>
          <w:spacing w:val="-5"/>
        </w:rPr>
        <w:t> </w:t>
      </w:r>
      <w:r>
        <w:rPr/>
        <w:t>para</w:t>
      </w:r>
      <w:r>
        <w:rPr>
          <w:spacing w:val="-5"/>
        </w:rPr>
        <w:t> </w:t>
      </w:r>
      <w:r>
        <w:rPr/>
        <w:t>la</w:t>
      </w:r>
      <w:r>
        <w:rPr>
          <w:spacing w:val="-7"/>
        </w:rPr>
        <w:t> </w:t>
      </w:r>
      <w:r>
        <w:rPr/>
        <w:t>atención</w:t>
      </w:r>
      <w:r>
        <w:rPr>
          <w:spacing w:val="-7"/>
        </w:rPr>
        <w:t> </w:t>
      </w:r>
      <w:r>
        <w:rPr/>
        <w:t>de</w:t>
      </w:r>
      <w:r>
        <w:rPr>
          <w:spacing w:val="-5"/>
        </w:rPr>
        <w:t> </w:t>
      </w:r>
      <w:r>
        <w:rPr/>
        <w:t>las</w:t>
      </w:r>
      <w:r>
        <w:rPr>
          <w:spacing w:val="-7"/>
        </w:rPr>
        <w:t> </w:t>
      </w:r>
      <w:r>
        <w:rPr/>
        <w:t>necesidades</w:t>
      </w:r>
      <w:r>
        <w:rPr>
          <w:spacing w:val="-5"/>
        </w:rPr>
        <w:t> </w:t>
      </w:r>
      <w:r>
        <w:rPr/>
        <w:t>de</w:t>
      </w:r>
      <w:r>
        <w:rPr>
          <w:spacing w:val="-7"/>
        </w:rPr>
        <w:t> </w:t>
      </w:r>
      <w:r>
        <w:rPr/>
        <w:t>la</w:t>
      </w:r>
      <w:r>
        <w:rPr>
          <w:spacing w:val="-5"/>
        </w:rPr>
        <w:t> </w:t>
      </w:r>
      <w:r>
        <w:rPr/>
        <w:t>sociedad.</w:t>
      </w:r>
      <w:r>
        <w:rPr>
          <w:spacing w:val="-7"/>
        </w:rPr>
        <w:t> </w:t>
      </w:r>
      <w:r>
        <w:rPr/>
        <w:t>Es</w:t>
      </w:r>
      <w:r>
        <w:rPr>
          <w:spacing w:val="-5"/>
        </w:rPr>
        <w:t> </w:t>
      </w:r>
      <w:r>
        <w:rPr/>
        <w:t>importante</w:t>
      </w:r>
      <w:r>
        <w:rPr>
          <w:spacing w:val="-5"/>
        </w:rPr>
        <w:t> </w:t>
      </w:r>
      <w:r>
        <w:rPr/>
        <w:t>tener presente que debido a que el diseño de la gobernanza corresponde originalmente a países europeos, se considera que es más sencillo que la gobernanza tenga buenos resultados en éstos países</w:t>
      </w:r>
      <w:r>
        <w:rPr>
          <w:spacing w:val="-21"/>
        </w:rPr>
        <w:t> </w:t>
      </w:r>
      <w:r>
        <w:rPr/>
        <w:t>avanzados.</w:t>
      </w:r>
    </w:p>
    <w:p>
      <w:pPr>
        <w:pStyle w:val="BodyText"/>
        <w:spacing w:line="357" w:lineRule="auto" w:before="3"/>
        <w:ind w:left="122" w:right="116" w:firstLine="427"/>
        <w:jc w:val="both"/>
      </w:pPr>
      <w:r>
        <w:rPr/>
        <w:t>Una característica distintiva del enfoque de la gobernanza es que considera la reducción del tamaño del Estado mediante la inclusión de redes,</w:t>
      </w:r>
      <w:r>
        <w:rPr>
          <w:position w:val="8"/>
          <w:sz w:val="16"/>
        </w:rPr>
        <w:t>4</w:t>
      </w:r>
      <w:r>
        <w:rPr/>
        <w:t>que implican la participación activa de dos o más grupos de actores (tanto gubernamentales como no</w:t>
      </w:r>
      <w:r>
        <w:rPr>
          <w:spacing w:val="-14"/>
        </w:rPr>
        <w:t> </w:t>
      </w:r>
      <w:r>
        <w:rPr/>
        <w:t>gubernamentales)</w:t>
      </w:r>
      <w:r>
        <w:rPr>
          <w:spacing w:val="-16"/>
        </w:rPr>
        <w:t> </w:t>
      </w:r>
      <w:r>
        <w:rPr/>
        <w:t>y</w:t>
      </w:r>
      <w:r>
        <w:rPr>
          <w:spacing w:val="-17"/>
        </w:rPr>
        <w:t> </w:t>
      </w:r>
      <w:r>
        <w:rPr/>
        <w:t>que</w:t>
      </w:r>
      <w:r>
        <w:rPr>
          <w:spacing w:val="-17"/>
        </w:rPr>
        <w:t> </w:t>
      </w:r>
      <w:r>
        <w:rPr/>
        <w:t>pueden</w:t>
      </w:r>
      <w:r>
        <w:rPr>
          <w:spacing w:val="-14"/>
        </w:rPr>
        <w:t> </w:t>
      </w:r>
      <w:r>
        <w:rPr/>
        <w:t>coadyuvar</w:t>
      </w:r>
      <w:r>
        <w:rPr>
          <w:spacing w:val="-16"/>
        </w:rPr>
        <w:t> </w:t>
      </w:r>
      <w:r>
        <w:rPr/>
        <w:t>al</w:t>
      </w:r>
      <w:r>
        <w:rPr>
          <w:spacing w:val="-15"/>
        </w:rPr>
        <w:t> </w:t>
      </w:r>
      <w:r>
        <w:rPr/>
        <w:t>Estado</w:t>
      </w:r>
      <w:r>
        <w:rPr>
          <w:spacing w:val="-17"/>
        </w:rPr>
        <w:t> </w:t>
      </w:r>
      <w:r>
        <w:rPr/>
        <w:t>en</w:t>
      </w:r>
      <w:r>
        <w:rPr>
          <w:spacing w:val="-16"/>
        </w:rPr>
        <w:t> </w:t>
      </w:r>
      <w:r>
        <w:rPr/>
        <w:t>la</w:t>
      </w:r>
      <w:r>
        <w:rPr>
          <w:spacing w:val="-17"/>
        </w:rPr>
        <w:t> </w:t>
      </w:r>
      <w:r>
        <w:rPr/>
        <w:t>atención</w:t>
      </w:r>
      <w:r>
        <w:rPr>
          <w:spacing w:val="-16"/>
        </w:rPr>
        <w:t> </w:t>
      </w:r>
      <w:r>
        <w:rPr/>
        <w:t>de</w:t>
      </w:r>
      <w:r>
        <w:rPr>
          <w:spacing w:val="-16"/>
        </w:rPr>
        <w:t> </w:t>
      </w:r>
      <w:r>
        <w:rPr/>
        <w:t>servicios, provisión</w:t>
      </w:r>
      <w:r>
        <w:rPr>
          <w:spacing w:val="-12"/>
        </w:rPr>
        <w:t> </w:t>
      </w:r>
      <w:r>
        <w:rPr/>
        <w:t>de</w:t>
      </w:r>
      <w:r>
        <w:rPr>
          <w:spacing w:val="-14"/>
        </w:rPr>
        <w:t> </w:t>
      </w:r>
      <w:r>
        <w:rPr/>
        <w:t>bienes</w:t>
      </w:r>
      <w:r>
        <w:rPr>
          <w:spacing w:val="-13"/>
        </w:rPr>
        <w:t> </w:t>
      </w:r>
      <w:r>
        <w:rPr/>
        <w:t>y</w:t>
      </w:r>
      <w:r>
        <w:rPr>
          <w:spacing w:val="-15"/>
        </w:rPr>
        <w:t> </w:t>
      </w:r>
      <w:r>
        <w:rPr/>
        <w:t>diseño</w:t>
      </w:r>
      <w:r>
        <w:rPr>
          <w:spacing w:val="-14"/>
        </w:rPr>
        <w:t> </w:t>
      </w:r>
      <w:r>
        <w:rPr/>
        <w:t>de</w:t>
      </w:r>
      <w:r>
        <w:rPr>
          <w:spacing w:val="-14"/>
        </w:rPr>
        <w:t> </w:t>
      </w:r>
      <w:r>
        <w:rPr/>
        <w:t>políticas</w:t>
      </w:r>
      <w:r>
        <w:rPr>
          <w:spacing w:val="-13"/>
        </w:rPr>
        <w:t> </w:t>
      </w:r>
      <w:r>
        <w:rPr/>
        <w:t>públicas,</w:t>
      </w:r>
      <w:r>
        <w:rPr>
          <w:spacing w:val="-12"/>
        </w:rPr>
        <w:t> </w:t>
      </w:r>
      <w:r>
        <w:rPr/>
        <w:t>con</w:t>
      </w:r>
      <w:r>
        <w:rPr>
          <w:spacing w:val="-12"/>
        </w:rPr>
        <w:t> </w:t>
      </w:r>
      <w:r>
        <w:rPr/>
        <w:t>lo</w:t>
      </w:r>
      <w:r>
        <w:rPr>
          <w:spacing w:val="-14"/>
        </w:rPr>
        <w:t> </w:t>
      </w:r>
      <w:r>
        <w:rPr/>
        <w:t>que</w:t>
      </w:r>
      <w:r>
        <w:rPr>
          <w:spacing w:val="-12"/>
        </w:rPr>
        <w:t> </w:t>
      </w:r>
      <w:r>
        <w:rPr/>
        <w:t>se</w:t>
      </w:r>
      <w:r>
        <w:rPr>
          <w:spacing w:val="-12"/>
        </w:rPr>
        <w:t> </w:t>
      </w:r>
      <w:r>
        <w:rPr/>
        <w:t>pretende</w:t>
      </w:r>
      <w:r>
        <w:rPr>
          <w:spacing w:val="-12"/>
        </w:rPr>
        <w:t> </w:t>
      </w:r>
      <w:r>
        <w:rPr/>
        <w:t>lograr</w:t>
      </w:r>
      <w:r>
        <w:rPr>
          <w:spacing w:val="-13"/>
        </w:rPr>
        <w:t> </w:t>
      </w:r>
      <w:r>
        <w:rPr/>
        <w:t>una mayor</w:t>
      </w:r>
      <w:r>
        <w:rPr>
          <w:spacing w:val="-13"/>
        </w:rPr>
        <w:t> </w:t>
      </w:r>
      <w:r>
        <w:rPr/>
        <w:t>corresponsabilidad</w:t>
      </w:r>
      <w:r>
        <w:rPr>
          <w:spacing w:val="-12"/>
        </w:rPr>
        <w:t> </w:t>
      </w:r>
      <w:r>
        <w:rPr/>
        <w:t>Estado-sociedad</w:t>
      </w:r>
      <w:r>
        <w:rPr>
          <w:position w:val="8"/>
          <w:sz w:val="16"/>
        </w:rPr>
        <w:t>5</w:t>
      </w:r>
      <w:r>
        <w:rPr>
          <w:spacing w:val="9"/>
          <w:position w:val="8"/>
          <w:sz w:val="16"/>
        </w:rPr>
        <w:t> </w:t>
      </w:r>
      <w:r>
        <w:rPr/>
        <w:t>y</w:t>
      </w:r>
      <w:r>
        <w:rPr>
          <w:spacing w:val="-13"/>
        </w:rPr>
        <w:t> </w:t>
      </w:r>
      <w:r>
        <w:rPr/>
        <w:t>una</w:t>
      </w:r>
      <w:r>
        <w:rPr>
          <w:spacing w:val="-14"/>
        </w:rPr>
        <w:t> </w:t>
      </w:r>
      <w:r>
        <w:rPr/>
        <w:t>mejor</w:t>
      </w:r>
      <w:r>
        <w:rPr>
          <w:spacing w:val="-13"/>
        </w:rPr>
        <w:t> </w:t>
      </w:r>
      <w:r>
        <w:rPr/>
        <w:t>supervisión</w:t>
      </w:r>
      <w:r>
        <w:rPr>
          <w:spacing w:val="-12"/>
        </w:rPr>
        <w:t> </w:t>
      </w:r>
      <w:r>
        <w:rPr/>
        <w:t>de</w:t>
      </w:r>
      <w:r>
        <w:rPr>
          <w:spacing w:val="-12"/>
        </w:rPr>
        <w:t> </w:t>
      </w:r>
      <w:r>
        <w:rPr/>
        <w:t>la</w:t>
      </w:r>
      <w:r>
        <w:rPr>
          <w:spacing w:val="-12"/>
        </w:rPr>
        <w:t> </w:t>
      </w:r>
      <w:r>
        <w:rPr/>
        <w:t>rendición de cuentas;</w:t>
      </w:r>
      <w:r>
        <w:rPr>
          <w:position w:val="8"/>
          <w:sz w:val="16"/>
        </w:rPr>
        <w:t>6 </w:t>
      </w:r>
      <w:r>
        <w:rPr/>
        <w:t>por tanto, en la gobernanza se otorga un papel más activo al sector privado en la política, por lo que el poder del Estado se reduce (aunque algunos advierten, como Guy Peters, que esto implica que en la práctica todos y a la vez nadie son</w:t>
      </w:r>
      <w:r>
        <w:rPr>
          <w:spacing w:val="-5"/>
        </w:rPr>
        <w:t> </w:t>
      </w:r>
      <w:r>
        <w:rPr/>
        <w:t>culpables).</w:t>
      </w:r>
    </w:p>
    <w:p>
      <w:pPr>
        <w:pStyle w:val="BodyText"/>
        <w:spacing w:before="7"/>
        <w:rPr>
          <w:sz w:val="11"/>
        </w:rPr>
      </w:pPr>
      <w:r>
        <w:rPr/>
        <w:pict>
          <v:line style="position:absolute;mso-position-horizontal-relative:page;mso-position-vertical-relative:paragraph;z-index:1792;mso-wrap-distance-left:0;mso-wrap-distance-right:0" from="85.103996pt,9.007988pt" to="229.123996pt,9.007988pt" stroked="true" strokeweight=".71997pt" strokecolor="#000000">
            <w10:wrap type="topAndBottom"/>
          </v:line>
        </w:pict>
      </w:r>
    </w:p>
    <w:p>
      <w:pPr>
        <w:spacing w:line="249" w:lineRule="auto" w:before="62"/>
        <w:ind w:left="122" w:right="116" w:firstLine="0"/>
        <w:jc w:val="both"/>
        <w:rPr>
          <w:sz w:val="16"/>
        </w:rPr>
      </w:pPr>
      <w:r>
        <w:rPr>
          <w:rFonts w:ascii="Times New Roman" w:hAnsi="Times New Roman"/>
          <w:position w:val="7"/>
          <w:sz w:val="13"/>
        </w:rPr>
        <w:t>4</w:t>
      </w:r>
      <w:r>
        <w:rPr>
          <w:sz w:val="16"/>
        </w:rPr>
        <w:t>Agustín</w:t>
      </w:r>
      <w:r>
        <w:rPr>
          <w:spacing w:val="-4"/>
          <w:sz w:val="16"/>
        </w:rPr>
        <w:t> </w:t>
      </w:r>
      <w:r>
        <w:rPr>
          <w:sz w:val="16"/>
        </w:rPr>
        <w:t>Cerrillo</w:t>
      </w:r>
      <w:r>
        <w:rPr>
          <w:spacing w:val="-4"/>
          <w:sz w:val="16"/>
        </w:rPr>
        <w:t> </w:t>
      </w:r>
      <w:r>
        <w:rPr>
          <w:sz w:val="16"/>
        </w:rPr>
        <w:t>i</w:t>
      </w:r>
      <w:r>
        <w:rPr>
          <w:spacing w:val="-6"/>
          <w:sz w:val="16"/>
        </w:rPr>
        <w:t> </w:t>
      </w:r>
      <w:r>
        <w:rPr>
          <w:sz w:val="16"/>
        </w:rPr>
        <w:t>Martínez</w:t>
      </w:r>
      <w:r>
        <w:rPr>
          <w:spacing w:val="-4"/>
          <w:sz w:val="16"/>
        </w:rPr>
        <w:t> </w:t>
      </w:r>
      <w:r>
        <w:rPr>
          <w:sz w:val="16"/>
        </w:rPr>
        <w:t>(2005)</w:t>
      </w:r>
      <w:r>
        <w:rPr>
          <w:spacing w:val="-4"/>
          <w:sz w:val="16"/>
        </w:rPr>
        <w:t> </w:t>
      </w:r>
      <w:r>
        <w:rPr>
          <w:sz w:val="16"/>
        </w:rPr>
        <w:t>señala</w:t>
      </w:r>
      <w:r>
        <w:rPr>
          <w:spacing w:val="-4"/>
          <w:sz w:val="16"/>
        </w:rPr>
        <w:t> </w:t>
      </w:r>
      <w:r>
        <w:rPr>
          <w:sz w:val="16"/>
        </w:rPr>
        <w:t>que</w:t>
      </w:r>
      <w:r>
        <w:rPr>
          <w:spacing w:val="-7"/>
          <w:sz w:val="16"/>
        </w:rPr>
        <w:t> </w:t>
      </w:r>
      <w:r>
        <w:rPr>
          <w:sz w:val="16"/>
        </w:rPr>
        <w:t>en</w:t>
      </w:r>
      <w:r>
        <w:rPr>
          <w:spacing w:val="-4"/>
          <w:sz w:val="16"/>
        </w:rPr>
        <w:t> </w:t>
      </w:r>
      <w:r>
        <w:rPr>
          <w:sz w:val="16"/>
        </w:rPr>
        <w:t>la</w:t>
      </w:r>
      <w:r>
        <w:rPr>
          <w:spacing w:val="-9"/>
          <w:sz w:val="16"/>
        </w:rPr>
        <w:t> </w:t>
      </w:r>
      <w:r>
        <w:rPr>
          <w:sz w:val="16"/>
        </w:rPr>
        <w:t>ciencia</w:t>
      </w:r>
      <w:r>
        <w:rPr>
          <w:spacing w:val="-4"/>
          <w:sz w:val="16"/>
        </w:rPr>
        <w:t> </w:t>
      </w:r>
      <w:r>
        <w:rPr>
          <w:sz w:val="16"/>
        </w:rPr>
        <w:t>política</w:t>
      </w:r>
      <w:r>
        <w:rPr>
          <w:spacing w:val="-7"/>
          <w:sz w:val="16"/>
        </w:rPr>
        <w:t> </w:t>
      </w:r>
      <w:r>
        <w:rPr>
          <w:sz w:val="16"/>
        </w:rPr>
        <w:t>el</w:t>
      </w:r>
      <w:r>
        <w:rPr>
          <w:spacing w:val="-6"/>
          <w:sz w:val="16"/>
        </w:rPr>
        <w:t> </w:t>
      </w:r>
      <w:r>
        <w:rPr>
          <w:sz w:val="16"/>
        </w:rPr>
        <w:t>uso</w:t>
      </w:r>
      <w:r>
        <w:rPr>
          <w:spacing w:val="-7"/>
          <w:sz w:val="16"/>
        </w:rPr>
        <w:t> </w:t>
      </w:r>
      <w:r>
        <w:rPr>
          <w:sz w:val="16"/>
        </w:rPr>
        <w:t>de</w:t>
      </w:r>
      <w:r>
        <w:rPr>
          <w:spacing w:val="-4"/>
          <w:sz w:val="16"/>
        </w:rPr>
        <w:t> </w:t>
      </w:r>
      <w:r>
        <w:rPr>
          <w:sz w:val="16"/>
        </w:rPr>
        <w:t>redes</w:t>
      </w:r>
      <w:r>
        <w:rPr>
          <w:spacing w:val="-5"/>
          <w:sz w:val="16"/>
        </w:rPr>
        <w:t> </w:t>
      </w:r>
      <w:r>
        <w:rPr>
          <w:sz w:val="16"/>
        </w:rPr>
        <w:t>corresponde</w:t>
      </w:r>
      <w:r>
        <w:rPr>
          <w:spacing w:val="-4"/>
          <w:sz w:val="16"/>
        </w:rPr>
        <w:t> </w:t>
      </w:r>
      <w:r>
        <w:rPr>
          <w:sz w:val="16"/>
        </w:rPr>
        <w:t>a</w:t>
      </w:r>
      <w:r>
        <w:rPr>
          <w:spacing w:val="-7"/>
          <w:sz w:val="16"/>
        </w:rPr>
        <w:t> </w:t>
      </w:r>
      <w:r>
        <w:rPr>
          <w:sz w:val="16"/>
        </w:rPr>
        <w:t>la</w:t>
      </w:r>
      <w:r>
        <w:rPr>
          <w:spacing w:val="-6"/>
          <w:sz w:val="16"/>
        </w:rPr>
        <w:t> </w:t>
      </w:r>
      <w:r>
        <w:rPr>
          <w:sz w:val="16"/>
        </w:rPr>
        <w:t>limitada</w:t>
      </w:r>
      <w:r>
        <w:rPr>
          <w:spacing w:val="-7"/>
          <w:sz w:val="16"/>
        </w:rPr>
        <w:t> </w:t>
      </w:r>
      <w:r>
        <w:rPr>
          <w:sz w:val="16"/>
        </w:rPr>
        <w:t>función</w:t>
      </w:r>
      <w:r>
        <w:rPr>
          <w:spacing w:val="-7"/>
          <w:sz w:val="16"/>
        </w:rPr>
        <w:t> </w:t>
      </w:r>
      <w:r>
        <w:rPr>
          <w:sz w:val="16"/>
        </w:rPr>
        <w:t>directiva del gobierno en la década de los años 1980 y 1990 y su existencia refleja el intento por superar estas limitaciones, al tiempo que demuestran la complejidad de las sociedades</w:t>
      </w:r>
      <w:r>
        <w:rPr>
          <w:spacing w:val="-22"/>
          <w:sz w:val="16"/>
        </w:rPr>
        <w:t> </w:t>
      </w:r>
      <w:r>
        <w:rPr>
          <w:sz w:val="16"/>
        </w:rPr>
        <w:t>modernas.</w:t>
      </w:r>
    </w:p>
    <w:p>
      <w:pPr>
        <w:spacing w:line="209" w:lineRule="exact" w:before="0"/>
        <w:ind w:left="122" w:right="0" w:firstLine="0"/>
        <w:jc w:val="both"/>
        <w:rPr>
          <w:sz w:val="16"/>
        </w:rPr>
      </w:pPr>
      <w:r>
        <w:rPr>
          <w:rFonts w:ascii="Times New Roman" w:hAnsi="Times New Roman"/>
          <w:position w:val="7"/>
          <w:sz w:val="13"/>
        </w:rPr>
        <w:t>5</w:t>
      </w:r>
      <w:r>
        <w:rPr>
          <w:sz w:val="16"/>
        </w:rPr>
        <w:t>La rendición de cuentas es una responsabilidad Estado-sociedad, un derecho social y una obligación estatal.</w:t>
      </w:r>
    </w:p>
    <w:p>
      <w:pPr>
        <w:spacing w:line="247" w:lineRule="auto" w:before="9"/>
        <w:ind w:left="122" w:right="114" w:firstLine="0"/>
        <w:jc w:val="both"/>
        <w:rPr>
          <w:sz w:val="16"/>
        </w:rPr>
      </w:pPr>
      <w:r>
        <w:rPr>
          <w:rFonts w:ascii="Calibri" w:hAnsi="Calibri"/>
          <w:position w:val="8"/>
          <w:sz w:val="14"/>
        </w:rPr>
        <w:t>6</w:t>
      </w:r>
      <w:r>
        <w:rPr>
          <w:sz w:val="16"/>
        </w:rPr>
        <w:t>De</w:t>
      </w:r>
      <w:r>
        <w:rPr>
          <w:spacing w:val="-10"/>
          <w:sz w:val="16"/>
        </w:rPr>
        <w:t> </w:t>
      </w:r>
      <w:r>
        <w:rPr>
          <w:sz w:val="16"/>
        </w:rPr>
        <w:t>acuerdo</w:t>
      </w:r>
      <w:r>
        <w:rPr>
          <w:spacing w:val="-10"/>
          <w:sz w:val="16"/>
        </w:rPr>
        <w:t> </w:t>
      </w:r>
      <w:r>
        <w:rPr>
          <w:sz w:val="16"/>
        </w:rPr>
        <w:t>con</w:t>
      </w:r>
      <w:r>
        <w:rPr>
          <w:spacing w:val="-13"/>
          <w:sz w:val="16"/>
        </w:rPr>
        <w:t> </w:t>
      </w:r>
      <w:r>
        <w:rPr>
          <w:sz w:val="16"/>
        </w:rPr>
        <w:t>Schedler</w:t>
      </w:r>
      <w:r>
        <w:rPr>
          <w:spacing w:val="-9"/>
          <w:sz w:val="16"/>
        </w:rPr>
        <w:t> </w:t>
      </w:r>
      <w:r>
        <w:rPr>
          <w:sz w:val="16"/>
        </w:rPr>
        <w:t>(2004),</w:t>
      </w:r>
      <w:r>
        <w:rPr>
          <w:spacing w:val="-13"/>
          <w:sz w:val="16"/>
        </w:rPr>
        <w:t> </w:t>
      </w:r>
      <w:r>
        <w:rPr>
          <w:sz w:val="16"/>
        </w:rPr>
        <w:t>el</w:t>
      </w:r>
      <w:r>
        <w:rPr>
          <w:spacing w:val="-9"/>
          <w:sz w:val="16"/>
        </w:rPr>
        <w:t> </w:t>
      </w:r>
      <w:r>
        <w:rPr>
          <w:sz w:val="16"/>
        </w:rPr>
        <w:t>concepto</w:t>
      </w:r>
      <w:r>
        <w:rPr>
          <w:spacing w:val="-9"/>
          <w:sz w:val="16"/>
        </w:rPr>
        <w:t> </w:t>
      </w:r>
      <w:r>
        <w:rPr>
          <w:i/>
          <w:sz w:val="16"/>
        </w:rPr>
        <w:t>accountability</w:t>
      </w:r>
      <w:r>
        <w:rPr>
          <w:i/>
          <w:spacing w:val="-7"/>
          <w:sz w:val="16"/>
        </w:rPr>
        <w:t> </w:t>
      </w:r>
      <w:r>
        <w:rPr>
          <w:sz w:val="16"/>
        </w:rPr>
        <w:t>a</w:t>
      </w:r>
      <w:r>
        <w:rPr>
          <w:spacing w:val="-13"/>
          <w:sz w:val="16"/>
        </w:rPr>
        <w:t> </w:t>
      </w:r>
      <w:r>
        <w:rPr>
          <w:sz w:val="16"/>
        </w:rPr>
        <w:t>veces</w:t>
      </w:r>
      <w:r>
        <w:rPr>
          <w:spacing w:val="-11"/>
          <w:sz w:val="16"/>
        </w:rPr>
        <w:t> </w:t>
      </w:r>
      <w:r>
        <w:rPr>
          <w:sz w:val="16"/>
        </w:rPr>
        <w:t>se</w:t>
      </w:r>
      <w:r>
        <w:rPr>
          <w:spacing w:val="-10"/>
          <w:sz w:val="16"/>
        </w:rPr>
        <w:t> </w:t>
      </w:r>
      <w:r>
        <w:rPr>
          <w:sz w:val="16"/>
        </w:rPr>
        <w:t>traduce</w:t>
      </w:r>
      <w:r>
        <w:rPr>
          <w:spacing w:val="-11"/>
          <w:sz w:val="16"/>
        </w:rPr>
        <w:t> </w:t>
      </w:r>
      <w:r>
        <w:rPr>
          <w:sz w:val="16"/>
        </w:rPr>
        <w:t>como</w:t>
      </w:r>
      <w:r>
        <w:rPr>
          <w:spacing w:val="-13"/>
          <w:sz w:val="16"/>
        </w:rPr>
        <w:t> </w:t>
      </w:r>
      <w:r>
        <w:rPr>
          <w:sz w:val="16"/>
        </w:rPr>
        <w:t>control,</w:t>
      </w:r>
      <w:r>
        <w:rPr>
          <w:spacing w:val="-11"/>
          <w:sz w:val="16"/>
        </w:rPr>
        <w:t> </w:t>
      </w:r>
      <w:r>
        <w:rPr>
          <w:sz w:val="16"/>
        </w:rPr>
        <w:t>fiscalización</w:t>
      </w:r>
      <w:r>
        <w:rPr>
          <w:spacing w:val="-10"/>
          <w:sz w:val="16"/>
        </w:rPr>
        <w:t> </w:t>
      </w:r>
      <w:r>
        <w:rPr>
          <w:sz w:val="16"/>
        </w:rPr>
        <w:t>o</w:t>
      </w:r>
      <w:r>
        <w:rPr>
          <w:spacing w:val="-10"/>
          <w:sz w:val="16"/>
        </w:rPr>
        <w:t> </w:t>
      </w:r>
      <w:r>
        <w:rPr>
          <w:sz w:val="16"/>
        </w:rPr>
        <w:t>responsabilidad. La traducción más común y la más cercana es la rendición de cuentas. Schedler considera que los pilares de la rendición de cuentas</w:t>
      </w:r>
      <w:r>
        <w:rPr>
          <w:spacing w:val="-7"/>
          <w:sz w:val="16"/>
        </w:rPr>
        <w:t> </w:t>
      </w:r>
      <w:r>
        <w:rPr>
          <w:sz w:val="16"/>
        </w:rPr>
        <w:t>son</w:t>
      </w:r>
      <w:r>
        <w:rPr>
          <w:spacing w:val="-9"/>
          <w:sz w:val="16"/>
        </w:rPr>
        <w:t> </w:t>
      </w:r>
      <w:r>
        <w:rPr>
          <w:sz w:val="16"/>
        </w:rPr>
        <w:t>la</w:t>
      </w:r>
      <w:r>
        <w:rPr>
          <w:spacing w:val="-6"/>
          <w:sz w:val="16"/>
        </w:rPr>
        <w:t> </w:t>
      </w:r>
      <w:r>
        <w:rPr>
          <w:sz w:val="16"/>
        </w:rPr>
        <w:t>información</w:t>
      </w:r>
      <w:r>
        <w:rPr>
          <w:spacing w:val="-7"/>
          <w:sz w:val="16"/>
        </w:rPr>
        <w:t> </w:t>
      </w:r>
      <w:r>
        <w:rPr>
          <w:sz w:val="16"/>
        </w:rPr>
        <w:t>(</w:t>
      </w:r>
      <w:r>
        <w:rPr>
          <w:i/>
          <w:sz w:val="16"/>
        </w:rPr>
        <w:t>accountability</w:t>
      </w:r>
      <w:r>
        <w:rPr>
          <w:sz w:val="16"/>
        </w:rPr>
        <w:t>),</w:t>
      </w:r>
      <w:r>
        <w:rPr>
          <w:spacing w:val="-8"/>
          <w:sz w:val="16"/>
        </w:rPr>
        <w:t> </w:t>
      </w:r>
      <w:r>
        <w:rPr>
          <w:sz w:val="16"/>
        </w:rPr>
        <w:t>la</w:t>
      </w:r>
      <w:r>
        <w:rPr>
          <w:spacing w:val="-6"/>
          <w:sz w:val="16"/>
        </w:rPr>
        <w:t> </w:t>
      </w:r>
      <w:r>
        <w:rPr>
          <w:sz w:val="16"/>
        </w:rPr>
        <w:t>justificación</w:t>
      </w:r>
      <w:r>
        <w:rPr>
          <w:spacing w:val="-7"/>
          <w:sz w:val="16"/>
        </w:rPr>
        <w:t> </w:t>
      </w:r>
      <w:r>
        <w:rPr>
          <w:sz w:val="16"/>
        </w:rPr>
        <w:t>(</w:t>
      </w:r>
      <w:r>
        <w:rPr>
          <w:i/>
          <w:sz w:val="16"/>
        </w:rPr>
        <w:t>answerability</w:t>
      </w:r>
      <w:r>
        <w:rPr>
          <w:sz w:val="16"/>
        </w:rPr>
        <w:t>)</w:t>
      </w:r>
      <w:r>
        <w:rPr>
          <w:spacing w:val="-7"/>
          <w:sz w:val="16"/>
        </w:rPr>
        <w:t> </w:t>
      </w:r>
      <w:r>
        <w:rPr>
          <w:sz w:val="16"/>
        </w:rPr>
        <w:t>y</w:t>
      </w:r>
      <w:r>
        <w:rPr>
          <w:spacing w:val="-7"/>
          <w:sz w:val="16"/>
        </w:rPr>
        <w:t> </w:t>
      </w:r>
      <w:r>
        <w:rPr>
          <w:sz w:val="16"/>
        </w:rPr>
        <w:t>la</w:t>
      </w:r>
      <w:r>
        <w:rPr>
          <w:spacing w:val="-9"/>
          <w:sz w:val="16"/>
        </w:rPr>
        <w:t> </w:t>
      </w:r>
      <w:r>
        <w:rPr>
          <w:sz w:val="16"/>
        </w:rPr>
        <w:t>sanción</w:t>
      </w:r>
      <w:r>
        <w:rPr>
          <w:spacing w:val="-7"/>
          <w:sz w:val="16"/>
        </w:rPr>
        <w:t> </w:t>
      </w:r>
      <w:r>
        <w:rPr>
          <w:sz w:val="16"/>
        </w:rPr>
        <w:t>(</w:t>
      </w:r>
      <w:r>
        <w:rPr>
          <w:i/>
          <w:sz w:val="16"/>
        </w:rPr>
        <w:t>enforcement</w:t>
      </w:r>
      <w:r>
        <w:rPr>
          <w:sz w:val="16"/>
        </w:rPr>
        <w:t>).</w:t>
      </w:r>
      <w:r>
        <w:rPr>
          <w:spacing w:val="-8"/>
          <w:sz w:val="16"/>
        </w:rPr>
        <w:t> </w:t>
      </w:r>
      <w:r>
        <w:rPr>
          <w:sz w:val="16"/>
        </w:rPr>
        <w:t>Por</w:t>
      </w:r>
      <w:r>
        <w:rPr>
          <w:spacing w:val="-7"/>
          <w:sz w:val="16"/>
        </w:rPr>
        <w:t> </w:t>
      </w:r>
      <w:r>
        <w:rPr>
          <w:sz w:val="16"/>
        </w:rPr>
        <w:t>otra</w:t>
      </w:r>
      <w:r>
        <w:rPr>
          <w:spacing w:val="-7"/>
          <w:sz w:val="16"/>
        </w:rPr>
        <w:t> </w:t>
      </w:r>
      <w:r>
        <w:rPr>
          <w:sz w:val="16"/>
        </w:rPr>
        <w:t>parte,</w:t>
      </w:r>
      <w:r>
        <w:rPr>
          <w:spacing w:val="-6"/>
          <w:sz w:val="16"/>
        </w:rPr>
        <w:t> </w:t>
      </w:r>
      <w:r>
        <w:rPr>
          <w:sz w:val="16"/>
        </w:rPr>
        <w:t>Schedler mencionó que el Banco mundial concibe la rendición de cuentas como una relación triangular entre la gente pobre, </w:t>
      </w:r>
      <w:r>
        <w:rPr>
          <w:spacing w:val="-3"/>
          <w:sz w:val="16"/>
        </w:rPr>
        <w:t>los </w:t>
      </w:r>
      <w:r>
        <w:rPr>
          <w:sz w:val="16"/>
        </w:rPr>
        <w:t>proveedores de servicios de primera línea y los autores de las</w:t>
      </w:r>
      <w:r>
        <w:rPr>
          <w:spacing w:val="-28"/>
          <w:sz w:val="16"/>
        </w:rPr>
        <w:t> </w:t>
      </w:r>
      <w:r>
        <w:rPr>
          <w:sz w:val="16"/>
        </w:rPr>
        <w:t>políticas.</w:t>
      </w:r>
    </w:p>
    <w:p>
      <w:pPr>
        <w:spacing w:after="0" w:line="247" w:lineRule="auto"/>
        <w:jc w:val="both"/>
        <w:rPr>
          <w:sz w:val="16"/>
        </w:rPr>
        <w:sectPr>
          <w:pgSz w:w="12240" w:h="15840"/>
          <w:pgMar w:header="0" w:footer="1003" w:top="1360" w:bottom="1200" w:left="1580" w:right="1580"/>
        </w:sectPr>
      </w:pPr>
    </w:p>
    <w:p>
      <w:pPr>
        <w:pStyle w:val="BodyText"/>
        <w:spacing w:line="360" w:lineRule="auto" w:before="54"/>
        <w:ind w:left="122" w:right="119" w:firstLine="427"/>
        <w:jc w:val="both"/>
        <w:rPr>
          <w:sz w:val="16"/>
        </w:rPr>
      </w:pPr>
      <w:r>
        <w:rPr/>
        <w:t>La actividad del Estado (administración pública) surge como una respuesta a los</w:t>
      </w:r>
      <w:r>
        <w:rPr>
          <w:spacing w:val="-10"/>
        </w:rPr>
        <w:t> </w:t>
      </w:r>
      <w:r>
        <w:rPr/>
        <w:t>proyectos</w:t>
      </w:r>
      <w:r>
        <w:rPr>
          <w:spacing w:val="-13"/>
        </w:rPr>
        <w:t> </w:t>
      </w:r>
      <w:r>
        <w:rPr/>
        <w:t>nacionales,</w:t>
      </w:r>
      <w:r>
        <w:rPr>
          <w:spacing w:val="-10"/>
        </w:rPr>
        <w:t> </w:t>
      </w:r>
      <w:r>
        <w:rPr/>
        <w:t>los</w:t>
      </w:r>
      <w:r>
        <w:rPr>
          <w:spacing w:val="-12"/>
        </w:rPr>
        <w:t> </w:t>
      </w:r>
      <w:r>
        <w:rPr/>
        <w:t>problemas</w:t>
      </w:r>
      <w:r>
        <w:rPr>
          <w:spacing w:val="-13"/>
        </w:rPr>
        <w:t> </w:t>
      </w:r>
      <w:r>
        <w:rPr/>
        <w:t>sociales</w:t>
      </w:r>
      <w:r>
        <w:rPr>
          <w:spacing w:val="-10"/>
        </w:rPr>
        <w:t> </w:t>
      </w:r>
      <w:r>
        <w:rPr/>
        <w:t>y</w:t>
      </w:r>
      <w:r>
        <w:rPr>
          <w:spacing w:val="-13"/>
        </w:rPr>
        <w:t> </w:t>
      </w:r>
      <w:r>
        <w:rPr/>
        <w:t>las</w:t>
      </w:r>
      <w:r>
        <w:rPr>
          <w:spacing w:val="-10"/>
        </w:rPr>
        <w:t> </w:t>
      </w:r>
      <w:r>
        <w:rPr/>
        <w:t>demandas</w:t>
      </w:r>
      <w:r>
        <w:rPr>
          <w:spacing w:val="-10"/>
        </w:rPr>
        <w:t> </w:t>
      </w:r>
      <w:r>
        <w:rPr/>
        <w:t>ciudadanas</w:t>
      </w:r>
      <w:r>
        <w:rPr>
          <w:spacing w:val="-10"/>
        </w:rPr>
        <w:t> </w:t>
      </w:r>
      <w:r>
        <w:rPr/>
        <w:t>(tanto reales</w:t>
      </w:r>
      <w:r>
        <w:rPr>
          <w:spacing w:val="-6"/>
        </w:rPr>
        <w:t> </w:t>
      </w:r>
      <w:r>
        <w:rPr/>
        <w:t>como</w:t>
      </w:r>
      <w:r>
        <w:rPr>
          <w:spacing w:val="-8"/>
        </w:rPr>
        <w:t> </w:t>
      </w:r>
      <w:r>
        <w:rPr/>
        <w:t>potenciales).</w:t>
      </w:r>
      <w:r>
        <w:rPr>
          <w:spacing w:val="-7"/>
        </w:rPr>
        <w:t> </w:t>
      </w:r>
      <w:r>
        <w:rPr/>
        <w:t>Esto</w:t>
      </w:r>
      <w:r>
        <w:rPr>
          <w:spacing w:val="-6"/>
        </w:rPr>
        <w:t> </w:t>
      </w:r>
      <w:r>
        <w:rPr/>
        <w:t>se</w:t>
      </w:r>
      <w:r>
        <w:rPr>
          <w:spacing w:val="-6"/>
        </w:rPr>
        <w:t> </w:t>
      </w:r>
      <w:r>
        <w:rPr/>
        <w:t>orienta</w:t>
      </w:r>
      <w:r>
        <w:rPr>
          <w:spacing w:val="-8"/>
        </w:rPr>
        <w:t> </w:t>
      </w:r>
      <w:r>
        <w:rPr/>
        <w:t>a</w:t>
      </w:r>
      <w:r>
        <w:rPr>
          <w:spacing w:val="-6"/>
        </w:rPr>
        <w:t> </w:t>
      </w:r>
      <w:r>
        <w:rPr/>
        <w:t>la</w:t>
      </w:r>
      <w:r>
        <w:rPr>
          <w:spacing w:val="-6"/>
        </w:rPr>
        <w:t> </w:t>
      </w:r>
      <w:r>
        <w:rPr/>
        <w:t>adopción</w:t>
      </w:r>
      <w:r>
        <w:rPr>
          <w:spacing w:val="-6"/>
        </w:rPr>
        <w:t> </w:t>
      </w:r>
      <w:r>
        <w:rPr/>
        <w:t>y</w:t>
      </w:r>
      <w:r>
        <w:rPr>
          <w:spacing w:val="-9"/>
        </w:rPr>
        <w:t> </w:t>
      </w:r>
      <w:r>
        <w:rPr/>
        <w:t>ejecución</w:t>
      </w:r>
      <w:r>
        <w:rPr>
          <w:spacing w:val="-8"/>
        </w:rPr>
        <w:t> </w:t>
      </w:r>
      <w:r>
        <w:rPr/>
        <w:t>de</w:t>
      </w:r>
      <w:r>
        <w:rPr>
          <w:spacing w:val="-6"/>
        </w:rPr>
        <w:t> </w:t>
      </w:r>
      <w:r>
        <w:rPr/>
        <w:t>acciones</w:t>
      </w:r>
      <w:r>
        <w:rPr>
          <w:spacing w:val="-9"/>
        </w:rPr>
        <w:t> </w:t>
      </w:r>
      <w:r>
        <w:rPr/>
        <w:t>del Estado. Los resultados en la sociedad redundan en un cambio de la situación política, económica y social. Todos estos elementos interactúan dentro del sistema político.</w:t>
      </w:r>
      <w:r>
        <w:rPr>
          <w:position w:val="8"/>
          <w:sz w:val="16"/>
        </w:rPr>
        <w:t>7</w:t>
      </w:r>
    </w:p>
    <w:p>
      <w:pPr>
        <w:pStyle w:val="BodyText"/>
        <w:rPr>
          <w:sz w:val="36"/>
        </w:rPr>
      </w:pPr>
    </w:p>
    <w:p>
      <w:pPr>
        <w:pStyle w:val="BodyText"/>
        <w:spacing w:line="360" w:lineRule="auto"/>
        <w:ind w:left="54" w:right="114" w:firstLine="427"/>
        <w:jc w:val="right"/>
      </w:pPr>
      <w:r>
        <w:rPr/>
        <w:t>La gobernabilidad del Estado se realiza en los sistemas políticos en torno a</w:t>
      </w:r>
      <w:r>
        <w:rPr>
          <w:w w:val="99"/>
        </w:rPr>
        <w:t> </w:t>
      </w:r>
      <w:r>
        <w:rPr/>
        <w:t>lograr la legitimidad del Estado. La legitimidad se asocia, tanto a la eficiencia del</w:t>
      </w:r>
      <w:r>
        <w:rPr>
          <w:w w:val="99"/>
        </w:rPr>
        <w:t> </w:t>
      </w:r>
      <w:r>
        <w:rPr/>
        <w:t>sistema electoral como a la capacidad del Estado para atender (productos, </w:t>
      </w:r>
      <w:r>
        <w:rPr>
          <w:i/>
        </w:rPr>
        <w:t>outputs</w:t>
      </w:r>
      <w:r>
        <w:rPr/>
        <w:t>) las demandas (insumos o </w:t>
      </w:r>
      <w:r>
        <w:rPr>
          <w:i/>
        </w:rPr>
        <w:t>inputs</w:t>
      </w:r>
      <w:r>
        <w:rPr/>
        <w:t>), la cual se realiza mediante la gobernanza, y que</w:t>
      </w:r>
      <w:r>
        <w:rPr>
          <w:w w:val="99"/>
        </w:rPr>
        <w:t> </w:t>
      </w:r>
      <w:r>
        <w:rPr/>
        <w:t>finalmente repercute en los rendimientos (eficacia y eficiencia) del sistema político.</w:t>
      </w:r>
    </w:p>
    <w:p>
      <w:pPr>
        <w:pStyle w:val="BodyText"/>
      </w:pPr>
    </w:p>
    <w:p>
      <w:pPr>
        <w:pStyle w:val="BodyText"/>
        <w:spacing w:line="360" w:lineRule="auto" w:before="142"/>
        <w:ind w:left="122" w:right="117" w:firstLine="427"/>
        <w:jc w:val="both"/>
      </w:pPr>
      <w:r>
        <w:rPr/>
        <w:t>Desde el punto de vista de la ciencia política (Easton 1999: 13-28) el sistema político puede considerado como la inclusión de la sociedad para la mejor asignación de valores.</w:t>
      </w:r>
    </w:p>
    <w:p>
      <w:pPr>
        <w:pStyle w:val="BodyText"/>
      </w:pPr>
    </w:p>
    <w:p>
      <w:pPr>
        <w:pStyle w:val="BodyText"/>
        <w:spacing w:line="360" w:lineRule="auto" w:before="142"/>
        <w:ind w:left="122" w:right="122" w:firstLine="427"/>
        <w:jc w:val="both"/>
      </w:pPr>
      <w:r>
        <w:rPr/>
        <w:t>Para</w:t>
      </w:r>
      <w:r>
        <w:rPr>
          <w:spacing w:val="-9"/>
        </w:rPr>
        <w:t> </w:t>
      </w:r>
      <w:r>
        <w:rPr/>
        <w:t>que</w:t>
      </w:r>
      <w:r>
        <w:rPr>
          <w:spacing w:val="-10"/>
        </w:rPr>
        <w:t> </w:t>
      </w:r>
      <w:r>
        <w:rPr/>
        <w:t>un</w:t>
      </w:r>
      <w:r>
        <w:rPr>
          <w:spacing w:val="-8"/>
        </w:rPr>
        <w:t> </w:t>
      </w:r>
      <w:r>
        <w:rPr/>
        <w:t>sistema</w:t>
      </w:r>
      <w:r>
        <w:rPr>
          <w:spacing w:val="-8"/>
        </w:rPr>
        <w:t> </w:t>
      </w:r>
      <w:r>
        <w:rPr/>
        <w:t>político</w:t>
      </w:r>
      <w:r>
        <w:rPr>
          <w:spacing w:val="-8"/>
        </w:rPr>
        <w:t> </w:t>
      </w:r>
      <w:r>
        <w:rPr/>
        <w:t>sea</w:t>
      </w:r>
      <w:r>
        <w:rPr>
          <w:spacing w:val="-10"/>
        </w:rPr>
        <w:t> </w:t>
      </w:r>
      <w:r>
        <w:rPr/>
        <w:t>eficiente</w:t>
      </w:r>
      <w:r>
        <w:rPr>
          <w:spacing w:val="-8"/>
        </w:rPr>
        <w:t> </w:t>
      </w:r>
      <w:r>
        <w:rPr/>
        <w:t>requiere</w:t>
      </w:r>
      <w:r>
        <w:rPr>
          <w:spacing w:val="-8"/>
        </w:rPr>
        <w:t> </w:t>
      </w:r>
      <w:r>
        <w:rPr/>
        <w:t>que</w:t>
      </w:r>
      <w:r>
        <w:rPr>
          <w:spacing w:val="-10"/>
        </w:rPr>
        <w:t> </w:t>
      </w:r>
      <w:r>
        <w:rPr/>
        <w:t>la</w:t>
      </w:r>
      <w:r>
        <w:rPr>
          <w:spacing w:val="-8"/>
        </w:rPr>
        <w:t> </w:t>
      </w:r>
      <w:r>
        <w:rPr/>
        <w:t>gobernanza</w:t>
      </w:r>
      <w:r>
        <w:rPr>
          <w:spacing w:val="-8"/>
        </w:rPr>
        <w:t> </w:t>
      </w:r>
      <w:r>
        <w:rPr/>
        <w:t>satisfaga las demandas sociales. Esto tiene como resultado la gobernabilidad (si las demandas son atendidas) o ingobernabilidad (demandas no atendidas). Es importante considerar que con frecuencia la atención de las demandas sociales se desfasa</w:t>
      </w:r>
      <w:r>
        <w:rPr>
          <w:spacing w:val="-6"/>
        </w:rPr>
        <w:t> </w:t>
      </w:r>
      <w:r>
        <w:rPr/>
        <w:t>del</w:t>
      </w:r>
      <w:r>
        <w:rPr>
          <w:spacing w:val="-7"/>
        </w:rPr>
        <w:t> </w:t>
      </w:r>
      <w:r>
        <w:rPr/>
        <w:t>tiempo</w:t>
      </w:r>
      <w:r>
        <w:rPr>
          <w:spacing w:val="-6"/>
        </w:rPr>
        <w:t> </w:t>
      </w:r>
      <w:r>
        <w:rPr/>
        <w:t>de</w:t>
      </w:r>
      <w:r>
        <w:rPr>
          <w:spacing w:val="-6"/>
        </w:rPr>
        <w:t> </w:t>
      </w:r>
      <w:r>
        <w:rPr/>
        <w:t>atención</w:t>
      </w:r>
      <w:r>
        <w:rPr>
          <w:spacing w:val="-6"/>
        </w:rPr>
        <w:t> </w:t>
      </w:r>
      <w:r>
        <w:rPr/>
        <w:t>de</w:t>
      </w:r>
      <w:r>
        <w:rPr>
          <w:spacing w:val="-6"/>
        </w:rPr>
        <w:t> </w:t>
      </w:r>
      <w:r>
        <w:rPr/>
        <w:t>las</w:t>
      </w:r>
      <w:r>
        <w:rPr>
          <w:spacing w:val="-6"/>
        </w:rPr>
        <w:t> </w:t>
      </w:r>
      <w:r>
        <w:rPr/>
        <w:t>mismas,</w:t>
      </w:r>
      <w:r>
        <w:rPr>
          <w:spacing w:val="-4"/>
        </w:rPr>
        <w:t> </w:t>
      </w:r>
      <w:r>
        <w:rPr/>
        <w:t>lo</w:t>
      </w:r>
      <w:r>
        <w:rPr>
          <w:spacing w:val="-6"/>
        </w:rPr>
        <w:t> </w:t>
      </w:r>
      <w:r>
        <w:rPr/>
        <w:t>cual</w:t>
      </w:r>
      <w:r>
        <w:rPr>
          <w:spacing w:val="-7"/>
        </w:rPr>
        <w:t> </w:t>
      </w:r>
      <w:r>
        <w:rPr/>
        <w:t>le</w:t>
      </w:r>
      <w:r>
        <w:rPr>
          <w:spacing w:val="-6"/>
        </w:rPr>
        <w:t> </w:t>
      </w:r>
      <w:r>
        <w:rPr/>
        <w:t>puede</w:t>
      </w:r>
      <w:r>
        <w:rPr>
          <w:spacing w:val="-6"/>
        </w:rPr>
        <w:t> </w:t>
      </w:r>
      <w:r>
        <w:rPr/>
        <w:t>restar</w:t>
      </w:r>
      <w:r>
        <w:rPr>
          <w:spacing w:val="-5"/>
        </w:rPr>
        <w:t> </w:t>
      </w:r>
      <w:r>
        <w:rPr/>
        <w:t>legitimidad</w:t>
      </w:r>
      <w:r>
        <w:rPr>
          <w:spacing w:val="-6"/>
        </w:rPr>
        <w:t> </w:t>
      </w:r>
      <w:r>
        <w:rPr/>
        <w:t>al Estado.</w:t>
      </w:r>
    </w:p>
    <w:p>
      <w:pPr>
        <w:pStyle w:val="BodyText"/>
      </w:pPr>
    </w:p>
    <w:p>
      <w:pPr>
        <w:pStyle w:val="BodyText"/>
        <w:spacing w:line="362" w:lineRule="auto" w:before="142"/>
        <w:ind w:left="122" w:right="121" w:firstLine="427"/>
        <w:jc w:val="both"/>
      </w:pPr>
      <w:r>
        <w:rPr/>
        <w:t>El siguiente esquema representa los efectos de la gobernanza en la gobernabilidad y en el sistema político: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1816;mso-wrap-distance-left:0;mso-wrap-distance-right:0" from="85.103996pt,12.42377pt" to="229.123996pt,12.42377pt" stroked="true" strokeweight=".71997pt" strokecolor="#000000">
            <w10:wrap type="topAndBottom"/>
          </v:line>
        </w:pict>
      </w:r>
    </w:p>
    <w:p>
      <w:pPr>
        <w:spacing w:line="249" w:lineRule="auto" w:before="62"/>
        <w:ind w:left="122" w:right="114" w:firstLine="0"/>
        <w:jc w:val="both"/>
        <w:rPr>
          <w:sz w:val="16"/>
        </w:rPr>
      </w:pPr>
      <w:r>
        <w:rPr>
          <w:rFonts w:ascii="Times New Roman" w:hAnsi="Times New Roman"/>
          <w:position w:val="7"/>
          <w:sz w:val="13"/>
        </w:rPr>
        <w:t>7</w:t>
      </w:r>
      <w:r>
        <w:rPr>
          <w:sz w:val="16"/>
        </w:rPr>
        <w:t>De acuerdo con Karl Loewenstein, el sistema político es democrático constitucional si cuenta con instituciones efectivas donde sus elementos que representan el poder se encuentren sometidos a las reglas fijas de la constitución, por lo que ésta es el dispositivo fundamental que controla el proceso del poder.</w:t>
      </w:r>
    </w:p>
    <w:p>
      <w:pPr>
        <w:spacing w:line="240" w:lineRule="auto" w:before="0"/>
        <w:ind w:left="122" w:right="4411" w:firstLine="0"/>
        <w:jc w:val="left"/>
        <w:rPr>
          <w:sz w:val="16"/>
        </w:rPr>
      </w:pPr>
      <w:r>
        <w:rPr>
          <w:sz w:val="16"/>
        </w:rPr>
        <w:t>Disponible en: </w:t>
      </w:r>
      <w:hyperlink r:id="rId27">
        <w:r>
          <w:rPr>
            <w:sz w:val="16"/>
          </w:rPr>
          <w:t>http://biblio.juridicas.unam.mx/libros/1/348/27.pdf</w:t>
        </w:r>
      </w:hyperlink>
      <w:r>
        <w:rPr>
          <w:sz w:val="16"/>
        </w:rPr>
        <w:t> [Fecha de consulta: 7 de marzo de 2015]</w:t>
      </w:r>
    </w:p>
    <w:p>
      <w:pPr>
        <w:spacing w:after="0" w:line="240" w:lineRule="auto"/>
        <w:jc w:val="left"/>
        <w:rPr>
          <w:sz w:val="16"/>
        </w:rPr>
        <w:sectPr>
          <w:pgSz w:w="12240" w:h="15840"/>
          <w:pgMar w:header="0" w:footer="1003" w:top="1360" w:bottom="1200" w:left="1580" w:right="1580"/>
        </w:sectPr>
      </w:pPr>
    </w:p>
    <w:p>
      <w:pPr>
        <w:spacing w:before="55"/>
        <w:ind w:left="1167" w:right="0" w:firstLine="0"/>
        <w:jc w:val="left"/>
        <w:rPr>
          <w:sz w:val="20"/>
        </w:rPr>
      </w:pPr>
      <w:bookmarkStart w:name="_bookmark3" w:id="5"/>
      <w:bookmarkEnd w:id="5"/>
      <w:r>
        <w:rPr/>
      </w:r>
      <w:r>
        <w:rPr>
          <w:sz w:val="20"/>
        </w:rPr>
        <w:t>Esquema 1.1. Relación entre sistema político, gobernabilidad y gobernanza</w:t>
      </w:r>
    </w:p>
    <w:p>
      <w:pPr>
        <w:pStyle w:val="BodyText"/>
        <w:spacing w:before="2"/>
        <w:rPr>
          <w:sz w:val="14"/>
        </w:rPr>
      </w:pPr>
      <w:r>
        <w:rPr/>
        <w:pict>
          <v:group style="position:absolute;margin-left:94.919998pt;margin-top:10.120886pt;width:419.9pt;height:246pt;mso-position-horizontal-relative:page;mso-position-vertical-relative:paragraph;z-index:2080;mso-wrap-distance-left:0;mso-wrap-distance-right:0" coordorigin="1898,202" coordsize="8398,4920">
            <v:shape style="position:absolute;left:1898;top:202;width:8398;height:4920" type="#_x0000_t75" stroked="false">
              <v:imagedata r:id="rId30" o:title=""/>
            </v:shape>
            <v:rect style="position:absolute;left:2026;top:231;width:8230;height:4764" filled="true" fillcolor="#edebe0" stroked="false">
              <v:fill type="solid"/>
            </v:rect>
            <v:shape style="position:absolute;left:4356;top:1110;width:3065;height:1224" coordorigin="4356,1110" coordsize="3065,1224" path="m5888,1110l5827,1111,5766,1112,5705,1115,5587,1122,5471,1133,5360,1148,5252,1165,5148,1186,5049,1210,4956,1237,4867,1266,4784,1298,4708,1332,4638,1368,4575,1407,4519,1447,4471,1489,4413,1556,4375,1625,4357,1697,4356,1722,4356,2334,7420,2334,7420,1722,7410,1649,7378,1578,7327,1511,7282,1468,7230,1427,7171,1387,7104,1350,7031,1314,6951,1281,6866,1251,6774,1223,6678,1198,6577,1175,6471,1156,6361,1140,6248,1127,6131,1118,6011,1112,5950,1111,5888,1110xe" filled="true" fillcolor="#dce6f1" stroked="false">
              <v:path arrowok="t"/>
              <v:fill type="solid"/>
            </v:shape>
            <v:shape style="position:absolute;left:4356;top:1110;width:3065;height:1224" coordorigin="4356,1110" coordsize="3065,1224" path="m4356,2334l4356,1722,4357,1697,4361,1673,4385,1602,4430,1533,4494,1468,4546,1427,4605,1387,4672,1350,4745,1314,4825,1281,4911,1251,5002,1223,5098,1198,5199,1175,5305,1156,5415,1140,5529,1127,5646,1118,5766,1112,5827,1111,5888,1110,5950,1111,6011,1112,6071,1115,6190,1122,6305,1133,6417,1148,6525,1165,6628,1186,6727,1210,6821,1237,6909,1266,6992,1298,7068,1332,7138,1368,7201,1407,7257,1447,7306,1489,7363,1556,7401,1625,7419,1697,7420,1722,7420,2334,4356,2334xe" filled="false" stroked="true" strokeweight="1.234128pt" strokecolor="#385d89">
              <v:path arrowok="t"/>
            </v:shape>
            <v:shape style="position:absolute;left:6195;top:1783;width:550;height:373" coordorigin="6195,1783" coordsize="550,373" path="m6469,1783l6195,2155,6744,2155,6469,1783xe" filled="true" fillcolor="#4f81bc" stroked="false">
              <v:path arrowok="t"/>
              <v:fill type="solid"/>
            </v:shape>
            <v:shape style="position:absolute;left:6195;top:1783;width:550;height:373" coordorigin="6195,1783" coordsize="550,373" path="m6195,2155l6469,1783,6744,2155,6195,2155xe" filled="false" stroked="true" strokeweight="1.258384pt" strokecolor="#385d89">
              <v:path arrowok="t"/>
            </v:shape>
            <v:shape style="position:absolute;left:4969;top:1848;width:550;height:365" coordorigin="4969,1848" coordsize="550,365" path="m5519,1848l4969,1848,5244,2212,5519,1848xe" filled="true" fillcolor="#c0504d" stroked="false">
              <v:path arrowok="t"/>
              <v:fill type="solid"/>
            </v:shape>
            <v:shape style="position:absolute;left:4969;top:1848;width:550;height:365" coordorigin="4969,1848" coordsize="550,365" path="m5519,1848l5244,2212,4969,1848,5519,1848xe" filled="false" stroked="true" strokeweight="1.257098pt" strokecolor="#8b3836">
              <v:path arrowok="t"/>
            </v:shape>
            <v:shape style="position:absolute;left:5582;top:3565;width:478;height:365" coordorigin="5582,3565" coordsize="478,365" path="m5940,3918l5701,3918,5701,3930,5940,3930,5940,3918xm5940,3884l5701,3884,5701,3907,5940,3907,5940,3884xm5940,3747l5701,3747,5701,3873,5940,3873,5940,3747xm5820,3565l5582,3747,6059,3747,5820,3565xe" filled="true" fillcolor="#375f92" stroked="false">
              <v:path arrowok="t"/>
              <v:fill opacity="21588f" type="solid"/>
            </v:shape>
            <v:shape style="position:absolute;left:5545;top:3549;width:552;height:393" coordorigin="5545,3549" coordsize="552,393" path="m5688,3747l5688,3942,5953,3942,5953,3931,5701,3931,5708,3924,5701,3918,5953,3918,5953,3907,5715,3907,5703,3896,5701,3896,5702,3896,5701,3895,5703,3895,5715,3884,5953,3884,5953,3873,5715,3873,5701,3861,5715,3861,5715,3760,5701,3760,5688,3747xm5708,3924l5701,3931,5940,3931,5939,3930,5715,3930,5708,3924xm5953,3918l5940,3918,5933,3924,5940,3931,5953,3931,5953,3918xm5715,3918l5708,3924,5715,3930,5715,3918xm5926,3918l5715,3918,5715,3930,5926,3930,5926,3918xm5926,3918l5926,3930,5933,3924,5926,3918xm5933,3924l5926,3930,5939,3930,5933,3924xm5940,3918l5701,3918,5708,3924,5715,3918,5939,3918,5940,3918xm5939,3918l5926,3918,5933,3924,5939,3918xm5715,3884l5702,3896,5715,3907,5715,3884xm5926,3884l5715,3884,5715,3907,5926,3907,5926,3884xm5926,3884l5926,3907,5939,3896,5926,3884xm5939,3896l5926,3907,5953,3907,5953,3896,5940,3896,5939,3896xm5702,3896l5701,3896,5703,3896,5702,3896xm5953,3895l5940,3895,5939,3896,5940,3896,5953,3896,5953,3895xm5703,3895l5701,3895,5702,3896,5703,3895xm5953,3884l5926,3884,5939,3896,5940,3895,5953,3895,5953,3884xm5715,3861l5701,3861,5715,3873,5715,3861xm5926,3861l5715,3861,5715,3873,5926,3873,5926,3861xm6023,3735l5926,3735,5926,3873,5940,3861,5953,3861,5953,3760,5940,3760,5953,3747,6038,3747,6023,3735xm5953,3861l5940,3861,5926,3873,5953,3873,5953,3861xm5820,3549l5545,3760,5688,3760,5688,3757,5590,3757,5582,3735,5618,3735,5820,3581,5812,3575,5854,3575,5820,3549xm5715,3747l5688,3747,5701,3760,5715,3760,5715,3747xm5953,3747l5940,3760,5953,3760,5953,3747xm6038,3747l5953,3747,5953,3760,6096,3760,6092,3757,6051,3757,6038,3747xm5618,3735l5582,3735,5590,3757,5618,3735xm5715,3735l5618,3735,5590,3757,5688,3757,5688,3747,5715,3747,5715,3735xm5854,3575l5829,3575,5820,3581,6051,3757,6059,3735,6064,3735,5854,3575xm6064,3735l6059,3735,6051,3757,6092,3757,6064,3735xm5829,3575l5812,3575,5820,3581,5829,3575xe" filled="true" fillcolor="#385d89" stroked="false">
              <v:path arrowok="t"/>
              <v:fill type="solid"/>
            </v:shape>
            <v:shape style="position:absolute;left:7632;top:3677;width:287;height:582" coordorigin="7632,3677" coordsize="287,582" path="m7896,3789l7793,3789,7807,3827,7816,3866,7821,3905,7821,3944,7817,3984,7808,4023,7795,4061,7777,4098,7756,4134,7731,4168,7702,4201,7669,4231,7632,4259,7716,4201,7752,4173,7785,4143,7815,4111,7840,4076,7861,4040,7879,4003,7892,3965,7901,3926,7905,3887,7905,3847,7900,3808,7896,3789xm7782,3677l7751,3818,7793,3789,7896,3789,7891,3770,7877,3732,7919,3703,7782,3677xe" filled="true" fillcolor="#4f81bc" stroked="false">
              <v:path arrowok="t"/>
              <v:fill type="solid"/>
            </v:shape>
            <v:shape style="position:absolute;left:7010;top:4151;width:663;height:199" coordorigin="7010,4151" coordsize="663,199" path="m7094,4151l7010,4209,7038,4238,7069,4264,7103,4287,7139,4306,7176,4322,7216,4334,7257,4343,7299,4348,7341,4350,7384,4348,7427,4342,7470,4333,7512,4320,7553,4303,7575,4292,7420,4292,7378,4290,7337,4285,7296,4276,7258,4263,7220,4247,7185,4228,7152,4206,7121,4180,7094,4151xm7672,4228l7632,4248,7590,4264,7548,4277,7505,4285,7463,4291,7420,4292,7575,4292,7593,4283,7632,4259,7642,4252,7653,4244,7663,4236,7672,4228xe" filled="true" fillcolor="#406897" stroked="false">
              <v:path arrowok="t"/>
              <v:fill type="solid"/>
            </v:shape>
            <v:shape style="position:absolute;left:7010;top:3677;width:909;height:673" coordorigin="7010,3677" coordsize="909,673" path="m7672,4228l7590,4264,7505,4285,7420,4292,7378,4290,7296,4276,7220,4247,7152,4206,7094,4151,7010,4209,7038,4238,7069,4264,7139,4306,7216,4334,7299,4348,7341,4350,7384,4348,7470,4333,7553,4303,7632,4259,7716,4201,7752,4173,7785,4143,7840,4076,7879,4003,7901,3926,7905,3887,7905,3847,7900,3808,7891,3770,7877,3732,7919,3703,7782,3677,7751,3818,7793,3789,7807,3827,7816,3866,7821,3905,7821,3944,7817,3984,7795,4061,7756,4134,7702,4201,7669,4231,7632,4259e" filled="false" stroked="true" strokeweight="1.123322pt" strokecolor="#385d89">
              <v:path arrowok="t"/>
            </v:shape>
            <v:shape style="position:absolute;left:3426;top:1200;width:261;height:498" coordorigin="3426,1200" coordsize="261,498" path="m3584,1200l3595,1238,3560,1260,3528,1286,3501,1315,3477,1347,3458,1382,3443,1419,3432,1458,3427,1498,3426,1539,3431,1581,3440,1623,3462,1698,3453,1656,3448,1614,3449,1573,3455,1533,3465,1494,3480,1457,3499,1422,3523,1390,3551,1361,3582,1335,3618,1313,3649,1313,3687,1245,3584,1200xm3649,1313l3618,1313,3629,1350,3649,1313xe" filled="true" fillcolor="#c0504d" stroked="false">
              <v:path arrowok="t"/>
              <v:fill type="solid"/>
            </v:shape>
            <v:shape style="position:absolute;left:3453;top:1660;width:443;height:304" coordorigin="3453,1660" coordsize="443,304" path="m3453,1660l3456,1673,3459,1685,3462,1698,3477,1739,3497,1778,3521,1814,3548,1846,3579,1875,3613,1901,3649,1922,3687,1939,3727,1952,3768,1960,3811,1963,3853,1961,3896,1954,3877,1888,3788,1888,3746,1885,3705,1877,3664,1864,3626,1846,3589,1825,3555,1799,3524,1769,3497,1736,3473,1700,3453,1660xm3874,1879l3831,1886,3788,1888,3877,1888,3874,1879xe" filled="true" fillcolor="#9a403d" stroked="false">
              <v:path arrowok="t"/>
              <v:fill type="solid"/>
            </v:shape>
            <v:shape style="position:absolute;left:3426;top:1200;width:470;height:764" coordorigin="3426,1200" coordsize="470,764" path="m3453,1660l3497,1736,3555,1799,3626,1846,3705,1877,3788,1888,3831,1886,3874,1879,3896,1954,3853,1961,3811,1963,3727,1952,3649,1922,3579,1875,3521,1814,3477,1739,3462,1698,3440,1623,3431,1581,3426,1539,3432,1458,3458,1382,3501,1315,3560,1260,3595,1238,3584,1200,3687,1245,3629,1350,3618,1313,3551,1361,3499,1422,3465,1494,3449,1573,3448,1614,3453,1656,3462,1698e" filled="false" stroked="true" strokeweight="1.168455pt" strokecolor="#8b3836">
              <v:path arrowok="t"/>
            </v:shape>
            <v:shape style="position:absolute;left:7967;top:1240;width:295;height:556" coordorigin="7967,1240" coordsize="295,556" path="m8180,1371l8044,1371,8081,1395,8114,1423,8144,1453,8169,1486,8190,1521,8207,1558,8219,1596,8227,1635,8230,1675,8228,1715,8221,1756,8209,1796,8241,1709,8253,1669,8260,1628,8262,1588,8259,1548,8252,1509,8240,1471,8223,1434,8202,1399,8180,1371xm8093,1240l7967,1287,8028,1414,8044,1371,8180,1371,8176,1366,8147,1336,8114,1308,8076,1284,8093,1240xe" filled="true" fillcolor="#4f81bc" stroked="false">
              <v:path arrowok="t"/>
              <v:fill type="solid"/>
            </v:shape>
            <v:shape style="position:absolute;left:7691;top:1751;width:531;height:295" coordorigin="7691,1751" coordsize="531,295" path="m7724,1940l7691,2027,7734,2038,7778,2044,7820,2046,7863,2044,7905,2038,7945,2029,7984,2015,8022,1999,8057,1979,8085,1959,7860,1959,7815,1957,7769,1951,7724,1940xm8222,1751l8199,1788,8172,1822,8142,1852,8108,1879,8072,1902,8033,1922,7992,1937,7949,1949,7905,1956,7860,1959,8085,1959,8090,1955,8121,1929,8148,1900,8172,1867,8192,1833,8209,1796,8213,1785,8216,1774,8219,1762,8222,1751xe" filled="true" fillcolor="#406897" stroked="false">
              <v:path arrowok="t"/>
              <v:fill type="solid"/>
            </v:shape>
            <v:shape style="position:absolute;left:7691;top:1240;width:571;height:806" coordorigin="7691,1240" coordsize="571,806" path="m8222,1751l8172,1822,8108,1879,8033,1922,7949,1949,7860,1959,7815,1957,7769,1951,7724,1940,7691,2027,7734,2038,7778,2044,7820,2046,7863,2044,7905,2038,7984,2015,8057,1979,8121,1929,8172,1867,8209,1796,8241,1709,8253,1669,8260,1628,8259,1548,8240,1471,8202,1399,8147,1336,8076,1284,8093,1240,7967,1287,8028,1414,8044,1371,8114,1423,8169,1486,8207,1558,8227,1635,8230,1675,8228,1715,8221,1756,8209,1796e" filled="false" stroked="true" strokeweight="1.161229pt" strokecolor="#385d89">
              <v:path arrowok="t"/>
            </v:shape>
            <v:shape style="position:absolute;left:4049;top:3743;width:164;height:552" coordorigin="4049,3743" coordsize="164,552" path="m4083,3743l4112,3776,4090,3809,4073,3844,4060,3880,4052,3918,4049,3958,4050,3997,4056,4037,4066,4077,4082,4117,4101,4155,4125,4192,4154,4228,4212,4294,4183,4258,4159,4221,4140,4182,4125,4143,4114,4103,4108,4063,4107,4023,4110,3984,4118,3946,4131,3909,4148,3874,4170,3841,4201,3841,4206,3747,4083,3743xm4201,3841l4170,3841,4199,3874,4201,3841xe" filled="true" fillcolor="#c0504d" stroked="false">
              <v:path arrowok="t"/>
              <v:fill type="solid"/>
            </v:shape>
            <v:shape style="position:absolute;left:4185;top:4260;width:591;height:196" coordorigin="4185,4260" coordsize="591,196" path="m4185,4260l4191,4269,4198,4277,4205,4286,4212,4294,4243,4326,4277,4355,4312,4380,4349,4402,4388,4420,4428,4434,4468,4445,4509,4452,4550,4455,4590,4455,4630,4450,4668,4441,4706,4429,4741,4412,4775,4391,4773,4389,4517,4389,4474,4389,4430,4383,4386,4373,4343,4359,4301,4341,4260,4318,4221,4291,4185,4260xm4717,4325l4681,4347,4642,4365,4602,4378,4560,4386,4517,4389,4773,4389,4717,4325xe" filled="true" fillcolor="#9a403d" stroked="false">
              <v:path arrowok="t"/>
              <v:fill type="solid"/>
            </v:shape>
            <v:shape style="position:absolute;left:4049;top:3743;width:727;height:713" coordorigin="4049,3743" coordsize="727,713" path="m4185,4260l4260,4318,4343,4359,4430,4383,4517,4389,4560,4386,4602,4378,4642,4365,4681,4347,4717,4325,4775,4391,4741,4412,4706,4429,4668,4441,4630,4450,4590,4455,4550,4455,4509,4452,4428,4434,4349,4402,4277,4355,4212,4294,4154,4228,4125,4192,4101,4155,4066,4077,4050,3997,4049,3958,4052,3918,4060,3880,4073,3844,4090,3809,4112,3776,4083,3743,4206,3747,4199,3874,4170,3841,4131,3909,4110,3984,4107,4023,4108,4063,4125,4143,4159,4221,4183,4258,4212,4294e" filled="false" stroked="true" strokeweight="1.139953pt" strokecolor="#8b3836">
              <v:path arrowok="t"/>
            </v:shape>
            <v:shape style="position:absolute;left:8791;top:559;width:334;height:4416" coordorigin="8791,559" coordsize="334,4416" path="m9041,4966l8874,4966,8874,4975,9041,4975,9041,4966xm9041,4938l8874,4938,8874,4956,9041,4956,9041,4938xm9041,709l8874,709,8874,4928,9041,4928,9041,709xm8957,559l8791,709,9124,709,8957,559xe" filled="true" fillcolor="#e36c09" stroked="false">
              <v:path arrowok="t"/>
              <v:fill type="solid"/>
            </v:shape>
            <v:shape style="position:absolute;left:8758;top:542;width:399;height:4445" coordorigin="8758,542" coordsize="399,4445" path="m8860,709l8860,4987,9054,4987,9054,4978,8874,4978,8882,4970,8874,4963,9054,4963,9054,4956,8888,4956,8880,4950,8874,4950,8877,4947,8874,4944,8880,4944,8888,4938,9054,4938,9054,4928,8888,4928,8874,4916,8888,4916,8888,721,8874,721,8860,709xm8882,4970l8874,4978,9041,4978,9038,4975,8888,4975,8882,4970xm9054,4963l9041,4963,9032,4970,9041,4978,9054,4978,9054,4963xm8888,4966l8882,4970,8888,4975,8888,4966xm9027,4966l8888,4966,8888,4975,9027,4975,9027,4966xm9027,4966l9027,4975,9032,4970,9027,4966xm9032,4970l9027,4975,9038,4975,9032,4970xm9041,4963l8874,4963,8882,4970,8888,4966,9038,4966,9041,4963xm9038,4966l9027,4966,9032,4970,9038,4966xm8888,4938l8877,4947,8888,4956,8888,4938xm9027,4938l8888,4938,8888,4956,9027,4956,9027,4938xm9027,4938l9027,4956,9038,4947,9027,4938xm9038,4947l9027,4956,9054,4956,9054,4950,9041,4950,9038,4947xm8877,4947l8874,4950,8880,4950,8877,4947xm9054,4944l9041,4944,9038,4947,9041,4950,9054,4950,9054,4944xm8880,4944l8874,4944,8877,4947,8880,4944xm9054,4938l9027,4938,9038,4947,9041,4944,9054,4944,9054,4938xm8888,4916l8874,4916,8888,4928,8888,4916xm9027,4916l8888,4916,8888,4928,9027,4928,9027,4916xm9091,697l9027,697,9027,4928,9041,4916,9054,4916,9054,721,9041,721,9054,709,9105,709,9091,697xm9054,4916l9041,4916,9027,4928,9054,4928,9054,4916xm8957,542l8758,721,8860,721,8860,718,8800,718,8791,697,8823,697,8957,576,8948,568,8986,568,8957,542xm8888,709l8860,709,8874,721,8888,721,8888,709xm9054,709l9041,721,9054,721,9054,709xm9105,709l9054,709,9054,721,9157,721,9153,718,9115,718,9105,709xm8823,697l8791,697,8800,718,8823,697xm8888,697l8823,697,8800,718,8860,718,8860,709,8888,709,8888,697xm8986,568l8967,568,8957,576,9115,718,9124,697,9130,697,8986,568xm9130,697l9124,697,9115,718,9153,718,9130,697xm8967,568l8948,568,8957,576,8967,568xe" filled="true" fillcolor="#385d89" stroked="false">
              <v:path arrowok="t"/>
              <v:fill type="solid"/>
            </v:shape>
            <v:shape style="position:absolute;left:6262;top:742;width:2524;height:365" coordorigin="6262,742" coordsize="2524,365" path="m8786,1106l8780,999,8763,933,8752,924,7558,924,7547,915,7538,889,7531,849,7526,799,7524,742,7522,799,7518,849,7510,889,7501,915,7490,924,6296,924,6285,933,6276,959,6269,999,6264,1049,6262,1106e" filled="false" stroked="true" strokeweight="1.624166pt" strokecolor="#001f5f">
              <v:path arrowok="t"/>
            </v:shape>
            <v:shape style="position:absolute;left:2783;top:798;width:2597;height:276" coordorigin="2783,798" coordsize="2597,276" path="m5379,1074l5377,1020,5371,976,5363,947,5353,936,4106,936,4096,925,4088,896,4083,852,4081,798,4079,852,4073,896,4065,925,4055,936,2808,936,2798,947,2790,976,2785,1020,2783,1074e" filled="false" stroked="true" strokeweight="1.622469pt" strokecolor="#c00000">
              <v:path arrowok="t"/>
            </v:shape>
            <v:line style="position:absolute" from="2035,3558" to="9871,3496" stroked="true" strokeweight="1.620449pt" strokecolor="#497dba">
              <v:stroke dashstyle="longDash"/>
            </v:line>
            <v:line style="position:absolute" from="2035,2642" to="9871,2581" stroked="true" strokeweight="1.620449pt" strokecolor="#497dba">
              <v:stroke dashstyle="longDash"/>
            </v:line>
            <v:shape style="position:absolute;left:7222;top:2763;width:334;height:430" coordorigin="7222,2763" coordsize="334,430" path="m7233,2870l7222,2870,7222,3085,7233,3085,7233,2870xm7264,2870l7243,2870,7243,3085,7264,3085,7264,2870xm7389,2763l7389,2870,7274,2870,7274,3085,7389,3085,7389,3193,7556,2978,7389,2763xe" filled="true" fillcolor="#ffffff" stroked="false">
              <v:path arrowok="t"/>
              <v:fill type="solid"/>
            </v:shape>
            <v:shape style="position:absolute;left:7209;top:2724;width:364;height:507" coordorigin="7209,2724" coordsize="364,507" path="m7375,3085l7375,3231,7405,3193,7402,3193,7378,3186,7402,3154,7402,3097,7389,3097,7375,3085xm7402,3154l7378,3186,7402,3193,7402,3154xm7539,2978l7402,3154,7402,3193,7405,3193,7567,2985,7545,2985,7539,2978xm7229,2858l7209,2858,7209,3097,7229,3097,7229,3085,7219,3085,7219,2870,7229,2870,7229,2858xm7229,3080l7229,3097,7246,3097,7246,3085,7236,3085,7229,3080xm7246,3076l7246,3097,7261,3097,7261,3085,7250,3085,7250,3080,7246,3076xm7274,3073l7264,3073,7261,3076,7261,3097,7277,3097,7277,3076,7274,3073xm7277,3076l7277,3097,7375,3097,7375,3085,7288,3085,7277,3076xm7402,3073l7288,3073,7288,3085,7375,3085,7389,3097,7402,3097,7402,3073xm7219,2870l7219,3085,7227,3078,7222,3073,7229,3073,7229,2883,7222,2883,7227,2878,7219,2870xm7227,3078l7219,3085,7229,3085,7229,3080,7227,3078xm7236,3073l7233,3073,7230,3076,7229,3080,7236,3085,7236,3073xm7246,2870l7236,2870,7236,3085,7246,3085,7246,3076,7243,3073,7246,3073,7246,2883,7243,2883,7246,2880,7246,2870xm7250,3080l7250,3085,7253,3082,7250,3080xm7253,3082l7250,3085,7256,3085,7253,3082xm7256,3080l7253,3082,7256,3085,7256,3080xm7261,3076l7257,3080,7256,3085,7261,3085,7261,3076xm7288,2870l7277,2880,7277,3076,7288,3085,7288,2870xm7253,2873l7250,2876,7250,3080,7253,3082,7256,3080,7256,2876,7253,2873xm7250,2876l7246,2880,7246,3076,7250,3080,7250,2876xm7256,2876l7256,3080,7261,3076,7261,2880,7256,2876xm7229,3076l7227,3078,7229,3080,7229,3076xm7229,3073l7222,3073,7227,3078,7229,3076,7229,3073xm7229,2880l7229,3076,7233,3073,7236,3073,7236,2883,7233,2883,7229,2880xm7246,3073l7243,3073,7246,3076,7246,3073xm7277,3073l7274,3073,7277,3076,7277,3073xm7261,2880l7261,3076,7264,3073,7277,3073,7277,2883,7264,2883,7261,2880xm7545,2971l7539,2978,7545,2985,7545,2971xm7567,2971l7545,2971,7545,2985,7567,2985,7572,2978,7567,2971xm7405,2763l7402,2763,7402,2802,7539,2978,7545,2971,7567,2971,7405,2763xm7227,2878l7222,2883,7229,2883,7229,2880,7227,2878xm7236,2870l7229,2876,7230,2880,7233,2883,7236,2883,7236,2870xm7246,2880l7243,2883,7246,2883,7246,2880xm7277,2858l7261,2858,7261,2880,7264,2883,7274,2883,7277,2880,7277,2858xm7277,2880l7274,2883,7277,2883,7277,2880xm7402,2858l7389,2858,7375,2870,7288,2870,7288,2883,7402,2883,7402,2858xm7261,2870l7256,2870,7257,2876,7261,2880,7261,2870xm7375,2858l7277,2858,7277,2880,7288,2870,7375,2870,7375,2858xm7229,2876l7227,2878,7229,2880,7229,2876xm7261,2858l7246,2858,7246,2880,7250,2876,7250,2870,7261,2870,7261,2858xm7229,2870l7219,2870,7227,2878,7229,2876,7229,2870xm7246,2858l7229,2858,7229,2876,7236,2870,7246,2870,7246,2858xm7250,2870l7250,2876,7253,2873,7250,2870xm7256,2870l7253,2873,7256,2876,7256,2870xm7256,2870l7250,2870,7253,2873,7256,2870xm7375,2724l7375,2870,7389,2858,7402,2858,7402,2802,7378,2770,7402,2763,7405,2763,7375,2724xm7402,2763l7378,2770,7402,2802,7402,2763xe" filled="true" fillcolor="#4f81bc" stroked="false">
              <v:path arrowok="t"/>
              <v:fill type="solid"/>
            </v:shape>
            <v:shape style="position:absolute;left:4013;top:2763;width:334;height:430" coordorigin="4013,2763" coordsize="334,430" path="m4347,2870l4336,2870,4336,3085,4347,3085,4347,2870xm4326,2870l4305,2870,4305,3085,4326,3085,4326,2870xm4180,2763l4013,2978,4180,3193,4180,3085,4295,3085,4295,2870,4180,2870,4180,2763xe" filled="true" fillcolor="#ffffff" stroked="false">
              <v:path arrowok="t"/>
              <v:fill type="solid"/>
            </v:shape>
            <v:shape style="position:absolute;left:3997;top:2724;width:364;height:507" coordorigin="3997,2724" coordsize="364,507" path="m4193,2724l3997,2978,4193,3231,4193,3193,4166,3193,4166,3154,4035,2985,4024,2985,4024,2971,4035,2971,4166,2802,4166,2763,4193,2763,4193,2724xm4166,3154l4166,3193,4191,3186,4166,3154xm4281,3073l4166,3073,4166,3154,4191,3186,4166,3193,4193,3193,4193,3097,4180,3097,4193,3085,4281,3085,4281,3073xm4193,3085l4180,3097,4193,3097,4193,3085xm4291,3076l4281,3085,4193,3085,4193,3097,4291,3097,4291,3076xm4305,3073l4295,3073,4292,3076,4291,3097,4308,3097,4308,3076,4305,3073xm4308,3076l4308,3097,4323,3097,4323,3085,4312,3085,4312,3080,4308,3076xm4333,3073l4326,3073,4323,3076,4323,3097,4339,3097,4339,3085,4333,3085,4333,3073xm4341,3078l4339,3080,4339,3097,4360,3097,4360,3085,4350,3085,4341,3078xm4281,2870l4281,3085,4291,3076,4291,2880,4281,2870xm4312,3080l4312,3085,4315,3082,4312,3080xm4315,3082l4312,3085,4319,3085,4315,3082xm4319,3080l4315,3082,4319,3085,4319,3080xm4323,3076l4319,3080,4319,3085,4323,3085,4323,3076xm4333,2870l4333,3085,4339,3080,4339,3076,4336,3073,4339,3073,4339,2883,4336,2883,4339,2880,4339,2876,4333,2870xm4339,3080l4333,3085,4339,3085,4339,3080xm4350,3073l4347,3073,4341,3078,4350,3085,4350,3073xm4360,2870l4350,2870,4350,3085,4360,3085,4360,2870xm4315,2873l4312,2876,4312,3080,4315,3082,4319,3080,4319,2876,4315,2873xm4312,2876l4308,2880,4308,3076,4312,3080,4312,2876xm4319,2876l4319,3080,4323,3076,4323,2880,4319,2876xm4339,3076l4339,3080,4341,3078,4339,3076xm4341,2878l4339,2880,4339,3076,4341,3078,4347,3073,4350,3073,4350,2883,4347,2883,4341,2878xm4323,2880l4323,3076,4326,3073,4333,3073,4333,2883,4326,2883,4323,2880xm4339,3073l4336,3073,4339,3076,4339,3073xm4291,2880l4291,3076,4295,3073,4308,3073,4308,2883,4295,2883,4291,2880xm4308,3073l4305,3073,4308,3076,4308,3073xm4024,2971l4024,2985,4030,2978,4024,2971xm4030,2978l4024,2985,4035,2985,4030,2978xm4035,2971l4024,2971,4030,2978,4035,2971xm4193,2763l4166,2763,4191,2770,4166,2802,4166,2883,4281,2883,4281,2870,4193,2870,4180,2858,4193,2858,4193,2763xm4308,2858l4291,2858,4292,2880,4295,2883,4305,2883,4308,2880,4308,2858xm4308,2880l4305,2883,4308,2883,4308,2880xm4339,2858l4323,2858,4323,2880,4326,2883,4333,2883,4333,2870,4339,2870,4339,2858xm4339,2880l4336,2883,4339,2883,4339,2880xm4350,2870l4341,2878,4347,2883,4350,2883,4350,2870xm4323,2858l4308,2858,4308,2880,4312,2876,4312,2870,4323,2870,4323,2858xm4291,2858l4193,2858,4193,2870,4281,2870,4291,2880,4291,2858xm4323,2870l4319,2870,4319,2876,4323,2880,4323,2870xm4339,2876l4339,2880,4341,2878,4339,2876xm4360,2858l4339,2858,4339,2876,4341,2878,4350,2870,4360,2870,4360,2858xm4339,2870l4333,2870,4339,2876,4339,2870xm4312,2870l4312,2876,4315,2873,4312,2870xm4319,2870l4315,2873,4319,2876,4319,2870xm4319,2870l4312,2870,4315,2873,4319,2870xm4193,2858l4180,2858,4193,2870,4193,2858xm4166,2763l4166,2802,4191,2770,4166,2763xe" filled="true" fillcolor="#c0504d" stroked="false">
              <v:path arrowok="t"/>
              <v:fill type="solid"/>
            </v:shape>
            <v:shape style="position:absolute;left:4626;top:2706;width:2317;height:446" type="#_x0000_t202" filled="true" fillcolor="#ffffff" stroked="true" strokeweight="1.221318pt" strokecolor="#c0504d">
              <v:textbox inset="0,0,0,0">
                <w:txbxContent>
                  <w:p>
                    <w:pPr>
                      <w:spacing w:before="36"/>
                      <w:ind w:left="76" w:right="0" w:firstLine="0"/>
                      <w:jc w:val="left"/>
                      <w:rPr>
                        <w:b/>
                        <w:sz w:val="30"/>
                      </w:rPr>
                    </w:pPr>
                    <w:r>
                      <w:rPr>
                        <w:b/>
                        <w:color w:val="001F5F"/>
                        <w:w w:val="110"/>
                        <w:sz w:val="30"/>
                      </w:rPr>
                      <w:t>Gobernanza</w:t>
                    </w:r>
                  </w:p>
                </w:txbxContent>
              </v:textbox>
              <v:fill type="solid"/>
              <w10:wrap type="none"/>
            </v:shape>
            <v:shape style="position:absolute;left:3325;top:372;width:1303;height:341" type="#_x0000_t202" filled="false" stroked="false">
              <v:textbox inset="0,0,0,0">
                <w:txbxContent>
                  <w:p>
                    <w:pPr>
                      <w:spacing w:line="157" w:lineRule="exact" w:before="0"/>
                      <w:ind w:left="81" w:right="-11" w:hanging="82"/>
                      <w:jc w:val="left"/>
                      <w:rPr>
                        <w:b/>
                        <w:sz w:val="15"/>
                      </w:rPr>
                    </w:pPr>
                    <w:r>
                      <w:rPr>
                        <w:b/>
                        <w:color w:val="C00000"/>
                        <w:w w:val="115"/>
                        <w:sz w:val="15"/>
                      </w:rPr>
                      <w:t>Sistema</w:t>
                    </w:r>
                    <w:r>
                      <w:rPr>
                        <w:b/>
                        <w:color w:val="C00000"/>
                        <w:spacing w:val="-28"/>
                        <w:w w:val="115"/>
                        <w:sz w:val="15"/>
                      </w:rPr>
                      <w:t> </w:t>
                    </w:r>
                    <w:r>
                      <w:rPr>
                        <w:b/>
                        <w:color w:val="C00000"/>
                        <w:w w:val="115"/>
                        <w:sz w:val="15"/>
                      </w:rPr>
                      <w:t>político</w:t>
                    </w:r>
                  </w:p>
                  <w:p>
                    <w:pPr>
                      <w:spacing w:line="170" w:lineRule="exact" w:before="14"/>
                      <w:ind w:left="81" w:right="-11" w:firstLine="0"/>
                      <w:jc w:val="left"/>
                      <w:rPr>
                        <w:b/>
                        <w:sz w:val="15"/>
                      </w:rPr>
                    </w:pPr>
                    <w:r>
                      <w:rPr>
                        <w:b/>
                        <w:color w:val="C00000"/>
                        <w:w w:val="115"/>
                        <w:sz w:val="15"/>
                      </w:rPr>
                      <w:t>sobrecargado</w:t>
                    </w:r>
                  </w:p>
                </w:txbxContent>
              </v:textbox>
              <w10:wrap type="none"/>
            </v:shape>
            <v:shape style="position:absolute;left:6327;top:311;width:1303;height:341" type="#_x0000_t202" filled="false" stroked="false">
              <v:textbox inset="0,0,0,0">
                <w:txbxContent>
                  <w:p>
                    <w:pPr>
                      <w:spacing w:line="157" w:lineRule="exact" w:before="0"/>
                      <w:ind w:left="0" w:right="0" w:firstLine="0"/>
                      <w:jc w:val="center"/>
                      <w:rPr>
                        <w:b/>
                        <w:sz w:val="15"/>
                      </w:rPr>
                    </w:pPr>
                    <w:r>
                      <w:rPr>
                        <w:b/>
                        <w:color w:val="001F5F"/>
                        <w:w w:val="115"/>
                        <w:sz w:val="15"/>
                      </w:rPr>
                      <w:t>Sistema</w:t>
                    </w:r>
                    <w:r>
                      <w:rPr>
                        <w:b/>
                        <w:color w:val="001F5F"/>
                        <w:spacing w:val="-28"/>
                        <w:w w:val="115"/>
                        <w:sz w:val="15"/>
                      </w:rPr>
                      <w:t> </w:t>
                    </w:r>
                    <w:r>
                      <w:rPr>
                        <w:b/>
                        <w:color w:val="001F5F"/>
                        <w:w w:val="115"/>
                        <w:sz w:val="15"/>
                      </w:rPr>
                      <w:t>político</w:t>
                    </w:r>
                  </w:p>
                  <w:p>
                    <w:pPr>
                      <w:spacing w:line="170" w:lineRule="exact" w:before="14"/>
                      <w:ind w:left="0" w:right="6" w:firstLine="0"/>
                      <w:jc w:val="center"/>
                      <w:rPr>
                        <w:b/>
                        <w:sz w:val="15"/>
                      </w:rPr>
                    </w:pPr>
                    <w:r>
                      <w:rPr>
                        <w:b/>
                        <w:color w:val="001F5F"/>
                        <w:w w:val="115"/>
                        <w:sz w:val="15"/>
                      </w:rPr>
                      <w:t>eficiente</w:t>
                    </w:r>
                  </w:p>
                </w:txbxContent>
              </v:textbox>
              <w10:wrap type="none"/>
            </v:shape>
            <v:shape style="position:absolute;left:4509;top:1243;width:2761;height:510" type="#_x0000_t202" filled="false" stroked="false">
              <v:textbox inset="0,0,0,0">
                <w:txbxContent>
                  <w:p>
                    <w:pPr>
                      <w:spacing w:line="224" w:lineRule="exact" w:before="0"/>
                      <w:ind w:left="341" w:right="0" w:firstLine="0"/>
                      <w:jc w:val="left"/>
                      <w:rPr>
                        <w:b/>
                        <w:sz w:val="22"/>
                      </w:rPr>
                    </w:pPr>
                    <w:r>
                      <w:rPr>
                        <w:b/>
                        <w:color w:val="001F5F"/>
                        <w:w w:val="110"/>
                        <w:sz w:val="22"/>
                      </w:rPr>
                      <w:t>Gobernabilidad</w:t>
                    </w:r>
                  </w:p>
                  <w:p>
                    <w:pPr>
                      <w:spacing w:line="170" w:lineRule="exact" w:before="115"/>
                      <w:ind w:left="0" w:right="0" w:firstLine="0"/>
                      <w:jc w:val="left"/>
                      <w:rPr>
                        <w:b/>
                        <w:sz w:val="15"/>
                      </w:rPr>
                    </w:pPr>
                    <w:r>
                      <w:rPr>
                        <w:b/>
                        <w:color w:val="C00000"/>
                        <w:w w:val="115"/>
                        <w:sz w:val="15"/>
                      </w:rPr>
                      <w:t>Ingobernabilidad </w:t>
                    </w:r>
                    <w:r>
                      <w:rPr>
                        <w:b/>
                        <w:color w:val="001F5F"/>
                        <w:w w:val="115"/>
                        <w:sz w:val="15"/>
                      </w:rPr>
                      <w:t>Gobernabilidad</w:t>
                    </w:r>
                  </w:p>
                </w:txbxContent>
              </v:textbox>
              <w10:wrap type="none"/>
            </v:shape>
            <v:shape style="position:absolute;left:9104;top:1108;width:933;height:341" type="#_x0000_t202" filled="false" stroked="false">
              <v:textbox inset="0,0,0,0">
                <w:txbxContent>
                  <w:p>
                    <w:pPr>
                      <w:spacing w:line="157" w:lineRule="exact" w:before="0"/>
                      <w:ind w:left="0" w:right="0" w:firstLine="0"/>
                      <w:jc w:val="center"/>
                      <w:rPr>
                        <w:b/>
                        <w:sz w:val="15"/>
                      </w:rPr>
                    </w:pPr>
                    <w:r>
                      <w:rPr>
                        <w:b/>
                        <w:color w:val="001F5F"/>
                        <w:w w:val="115"/>
                        <w:sz w:val="15"/>
                      </w:rPr>
                      <w:t>Resultados</w:t>
                    </w:r>
                  </w:p>
                  <w:p>
                    <w:pPr>
                      <w:spacing w:line="170" w:lineRule="exact" w:before="14"/>
                      <w:ind w:left="9" w:right="0" w:firstLine="0"/>
                      <w:jc w:val="center"/>
                      <w:rPr>
                        <w:b/>
                        <w:sz w:val="15"/>
                      </w:rPr>
                    </w:pPr>
                    <w:r>
                      <w:rPr>
                        <w:b/>
                        <w:color w:val="001F5F"/>
                        <w:w w:val="115"/>
                        <w:sz w:val="15"/>
                      </w:rPr>
                      <w:t>(</w:t>
                    </w:r>
                    <w:r>
                      <w:rPr>
                        <w:b/>
                        <w:i/>
                        <w:color w:val="001F5F"/>
                        <w:w w:val="115"/>
                        <w:sz w:val="15"/>
                      </w:rPr>
                      <w:t>Ouputs</w:t>
                    </w:r>
                    <w:r>
                      <w:rPr>
                        <w:b/>
                        <w:color w:val="001F5F"/>
                        <w:w w:val="115"/>
                        <w:sz w:val="15"/>
                      </w:rPr>
                      <w:t>)</w:t>
                    </w:r>
                  </w:p>
                </w:txbxContent>
              </v:textbox>
              <w10:wrap type="none"/>
            </v:shape>
            <v:shape style="position:absolute;left:2603;top:2888;width:1114;height:341" type="#_x0000_t202" filled="false" stroked="false">
              <v:textbox inset="0,0,0,0">
                <w:txbxContent>
                  <w:p>
                    <w:pPr>
                      <w:spacing w:line="157" w:lineRule="exact" w:before="0"/>
                      <w:ind w:left="0" w:right="0" w:firstLine="0"/>
                      <w:jc w:val="center"/>
                      <w:rPr>
                        <w:b/>
                        <w:sz w:val="15"/>
                      </w:rPr>
                    </w:pPr>
                    <w:r>
                      <w:rPr>
                        <w:b/>
                        <w:color w:val="C00000"/>
                        <w:w w:val="115"/>
                        <w:sz w:val="15"/>
                      </w:rPr>
                      <w:t>Demandas</w:t>
                    </w:r>
                    <w:r>
                      <w:rPr>
                        <w:b/>
                        <w:color w:val="C00000"/>
                        <w:spacing w:val="-22"/>
                        <w:w w:val="115"/>
                        <w:sz w:val="15"/>
                      </w:rPr>
                      <w:t> </w:t>
                    </w:r>
                    <w:r>
                      <w:rPr>
                        <w:b/>
                        <w:color w:val="C00000"/>
                        <w:w w:val="115"/>
                        <w:sz w:val="15"/>
                      </w:rPr>
                      <w:t>no</w:t>
                    </w:r>
                  </w:p>
                  <w:p>
                    <w:pPr>
                      <w:spacing w:line="170" w:lineRule="exact" w:before="14"/>
                      <w:ind w:left="0" w:right="0" w:firstLine="0"/>
                      <w:jc w:val="center"/>
                      <w:rPr>
                        <w:b/>
                        <w:sz w:val="15"/>
                      </w:rPr>
                    </w:pPr>
                    <w:r>
                      <w:rPr>
                        <w:b/>
                        <w:color w:val="C00000"/>
                        <w:w w:val="115"/>
                        <w:sz w:val="15"/>
                      </w:rPr>
                      <w:t>atendidas</w:t>
                    </w:r>
                  </w:p>
                </w:txbxContent>
              </v:textbox>
              <w10:wrap type="none"/>
            </v:shape>
            <v:shape style="position:absolute;left:9213;top:2826;width:708;height:155" type="#_x0000_t202" filled="false" stroked="false">
              <v:textbox inset="0,0,0,0">
                <w:txbxContent>
                  <w:p>
                    <w:pPr>
                      <w:spacing w:line="154" w:lineRule="exact" w:before="0"/>
                      <w:ind w:left="0" w:right="0" w:firstLine="0"/>
                      <w:jc w:val="left"/>
                      <w:rPr>
                        <w:b/>
                        <w:sz w:val="15"/>
                      </w:rPr>
                    </w:pPr>
                    <w:r>
                      <w:rPr>
                        <w:b/>
                        <w:color w:val="001F5F"/>
                        <w:w w:val="110"/>
                        <w:sz w:val="15"/>
                      </w:rPr>
                      <w:t>Políticas</w:t>
                    </w:r>
                  </w:p>
                </w:txbxContent>
              </v:textbox>
              <w10:wrap type="none"/>
            </v:shape>
            <v:shape style="position:absolute;left:7768;top:2949;width:881;height:342" type="#_x0000_t202" filled="false" stroked="false">
              <v:textbox inset="0,0,0,0">
                <w:txbxContent>
                  <w:p>
                    <w:pPr>
                      <w:spacing w:line="157" w:lineRule="exact" w:before="0"/>
                      <w:ind w:left="35" w:right="-11" w:hanging="36"/>
                      <w:jc w:val="left"/>
                      <w:rPr>
                        <w:b/>
                        <w:sz w:val="15"/>
                      </w:rPr>
                    </w:pPr>
                    <w:r>
                      <w:rPr>
                        <w:b/>
                        <w:color w:val="001F5F"/>
                        <w:w w:val="115"/>
                        <w:sz w:val="15"/>
                      </w:rPr>
                      <w:t>Demandas</w:t>
                    </w:r>
                  </w:p>
                  <w:p>
                    <w:pPr>
                      <w:spacing w:line="170" w:lineRule="exact" w:before="14"/>
                      <w:ind w:left="35" w:right="-11" w:firstLine="0"/>
                      <w:jc w:val="left"/>
                      <w:rPr>
                        <w:b/>
                        <w:sz w:val="15"/>
                      </w:rPr>
                    </w:pPr>
                    <w:r>
                      <w:rPr>
                        <w:b/>
                        <w:color w:val="001F5F"/>
                        <w:w w:val="115"/>
                        <w:sz w:val="15"/>
                      </w:rPr>
                      <w:t>atendidas</w:t>
                    </w:r>
                  </w:p>
                </w:txbxContent>
              </v:textbox>
              <w10:wrap type="none"/>
            </v:shape>
            <v:shape style="position:absolute;left:5141;top:4176;width:1617;height:341" type="#_x0000_t202" filled="false" stroked="false">
              <v:textbox inset="0,0,0,0">
                <w:txbxContent>
                  <w:p>
                    <w:pPr>
                      <w:spacing w:line="157" w:lineRule="exact" w:before="0"/>
                      <w:ind w:left="0" w:right="-12" w:firstLine="18"/>
                      <w:jc w:val="left"/>
                      <w:rPr>
                        <w:b/>
                        <w:sz w:val="15"/>
                      </w:rPr>
                    </w:pPr>
                    <w:r>
                      <w:rPr>
                        <w:b/>
                        <w:color w:val="001F5F"/>
                        <w:w w:val="115"/>
                        <w:sz w:val="15"/>
                      </w:rPr>
                      <w:t>Demandas</w:t>
                    </w:r>
                    <w:r>
                      <w:rPr>
                        <w:b/>
                        <w:color w:val="001F5F"/>
                        <w:spacing w:val="-28"/>
                        <w:w w:val="115"/>
                        <w:sz w:val="15"/>
                      </w:rPr>
                      <w:t> </w:t>
                    </w:r>
                    <w:r>
                      <w:rPr>
                        <w:b/>
                        <w:color w:val="001F5F"/>
                        <w:w w:val="115"/>
                        <w:sz w:val="15"/>
                      </w:rPr>
                      <w:t>sociales</w:t>
                    </w:r>
                  </w:p>
                  <w:p>
                    <w:pPr>
                      <w:spacing w:line="170" w:lineRule="exact" w:before="14"/>
                      <w:ind w:left="0" w:right="-12" w:firstLine="0"/>
                      <w:jc w:val="left"/>
                      <w:rPr>
                        <w:b/>
                        <w:sz w:val="15"/>
                      </w:rPr>
                    </w:pPr>
                    <w:r>
                      <w:rPr>
                        <w:b/>
                        <w:color w:val="001F5F"/>
                        <w:w w:val="115"/>
                        <w:sz w:val="15"/>
                      </w:rPr>
                      <w:t>reales y</w:t>
                    </w:r>
                    <w:r>
                      <w:rPr>
                        <w:b/>
                        <w:color w:val="001F5F"/>
                        <w:spacing w:val="-31"/>
                        <w:w w:val="115"/>
                        <w:sz w:val="15"/>
                      </w:rPr>
                      <w:t> </w:t>
                    </w:r>
                    <w:r>
                      <w:rPr>
                        <w:b/>
                        <w:color w:val="001F5F"/>
                        <w:w w:val="115"/>
                        <w:sz w:val="15"/>
                      </w:rPr>
                      <w:t>potenciales</w:t>
                    </w:r>
                  </w:p>
                </w:txbxContent>
              </v:textbox>
              <w10:wrap type="none"/>
            </v:shape>
            <v:shape style="position:absolute;left:9132;top:4115;width:879;height:341" type="#_x0000_t202" filled="false" stroked="false">
              <v:textbox inset="0,0,0,0">
                <w:txbxContent>
                  <w:p>
                    <w:pPr>
                      <w:spacing w:line="157" w:lineRule="exact" w:before="0"/>
                      <w:ind w:left="99" w:right="-13" w:hanging="100"/>
                      <w:jc w:val="left"/>
                      <w:rPr>
                        <w:b/>
                        <w:sz w:val="15"/>
                      </w:rPr>
                    </w:pPr>
                    <w:r>
                      <w:rPr>
                        <w:b/>
                        <w:color w:val="001F5F"/>
                        <w:w w:val="115"/>
                        <w:sz w:val="15"/>
                      </w:rPr>
                      <w:t>Demandas</w:t>
                    </w:r>
                  </w:p>
                  <w:p>
                    <w:pPr>
                      <w:spacing w:line="170" w:lineRule="exact" w:before="14"/>
                      <w:ind w:left="99" w:right="-13" w:firstLine="0"/>
                      <w:jc w:val="left"/>
                      <w:rPr>
                        <w:b/>
                        <w:sz w:val="15"/>
                      </w:rPr>
                    </w:pPr>
                    <w:r>
                      <w:rPr>
                        <w:b/>
                        <w:color w:val="001F5F"/>
                        <w:w w:val="115"/>
                        <w:sz w:val="15"/>
                      </w:rPr>
                      <w:t>(</w:t>
                    </w:r>
                    <w:r>
                      <w:rPr>
                        <w:b/>
                        <w:i/>
                        <w:color w:val="001F5F"/>
                        <w:w w:val="115"/>
                        <w:sz w:val="15"/>
                      </w:rPr>
                      <w:t>Imputs</w:t>
                    </w:r>
                    <w:r>
                      <w:rPr>
                        <w:b/>
                        <w:color w:val="001F5F"/>
                        <w:w w:val="115"/>
                        <w:sz w:val="15"/>
                      </w:rPr>
                      <w:t>)</w:t>
                    </w:r>
                  </w:p>
                </w:txbxContent>
              </v:textbox>
              <w10:wrap type="none"/>
            </v:shape>
            <w10:wrap type="topAndBottom"/>
          </v:group>
        </w:pict>
      </w:r>
    </w:p>
    <w:p>
      <w:pPr>
        <w:spacing w:before="138"/>
        <w:ind w:left="810" w:right="0" w:firstLine="0"/>
        <w:jc w:val="left"/>
        <w:rPr>
          <w:sz w:val="12"/>
        </w:rPr>
      </w:pPr>
      <w:r>
        <w:rPr>
          <w:sz w:val="12"/>
        </w:rPr>
        <w:t>FUENTE:      Closa Montero, Carlos. (2003).</w:t>
      </w:r>
    </w:p>
    <w:p>
      <w:pPr>
        <w:pStyle w:val="BodyText"/>
        <w:spacing w:before="20"/>
        <w:ind w:left="2139"/>
      </w:pPr>
      <w:r>
        <w:rPr/>
        <w:t>La gobernabilidad tiene las siguientes vertientes:</w:t>
      </w:r>
    </w:p>
    <w:p>
      <w:pPr>
        <w:pStyle w:val="BodyText"/>
        <w:spacing w:before="4"/>
        <w:rPr>
          <w:sz w:val="29"/>
        </w:rPr>
      </w:pPr>
    </w:p>
    <w:p>
      <w:pPr>
        <w:pStyle w:val="ListParagraph"/>
        <w:numPr>
          <w:ilvl w:val="3"/>
          <w:numId w:val="7"/>
        </w:numPr>
        <w:tabs>
          <w:tab w:pos="822" w:val="left" w:leader="none"/>
        </w:tabs>
        <w:spacing w:line="360" w:lineRule="auto" w:before="1" w:after="0"/>
        <w:ind w:left="822" w:right="118" w:hanging="360"/>
        <w:jc w:val="both"/>
        <w:rPr>
          <w:sz w:val="24"/>
        </w:rPr>
      </w:pPr>
      <w:r>
        <w:rPr>
          <w:sz w:val="24"/>
        </w:rPr>
        <w:t>Social, relacionada con la legitimidad que la sociedad le otorga al Estado si ésta percibe que las políticas públicas se orientan a atender los problemas de seguridad nacional. En América Latina, por ejemplo, existe la percepción de que el Estado requiere atender en forma prioritaria los problemas nacionales.</w:t>
      </w:r>
    </w:p>
    <w:p>
      <w:pPr>
        <w:pStyle w:val="ListParagraph"/>
        <w:numPr>
          <w:ilvl w:val="3"/>
          <w:numId w:val="7"/>
        </w:numPr>
        <w:tabs>
          <w:tab w:pos="890" w:val="left" w:leader="none"/>
        </w:tabs>
        <w:spacing w:line="360" w:lineRule="auto" w:before="2" w:after="0"/>
        <w:ind w:left="822" w:right="117" w:hanging="360"/>
        <w:jc w:val="both"/>
        <w:rPr>
          <w:sz w:val="24"/>
        </w:rPr>
      </w:pPr>
      <w:r>
        <w:rPr>
          <w:sz w:val="24"/>
        </w:rPr>
        <w:t>Política, que se refiere a la capacidad del gobierno para dirigir la sociedad (Estado de derecho, normativa y políticas públicas efectivas para garantizar la</w:t>
      </w:r>
      <w:r>
        <w:rPr>
          <w:spacing w:val="-2"/>
          <w:sz w:val="24"/>
        </w:rPr>
        <w:t> </w:t>
      </w:r>
      <w:r>
        <w:rPr>
          <w:sz w:val="24"/>
        </w:rPr>
        <w:t>democracia).</w:t>
      </w:r>
    </w:p>
    <w:p>
      <w:pPr>
        <w:pStyle w:val="BodyText"/>
        <w:spacing w:line="360" w:lineRule="auto" w:before="5"/>
        <w:ind w:left="102" w:right="115" w:firstLine="427"/>
        <w:jc w:val="both"/>
      </w:pPr>
      <w:r>
        <w:rPr/>
        <w:t>El</w:t>
      </w:r>
      <w:r>
        <w:rPr>
          <w:spacing w:val="-13"/>
        </w:rPr>
        <w:t> </w:t>
      </w:r>
      <w:r>
        <w:rPr/>
        <w:t>enfoque</w:t>
      </w:r>
      <w:r>
        <w:rPr>
          <w:spacing w:val="-14"/>
        </w:rPr>
        <w:t> </w:t>
      </w:r>
      <w:r>
        <w:rPr/>
        <w:t>de</w:t>
      </w:r>
      <w:r>
        <w:rPr>
          <w:spacing w:val="-14"/>
        </w:rPr>
        <w:t> </w:t>
      </w:r>
      <w:r>
        <w:rPr/>
        <w:t>gobernabilidad</w:t>
      </w:r>
      <w:r>
        <w:rPr>
          <w:spacing w:val="-14"/>
        </w:rPr>
        <w:t> </w:t>
      </w:r>
      <w:r>
        <w:rPr/>
        <w:t>apunta</w:t>
      </w:r>
      <w:r>
        <w:rPr>
          <w:spacing w:val="-14"/>
        </w:rPr>
        <w:t> </w:t>
      </w:r>
      <w:r>
        <w:rPr/>
        <w:t>a</w:t>
      </w:r>
      <w:r>
        <w:rPr>
          <w:spacing w:val="-14"/>
        </w:rPr>
        <w:t> </w:t>
      </w:r>
      <w:r>
        <w:rPr/>
        <w:t>los</w:t>
      </w:r>
      <w:r>
        <w:rPr>
          <w:spacing w:val="-14"/>
        </w:rPr>
        <w:t> </w:t>
      </w:r>
      <w:r>
        <w:rPr/>
        <w:t>problemas</w:t>
      </w:r>
      <w:r>
        <w:rPr>
          <w:spacing w:val="-12"/>
        </w:rPr>
        <w:t> </w:t>
      </w:r>
      <w:r>
        <w:rPr/>
        <w:t>estructurales</w:t>
      </w:r>
      <w:r>
        <w:rPr>
          <w:spacing w:val="-13"/>
        </w:rPr>
        <w:t> </w:t>
      </w:r>
      <w:r>
        <w:rPr/>
        <w:t>del</w:t>
      </w:r>
      <w:r>
        <w:rPr>
          <w:spacing w:val="-13"/>
        </w:rPr>
        <w:t> </w:t>
      </w:r>
      <w:r>
        <w:rPr/>
        <w:t>gobierno democrático, lo que puede explicarse porque en algunos Estados prevalece el régimen político autoritario, y por los efectos de las políticas públicas y</w:t>
      </w:r>
      <w:r>
        <w:rPr>
          <w:spacing w:val="-29"/>
        </w:rPr>
        <w:t> </w:t>
      </w:r>
      <w:r>
        <w:rPr/>
        <w:t>económicas que prevalecen de administraciones</w:t>
      </w:r>
      <w:r>
        <w:rPr>
          <w:spacing w:val="-17"/>
        </w:rPr>
        <w:t> </w:t>
      </w:r>
      <w:r>
        <w:rPr/>
        <w:t>anteriores.</w:t>
      </w:r>
    </w:p>
    <w:p>
      <w:pPr>
        <w:pStyle w:val="BodyText"/>
        <w:spacing w:line="360" w:lineRule="auto" w:before="2"/>
        <w:ind w:left="102" w:right="117" w:firstLine="427"/>
        <w:jc w:val="both"/>
      </w:pPr>
      <w:r>
        <w:rPr/>
        <w:t>Para</w:t>
      </w:r>
      <w:r>
        <w:rPr>
          <w:spacing w:val="-17"/>
        </w:rPr>
        <w:t> </w:t>
      </w:r>
      <w:r>
        <w:rPr/>
        <w:t>que</w:t>
      </w:r>
      <w:r>
        <w:rPr>
          <w:spacing w:val="-17"/>
        </w:rPr>
        <w:t> </w:t>
      </w:r>
      <w:r>
        <w:rPr/>
        <w:t>la</w:t>
      </w:r>
      <w:r>
        <w:rPr>
          <w:spacing w:val="-17"/>
        </w:rPr>
        <w:t> </w:t>
      </w:r>
      <w:r>
        <w:rPr/>
        <w:t>capacidad</w:t>
      </w:r>
      <w:r>
        <w:rPr>
          <w:spacing w:val="-19"/>
        </w:rPr>
        <w:t> </w:t>
      </w:r>
      <w:r>
        <w:rPr/>
        <w:t>de</w:t>
      </w:r>
      <w:r>
        <w:rPr>
          <w:spacing w:val="-17"/>
        </w:rPr>
        <w:t> </w:t>
      </w:r>
      <w:r>
        <w:rPr/>
        <w:t>gobernar</w:t>
      </w:r>
      <w:r>
        <w:rPr>
          <w:spacing w:val="-18"/>
        </w:rPr>
        <w:t> </w:t>
      </w:r>
      <w:r>
        <w:rPr/>
        <w:t>se</w:t>
      </w:r>
      <w:r>
        <w:rPr>
          <w:spacing w:val="-17"/>
        </w:rPr>
        <w:t> </w:t>
      </w:r>
      <w:r>
        <w:rPr/>
        <w:t>traduzca</w:t>
      </w:r>
      <w:r>
        <w:rPr>
          <w:spacing w:val="-17"/>
        </w:rPr>
        <w:t> </w:t>
      </w:r>
      <w:r>
        <w:rPr/>
        <w:t>en</w:t>
      </w:r>
      <w:r>
        <w:rPr>
          <w:spacing w:val="-17"/>
        </w:rPr>
        <w:t> </w:t>
      </w:r>
      <w:r>
        <w:rPr/>
        <w:t>“buen</w:t>
      </w:r>
      <w:r>
        <w:rPr>
          <w:spacing w:val="-17"/>
        </w:rPr>
        <w:t> </w:t>
      </w:r>
      <w:r>
        <w:rPr/>
        <w:t>gobierno”</w:t>
      </w:r>
      <w:r>
        <w:rPr>
          <w:spacing w:val="-18"/>
        </w:rPr>
        <w:t> </w:t>
      </w:r>
      <w:r>
        <w:rPr/>
        <w:t>es</w:t>
      </w:r>
      <w:r>
        <w:rPr>
          <w:spacing w:val="-17"/>
        </w:rPr>
        <w:t> </w:t>
      </w:r>
      <w:r>
        <w:rPr/>
        <w:t>necesario un análisis profundo de la conducción de la política. La literatura considera que existen dos dimensiones de la gobernanza: La </w:t>
      </w:r>
      <w:r>
        <w:rPr>
          <w:i/>
        </w:rPr>
        <w:t>estructural </w:t>
      </w:r>
      <w:r>
        <w:rPr/>
        <w:t>y la </w:t>
      </w:r>
      <w:r>
        <w:rPr>
          <w:i/>
        </w:rPr>
        <w:t>dinámica</w:t>
      </w:r>
      <w:r>
        <w:rPr/>
        <w:t>, la primera hace referencia a las políticas institucionales que limitan o incentivan a los</w:t>
      </w:r>
      <w:r>
        <w:rPr>
          <w:spacing w:val="55"/>
        </w:rPr>
        <w:t> </w:t>
      </w:r>
      <w:r>
        <w:rPr/>
        <w:t>actores</w:t>
      </w:r>
    </w:p>
    <w:p>
      <w:pPr>
        <w:spacing w:after="0" w:line="360" w:lineRule="auto"/>
        <w:jc w:val="both"/>
        <w:sectPr>
          <w:footerReference w:type="even" r:id="rId28"/>
          <w:footerReference w:type="default" r:id="rId29"/>
          <w:pgSz w:w="12240" w:h="15840"/>
          <w:pgMar w:footer="1003" w:header="0" w:top="1360" w:bottom="1200" w:left="1600" w:right="1580"/>
        </w:sectPr>
      </w:pPr>
    </w:p>
    <w:p>
      <w:pPr>
        <w:pStyle w:val="BodyText"/>
        <w:spacing w:line="360" w:lineRule="auto" w:before="54"/>
        <w:ind w:left="122" w:right="122"/>
        <w:jc w:val="both"/>
      </w:pPr>
      <w:r>
        <w:rPr/>
        <w:t>en la toma de decisiones; de esta forma, la gobernanza implica diseñar un marco institucional que permita emitir información relevante para la toma de decisiones; y la </w:t>
      </w:r>
      <w:r>
        <w:rPr>
          <w:i/>
        </w:rPr>
        <w:t>dinámica </w:t>
      </w:r>
      <w:r>
        <w:rPr/>
        <w:t>se refiere a las acciones de los actores y las decisiones que afectan la estructura de la institución.</w:t>
      </w:r>
    </w:p>
    <w:p>
      <w:pPr>
        <w:pStyle w:val="BodyText"/>
        <w:spacing w:line="360" w:lineRule="auto" w:before="2"/>
        <w:ind w:left="122" w:right="122" w:firstLine="427"/>
        <w:jc w:val="both"/>
      </w:pPr>
      <w:r>
        <w:rPr/>
        <w:t>Desde esta perspectiva, la gobernanza compromete el liderazgo moral de los actores para mejorar las estructuras institucionales en la solución de los</w:t>
      </w:r>
      <w:r>
        <w:rPr>
          <w:spacing w:val="-31"/>
        </w:rPr>
        <w:t> </w:t>
      </w:r>
      <w:r>
        <w:rPr/>
        <w:t>problemas de acción</w:t>
      </w:r>
      <w:r>
        <w:rPr>
          <w:spacing w:val="-8"/>
        </w:rPr>
        <w:t> </w:t>
      </w:r>
      <w:r>
        <w:rPr/>
        <w:t>colectiva.</w:t>
      </w:r>
    </w:p>
    <w:p>
      <w:pPr>
        <w:pStyle w:val="BodyText"/>
        <w:spacing w:line="360" w:lineRule="auto" w:before="5"/>
        <w:ind w:left="122" w:right="115" w:firstLine="427"/>
        <w:jc w:val="right"/>
      </w:pPr>
      <w:r>
        <w:rPr/>
        <w:t>La gobernanza puede expresarse como el cambio en el proceso</w:t>
      </w:r>
      <w:r>
        <w:rPr>
          <w:spacing w:val="28"/>
        </w:rPr>
        <w:t> </w:t>
      </w:r>
      <w:r>
        <w:rPr/>
        <w:t>de</w:t>
      </w:r>
      <w:r>
        <w:rPr>
          <w:spacing w:val="16"/>
        </w:rPr>
        <w:t> </w:t>
      </w:r>
      <w:r>
        <w:rPr/>
        <w:t>gobernar</w:t>
      </w:r>
      <w:r>
        <w:rPr>
          <w:w w:val="99"/>
        </w:rPr>
        <w:t> </w:t>
      </w:r>
      <w:r>
        <w:rPr/>
        <w:t>en</w:t>
      </w:r>
      <w:r>
        <w:rPr>
          <w:spacing w:val="-17"/>
        </w:rPr>
        <w:t> </w:t>
      </w:r>
      <w:r>
        <w:rPr/>
        <w:t>el</w:t>
      </w:r>
      <w:r>
        <w:rPr>
          <w:spacing w:val="-15"/>
        </w:rPr>
        <w:t> </w:t>
      </w:r>
      <w:r>
        <w:rPr/>
        <w:t>que</w:t>
      </w:r>
      <w:r>
        <w:rPr>
          <w:spacing w:val="-16"/>
        </w:rPr>
        <w:t> </w:t>
      </w:r>
      <w:r>
        <w:rPr/>
        <w:t>intervienen</w:t>
      </w:r>
      <w:r>
        <w:rPr>
          <w:spacing w:val="-14"/>
        </w:rPr>
        <w:t> </w:t>
      </w:r>
      <w:r>
        <w:rPr/>
        <w:t>el</w:t>
      </w:r>
      <w:r>
        <w:rPr>
          <w:spacing w:val="-18"/>
        </w:rPr>
        <w:t> </w:t>
      </w:r>
      <w:r>
        <w:rPr/>
        <w:t>Estado</w:t>
      </w:r>
      <w:r>
        <w:rPr>
          <w:spacing w:val="-16"/>
        </w:rPr>
        <w:t> </w:t>
      </w:r>
      <w:r>
        <w:rPr/>
        <w:t>y</w:t>
      </w:r>
      <w:r>
        <w:rPr>
          <w:spacing w:val="-17"/>
        </w:rPr>
        <w:t> </w:t>
      </w:r>
      <w:r>
        <w:rPr/>
        <w:t>el</w:t>
      </w:r>
      <w:r>
        <w:rPr>
          <w:spacing w:val="-15"/>
        </w:rPr>
        <w:t> </w:t>
      </w:r>
      <w:r>
        <w:rPr/>
        <w:t>sector</w:t>
      </w:r>
      <w:r>
        <w:rPr>
          <w:spacing w:val="-18"/>
        </w:rPr>
        <w:t> </w:t>
      </w:r>
      <w:r>
        <w:rPr/>
        <w:t>privado</w:t>
      </w:r>
      <w:r>
        <w:rPr>
          <w:spacing w:val="-16"/>
        </w:rPr>
        <w:t> </w:t>
      </w:r>
      <w:r>
        <w:rPr/>
        <w:t>interrelacionados</w:t>
      </w:r>
      <w:r>
        <w:rPr>
          <w:spacing w:val="-20"/>
        </w:rPr>
        <w:t> </w:t>
      </w:r>
      <w:r>
        <w:rPr/>
        <w:t>mediante</w:t>
      </w:r>
      <w:r>
        <w:rPr>
          <w:spacing w:val="-14"/>
        </w:rPr>
        <w:t> </w:t>
      </w:r>
      <w:r>
        <w:rPr/>
        <w:t>redes,</w:t>
      </w:r>
      <w:r>
        <w:rPr>
          <w:w w:val="100"/>
        </w:rPr>
        <w:t> </w:t>
      </w:r>
      <w:r>
        <w:rPr/>
        <w:t>en las cuales prevalece la coordinación, la negociación y los</w:t>
      </w:r>
      <w:r>
        <w:rPr>
          <w:spacing w:val="-23"/>
        </w:rPr>
        <w:t> </w:t>
      </w:r>
      <w:r>
        <w:rPr/>
        <w:t>compromisos</w:t>
      </w:r>
      <w:r>
        <w:rPr>
          <w:spacing w:val="-4"/>
        </w:rPr>
        <w:t> </w:t>
      </w:r>
      <w:r>
        <w:rPr/>
        <w:t>mutuos.</w:t>
      </w:r>
      <w:r>
        <w:rPr>
          <w:w w:val="100"/>
        </w:rPr>
        <w:t> </w:t>
      </w:r>
      <w:r>
        <w:rPr/>
        <w:t>Si bien la gobernanza es una propuesta innovadora, donde se</w:t>
      </w:r>
      <w:r>
        <w:rPr>
          <w:spacing w:val="28"/>
        </w:rPr>
        <w:t> </w:t>
      </w:r>
      <w:r>
        <w:rPr/>
        <w:t>prevé</w:t>
      </w:r>
      <w:r>
        <w:rPr>
          <w:spacing w:val="21"/>
        </w:rPr>
        <w:t> </w:t>
      </w:r>
      <w:r>
        <w:rPr/>
        <w:t>la</w:t>
      </w:r>
      <w:r>
        <w:rPr>
          <w:w w:val="99"/>
        </w:rPr>
        <w:t> </w:t>
      </w:r>
      <w:r>
        <w:rPr/>
        <w:t>participación del sector público y privado mediante redes,</w:t>
      </w:r>
      <w:r>
        <w:rPr>
          <w:position w:val="8"/>
          <w:sz w:val="16"/>
        </w:rPr>
        <w:t>8 </w:t>
      </w:r>
      <w:r>
        <w:rPr/>
        <w:t>se debe</w:t>
      </w:r>
      <w:r>
        <w:rPr>
          <w:spacing w:val="50"/>
        </w:rPr>
        <w:t> </w:t>
      </w:r>
      <w:r>
        <w:rPr/>
        <w:t>tener</w:t>
      </w:r>
      <w:r>
        <w:rPr>
          <w:spacing w:val="4"/>
        </w:rPr>
        <w:t> </w:t>
      </w:r>
      <w:r>
        <w:rPr/>
        <w:t>presente</w:t>
      </w:r>
      <w:r>
        <w:rPr>
          <w:w w:val="100"/>
        </w:rPr>
        <w:t> </w:t>
      </w:r>
      <w:r>
        <w:rPr/>
        <w:t>que pueden generarse nuevos problemas. Se considera que en</w:t>
      </w:r>
      <w:r>
        <w:rPr>
          <w:spacing w:val="38"/>
        </w:rPr>
        <w:t> </w:t>
      </w:r>
      <w:r>
        <w:rPr/>
        <w:t>Europa</w:t>
      </w:r>
      <w:r>
        <w:rPr>
          <w:spacing w:val="26"/>
        </w:rPr>
        <w:t> </w:t>
      </w:r>
      <w:r>
        <w:rPr/>
        <w:t>la</w:t>
      </w:r>
      <w:r>
        <w:rPr>
          <w:w w:val="99"/>
        </w:rPr>
        <w:t> </w:t>
      </w:r>
      <w:r>
        <w:rPr/>
        <w:t>democracia</w:t>
      </w:r>
      <w:r>
        <w:rPr>
          <w:spacing w:val="-11"/>
        </w:rPr>
        <w:t> </w:t>
      </w:r>
      <w:r>
        <w:rPr/>
        <w:t>participativa</w:t>
      </w:r>
      <w:r>
        <w:rPr>
          <w:spacing w:val="-8"/>
        </w:rPr>
        <w:t> </w:t>
      </w:r>
      <w:r>
        <w:rPr/>
        <w:t>es</w:t>
      </w:r>
      <w:r>
        <w:rPr>
          <w:spacing w:val="-12"/>
        </w:rPr>
        <w:t> </w:t>
      </w:r>
      <w:r>
        <w:rPr/>
        <w:t>más</w:t>
      </w:r>
      <w:r>
        <w:rPr>
          <w:spacing w:val="-12"/>
        </w:rPr>
        <w:t> </w:t>
      </w:r>
      <w:r>
        <w:rPr/>
        <w:t>dinámica,</w:t>
      </w:r>
      <w:r>
        <w:rPr>
          <w:spacing w:val="-9"/>
        </w:rPr>
        <w:t> </w:t>
      </w:r>
      <w:r>
        <w:rPr/>
        <w:t>lo</w:t>
      </w:r>
      <w:r>
        <w:rPr>
          <w:spacing w:val="-11"/>
        </w:rPr>
        <w:t> </w:t>
      </w:r>
      <w:r>
        <w:rPr/>
        <w:t>que</w:t>
      </w:r>
      <w:r>
        <w:rPr>
          <w:spacing w:val="-8"/>
        </w:rPr>
        <w:t> </w:t>
      </w:r>
      <w:r>
        <w:rPr/>
        <w:t>incide</w:t>
      </w:r>
      <w:r>
        <w:rPr>
          <w:spacing w:val="-11"/>
        </w:rPr>
        <w:t> </w:t>
      </w:r>
      <w:r>
        <w:rPr/>
        <w:t>en</w:t>
      </w:r>
      <w:r>
        <w:rPr>
          <w:spacing w:val="-11"/>
        </w:rPr>
        <w:t> </w:t>
      </w:r>
      <w:r>
        <w:rPr/>
        <w:t>un</w:t>
      </w:r>
      <w:r>
        <w:rPr>
          <w:spacing w:val="-11"/>
        </w:rPr>
        <w:t> </w:t>
      </w:r>
      <w:r>
        <w:rPr/>
        <w:t>mejor</w:t>
      </w:r>
      <w:r>
        <w:rPr>
          <w:spacing w:val="-10"/>
        </w:rPr>
        <w:t> </w:t>
      </w:r>
      <w:r>
        <w:rPr/>
        <w:t>desempeño</w:t>
      </w:r>
      <w:r>
        <w:rPr>
          <w:spacing w:val="-11"/>
        </w:rPr>
        <w:t> </w:t>
      </w:r>
      <w:r>
        <w:rPr/>
        <w:t>de</w:t>
      </w:r>
      <w:r>
        <w:rPr>
          <w:w w:val="99"/>
        </w:rPr>
        <w:t> </w:t>
      </w:r>
      <w:r>
        <w:rPr/>
        <w:t>la gobernanza y una mejor coordinación de las redes (relación entre</w:t>
      </w:r>
      <w:r>
        <w:rPr>
          <w:spacing w:val="14"/>
        </w:rPr>
        <w:t> </w:t>
      </w:r>
      <w:r>
        <w:rPr/>
        <w:t>sector</w:t>
      </w:r>
      <w:r>
        <w:rPr>
          <w:spacing w:val="-2"/>
        </w:rPr>
        <w:t> </w:t>
      </w:r>
      <w:r>
        <w:rPr/>
        <w:t>público</w:t>
      </w:r>
      <w:r>
        <w:rPr>
          <w:w w:val="99"/>
        </w:rPr>
        <w:t> </w:t>
      </w:r>
      <w:r>
        <w:rPr/>
        <w:t>y privado) para el diseño de políticas; no obstante, la Comisión</w:t>
      </w:r>
      <w:r>
        <w:rPr>
          <w:spacing w:val="4"/>
        </w:rPr>
        <w:t> </w:t>
      </w:r>
      <w:r>
        <w:rPr/>
        <w:t>Europea</w:t>
      </w:r>
      <w:r>
        <w:rPr>
          <w:spacing w:val="19"/>
        </w:rPr>
        <w:t> </w:t>
      </w:r>
      <w:r>
        <w:rPr/>
        <w:t>advierte</w:t>
      </w:r>
      <w:r>
        <w:rPr>
          <w:w w:val="99"/>
        </w:rPr>
        <w:t> </w:t>
      </w:r>
      <w:r>
        <w:rPr/>
        <w:t>que pueden presentarse factores negativos, ya que no</w:t>
      </w:r>
      <w:r>
        <w:rPr>
          <w:spacing w:val="66"/>
        </w:rPr>
        <w:t> </w:t>
      </w:r>
      <w:r>
        <w:rPr/>
        <w:t>necesariamente</w:t>
      </w:r>
      <w:r>
        <w:rPr>
          <w:spacing w:val="41"/>
        </w:rPr>
        <w:t> </w:t>
      </w:r>
      <w:r>
        <w:rPr/>
        <w:t>la</w:t>
      </w:r>
      <w:r>
        <w:rPr>
          <w:w w:val="99"/>
        </w:rPr>
        <w:t> </w:t>
      </w:r>
      <w:r>
        <w:rPr/>
        <w:t>gobernanza se refleja en políticas más eficientes, porque puede</w:t>
      </w:r>
      <w:r>
        <w:rPr>
          <w:spacing w:val="51"/>
        </w:rPr>
        <w:t> </w:t>
      </w:r>
      <w:r>
        <w:rPr/>
        <w:t>haber</w:t>
      </w:r>
      <w:r>
        <w:rPr>
          <w:spacing w:val="13"/>
        </w:rPr>
        <w:t> </w:t>
      </w:r>
      <w:r>
        <w:rPr/>
        <w:t>demandas encontradas, porque las redes no implican necesariamente la  </w:t>
      </w:r>
      <w:r>
        <w:rPr>
          <w:spacing w:val="36"/>
        </w:rPr>
        <w:t> </w:t>
      </w:r>
      <w:r>
        <w:rPr/>
        <w:t>corresponsabilidad</w:t>
      </w:r>
    </w:p>
    <w:p>
      <w:pPr>
        <w:pStyle w:val="BodyText"/>
        <w:spacing w:before="5"/>
        <w:ind w:left="122"/>
        <w:jc w:val="both"/>
      </w:pPr>
      <w:r>
        <w:rPr/>
        <w:t>de acciones.</w:t>
      </w:r>
    </w:p>
    <w:p>
      <w:pPr>
        <w:pStyle w:val="BodyText"/>
        <w:spacing w:line="360" w:lineRule="auto" w:before="137"/>
        <w:ind w:left="122" w:right="119" w:firstLine="427"/>
        <w:jc w:val="both"/>
      </w:pPr>
      <w:r>
        <w:rPr/>
        <w:t>El origen del enfoque de la gobernanza ha sido estudiado ampliamente. Luis Aguilar consideró que la Sociología de las Organizaciones, la Teoría de la</w:t>
      </w:r>
      <w:r>
        <w:rPr>
          <w:spacing w:val="-33"/>
        </w:rPr>
        <w:t> </w:t>
      </w:r>
      <w:r>
        <w:rPr/>
        <w:t>Elección Racional, el Neo institucionalismo y la Nueva Administración Pública han sido las formas de organización del Estado que han explicado los cambios sociales y económicos que dieron origen a la gobernanza (Aguilar, 2010: 31 y</w:t>
      </w:r>
      <w:r>
        <w:rPr>
          <w:spacing w:val="-22"/>
        </w:rPr>
        <w:t> </w:t>
      </w:r>
      <w:r>
        <w:rPr/>
        <w:t>32).</w:t>
      </w:r>
    </w:p>
    <w:p>
      <w:pPr>
        <w:pStyle w:val="BodyText"/>
        <w:spacing w:line="360" w:lineRule="auto" w:before="5"/>
        <w:ind w:left="122" w:right="123" w:firstLine="427"/>
        <w:jc w:val="both"/>
      </w:pPr>
      <w:r>
        <w:rPr/>
        <w:t>Guy</w:t>
      </w:r>
      <w:r>
        <w:rPr>
          <w:spacing w:val="-12"/>
        </w:rPr>
        <w:t> </w:t>
      </w:r>
      <w:r>
        <w:rPr/>
        <w:t>Peters</w:t>
      </w:r>
      <w:r>
        <w:rPr>
          <w:spacing w:val="-11"/>
        </w:rPr>
        <w:t> </w:t>
      </w:r>
      <w:r>
        <w:rPr/>
        <w:t>destacó</w:t>
      </w:r>
      <w:r>
        <w:rPr>
          <w:spacing w:val="-9"/>
        </w:rPr>
        <w:t> </w:t>
      </w:r>
      <w:r>
        <w:rPr/>
        <w:t>que</w:t>
      </w:r>
      <w:r>
        <w:rPr>
          <w:spacing w:val="-9"/>
        </w:rPr>
        <w:t> </w:t>
      </w:r>
      <w:r>
        <w:rPr/>
        <w:t>la</w:t>
      </w:r>
      <w:r>
        <w:rPr>
          <w:spacing w:val="-10"/>
        </w:rPr>
        <w:t> </w:t>
      </w:r>
      <w:r>
        <w:rPr/>
        <w:t>Nueva</w:t>
      </w:r>
      <w:r>
        <w:rPr>
          <w:spacing w:val="-9"/>
        </w:rPr>
        <w:t> </w:t>
      </w:r>
      <w:r>
        <w:rPr/>
        <w:t>Administración</w:t>
      </w:r>
      <w:r>
        <w:rPr>
          <w:spacing w:val="-9"/>
        </w:rPr>
        <w:t> </w:t>
      </w:r>
      <w:r>
        <w:rPr/>
        <w:t>Pública</w:t>
      </w:r>
      <w:r>
        <w:rPr>
          <w:spacing w:val="-9"/>
        </w:rPr>
        <w:t> </w:t>
      </w:r>
      <w:r>
        <w:rPr/>
        <w:t>es</w:t>
      </w:r>
      <w:r>
        <w:rPr>
          <w:spacing w:val="-13"/>
        </w:rPr>
        <w:t> </w:t>
      </w:r>
      <w:r>
        <w:rPr/>
        <w:t>la</w:t>
      </w:r>
      <w:r>
        <w:rPr>
          <w:spacing w:val="-10"/>
        </w:rPr>
        <w:t> </w:t>
      </w:r>
      <w:r>
        <w:rPr/>
        <w:t>antecesora</w:t>
      </w:r>
      <w:r>
        <w:rPr>
          <w:spacing w:val="-10"/>
        </w:rPr>
        <w:t> </w:t>
      </w:r>
      <w:r>
        <w:rPr/>
        <w:t>de</w:t>
      </w:r>
      <w:r>
        <w:rPr>
          <w:spacing w:val="-9"/>
        </w:rPr>
        <w:t> </w:t>
      </w:r>
      <w:r>
        <w:rPr/>
        <w:t>la teoría de la gobernanza (Peters, 1994) y más remotamente, el enfoque de Administración Pública</w:t>
      </w:r>
      <w:r>
        <w:rPr>
          <w:spacing w:val="-10"/>
        </w:rPr>
        <w:t> </w:t>
      </w:r>
      <w:r>
        <w:rPr/>
        <w:t>Tradicional.</w:t>
      </w:r>
    </w:p>
    <w:p>
      <w:pPr>
        <w:pStyle w:val="BodyText"/>
        <w:spacing w:line="360" w:lineRule="auto" w:before="2"/>
        <w:ind w:left="122" w:right="117" w:firstLine="427"/>
        <w:jc w:val="both"/>
      </w:pPr>
      <w:r>
        <w:rPr/>
        <w:t>Los dos enfoques comparten muchas semejanzas con la teoría de la gobernanza;</w:t>
      </w:r>
      <w:r>
        <w:rPr>
          <w:spacing w:val="-10"/>
        </w:rPr>
        <w:t> </w:t>
      </w:r>
      <w:r>
        <w:rPr/>
        <w:t>ésta</w:t>
      </w:r>
      <w:r>
        <w:rPr>
          <w:spacing w:val="-9"/>
        </w:rPr>
        <w:t> </w:t>
      </w:r>
      <w:r>
        <w:rPr/>
        <w:t>última,</w:t>
      </w:r>
      <w:r>
        <w:rPr>
          <w:spacing w:val="-10"/>
        </w:rPr>
        <w:t> </w:t>
      </w:r>
      <w:r>
        <w:rPr/>
        <w:t>de</w:t>
      </w:r>
      <w:r>
        <w:rPr>
          <w:spacing w:val="-9"/>
        </w:rPr>
        <w:t> </w:t>
      </w:r>
      <w:r>
        <w:rPr/>
        <w:t>acuerdo</w:t>
      </w:r>
      <w:r>
        <w:rPr>
          <w:spacing w:val="-9"/>
        </w:rPr>
        <w:t> </w:t>
      </w:r>
      <w:r>
        <w:rPr/>
        <w:t>con</w:t>
      </w:r>
      <w:r>
        <w:rPr>
          <w:spacing w:val="-9"/>
        </w:rPr>
        <w:t> </w:t>
      </w:r>
      <w:r>
        <w:rPr/>
        <w:t>Peters,</w:t>
      </w:r>
      <w:r>
        <w:rPr>
          <w:spacing w:val="-10"/>
        </w:rPr>
        <w:t> </w:t>
      </w:r>
      <w:r>
        <w:rPr/>
        <w:t>es</w:t>
      </w:r>
      <w:r>
        <w:rPr>
          <w:spacing w:val="-10"/>
        </w:rPr>
        <w:t> </w:t>
      </w:r>
      <w:r>
        <w:rPr/>
        <w:t>la</w:t>
      </w:r>
      <w:r>
        <w:rPr>
          <w:spacing w:val="-10"/>
        </w:rPr>
        <w:t> </w:t>
      </w:r>
      <w:r>
        <w:rPr/>
        <w:t>que</w:t>
      </w:r>
      <w:r>
        <w:rPr>
          <w:spacing w:val="-9"/>
        </w:rPr>
        <w:t> </w:t>
      </w:r>
      <w:r>
        <w:rPr/>
        <w:t>presenta</w:t>
      </w:r>
      <w:r>
        <w:rPr>
          <w:spacing w:val="-11"/>
        </w:rPr>
        <w:t> </w:t>
      </w:r>
      <w:r>
        <w:rPr/>
        <w:t>más</w:t>
      </w:r>
      <w:r>
        <w:rPr>
          <w:spacing w:val="-10"/>
        </w:rPr>
        <w:t> </w:t>
      </w:r>
      <w:r>
        <w:rPr/>
        <w:t>elementos</w:t>
      </w:r>
    </w:p>
    <w:p>
      <w:pPr>
        <w:pStyle w:val="BodyText"/>
        <w:rPr>
          <w:sz w:val="18"/>
        </w:rPr>
      </w:pPr>
      <w:r>
        <w:rPr/>
        <w:pict>
          <v:line style="position:absolute;mso-position-horizontal-relative:page;mso-position-vertical-relative:paragraph;z-index:2104;mso-wrap-distance-left:0;mso-wrap-distance-right:0" from="85.103996pt,12.709888pt" to="229.123996pt,12.709888pt" stroked="true" strokeweight=".72003pt" strokecolor="#000000">
            <w10:wrap type="topAndBottom"/>
          </v:line>
        </w:pict>
      </w:r>
    </w:p>
    <w:p>
      <w:pPr>
        <w:spacing w:before="62"/>
        <w:ind w:left="122" w:right="50" w:firstLine="0"/>
        <w:jc w:val="left"/>
        <w:rPr>
          <w:sz w:val="16"/>
        </w:rPr>
      </w:pPr>
      <w:r>
        <w:rPr>
          <w:rFonts w:ascii="Times New Roman" w:hAnsi="Times New Roman"/>
          <w:position w:val="7"/>
          <w:sz w:val="13"/>
        </w:rPr>
        <w:t>8</w:t>
      </w:r>
      <w:r>
        <w:rPr>
          <w:sz w:val="16"/>
        </w:rPr>
        <w:t>Es probable que las acciones del Estado sean más efectivas si se involucra a la sociedad, el sector público y el privado.</w:t>
      </w:r>
    </w:p>
    <w:p>
      <w:pPr>
        <w:spacing w:after="0"/>
        <w:jc w:val="left"/>
        <w:rPr>
          <w:sz w:val="16"/>
        </w:rPr>
        <w:sectPr>
          <w:pgSz w:w="12240" w:h="15840"/>
          <w:pgMar w:header="0" w:footer="1003" w:top="1360" w:bottom="1200" w:left="1580" w:right="1580"/>
        </w:sectPr>
      </w:pPr>
    </w:p>
    <w:p>
      <w:pPr>
        <w:pStyle w:val="BodyText"/>
        <w:spacing w:line="360" w:lineRule="auto" w:before="54"/>
        <w:ind w:left="102" w:right="356"/>
        <w:jc w:val="both"/>
      </w:pPr>
      <w:bookmarkStart w:name="_bookmark5" w:id="6"/>
      <w:bookmarkEnd w:id="6"/>
      <w:r>
        <w:rPr/>
      </w:r>
      <w:r>
        <w:rPr/>
        <w:t>para una mejor rendición de cuentas del Estado. De acuerdo con Guy Peters, las características de los tres enfoques de acción pública y su incidencia en la política, el Estado y en la rendición de cuentas son las siguientes:</w:t>
      </w:r>
    </w:p>
    <w:p>
      <w:pPr>
        <w:pStyle w:val="BodyText"/>
      </w:pPr>
    </w:p>
    <w:p>
      <w:pPr>
        <w:spacing w:before="143"/>
        <w:ind w:left="2397" w:right="0" w:firstLine="0"/>
        <w:jc w:val="left"/>
        <w:rPr>
          <w:sz w:val="20"/>
        </w:rPr>
      </w:pPr>
      <w:bookmarkStart w:name="_bookmark4" w:id="7"/>
      <w:bookmarkEnd w:id="7"/>
      <w:r>
        <w:rPr/>
      </w:r>
      <w:r>
        <w:rPr>
          <w:sz w:val="20"/>
        </w:rPr>
        <w:t>Cuadro 1.2. Características de la acción pública</w:t>
      </w:r>
    </w:p>
    <w:p>
      <w:pPr>
        <w:pStyle w:val="BodyText"/>
        <w:spacing w:before="6" w:after="1"/>
        <w:rPr>
          <w:sz w:val="17"/>
        </w:rPr>
      </w:pPr>
    </w:p>
    <w:tbl>
      <w:tblPr>
        <w:tblW w:w="0" w:type="auto"/>
        <w:jc w:val="left"/>
        <w:tblInd w:w="210"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0" w:type="dxa"/>
          <w:left w:w="0" w:type="dxa"/>
          <w:bottom w:w="0" w:type="dxa"/>
          <w:right w:w="0" w:type="dxa"/>
        </w:tblCellMar>
        <w:tblLook w:val="01E0"/>
      </w:tblPr>
      <w:tblGrid>
        <w:gridCol w:w="893"/>
        <w:gridCol w:w="2657"/>
        <w:gridCol w:w="2760"/>
        <w:gridCol w:w="2624"/>
      </w:tblGrid>
      <w:tr>
        <w:trPr>
          <w:trHeight w:val="799" w:hRule="exact"/>
        </w:trPr>
        <w:tc>
          <w:tcPr>
            <w:tcW w:w="893" w:type="dxa"/>
          </w:tcPr>
          <w:p>
            <w:pPr/>
          </w:p>
        </w:tc>
        <w:tc>
          <w:tcPr>
            <w:tcW w:w="2657" w:type="dxa"/>
          </w:tcPr>
          <w:p>
            <w:pPr>
              <w:pStyle w:val="TableParagraph"/>
              <w:rPr>
                <w:sz w:val="14"/>
              </w:rPr>
            </w:pPr>
          </w:p>
          <w:p>
            <w:pPr>
              <w:pStyle w:val="TableParagraph"/>
              <w:rPr>
                <w:sz w:val="19"/>
              </w:rPr>
            </w:pPr>
          </w:p>
          <w:p>
            <w:pPr>
              <w:pStyle w:val="TableParagraph"/>
              <w:ind w:left="141"/>
              <w:rPr>
                <w:b/>
                <w:sz w:val="14"/>
              </w:rPr>
            </w:pPr>
            <w:r>
              <w:rPr>
                <w:b/>
                <w:sz w:val="14"/>
              </w:rPr>
              <w:t>Administración Pública Tradicional</w:t>
            </w:r>
          </w:p>
        </w:tc>
        <w:tc>
          <w:tcPr>
            <w:tcW w:w="2760" w:type="dxa"/>
          </w:tcPr>
          <w:p>
            <w:pPr>
              <w:pStyle w:val="TableParagraph"/>
              <w:rPr>
                <w:sz w:val="14"/>
              </w:rPr>
            </w:pPr>
          </w:p>
          <w:p>
            <w:pPr>
              <w:pStyle w:val="TableParagraph"/>
              <w:rPr>
                <w:sz w:val="19"/>
              </w:rPr>
            </w:pPr>
          </w:p>
          <w:p>
            <w:pPr>
              <w:pStyle w:val="TableParagraph"/>
              <w:ind w:left="355"/>
              <w:rPr>
                <w:b/>
                <w:sz w:val="14"/>
              </w:rPr>
            </w:pPr>
            <w:r>
              <w:rPr>
                <w:b/>
                <w:sz w:val="14"/>
              </w:rPr>
              <w:t>Nueva Administración Pública</w:t>
            </w:r>
          </w:p>
        </w:tc>
        <w:tc>
          <w:tcPr>
            <w:tcW w:w="2624" w:type="dxa"/>
          </w:tcPr>
          <w:p>
            <w:pPr>
              <w:pStyle w:val="TableParagraph"/>
              <w:rPr>
                <w:sz w:val="14"/>
              </w:rPr>
            </w:pPr>
          </w:p>
          <w:p>
            <w:pPr>
              <w:pStyle w:val="TableParagraph"/>
              <w:rPr>
                <w:sz w:val="19"/>
              </w:rPr>
            </w:pPr>
          </w:p>
          <w:p>
            <w:pPr>
              <w:pStyle w:val="TableParagraph"/>
              <w:ind w:left="870" w:right="875"/>
              <w:jc w:val="center"/>
              <w:rPr>
                <w:b/>
                <w:sz w:val="14"/>
              </w:rPr>
            </w:pPr>
            <w:r>
              <w:rPr>
                <w:b/>
                <w:sz w:val="14"/>
              </w:rPr>
              <w:t>Gobernanza</w:t>
            </w:r>
          </w:p>
        </w:tc>
      </w:tr>
      <w:tr>
        <w:trPr>
          <w:trHeight w:val="2523" w:hRule="exact"/>
        </w:trPr>
        <w:tc>
          <w:tcPr>
            <w:tcW w:w="893" w:type="dxa"/>
            <w:tcBorders>
              <w:left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spacing w:before="9"/>
              <w:rPr>
                <w:sz w:val="13"/>
              </w:rPr>
            </w:pPr>
          </w:p>
          <w:p>
            <w:pPr>
              <w:pStyle w:val="TableParagraph"/>
              <w:ind w:left="103"/>
              <w:rPr>
                <w:b/>
                <w:sz w:val="14"/>
              </w:rPr>
            </w:pPr>
            <w:r>
              <w:rPr>
                <w:b/>
                <w:sz w:val="14"/>
              </w:rPr>
              <w:t>Política</w:t>
            </w:r>
          </w:p>
        </w:tc>
        <w:tc>
          <w:tcPr>
            <w:tcW w:w="2657" w:type="dxa"/>
            <w:tcBorders>
              <w:left w:val="single" w:sz="4" w:space="0" w:color="000000"/>
              <w:right w:val="single" w:sz="4" w:space="0" w:color="000000"/>
            </w:tcBorders>
          </w:tcPr>
          <w:p>
            <w:pPr>
              <w:pStyle w:val="TableParagraph"/>
              <w:spacing w:before="1"/>
              <w:rPr>
                <w:sz w:val="16"/>
              </w:rPr>
            </w:pPr>
          </w:p>
          <w:p>
            <w:pPr>
              <w:pStyle w:val="TableParagraph"/>
              <w:numPr>
                <w:ilvl w:val="0"/>
                <w:numId w:val="8"/>
              </w:numPr>
              <w:tabs>
                <w:tab w:pos="420" w:val="left" w:leader="none"/>
              </w:tabs>
              <w:spacing w:line="276" w:lineRule="auto" w:before="0" w:after="0"/>
              <w:ind w:left="420" w:right="235" w:hanging="317"/>
              <w:jc w:val="left"/>
              <w:rPr>
                <w:sz w:val="14"/>
              </w:rPr>
            </w:pPr>
            <w:r>
              <w:rPr>
                <w:sz w:val="14"/>
              </w:rPr>
              <w:t>Politización de la</w:t>
            </w:r>
            <w:r>
              <w:rPr>
                <w:spacing w:val="-11"/>
                <w:sz w:val="14"/>
              </w:rPr>
              <w:t> </w:t>
            </w:r>
            <w:r>
              <w:rPr>
                <w:sz w:val="14"/>
              </w:rPr>
              <w:t>administración pública mediante el sistema burocrático</w:t>
            </w:r>
            <w:r>
              <w:rPr>
                <w:spacing w:val="-10"/>
                <w:sz w:val="14"/>
              </w:rPr>
              <w:t> </w:t>
            </w:r>
            <w:r>
              <w:rPr>
                <w:sz w:val="14"/>
              </w:rPr>
              <w:t>(dirigentes).</w:t>
            </w:r>
          </w:p>
          <w:p>
            <w:pPr>
              <w:pStyle w:val="TableParagraph"/>
              <w:numPr>
                <w:ilvl w:val="0"/>
                <w:numId w:val="8"/>
              </w:numPr>
              <w:tabs>
                <w:tab w:pos="420" w:val="left" w:leader="none"/>
              </w:tabs>
              <w:spacing w:line="240" w:lineRule="auto" w:before="1" w:after="0"/>
              <w:ind w:left="420" w:right="314" w:hanging="317"/>
              <w:jc w:val="left"/>
              <w:rPr>
                <w:sz w:val="14"/>
              </w:rPr>
            </w:pPr>
            <w:r>
              <w:rPr>
                <w:sz w:val="14"/>
              </w:rPr>
              <w:t>La despolitización del</w:t>
            </w:r>
            <w:r>
              <w:rPr>
                <w:spacing w:val="-12"/>
                <w:sz w:val="14"/>
              </w:rPr>
              <w:t> </w:t>
            </w:r>
            <w:r>
              <w:rPr>
                <w:sz w:val="14"/>
              </w:rPr>
              <w:t>personal gubernamental mediante el servicio profesional de carrera (SPC)</w:t>
            </w:r>
          </w:p>
          <w:p>
            <w:pPr>
              <w:pStyle w:val="TableParagraph"/>
              <w:numPr>
                <w:ilvl w:val="0"/>
                <w:numId w:val="8"/>
              </w:numPr>
              <w:tabs>
                <w:tab w:pos="458" w:val="left" w:leader="none"/>
                <w:tab w:pos="459" w:val="left" w:leader="none"/>
              </w:tabs>
              <w:spacing w:line="240" w:lineRule="auto" w:before="0" w:after="0"/>
              <w:ind w:left="420" w:right="204" w:hanging="317"/>
              <w:jc w:val="left"/>
              <w:rPr>
                <w:sz w:val="14"/>
              </w:rPr>
            </w:pPr>
            <w:r>
              <w:rPr>
                <w:sz w:val="14"/>
              </w:rPr>
              <w:t>Control de empleados</w:t>
            </w:r>
            <w:r>
              <w:rPr>
                <w:spacing w:val="-11"/>
                <w:sz w:val="14"/>
              </w:rPr>
              <w:t> </w:t>
            </w:r>
            <w:r>
              <w:rPr>
                <w:sz w:val="14"/>
              </w:rPr>
              <w:t>mediante leyes, reglamentos y</w:t>
            </w:r>
            <w:r>
              <w:rPr>
                <w:spacing w:val="-13"/>
                <w:sz w:val="14"/>
              </w:rPr>
              <w:t> </w:t>
            </w:r>
            <w:r>
              <w:rPr>
                <w:sz w:val="14"/>
              </w:rPr>
              <w:t>normativa.</w:t>
            </w:r>
          </w:p>
        </w:tc>
        <w:tc>
          <w:tcPr>
            <w:tcW w:w="2760" w:type="dxa"/>
            <w:tcBorders>
              <w:left w:val="single" w:sz="4" w:space="0" w:color="000000"/>
              <w:right w:val="single" w:sz="4" w:space="0" w:color="000000"/>
            </w:tcBorders>
          </w:tcPr>
          <w:p>
            <w:pPr>
              <w:pStyle w:val="TableParagraph"/>
              <w:rPr>
                <w:sz w:val="14"/>
              </w:rPr>
            </w:pPr>
          </w:p>
          <w:p>
            <w:pPr>
              <w:pStyle w:val="TableParagraph"/>
              <w:numPr>
                <w:ilvl w:val="0"/>
                <w:numId w:val="9"/>
              </w:numPr>
              <w:tabs>
                <w:tab w:pos="392" w:val="left" w:leader="none"/>
              </w:tabs>
              <w:spacing w:line="240" w:lineRule="auto" w:before="0" w:after="0"/>
              <w:ind w:left="391" w:right="267" w:hanging="291"/>
              <w:jc w:val="both"/>
              <w:rPr>
                <w:sz w:val="14"/>
              </w:rPr>
            </w:pPr>
            <w:r>
              <w:rPr>
                <w:sz w:val="14"/>
              </w:rPr>
              <w:t>Mayor libertad de designación</w:t>
            </w:r>
            <w:r>
              <w:rPr>
                <w:spacing w:val="-14"/>
                <w:sz w:val="14"/>
              </w:rPr>
              <w:t> </w:t>
            </w:r>
            <w:r>
              <w:rPr>
                <w:sz w:val="14"/>
              </w:rPr>
              <w:t>del personal (politización de la fuerza laboral).</w:t>
            </w:r>
          </w:p>
          <w:p>
            <w:pPr>
              <w:pStyle w:val="TableParagraph"/>
              <w:numPr>
                <w:ilvl w:val="0"/>
                <w:numId w:val="9"/>
              </w:numPr>
              <w:tabs>
                <w:tab w:pos="392" w:val="left" w:leader="none"/>
              </w:tabs>
              <w:spacing w:line="240" w:lineRule="auto" w:before="0" w:after="0"/>
              <w:ind w:left="391" w:right="212" w:hanging="291"/>
              <w:jc w:val="left"/>
              <w:rPr>
                <w:sz w:val="14"/>
              </w:rPr>
            </w:pPr>
            <w:r>
              <w:rPr>
                <w:sz w:val="14"/>
              </w:rPr>
              <w:t>Dirección clara de las políticas públicas, lo que hace que la rendición de cuentas tenga un carácter más interno y</w:t>
            </w:r>
            <w:r>
              <w:rPr>
                <w:spacing w:val="-13"/>
                <w:sz w:val="14"/>
              </w:rPr>
              <w:t> </w:t>
            </w:r>
            <w:r>
              <w:rPr>
                <w:sz w:val="14"/>
              </w:rPr>
              <w:t>profesional.</w:t>
            </w:r>
          </w:p>
          <w:p>
            <w:pPr>
              <w:pStyle w:val="TableParagraph"/>
              <w:numPr>
                <w:ilvl w:val="0"/>
                <w:numId w:val="9"/>
              </w:numPr>
              <w:tabs>
                <w:tab w:pos="392" w:val="left" w:leader="none"/>
              </w:tabs>
              <w:spacing w:line="240" w:lineRule="auto" w:before="0" w:after="0"/>
              <w:ind w:left="391" w:right="165" w:hanging="291"/>
              <w:jc w:val="left"/>
              <w:rPr>
                <w:sz w:val="14"/>
              </w:rPr>
            </w:pPr>
            <w:r>
              <w:rPr>
                <w:sz w:val="14"/>
              </w:rPr>
              <w:t>Se institucionaliza el papel del administrador público como</w:t>
            </w:r>
            <w:r>
              <w:rPr>
                <w:spacing w:val="-11"/>
                <w:sz w:val="14"/>
              </w:rPr>
              <w:t> </w:t>
            </w:r>
            <w:r>
              <w:rPr>
                <w:sz w:val="14"/>
              </w:rPr>
              <w:t>político (en el diseño de políticas</w:t>
            </w:r>
            <w:r>
              <w:rPr>
                <w:spacing w:val="-13"/>
                <w:sz w:val="14"/>
              </w:rPr>
              <w:t> </w:t>
            </w:r>
            <w:r>
              <w:rPr>
                <w:sz w:val="14"/>
              </w:rPr>
              <w:t>públicas).</w:t>
            </w:r>
          </w:p>
          <w:p>
            <w:pPr>
              <w:pStyle w:val="TableParagraph"/>
              <w:numPr>
                <w:ilvl w:val="0"/>
                <w:numId w:val="9"/>
              </w:numPr>
              <w:tabs>
                <w:tab w:pos="392" w:val="left" w:leader="none"/>
              </w:tabs>
              <w:spacing w:line="240" w:lineRule="auto" w:before="0" w:after="0"/>
              <w:ind w:left="391" w:right="157" w:hanging="291"/>
              <w:jc w:val="left"/>
              <w:rPr>
                <w:sz w:val="14"/>
              </w:rPr>
            </w:pPr>
            <w:r>
              <w:rPr>
                <w:sz w:val="14"/>
              </w:rPr>
              <w:t>Liberar a los administradores y las instituciones públicas del control</w:t>
            </w:r>
            <w:r>
              <w:rPr>
                <w:spacing w:val="-11"/>
                <w:sz w:val="14"/>
              </w:rPr>
              <w:t> </w:t>
            </w:r>
            <w:r>
              <w:rPr>
                <w:sz w:val="14"/>
              </w:rPr>
              <w:t>de los líderes</w:t>
            </w:r>
            <w:r>
              <w:rPr>
                <w:spacing w:val="-10"/>
                <w:sz w:val="14"/>
              </w:rPr>
              <w:t> </w:t>
            </w:r>
            <w:r>
              <w:rPr>
                <w:sz w:val="14"/>
              </w:rPr>
              <w:t>políticos.</w:t>
            </w:r>
          </w:p>
        </w:tc>
        <w:tc>
          <w:tcPr>
            <w:tcW w:w="2624" w:type="dxa"/>
            <w:tcBorders>
              <w:left w:val="single" w:sz="4" w:space="0" w:color="000000"/>
              <w:right w:val="single" w:sz="4" w:space="0" w:color="000000"/>
            </w:tcBorders>
          </w:tcPr>
          <w:p>
            <w:pPr>
              <w:pStyle w:val="TableParagraph"/>
              <w:rPr>
                <w:sz w:val="14"/>
              </w:rPr>
            </w:pPr>
          </w:p>
          <w:p>
            <w:pPr>
              <w:pStyle w:val="TableParagraph"/>
              <w:numPr>
                <w:ilvl w:val="0"/>
                <w:numId w:val="10"/>
              </w:numPr>
              <w:tabs>
                <w:tab w:pos="351" w:val="left" w:leader="none"/>
              </w:tabs>
              <w:spacing w:line="240" w:lineRule="auto" w:before="0" w:after="0"/>
              <w:ind w:left="350" w:right="171" w:hanging="283"/>
              <w:jc w:val="left"/>
              <w:rPr>
                <w:sz w:val="14"/>
              </w:rPr>
            </w:pPr>
            <w:r>
              <w:rPr>
                <w:sz w:val="14"/>
              </w:rPr>
              <w:t>Análisis de las propuestas de actores no gubernamentales</w:t>
            </w:r>
            <w:r>
              <w:rPr>
                <w:spacing w:val="-12"/>
                <w:sz w:val="14"/>
              </w:rPr>
              <w:t> </w:t>
            </w:r>
            <w:r>
              <w:rPr>
                <w:sz w:val="14"/>
              </w:rPr>
              <w:t>para el diseño de políticas públicas (despolitización).</w:t>
            </w:r>
          </w:p>
          <w:p>
            <w:pPr>
              <w:pStyle w:val="TableParagraph"/>
              <w:numPr>
                <w:ilvl w:val="0"/>
                <w:numId w:val="10"/>
              </w:numPr>
              <w:tabs>
                <w:tab w:pos="293" w:val="left" w:leader="none"/>
              </w:tabs>
              <w:spacing w:line="240" w:lineRule="auto" w:before="0" w:after="0"/>
              <w:ind w:left="292" w:right="142" w:hanging="192"/>
              <w:jc w:val="left"/>
              <w:rPr>
                <w:sz w:val="14"/>
              </w:rPr>
            </w:pPr>
            <w:r>
              <w:rPr>
                <w:sz w:val="14"/>
              </w:rPr>
              <w:t>Se faculta de toma de decisiones</w:t>
            </w:r>
            <w:r>
              <w:rPr>
                <w:spacing w:val="-11"/>
                <w:sz w:val="14"/>
              </w:rPr>
              <w:t> </w:t>
            </w:r>
            <w:r>
              <w:rPr>
                <w:sz w:val="14"/>
              </w:rPr>
              <w:t>a los niveles inferiores del sector público y a los clientes de las organizaciones.</w:t>
            </w:r>
          </w:p>
          <w:p>
            <w:pPr>
              <w:pStyle w:val="TableParagraph"/>
              <w:numPr>
                <w:ilvl w:val="0"/>
                <w:numId w:val="10"/>
              </w:numPr>
              <w:tabs>
                <w:tab w:pos="332" w:val="left" w:leader="none"/>
              </w:tabs>
              <w:spacing w:line="240" w:lineRule="auto" w:before="0" w:after="0"/>
              <w:ind w:left="292" w:right="498" w:hanging="192"/>
              <w:jc w:val="left"/>
              <w:rPr>
                <w:sz w:val="14"/>
              </w:rPr>
            </w:pPr>
            <w:r>
              <w:rPr>
                <w:sz w:val="14"/>
              </w:rPr>
              <w:t>Las decisiones se discuten y negocian</w:t>
            </w:r>
            <w:r>
              <w:rPr>
                <w:spacing w:val="-11"/>
                <w:sz w:val="14"/>
              </w:rPr>
              <w:t> </w:t>
            </w:r>
            <w:r>
              <w:rPr>
                <w:sz w:val="14"/>
              </w:rPr>
              <w:t>previamente.</w:t>
            </w:r>
          </w:p>
        </w:tc>
      </w:tr>
      <w:tr>
        <w:trPr>
          <w:trHeight w:val="3917" w:hRule="exact"/>
        </w:trPr>
        <w:tc>
          <w:tcPr>
            <w:tcW w:w="893" w:type="dxa"/>
            <w:tcBorders>
              <w:left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13"/>
              </w:rPr>
            </w:pPr>
          </w:p>
          <w:p>
            <w:pPr>
              <w:pStyle w:val="TableParagraph"/>
              <w:ind w:left="124"/>
              <w:rPr>
                <w:b/>
                <w:sz w:val="14"/>
              </w:rPr>
            </w:pPr>
            <w:r>
              <w:rPr>
                <w:b/>
                <w:sz w:val="14"/>
              </w:rPr>
              <w:t>Estado</w:t>
            </w:r>
          </w:p>
        </w:tc>
        <w:tc>
          <w:tcPr>
            <w:tcW w:w="2657" w:type="dxa"/>
            <w:tcBorders>
              <w:left w:val="single" w:sz="4" w:space="0" w:color="000000"/>
              <w:right w:val="single" w:sz="4" w:space="0" w:color="000000"/>
            </w:tcBorders>
          </w:tcPr>
          <w:p>
            <w:pPr>
              <w:pStyle w:val="TableParagraph"/>
              <w:numPr>
                <w:ilvl w:val="0"/>
                <w:numId w:val="11"/>
              </w:numPr>
              <w:tabs>
                <w:tab w:pos="420" w:val="left" w:leader="none"/>
              </w:tabs>
              <w:spacing w:line="240" w:lineRule="auto" w:before="0" w:after="0"/>
              <w:ind w:left="420" w:right="188" w:hanging="317"/>
              <w:jc w:val="left"/>
              <w:rPr>
                <w:sz w:val="14"/>
              </w:rPr>
            </w:pPr>
            <w:r>
              <w:rPr>
                <w:sz w:val="14"/>
              </w:rPr>
              <w:t>Gestión de programas y toma</w:t>
            </w:r>
            <w:r>
              <w:rPr>
                <w:spacing w:val="-10"/>
                <w:sz w:val="14"/>
              </w:rPr>
              <w:t> </w:t>
            </w:r>
            <w:r>
              <w:rPr>
                <w:sz w:val="14"/>
              </w:rPr>
              <w:t>de decisiones.</w:t>
            </w:r>
          </w:p>
          <w:p>
            <w:pPr>
              <w:pStyle w:val="TableParagraph"/>
              <w:numPr>
                <w:ilvl w:val="0"/>
                <w:numId w:val="11"/>
              </w:numPr>
              <w:tabs>
                <w:tab w:pos="420" w:val="left" w:leader="none"/>
              </w:tabs>
              <w:spacing w:line="242" w:lineRule="auto" w:before="0" w:after="0"/>
              <w:ind w:left="420" w:right="156" w:hanging="317"/>
              <w:jc w:val="left"/>
              <w:rPr>
                <w:sz w:val="14"/>
              </w:rPr>
            </w:pPr>
            <w:r>
              <w:rPr>
                <w:sz w:val="14"/>
              </w:rPr>
              <w:t>Administración basada en</w:t>
            </w:r>
            <w:r>
              <w:rPr>
                <w:spacing w:val="-9"/>
                <w:sz w:val="14"/>
              </w:rPr>
              <w:t> </w:t>
            </w:r>
            <w:r>
              <w:rPr>
                <w:sz w:val="14"/>
              </w:rPr>
              <w:t>reglas, no en el</w:t>
            </w:r>
            <w:r>
              <w:rPr>
                <w:spacing w:val="-8"/>
                <w:sz w:val="14"/>
              </w:rPr>
              <w:t> </w:t>
            </w:r>
            <w:r>
              <w:rPr>
                <w:sz w:val="14"/>
              </w:rPr>
              <w:t>mercado.</w:t>
            </w:r>
          </w:p>
          <w:p>
            <w:pPr>
              <w:pStyle w:val="TableParagraph"/>
              <w:numPr>
                <w:ilvl w:val="0"/>
                <w:numId w:val="11"/>
              </w:numPr>
              <w:tabs>
                <w:tab w:pos="420" w:val="left" w:leader="none"/>
              </w:tabs>
              <w:spacing w:line="240" w:lineRule="auto" w:before="0" w:after="0"/>
              <w:ind w:left="420" w:right="205" w:hanging="317"/>
              <w:jc w:val="left"/>
              <w:rPr>
                <w:sz w:val="14"/>
              </w:rPr>
            </w:pPr>
            <w:r>
              <w:rPr>
                <w:sz w:val="14"/>
              </w:rPr>
              <w:t>El Estado no es un actor autosuficiente para el manejo</w:t>
            </w:r>
            <w:r>
              <w:rPr>
                <w:spacing w:val="-13"/>
                <w:sz w:val="14"/>
              </w:rPr>
              <w:t> </w:t>
            </w:r>
            <w:r>
              <w:rPr>
                <w:sz w:val="14"/>
              </w:rPr>
              <w:t>de la economía y la</w:t>
            </w:r>
            <w:r>
              <w:rPr>
                <w:spacing w:val="-11"/>
                <w:sz w:val="14"/>
              </w:rPr>
              <w:t> </w:t>
            </w:r>
            <w:r>
              <w:rPr>
                <w:sz w:val="14"/>
              </w:rPr>
              <w:t>sociedad.</w:t>
            </w:r>
          </w:p>
          <w:p>
            <w:pPr>
              <w:pStyle w:val="TableParagraph"/>
              <w:numPr>
                <w:ilvl w:val="0"/>
                <w:numId w:val="11"/>
              </w:numPr>
              <w:tabs>
                <w:tab w:pos="420" w:val="left" w:leader="none"/>
              </w:tabs>
              <w:spacing w:line="240" w:lineRule="auto" w:before="0" w:after="0"/>
              <w:ind w:left="420" w:right="344" w:hanging="317"/>
              <w:jc w:val="left"/>
              <w:rPr>
                <w:sz w:val="14"/>
              </w:rPr>
            </w:pPr>
            <w:r>
              <w:rPr>
                <w:sz w:val="14"/>
              </w:rPr>
              <w:t>Gobierno estructurado jerárquicamente</w:t>
            </w:r>
            <w:r>
              <w:rPr>
                <w:spacing w:val="-9"/>
                <w:sz w:val="14"/>
              </w:rPr>
              <w:t> </w:t>
            </w:r>
            <w:r>
              <w:rPr>
                <w:sz w:val="14"/>
              </w:rPr>
              <w:t>(organización piramidal).</w:t>
            </w:r>
          </w:p>
          <w:p>
            <w:pPr>
              <w:pStyle w:val="TableParagraph"/>
              <w:numPr>
                <w:ilvl w:val="0"/>
                <w:numId w:val="11"/>
              </w:numPr>
              <w:tabs>
                <w:tab w:pos="420" w:val="left" w:leader="none"/>
              </w:tabs>
              <w:spacing w:line="240" w:lineRule="auto" w:before="0" w:after="0"/>
              <w:ind w:left="420" w:right="212" w:hanging="317"/>
              <w:jc w:val="left"/>
              <w:rPr>
                <w:sz w:val="14"/>
              </w:rPr>
            </w:pPr>
            <w:r>
              <w:rPr>
                <w:sz w:val="14"/>
              </w:rPr>
              <w:t>La evaluación legal y del desempeño de la</w:t>
            </w:r>
            <w:r>
              <w:rPr>
                <w:spacing w:val="-10"/>
                <w:sz w:val="14"/>
              </w:rPr>
              <w:t> </w:t>
            </w:r>
            <w:r>
              <w:rPr>
                <w:sz w:val="14"/>
              </w:rPr>
              <w:t>administración pública.</w:t>
            </w:r>
          </w:p>
          <w:p>
            <w:pPr>
              <w:pStyle w:val="TableParagraph"/>
              <w:numPr>
                <w:ilvl w:val="0"/>
                <w:numId w:val="11"/>
              </w:numPr>
              <w:tabs>
                <w:tab w:pos="420" w:val="left" w:leader="none"/>
              </w:tabs>
              <w:spacing w:line="240" w:lineRule="auto" w:before="0" w:after="0"/>
              <w:ind w:left="420" w:right="0" w:hanging="317"/>
              <w:jc w:val="left"/>
              <w:rPr>
                <w:sz w:val="14"/>
              </w:rPr>
            </w:pPr>
            <w:r>
              <w:rPr>
                <w:sz w:val="14"/>
              </w:rPr>
              <w:t>Equidad en el trato</w:t>
            </w:r>
            <w:r>
              <w:rPr>
                <w:spacing w:val="-14"/>
                <w:sz w:val="14"/>
              </w:rPr>
              <w:t> </w:t>
            </w:r>
            <w:r>
              <w:rPr>
                <w:sz w:val="14"/>
              </w:rPr>
              <w:t>ciudadano.</w:t>
            </w:r>
          </w:p>
          <w:p>
            <w:pPr>
              <w:pStyle w:val="TableParagraph"/>
              <w:numPr>
                <w:ilvl w:val="0"/>
                <w:numId w:val="11"/>
              </w:numPr>
              <w:tabs>
                <w:tab w:pos="420" w:val="left" w:leader="none"/>
              </w:tabs>
              <w:spacing w:line="242" w:lineRule="auto" w:before="24" w:after="0"/>
              <w:ind w:left="420" w:right="360" w:hanging="317"/>
              <w:jc w:val="left"/>
              <w:rPr>
                <w:sz w:val="14"/>
              </w:rPr>
            </w:pPr>
            <w:r>
              <w:rPr>
                <w:sz w:val="14"/>
              </w:rPr>
              <w:t>Democracia acotada: la ciudadanía sólo es</w:t>
            </w:r>
            <w:r>
              <w:rPr>
                <w:spacing w:val="-11"/>
                <w:sz w:val="14"/>
              </w:rPr>
              <w:t> </w:t>
            </w:r>
            <w:r>
              <w:rPr>
                <w:sz w:val="14"/>
              </w:rPr>
              <w:t>importante durante el proceso</w:t>
            </w:r>
            <w:r>
              <w:rPr>
                <w:spacing w:val="-13"/>
                <w:sz w:val="14"/>
              </w:rPr>
              <w:t> </w:t>
            </w:r>
            <w:r>
              <w:rPr>
                <w:sz w:val="14"/>
              </w:rPr>
              <w:t>electoral.</w:t>
            </w:r>
          </w:p>
          <w:p>
            <w:pPr>
              <w:pStyle w:val="TableParagraph"/>
              <w:numPr>
                <w:ilvl w:val="0"/>
                <w:numId w:val="11"/>
              </w:numPr>
              <w:tabs>
                <w:tab w:pos="420" w:val="left" w:leader="none"/>
              </w:tabs>
              <w:spacing w:line="240" w:lineRule="auto" w:before="0" w:after="0"/>
              <w:ind w:left="420" w:right="236" w:hanging="317"/>
              <w:jc w:val="left"/>
              <w:rPr>
                <w:sz w:val="14"/>
              </w:rPr>
            </w:pPr>
            <w:r>
              <w:rPr>
                <w:sz w:val="14"/>
              </w:rPr>
              <w:t>Escasa participación de los servidores públicos en el</w:t>
            </w:r>
            <w:r>
              <w:rPr>
                <w:spacing w:val="-11"/>
                <w:sz w:val="14"/>
              </w:rPr>
              <w:t> </w:t>
            </w:r>
            <w:r>
              <w:rPr>
                <w:sz w:val="14"/>
              </w:rPr>
              <w:t>diseño de las políticas</w:t>
            </w:r>
            <w:r>
              <w:rPr>
                <w:spacing w:val="-12"/>
                <w:sz w:val="14"/>
              </w:rPr>
              <w:t> </w:t>
            </w:r>
            <w:r>
              <w:rPr>
                <w:sz w:val="14"/>
              </w:rPr>
              <w:t>públicas.</w:t>
            </w:r>
          </w:p>
          <w:p>
            <w:pPr>
              <w:pStyle w:val="TableParagraph"/>
              <w:numPr>
                <w:ilvl w:val="0"/>
                <w:numId w:val="11"/>
              </w:numPr>
              <w:tabs>
                <w:tab w:pos="420" w:val="left" w:leader="none"/>
              </w:tabs>
              <w:spacing w:line="240" w:lineRule="auto" w:before="0" w:after="0"/>
              <w:ind w:left="420" w:right="508" w:hanging="317"/>
              <w:jc w:val="left"/>
              <w:rPr>
                <w:sz w:val="14"/>
              </w:rPr>
            </w:pPr>
            <w:r>
              <w:rPr>
                <w:sz w:val="14"/>
              </w:rPr>
              <w:t>Autoridad jerárquica para</w:t>
            </w:r>
            <w:r>
              <w:rPr>
                <w:spacing w:val="-11"/>
                <w:sz w:val="14"/>
              </w:rPr>
              <w:t> </w:t>
            </w:r>
            <w:r>
              <w:rPr>
                <w:sz w:val="14"/>
              </w:rPr>
              <w:t>el control de</w:t>
            </w:r>
            <w:r>
              <w:rPr>
                <w:spacing w:val="-10"/>
                <w:sz w:val="14"/>
              </w:rPr>
              <w:t> </w:t>
            </w:r>
            <w:r>
              <w:rPr>
                <w:sz w:val="14"/>
              </w:rPr>
              <w:t>empleados.</w:t>
            </w:r>
          </w:p>
        </w:tc>
        <w:tc>
          <w:tcPr>
            <w:tcW w:w="2760" w:type="dxa"/>
            <w:tcBorders>
              <w:left w:val="single" w:sz="4" w:space="0" w:color="000000"/>
              <w:right w:val="single" w:sz="4" w:space="0" w:color="000000"/>
            </w:tcBorders>
          </w:tcPr>
          <w:p>
            <w:pPr>
              <w:pStyle w:val="TableParagraph"/>
              <w:numPr>
                <w:ilvl w:val="0"/>
                <w:numId w:val="12"/>
              </w:numPr>
              <w:tabs>
                <w:tab w:pos="392" w:val="left" w:leader="none"/>
              </w:tabs>
              <w:spacing w:line="240" w:lineRule="auto" w:before="0" w:after="0"/>
              <w:ind w:left="391" w:right="135" w:hanging="283"/>
              <w:jc w:val="left"/>
              <w:rPr>
                <w:sz w:val="14"/>
              </w:rPr>
            </w:pPr>
            <w:r>
              <w:rPr>
                <w:sz w:val="14"/>
              </w:rPr>
              <w:t>La administración del sector</w:t>
            </w:r>
            <w:r>
              <w:rPr>
                <w:spacing w:val="-12"/>
                <w:sz w:val="14"/>
              </w:rPr>
              <w:t> </w:t>
            </w:r>
            <w:r>
              <w:rPr>
                <w:sz w:val="14"/>
              </w:rPr>
              <w:t>público se maneja de igual forma que la administración del sector</w:t>
            </w:r>
            <w:r>
              <w:rPr>
                <w:spacing w:val="-13"/>
                <w:sz w:val="14"/>
              </w:rPr>
              <w:t> </w:t>
            </w:r>
            <w:r>
              <w:rPr>
                <w:sz w:val="14"/>
              </w:rPr>
              <w:t>privado.</w:t>
            </w:r>
          </w:p>
          <w:p>
            <w:pPr>
              <w:pStyle w:val="TableParagraph"/>
              <w:numPr>
                <w:ilvl w:val="0"/>
                <w:numId w:val="12"/>
              </w:numPr>
              <w:tabs>
                <w:tab w:pos="392" w:val="left" w:leader="none"/>
              </w:tabs>
              <w:spacing w:line="240" w:lineRule="auto" w:before="2" w:after="0"/>
              <w:ind w:left="391" w:right="267" w:hanging="291"/>
              <w:jc w:val="both"/>
              <w:rPr>
                <w:sz w:val="14"/>
              </w:rPr>
            </w:pPr>
            <w:r>
              <w:rPr>
                <w:sz w:val="14"/>
              </w:rPr>
              <w:t>El sector público establece</w:t>
            </w:r>
            <w:r>
              <w:rPr>
                <w:spacing w:val="-13"/>
                <w:sz w:val="14"/>
              </w:rPr>
              <w:t> </w:t>
            </w:r>
            <w:r>
              <w:rPr>
                <w:sz w:val="14"/>
              </w:rPr>
              <w:t>mayor relación con los contratistas y los proveedores del sector</w:t>
            </w:r>
            <w:r>
              <w:rPr>
                <w:spacing w:val="-12"/>
                <w:sz w:val="14"/>
              </w:rPr>
              <w:t> </w:t>
            </w:r>
            <w:r>
              <w:rPr>
                <w:sz w:val="14"/>
              </w:rPr>
              <w:t>privado.</w:t>
            </w:r>
          </w:p>
          <w:p>
            <w:pPr>
              <w:pStyle w:val="TableParagraph"/>
              <w:numPr>
                <w:ilvl w:val="0"/>
                <w:numId w:val="12"/>
              </w:numPr>
              <w:tabs>
                <w:tab w:pos="392" w:val="left" w:leader="none"/>
              </w:tabs>
              <w:spacing w:line="240" w:lineRule="auto" w:before="0" w:after="0"/>
              <w:ind w:left="391" w:right="236" w:hanging="291"/>
              <w:jc w:val="left"/>
              <w:rPr>
                <w:sz w:val="14"/>
              </w:rPr>
            </w:pPr>
            <w:r>
              <w:rPr>
                <w:sz w:val="14"/>
              </w:rPr>
              <w:t>La operación del sector público</w:t>
            </w:r>
            <w:r>
              <w:rPr>
                <w:spacing w:val="-12"/>
                <w:sz w:val="14"/>
              </w:rPr>
              <w:t> </w:t>
            </w:r>
            <w:r>
              <w:rPr>
                <w:sz w:val="14"/>
              </w:rPr>
              <w:t>es empresarial.</w:t>
            </w:r>
          </w:p>
          <w:p>
            <w:pPr>
              <w:pStyle w:val="TableParagraph"/>
              <w:numPr>
                <w:ilvl w:val="0"/>
                <w:numId w:val="12"/>
              </w:numPr>
              <w:tabs>
                <w:tab w:pos="392" w:val="left" w:leader="none"/>
              </w:tabs>
              <w:spacing w:line="240" w:lineRule="auto" w:before="0" w:after="0"/>
              <w:ind w:left="391" w:right="157" w:hanging="291"/>
              <w:jc w:val="left"/>
              <w:rPr>
                <w:sz w:val="14"/>
              </w:rPr>
            </w:pPr>
            <w:r>
              <w:rPr>
                <w:sz w:val="14"/>
              </w:rPr>
              <w:t>Control de empleados mediante</w:t>
            </w:r>
            <w:r>
              <w:rPr>
                <w:spacing w:val="-13"/>
                <w:sz w:val="14"/>
              </w:rPr>
              <w:t> </w:t>
            </w:r>
            <w:r>
              <w:rPr>
                <w:sz w:val="14"/>
              </w:rPr>
              <w:t>los incentivos financieros y la cultura organizacional.</w:t>
            </w:r>
          </w:p>
          <w:p>
            <w:pPr>
              <w:pStyle w:val="TableParagraph"/>
              <w:numPr>
                <w:ilvl w:val="0"/>
                <w:numId w:val="12"/>
              </w:numPr>
              <w:tabs>
                <w:tab w:pos="392" w:val="left" w:leader="none"/>
              </w:tabs>
              <w:spacing w:line="240" w:lineRule="auto" w:before="0" w:after="0"/>
              <w:ind w:left="391" w:right="344" w:hanging="291"/>
              <w:jc w:val="left"/>
              <w:rPr>
                <w:sz w:val="14"/>
              </w:rPr>
            </w:pPr>
            <w:r>
              <w:rPr>
                <w:sz w:val="14"/>
              </w:rPr>
              <w:t>Existe la libre elección de los clientes del sector público de</w:t>
            </w:r>
            <w:r>
              <w:rPr>
                <w:spacing w:val="-13"/>
                <w:sz w:val="14"/>
              </w:rPr>
              <w:t> </w:t>
            </w:r>
            <w:r>
              <w:rPr>
                <w:sz w:val="14"/>
              </w:rPr>
              <w:t>los bienes y servicios públicos que requieren (como educación y salud).</w:t>
            </w:r>
          </w:p>
        </w:tc>
        <w:tc>
          <w:tcPr>
            <w:tcW w:w="2624" w:type="dxa"/>
            <w:tcBorders>
              <w:left w:val="single" w:sz="4" w:space="0" w:color="000000"/>
              <w:right w:val="single" w:sz="4" w:space="0" w:color="000000"/>
            </w:tcBorders>
          </w:tcPr>
          <w:p>
            <w:pPr>
              <w:pStyle w:val="TableParagraph"/>
              <w:numPr>
                <w:ilvl w:val="0"/>
                <w:numId w:val="13"/>
              </w:numPr>
              <w:tabs>
                <w:tab w:pos="348" w:val="left" w:leader="none"/>
              </w:tabs>
              <w:spacing w:line="240" w:lineRule="auto" w:before="0" w:after="0"/>
              <w:ind w:left="348" w:right="344" w:hanging="248"/>
              <w:jc w:val="left"/>
              <w:rPr>
                <w:sz w:val="14"/>
              </w:rPr>
            </w:pPr>
            <w:r>
              <w:rPr>
                <w:sz w:val="14"/>
              </w:rPr>
              <w:t>El Estado comparte sus actividades con actores no estatales y emplea a los servidores públicos para la implementación de</w:t>
            </w:r>
            <w:r>
              <w:rPr>
                <w:spacing w:val="-12"/>
                <w:sz w:val="14"/>
              </w:rPr>
              <w:t> </w:t>
            </w:r>
            <w:r>
              <w:rPr>
                <w:sz w:val="14"/>
              </w:rPr>
              <w:t>programas.</w:t>
            </w:r>
          </w:p>
          <w:p>
            <w:pPr>
              <w:pStyle w:val="TableParagraph"/>
              <w:numPr>
                <w:ilvl w:val="0"/>
                <w:numId w:val="13"/>
              </w:numPr>
              <w:tabs>
                <w:tab w:pos="348" w:val="left" w:leader="none"/>
              </w:tabs>
              <w:spacing w:line="240" w:lineRule="auto" w:before="0" w:after="0"/>
              <w:ind w:left="348" w:right="226" w:hanging="248"/>
              <w:jc w:val="left"/>
              <w:rPr>
                <w:sz w:val="14"/>
              </w:rPr>
            </w:pPr>
            <w:r>
              <w:rPr>
                <w:sz w:val="14"/>
              </w:rPr>
              <w:t>En la gestión de programas y en toma de decisiones se</w:t>
            </w:r>
            <w:r>
              <w:rPr>
                <w:spacing w:val="-10"/>
                <w:sz w:val="14"/>
              </w:rPr>
              <w:t> </w:t>
            </w:r>
            <w:r>
              <w:rPr>
                <w:sz w:val="14"/>
              </w:rPr>
              <w:t>considera la inclusión e interacción de actores del sector público y del privado</w:t>
            </w:r>
            <w:r>
              <w:rPr>
                <w:spacing w:val="-8"/>
                <w:sz w:val="14"/>
              </w:rPr>
              <w:t> </w:t>
            </w:r>
            <w:r>
              <w:rPr>
                <w:sz w:val="14"/>
              </w:rPr>
              <w:t>(redes).</w:t>
            </w:r>
          </w:p>
          <w:p>
            <w:pPr>
              <w:pStyle w:val="TableParagraph"/>
              <w:numPr>
                <w:ilvl w:val="0"/>
                <w:numId w:val="13"/>
              </w:numPr>
              <w:tabs>
                <w:tab w:pos="348" w:val="left" w:leader="none"/>
              </w:tabs>
              <w:spacing w:line="240" w:lineRule="auto" w:before="0" w:after="0"/>
              <w:ind w:left="348" w:right="243" w:hanging="248"/>
              <w:jc w:val="left"/>
              <w:rPr>
                <w:sz w:val="14"/>
              </w:rPr>
            </w:pPr>
            <w:r>
              <w:rPr>
                <w:sz w:val="14"/>
              </w:rPr>
              <w:t>El acto de gobernar consiste en timonear la economía y la sociedad, lo que implica</w:t>
            </w:r>
            <w:r>
              <w:rPr>
                <w:spacing w:val="-12"/>
                <w:sz w:val="14"/>
              </w:rPr>
              <w:t> </w:t>
            </w:r>
            <w:r>
              <w:rPr>
                <w:sz w:val="14"/>
              </w:rPr>
              <w:t>analizar distintos</w:t>
            </w:r>
            <w:r>
              <w:rPr>
                <w:spacing w:val="-8"/>
                <w:sz w:val="14"/>
              </w:rPr>
              <w:t> </w:t>
            </w:r>
            <w:r>
              <w:rPr>
                <w:sz w:val="14"/>
              </w:rPr>
              <w:t>escenarios.</w:t>
            </w:r>
          </w:p>
          <w:p>
            <w:pPr>
              <w:pStyle w:val="TableParagraph"/>
              <w:numPr>
                <w:ilvl w:val="0"/>
                <w:numId w:val="13"/>
              </w:numPr>
              <w:tabs>
                <w:tab w:pos="348" w:val="left" w:leader="none"/>
              </w:tabs>
              <w:spacing w:line="242" w:lineRule="auto" w:before="0" w:after="0"/>
              <w:ind w:left="348" w:right="532" w:hanging="248"/>
              <w:jc w:val="left"/>
              <w:rPr>
                <w:sz w:val="14"/>
              </w:rPr>
            </w:pPr>
            <w:r>
              <w:rPr>
                <w:sz w:val="14"/>
              </w:rPr>
              <w:t>Estado no jerárquico, sino facilitador del manejo de</w:t>
            </w:r>
            <w:r>
              <w:rPr>
                <w:spacing w:val="-11"/>
                <w:sz w:val="14"/>
              </w:rPr>
              <w:t> </w:t>
            </w:r>
            <w:r>
              <w:rPr>
                <w:sz w:val="14"/>
              </w:rPr>
              <w:t>las políticas</w:t>
            </w:r>
            <w:r>
              <w:rPr>
                <w:spacing w:val="-9"/>
                <w:sz w:val="14"/>
              </w:rPr>
              <w:t> </w:t>
            </w:r>
            <w:r>
              <w:rPr>
                <w:sz w:val="14"/>
              </w:rPr>
              <w:t>sociales.</w:t>
            </w:r>
          </w:p>
          <w:p>
            <w:pPr>
              <w:pStyle w:val="TableParagraph"/>
              <w:numPr>
                <w:ilvl w:val="0"/>
                <w:numId w:val="13"/>
              </w:numPr>
              <w:tabs>
                <w:tab w:pos="348" w:val="left" w:leader="none"/>
              </w:tabs>
              <w:spacing w:line="240" w:lineRule="auto" w:before="0" w:after="0"/>
              <w:ind w:left="348" w:right="141" w:hanging="248"/>
              <w:jc w:val="left"/>
              <w:rPr>
                <w:sz w:val="14"/>
              </w:rPr>
            </w:pPr>
            <w:r>
              <w:rPr>
                <w:sz w:val="14"/>
              </w:rPr>
              <w:t>El vínculo entre el sector público</w:t>
            </w:r>
            <w:r>
              <w:rPr>
                <w:spacing w:val="-11"/>
                <w:sz w:val="14"/>
              </w:rPr>
              <w:t> </w:t>
            </w:r>
            <w:r>
              <w:rPr>
                <w:sz w:val="14"/>
              </w:rPr>
              <w:t>y privado se realiza para brindar más y mejores bienes y servicios, lo que le brinda al Estado mayor legitimidad.</w:t>
            </w:r>
          </w:p>
        </w:tc>
      </w:tr>
      <w:tr>
        <w:trPr>
          <w:trHeight w:val="2189" w:hRule="exact"/>
        </w:trPr>
        <w:tc>
          <w:tcPr>
            <w:tcW w:w="893" w:type="dxa"/>
            <w:tcBorders>
              <w:left w:val="single" w:sz="4" w:space="0" w:color="000000"/>
              <w:right w:val="single" w:sz="4" w:space="0" w:color="000000"/>
            </w:tcBorders>
          </w:tcPr>
          <w:p>
            <w:pPr>
              <w:pStyle w:val="TableParagraph"/>
              <w:spacing w:before="9"/>
              <w:rPr>
                <w:sz w:val="13"/>
              </w:rPr>
            </w:pPr>
          </w:p>
          <w:p>
            <w:pPr>
              <w:pStyle w:val="TableParagraph"/>
              <w:ind w:left="103" w:right="102"/>
              <w:jc w:val="center"/>
              <w:rPr>
                <w:b/>
                <w:sz w:val="14"/>
              </w:rPr>
            </w:pPr>
            <w:r>
              <w:rPr>
                <w:b/>
                <w:w w:val="95"/>
                <w:sz w:val="14"/>
              </w:rPr>
              <w:t>Rendición </w:t>
            </w:r>
            <w:r>
              <w:rPr>
                <w:b/>
                <w:sz w:val="14"/>
              </w:rPr>
              <w:t>de   Cuentas</w:t>
            </w:r>
          </w:p>
        </w:tc>
        <w:tc>
          <w:tcPr>
            <w:tcW w:w="2657" w:type="dxa"/>
            <w:tcBorders>
              <w:left w:val="single" w:sz="4" w:space="0" w:color="000000"/>
              <w:right w:val="single" w:sz="4" w:space="0" w:color="000000"/>
            </w:tcBorders>
          </w:tcPr>
          <w:p>
            <w:pPr>
              <w:pStyle w:val="TableParagraph"/>
              <w:numPr>
                <w:ilvl w:val="0"/>
                <w:numId w:val="14"/>
              </w:numPr>
              <w:tabs>
                <w:tab w:pos="420" w:val="left" w:leader="none"/>
              </w:tabs>
              <w:spacing w:line="240" w:lineRule="auto" w:before="0" w:after="0"/>
              <w:ind w:left="420" w:right="118" w:hanging="317"/>
              <w:jc w:val="left"/>
              <w:rPr>
                <w:sz w:val="14"/>
              </w:rPr>
            </w:pPr>
            <w:r>
              <w:rPr>
                <w:sz w:val="14"/>
              </w:rPr>
              <w:t>Rendición de cuentas</w:t>
            </w:r>
            <w:r>
              <w:rPr>
                <w:spacing w:val="-11"/>
                <w:sz w:val="14"/>
              </w:rPr>
              <w:t> </w:t>
            </w:r>
            <w:r>
              <w:rPr>
                <w:sz w:val="14"/>
              </w:rPr>
              <w:t>ascendente (de abajo hacia arriba, es decir, de funcionarios hacia las legislaturas).</w:t>
            </w:r>
          </w:p>
          <w:p>
            <w:pPr>
              <w:pStyle w:val="TableParagraph"/>
              <w:numPr>
                <w:ilvl w:val="0"/>
                <w:numId w:val="14"/>
              </w:numPr>
              <w:tabs>
                <w:tab w:pos="420" w:val="left" w:leader="none"/>
              </w:tabs>
              <w:spacing w:line="240" w:lineRule="auto" w:before="0" w:after="0"/>
              <w:ind w:left="420" w:right="197" w:hanging="317"/>
              <w:jc w:val="left"/>
              <w:rPr>
                <w:sz w:val="14"/>
              </w:rPr>
            </w:pPr>
            <w:r>
              <w:rPr>
                <w:sz w:val="14"/>
              </w:rPr>
              <w:t>Escasa rendición de cuentas</w:t>
            </w:r>
            <w:r>
              <w:rPr>
                <w:spacing w:val="-13"/>
                <w:sz w:val="14"/>
              </w:rPr>
              <w:t> </w:t>
            </w:r>
            <w:r>
              <w:rPr>
                <w:sz w:val="14"/>
              </w:rPr>
              <w:t>por el excesivo control gubernamental.</w:t>
            </w:r>
          </w:p>
        </w:tc>
        <w:tc>
          <w:tcPr>
            <w:tcW w:w="2760" w:type="dxa"/>
            <w:tcBorders>
              <w:left w:val="single" w:sz="4" w:space="0" w:color="000000"/>
              <w:right w:val="single" w:sz="4" w:space="0" w:color="000000"/>
            </w:tcBorders>
          </w:tcPr>
          <w:p>
            <w:pPr>
              <w:pStyle w:val="TableParagraph"/>
              <w:numPr>
                <w:ilvl w:val="0"/>
                <w:numId w:val="15"/>
              </w:numPr>
              <w:tabs>
                <w:tab w:pos="500" w:val="left" w:leader="none"/>
              </w:tabs>
              <w:spacing w:line="240" w:lineRule="auto" w:before="0" w:after="0"/>
              <w:ind w:left="499" w:right="106" w:hanging="425"/>
              <w:jc w:val="both"/>
              <w:rPr>
                <w:sz w:val="14"/>
              </w:rPr>
            </w:pPr>
            <w:r>
              <w:rPr>
                <w:sz w:val="14"/>
              </w:rPr>
              <w:t>La rendición de cuentas está basada</w:t>
            </w:r>
            <w:r>
              <w:rPr>
                <w:spacing w:val="-7"/>
                <w:sz w:val="14"/>
              </w:rPr>
              <w:t> </w:t>
            </w:r>
            <w:r>
              <w:rPr>
                <w:sz w:val="14"/>
              </w:rPr>
              <w:t>en</w:t>
            </w:r>
            <w:r>
              <w:rPr>
                <w:spacing w:val="-9"/>
                <w:sz w:val="14"/>
              </w:rPr>
              <w:t> </w:t>
            </w:r>
            <w:r>
              <w:rPr>
                <w:sz w:val="14"/>
              </w:rPr>
              <w:t>metas,</w:t>
            </w:r>
            <w:r>
              <w:rPr>
                <w:spacing w:val="-9"/>
                <w:sz w:val="14"/>
              </w:rPr>
              <w:t> </w:t>
            </w:r>
            <w:r>
              <w:rPr>
                <w:sz w:val="14"/>
              </w:rPr>
              <w:t>en</w:t>
            </w:r>
            <w:r>
              <w:rPr>
                <w:spacing w:val="-7"/>
                <w:sz w:val="14"/>
              </w:rPr>
              <w:t> </w:t>
            </w:r>
            <w:r>
              <w:rPr>
                <w:sz w:val="14"/>
              </w:rPr>
              <w:t>la</w:t>
            </w:r>
            <w:r>
              <w:rPr>
                <w:spacing w:val="-9"/>
                <w:sz w:val="14"/>
              </w:rPr>
              <w:t> </w:t>
            </w:r>
            <w:r>
              <w:rPr>
                <w:sz w:val="14"/>
              </w:rPr>
              <w:t>planeación estratégica y en la consecución</w:t>
            </w:r>
            <w:r>
              <w:rPr>
                <w:spacing w:val="-13"/>
                <w:sz w:val="14"/>
              </w:rPr>
              <w:t> </w:t>
            </w:r>
            <w:r>
              <w:rPr>
                <w:sz w:val="14"/>
              </w:rPr>
              <w:t>de objetivos, el papel del administrador se vuelve más político.</w:t>
            </w:r>
          </w:p>
          <w:p>
            <w:pPr>
              <w:pStyle w:val="TableParagraph"/>
              <w:numPr>
                <w:ilvl w:val="0"/>
                <w:numId w:val="15"/>
              </w:numPr>
              <w:tabs>
                <w:tab w:pos="461" w:val="left" w:leader="none"/>
              </w:tabs>
              <w:spacing w:line="240" w:lineRule="auto" w:before="0" w:after="0"/>
              <w:ind w:left="460" w:right="382" w:hanging="360"/>
              <w:jc w:val="left"/>
              <w:rPr>
                <w:sz w:val="14"/>
              </w:rPr>
            </w:pPr>
            <w:r>
              <w:rPr>
                <w:sz w:val="14"/>
              </w:rPr>
              <w:t>La rendición de cuentas está enfocada al desempeño del Estado y al uso de indicadores cuantitativos para medir el desempeño.</w:t>
            </w:r>
          </w:p>
        </w:tc>
        <w:tc>
          <w:tcPr>
            <w:tcW w:w="2624" w:type="dxa"/>
            <w:tcBorders>
              <w:left w:val="single" w:sz="4" w:space="0" w:color="000000"/>
              <w:right w:val="single" w:sz="4" w:space="0" w:color="000000"/>
            </w:tcBorders>
          </w:tcPr>
          <w:p>
            <w:pPr>
              <w:pStyle w:val="TableParagraph"/>
              <w:ind w:left="335" w:right="95" w:hanging="272"/>
              <w:rPr>
                <w:sz w:val="14"/>
              </w:rPr>
            </w:pPr>
            <w:r>
              <w:rPr>
                <w:sz w:val="14"/>
              </w:rPr>
              <w:t>9) El sistema de rendición de cuentas se debilita y se fortalece al mismo tiempo:</w:t>
            </w:r>
          </w:p>
          <w:p>
            <w:pPr>
              <w:pStyle w:val="TableParagraph"/>
              <w:spacing w:before="11"/>
              <w:rPr>
                <w:sz w:val="13"/>
              </w:rPr>
            </w:pPr>
          </w:p>
          <w:p>
            <w:pPr>
              <w:pStyle w:val="TableParagraph"/>
              <w:ind w:left="335" w:right="438"/>
              <w:rPr>
                <w:sz w:val="14"/>
              </w:rPr>
            </w:pPr>
            <w:r>
              <w:rPr>
                <w:sz w:val="14"/>
              </w:rPr>
              <w:t>Se debilita por la inclusión de actores no gubernamentales.</w:t>
            </w:r>
          </w:p>
          <w:p>
            <w:pPr>
              <w:pStyle w:val="TableParagraph"/>
              <w:rPr>
                <w:sz w:val="14"/>
              </w:rPr>
            </w:pPr>
          </w:p>
          <w:p>
            <w:pPr>
              <w:pStyle w:val="TableParagraph"/>
              <w:ind w:left="335" w:right="95"/>
              <w:rPr>
                <w:sz w:val="14"/>
              </w:rPr>
            </w:pPr>
            <w:r>
              <w:rPr>
                <w:sz w:val="14"/>
              </w:rPr>
              <w:t>Se fortalece por la colaboración de los mismos actores, lo que hace necesario un esquema de tribunal de cuentas.</w:t>
            </w:r>
          </w:p>
        </w:tc>
      </w:tr>
    </w:tbl>
    <w:p>
      <w:pPr>
        <w:pStyle w:val="BodyText"/>
        <w:spacing w:before="4"/>
        <w:rPr>
          <w:sz w:val="10"/>
        </w:rPr>
      </w:pPr>
    </w:p>
    <w:p>
      <w:pPr>
        <w:spacing w:before="85"/>
        <w:ind w:left="102" w:right="0" w:firstLine="0"/>
        <w:jc w:val="left"/>
        <w:rPr>
          <w:sz w:val="12"/>
        </w:rPr>
      </w:pPr>
      <w:r>
        <w:rPr>
          <w:sz w:val="12"/>
        </w:rPr>
        <w:t>FUENTE:  Peters B. Guy (1994).</w:t>
      </w:r>
    </w:p>
    <w:p>
      <w:pPr>
        <w:spacing w:after="0"/>
        <w:jc w:val="left"/>
        <w:rPr>
          <w:sz w:val="12"/>
        </w:rPr>
        <w:sectPr>
          <w:footerReference w:type="even" r:id="rId31"/>
          <w:footerReference w:type="default" r:id="rId32"/>
          <w:pgSz w:w="12240" w:h="15840"/>
          <w:pgMar w:footer="1003" w:header="0" w:top="1360" w:bottom="1200" w:left="1600" w:right="1340"/>
          <w:pgNumType w:start="12"/>
        </w:sectPr>
      </w:pPr>
    </w:p>
    <w:p>
      <w:pPr>
        <w:pStyle w:val="Heading2"/>
        <w:numPr>
          <w:ilvl w:val="1"/>
          <w:numId w:val="7"/>
        </w:numPr>
        <w:tabs>
          <w:tab w:pos="555" w:val="left" w:leader="none"/>
        </w:tabs>
        <w:spacing w:line="240" w:lineRule="auto" w:before="54" w:after="0"/>
        <w:ind w:left="554" w:right="0" w:hanging="432"/>
        <w:jc w:val="both"/>
      </w:pPr>
      <w:r>
        <w:rPr/>
        <w:t>La gobernanza en países avanzados y</w:t>
      </w:r>
      <w:r>
        <w:rPr>
          <w:spacing w:val="-12"/>
        </w:rPr>
        <w:t> </w:t>
      </w:r>
      <w:r>
        <w:rPr/>
        <w:t>emergentes</w:t>
      </w:r>
    </w:p>
    <w:p>
      <w:pPr>
        <w:pStyle w:val="BodyText"/>
        <w:rPr>
          <w:b/>
          <w:sz w:val="26"/>
        </w:rPr>
      </w:pPr>
    </w:p>
    <w:p>
      <w:pPr>
        <w:pStyle w:val="BodyText"/>
        <w:rPr>
          <w:b/>
          <w:sz w:val="26"/>
        </w:rPr>
      </w:pPr>
    </w:p>
    <w:p>
      <w:pPr>
        <w:pStyle w:val="BodyText"/>
        <w:spacing w:before="9"/>
        <w:rPr>
          <w:b/>
          <w:sz w:val="22"/>
        </w:rPr>
      </w:pPr>
    </w:p>
    <w:p>
      <w:pPr>
        <w:pStyle w:val="BodyText"/>
        <w:spacing w:line="360" w:lineRule="auto"/>
        <w:ind w:left="122" w:right="120"/>
        <w:jc w:val="both"/>
      </w:pPr>
      <w:r>
        <w:rPr/>
        <w:t>¿Por qué se hizo necesario cambiar la forma de gobernar? Porque las características del mercado, de la sociedad y del entorno internacional de crisis financiera y económica hicieron necesario que el Estado incluyera la participación del</w:t>
      </w:r>
      <w:r>
        <w:rPr>
          <w:spacing w:val="-5"/>
        </w:rPr>
        <w:t> </w:t>
      </w:r>
      <w:r>
        <w:rPr/>
        <w:t>sector</w:t>
      </w:r>
      <w:r>
        <w:rPr>
          <w:spacing w:val="-5"/>
        </w:rPr>
        <w:t> </w:t>
      </w:r>
      <w:r>
        <w:rPr/>
        <w:t>privado</w:t>
      </w:r>
      <w:r>
        <w:rPr>
          <w:spacing w:val="-5"/>
        </w:rPr>
        <w:t> </w:t>
      </w:r>
      <w:r>
        <w:rPr/>
        <w:t>en</w:t>
      </w:r>
      <w:r>
        <w:rPr>
          <w:spacing w:val="-5"/>
        </w:rPr>
        <w:t> </w:t>
      </w:r>
      <w:r>
        <w:rPr/>
        <w:t>el</w:t>
      </w:r>
      <w:r>
        <w:rPr>
          <w:spacing w:val="-5"/>
        </w:rPr>
        <w:t> </w:t>
      </w:r>
      <w:r>
        <w:rPr/>
        <w:t>diseño</w:t>
      </w:r>
      <w:r>
        <w:rPr>
          <w:spacing w:val="-5"/>
        </w:rPr>
        <w:t> </w:t>
      </w:r>
      <w:r>
        <w:rPr/>
        <w:t>e</w:t>
      </w:r>
      <w:r>
        <w:rPr>
          <w:spacing w:val="-5"/>
        </w:rPr>
        <w:t> </w:t>
      </w:r>
      <w:r>
        <w:rPr/>
        <w:t>instrumentación</w:t>
      </w:r>
      <w:r>
        <w:rPr>
          <w:spacing w:val="-4"/>
        </w:rPr>
        <w:t> </w:t>
      </w:r>
      <w:r>
        <w:rPr/>
        <w:t>de</w:t>
      </w:r>
      <w:r>
        <w:rPr>
          <w:spacing w:val="-5"/>
        </w:rPr>
        <w:t> </w:t>
      </w:r>
      <w:r>
        <w:rPr/>
        <w:t>las</w:t>
      </w:r>
      <w:r>
        <w:rPr>
          <w:spacing w:val="-5"/>
        </w:rPr>
        <w:t> </w:t>
      </w:r>
      <w:r>
        <w:rPr/>
        <w:t>políticas</w:t>
      </w:r>
      <w:r>
        <w:rPr>
          <w:spacing w:val="-5"/>
        </w:rPr>
        <w:t> </w:t>
      </w:r>
      <w:r>
        <w:rPr/>
        <w:t>para</w:t>
      </w:r>
      <w:r>
        <w:rPr>
          <w:spacing w:val="-5"/>
        </w:rPr>
        <w:t> </w:t>
      </w:r>
      <w:r>
        <w:rPr/>
        <w:t>conservar</w:t>
      </w:r>
      <w:r>
        <w:rPr>
          <w:spacing w:val="-5"/>
        </w:rPr>
        <w:t> </w:t>
      </w:r>
      <w:r>
        <w:rPr/>
        <w:t>su legitimidad, fue necesario que el Estado compartiera el poder para no</w:t>
      </w:r>
      <w:r>
        <w:rPr>
          <w:spacing w:val="-25"/>
        </w:rPr>
        <w:t> </w:t>
      </w:r>
      <w:r>
        <w:rPr/>
        <w:t>perderlo.</w:t>
      </w:r>
    </w:p>
    <w:p>
      <w:pPr>
        <w:pStyle w:val="BodyText"/>
        <w:spacing w:line="360" w:lineRule="auto" w:before="2"/>
        <w:ind w:left="122" w:right="115" w:firstLine="427"/>
        <w:jc w:val="both"/>
      </w:pPr>
      <w:r>
        <w:rPr/>
        <w:t>Desde</w:t>
      </w:r>
      <w:r>
        <w:rPr>
          <w:spacing w:val="-17"/>
        </w:rPr>
        <w:t> </w:t>
      </w:r>
      <w:r>
        <w:rPr/>
        <w:t>la</w:t>
      </w:r>
      <w:r>
        <w:rPr>
          <w:spacing w:val="-17"/>
        </w:rPr>
        <w:t> </w:t>
      </w:r>
      <w:r>
        <w:rPr/>
        <w:t>crisis</w:t>
      </w:r>
      <w:r>
        <w:rPr>
          <w:spacing w:val="-20"/>
        </w:rPr>
        <w:t> </w:t>
      </w:r>
      <w:r>
        <w:rPr/>
        <w:t>financiera</w:t>
      </w:r>
      <w:r>
        <w:rPr>
          <w:spacing w:val="-17"/>
        </w:rPr>
        <w:t> </w:t>
      </w:r>
      <w:r>
        <w:rPr/>
        <w:t>de</w:t>
      </w:r>
      <w:r>
        <w:rPr>
          <w:spacing w:val="-19"/>
        </w:rPr>
        <w:t> </w:t>
      </w:r>
      <w:r>
        <w:rPr/>
        <w:t>1929</w:t>
      </w:r>
      <w:r>
        <w:rPr>
          <w:spacing w:val="-19"/>
        </w:rPr>
        <w:t> </w:t>
      </w:r>
      <w:r>
        <w:rPr/>
        <w:t>se</w:t>
      </w:r>
      <w:r>
        <w:rPr>
          <w:spacing w:val="-19"/>
        </w:rPr>
        <w:t> </w:t>
      </w:r>
      <w:r>
        <w:rPr/>
        <w:t>hizo</w:t>
      </w:r>
      <w:r>
        <w:rPr>
          <w:spacing w:val="-17"/>
        </w:rPr>
        <w:t> </w:t>
      </w:r>
      <w:r>
        <w:rPr/>
        <w:t>permanente</w:t>
      </w:r>
      <w:r>
        <w:rPr>
          <w:spacing w:val="-17"/>
        </w:rPr>
        <w:t> </w:t>
      </w:r>
      <w:r>
        <w:rPr/>
        <w:t>la</w:t>
      </w:r>
      <w:r>
        <w:rPr>
          <w:spacing w:val="-19"/>
        </w:rPr>
        <w:t> </w:t>
      </w:r>
      <w:r>
        <w:rPr/>
        <w:t>intervención</w:t>
      </w:r>
      <w:r>
        <w:rPr>
          <w:spacing w:val="-16"/>
        </w:rPr>
        <w:t> </w:t>
      </w:r>
      <w:r>
        <w:rPr/>
        <w:t>del</w:t>
      </w:r>
      <w:r>
        <w:rPr>
          <w:spacing w:val="-18"/>
        </w:rPr>
        <w:t> </w:t>
      </w:r>
      <w:r>
        <w:rPr/>
        <w:t>Estado en el mercado y tiempo después, en la década de los setenta, el agotamiento del modelo neoliberal y la globalización impulsaron a los Estados a orientar sus esfuerzos a atender las prioridades políticas y la macroeconomía;</w:t>
      </w:r>
      <w:r>
        <w:rPr>
          <w:position w:val="8"/>
          <w:sz w:val="16"/>
        </w:rPr>
        <w:t>9</w:t>
      </w:r>
      <w:r>
        <w:rPr/>
        <w:t>así cada Estado determinó sus prioridades de acuerdo con su grado de</w:t>
      </w:r>
      <w:r>
        <w:rPr>
          <w:spacing w:val="-22"/>
        </w:rPr>
        <w:t> </w:t>
      </w:r>
      <w:r>
        <w:rPr/>
        <w:t>desarrollo.</w:t>
      </w:r>
    </w:p>
    <w:p>
      <w:pPr>
        <w:pStyle w:val="BodyText"/>
      </w:pPr>
    </w:p>
    <w:p>
      <w:pPr>
        <w:spacing w:line="448" w:lineRule="auto" w:before="143" w:after="6"/>
        <w:ind w:left="2877" w:right="1476" w:hanging="1007"/>
        <w:jc w:val="left"/>
        <w:rPr>
          <w:sz w:val="20"/>
        </w:rPr>
      </w:pPr>
      <w:bookmarkStart w:name="_bookmark6" w:id="8"/>
      <w:bookmarkEnd w:id="8"/>
      <w:r>
        <w:rPr/>
      </w:r>
      <w:r>
        <w:rPr>
          <w:sz w:val="20"/>
        </w:rPr>
        <w:t>Cuadro 1.3. Algunos problemas y soluciones de los Estados Avanzados y emergentes, 1970-1990</w:t>
      </w: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3121"/>
        <w:gridCol w:w="3543"/>
      </w:tblGrid>
      <w:tr>
        <w:trPr>
          <w:trHeight w:val="584" w:hRule="exact"/>
        </w:trPr>
        <w:tc>
          <w:tcPr>
            <w:tcW w:w="1843" w:type="dxa"/>
            <w:tcBorders>
              <w:top w:val="single" w:sz="12" w:space="0" w:color="808080"/>
              <w:left w:val="single" w:sz="12" w:space="0" w:color="808080"/>
              <w:bottom w:val="single" w:sz="12" w:space="0" w:color="808080"/>
              <w:right w:val="single" w:sz="12" w:space="0" w:color="808080"/>
            </w:tcBorders>
          </w:tcPr>
          <w:p>
            <w:pPr/>
          </w:p>
        </w:tc>
        <w:tc>
          <w:tcPr>
            <w:tcW w:w="3121" w:type="dxa"/>
            <w:tcBorders>
              <w:top w:val="single" w:sz="12" w:space="0" w:color="808080"/>
              <w:left w:val="single" w:sz="12" w:space="0" w:color="808080"/>
              <w:bottom w:val="single" w:sz="12" w:space="0" w:color="808080"/>
              <w:right w:val="single" w:sz="12" w:space="0" w:color="808080"/>
            </w:tcBorders>
          </w:tcPr>
          <w:p>
            <w:pPr>
              <w:pStyle w:val="TableParagraph"/>
              <w:spacing w:before="6"/>
              <w:rPr>
                <w:sz w:val="15"/>
              </w:rPr>
            </w:pPr>
          </w:p>
          <w:p>
            <w:pPr>
              <w:pStyle w:val="TableParagraph"/>
              <w:ind w:left="1103" w:right="1103"/>
              <w:jc w:val="center"/>
              <w:rPr>
                <w:b/>
                <w:sz w:val="16"/>
              </w:rPr>
            </w:pPr>
            <w:r>
              <w:rPr>
                <w:b/>
                <w:sz w:val="16"/>
              </w:rPr>
              <w:t>Avanzados</w:t>
            </w:r>
          </w:p>
        </w:tc>
        <w:tc>
          <w:tcPr>
            <w:tcW w:w="3543" w:type="dxa"/>
            <w:tcBorders>
              <w:top w:val="single" w:sz="12" w:space="0" w:color="808080"/>
              <w:left w:val="single" w:sz="12" w:space="0" w:color="808080"/>
              <w:bottom w:val="single" w:sz="12" w:space="0" w:color="808080"/>
              <w:right w:val="single" w:sz="12" w:space="0" w:color="808080"/>
            </w:tcBorders>
          </w:tcPr>
          <w:p>
            <w:pPr>
              <w:pStyle w:val="TableParagraph"/>
              <w:spacing w:before="3"/>
              <w:rPr>
                <w:sz w:val="18"/>
              </w:rPr>
            </w:pPr>
          </w:p>
          <w:p>
            <w:pPr>
              <w:pStyle w:val="TableParagraph"/>
              <w:ind w:left="1277" w:right="1280"/>
              <w:jc w:val="center"/>
              <w:rPr>
                <w:b/>
                <w:sz w:val="16"/>
              </w:rPr>
            </w:pPr>
            <w:r>
              <w:rPr>
                <w:b/>
                <w:sz w:val="16"/>
              </w:rPr>
              <w:t>Emergentes</w:t>
            </w:r>
          </w:p>
        </w:tc>
      </w:tr>
      <w:tr>
        <w:trPr>
          <w:trHeight w:val="794" w:hRule="exact"/>
        </w:trPr>
        <w:tc>
          <w:tcPr>
            <w:tcW w:w="1843" w:type="dxa"/>
            <w:tcBorders>
              <w:top w:val="single" w:sz="12" w:space="0" w:color="808080"/>
              <w:bottom w:val="single" w:sz="12" w:space="0" w:color="808080"/>
            </w:tcBorders>
          </w:tcPr>
          <w:p>
            <w:pPr>
              <w:pStyle w:val="TableParagraph"/>
              <w:rPr>
                <w:sz w:val="16"/>
              </w:rPr>
            </w:pPr>
          </w:p>
          <w:p>
            <w:pPr>
              <w:pStyle w:val="TableParagraph"/>
              <w:spacing w:before="100"/>
              <w:ind w:left="134"/>
              <w:rPr>
                <w:b/>
                <w:sz w:val="16"/>
              </w:rPr>
            </w:pPr>
            <w:r>
              <w:rPr>
                <w:b/>
                <w:sz w:val="16"/>
              </w:rPr>
              <w:t>Problemas comunes</w:t>
            </w:r>
          </w:p>
        </w:tc>
        <w:tc>
          <w:tcPr>
            <w:tcW w:w="6664" w:type="dxa"/>
            <w:gridSpan w:val="2"/>
            <w:tcBorders>
              <w:top w:val="single" w:sz="12" w:space="0" w:color="808080"/>
              <w:bottom w:val="single" w:sz="12" w:space="0" w:color="808080"/>
            </w:tcBorders>
          </w:tcPr>
          <w:p>
            <w:pPr>
              <w:pStyle w:val="TableParagraph"/>
              <w:spacing w:before="10"/>
              <w:ind w:left="847" w:right="1856"/>
              <w:rPr>
                <w:sz w:val="16"/>
              </w:rPr>
            </w:pPr>
            <w:r>
              <w:rPr>
                <w:sz w:val="16"/>
              </w:rPr>
              <w:t>Crisis fiscal y financiera que originó la crisis política. Disminución de la capacidad del Estado para gobernar. Pérdida de legitimidad del Estado.</w:t>
            </w:r>
          </w:p>
          <w:p>
            <w:pPr>
              <w:pStyle w:val="TableParagraph"/>
              <w:spacing w:before="1"/>
              <w:ind w:left="847" w:right="1856"/>
              <w:rPr>
                <w:sz w:val="16"/>
              </w:rPr>
            </w:pPr>
            <w:r>
              <w:rPr>
                <w:sz w:val="16"/>
              </w:rPr>
              <w:t>Estado en crisis.</w:t>
            </w:r>
          </w:p>
        </w:tc>
      </w:tr>
      <w:tr>
        <w:trPr>
          <w:trHeight w:val="1500" w:hRule="exact"/>
        </w:trPr>
        <w:tc>
          <w:tcPr>
            <w:tcW w:w="1843" w:type="dxa"/>
            <w:tcBorders>
              <w:top w:val="single" w:sz="12" w:space="0" w:color="808080"/>
              <w:bottom w:val="single" w:sz="12" w:space="0" w:color="808080"/>
            </w:tcBorders>
          </w:tcPr>
          <w:p>
            <w:pPr>
              <w:pStyle w:val="TableParagraph"/>
              <w:rPr>
                <w:sz w:val="16"/>
              </w:rPr>
            </w:pPr>
          </w:p>
          <w:p>
            <w:pPr>
              <w:pStyle w:val="TableParagraph"/>
              <w:rPr>
                <w:sz w:val="16"/>
              </w:rPr>
            </w:pPr>
          </w:p>
          <w:p>
            <w:pPr>
              <w:pStyle w:val="TableParagraph"/>
              <w:spacing w:before="5"/>
              <w:rPr>
                <w:sz w:val="15"/>
              </w:rPr>
            </w:pPr>
          </w:p>
          <w:p>
            <w:pPr>
              <w:pStyle w:val="TableParagraph"/>
              <w:ind w:left="479" w:right="462" w:firstLine="26"/>
              <w:rPr>
                <w:b/>
                <w:sz w:val="16"/>
              </w:rPr>
            </w:pPr>
            <w:r>
              <w:rPr>
                <w:b/>
                <w:sz w:val="16"/>
              </w:rPr>
              <w:t>Problemas específicos</w:t>
            </w:r>
          </w:p>
        </w:tc>
        <w:tc>
          <w:tcPr>
            <w:tcW w:w="3121" w:type="dxa"/>
            <w:tcBorders>
              <w:top w:val="single" w:sz="12" w:space="0" w:color="808080"/>
              <w:bottom w:val="single" w:sz="12" w:space="0" w:color="808080"/>
            </w:tcBorders>
          </w:tcPr>
          <w:p>
            <w:pPr>
              <w:pStyle w:val="TableParagraph"/>
              <w:rPr>
                <w:sz w:val="16"/>
              </w:rPr>
            </w:pPr>
          </w:p>
          <w:p>
            <w:pPr>
              <w:pStyle w:val="TableParagraph"/>
              <w:spacing w:before="8"/>
              <w:rPr>
                <w:sz w:val="23"/>
              </w:rPr>
            </w:pPr>
          </w:p>
          <w:p>
            <w:pPr>
              <w:pStyle w:val="TableParagraph"/>
              <w:ind w:left="139" w:right="177" w:hanging="3"/>
              <w:rPr>
                <w:sz w:val="16"/>
              </w:rPr>
            </w:pPr>
            <w:r>
              <w:rPr>
                <w:sz w:val="16"/>
              </w:rPr>
              <w:t>El crecimiento de la producción, el aumento del empleo y la estabilidad de precios.</w:t>
            </w:r>
          </w:p>
        </w:tc>
        <w:tc>
          <w:tcPr>
            <w:tcW w:w="3543" w:type="dxa"/>
            <w:tcBorders>
              <w:top w:val="single" w:sz="12" w:space="0" w:color="808080"/>
              <w:bottom w:val="single" w:sz="12" w:space="0" w:color="808080"/>
            </w:tcBorders>
          </w:tcPr>
          <w:p>
            <w:pPr>
              <w:pStyle w:val="TableParagraph"/>
              <w:ind w:left="100" w:right="380"/>
              <w:rPr>
                <w:sz w:val="16"/>
              </w:rPr>
            </w:pPr>
            <w:r>
              <w:rPr>
                <w:sz w:val="16"/>
              </w:rPr>
              <w:t>El crecimiento de la producción. Desequilibrio fiscal y de balanza de pagos. Escaso o nulo crecimiento del producto y persistentes aumentos de precios (estanflación).</w:t>
            </w:r>
          </w:p>
          <w:p>
            <w:pPr>
              <w:pStyle w:val="TableParagraph"/>
              <w:spacing w:line="182" w:lineRule="exact"/>
              <w:ind w:left="100" w:right="380"/>
              <w:rPr>
                <w:sz w:val="16"/>
              </w:rPr>
            </w:pPr>
            <w:r>
              <w:rPr>
                <w:sz w:val="16"/>
              </w:rPr>
              <w:t>Bajo desarrollo institucional.</w:t>
            </w:r>
          </w:p>
          <w:p>
            <w:pPr>
              <w:pStyle w:val="TableParagraph"/>
              <w:spacing w:before="1"/>
              <w:ind w:left="100" w:right="460"/>
              <w:rPr>
                <w:sz w:val="16"/>
              </w:rPr>
            </w:pPr>
            <w:r>
              <w:rPr>
                <w:sz w:val="16"/>
              </w:rPr>
              <w:t>Prevalencia del Poder Ejecutivo sobre los otros poderes.</w:t>
            </w:r>
          </w:p>
        </w:tc>
      </w:tr>
      <w:tr>
        <w:trPr>
          <w:trHeight w:val="1505" w:hRule="exact"/>
        </w:trPr>
        <w:tc>
          <w:tcPr>
            <w:tcW w:w="1843" w:type="dxa"/>
            <w:tcBorders>
              <w:top w:val="single" w:sz="12" w:space="0" w:color="808080"/>
              <w:bottom w:val="single" w:sz="12" w:space="0" w:color="808080"/>
            </w:tcBorders>
          </w:tcPr>
          <w:p>
            <w:pPr>
              <w:pStyle w:val="TableParagraph"/>
              <w:rPr>
                <w:sz w:val="16"/>
              </w:rPr>
            </w:pPr>
          </w:p>
          <w:p>
            <w:pPr>
              <w:pStyle w:val="TableParagraph"/>
              <w:rPr>
                <w:sz w:val="16"/>
              </w:rPr>
            </w:pPr>
          </w:p>
          <w:p>
            <w:pPr>
              <w:pStyle w:val="TableParagraph"/>
              <w:spacing w:before="7"/>
              <w:rPr>
                <w:sz w:val="15"/>
              </w:rPr>
            </w:pPr>
          </w:p>
          <w:p>
            <w:pPr>
              <w:pStyle w:val="TableParagraph"/>
              <w:spacing w:before="1"/>
              <w:ind w:left="484" w:right="466" w:firstLine="4"/>
              <w:rPr>
                <w:b/>
                <w:sz w:val="16"/>
              </w:rPr>
            </w:pPr>
            <w:r>
              <w:rPr>
                <w:b/>
                <w:sz w:val="16"/>
              </w:rPr>
              <w:t>Soluciones específicas</w:t>
            </w:r>
          </w:p>
        </w:tc>
        <w:tc>
          <w:tcPr>
            <w:tcW w:w="3121" w:type="dxa"/>
            <w:tcBorders>
              <w:top w:val="single" w:sz="12" w:space="0" w:color="808080"/>
              <w:bottom w:val="single" w:sz="12" w:space="0" w:color="808080"/>
            </w:tcBorders>
          </w:tcPr>
          <w:p>
            <w:pPr>
              <w:pStyle w:val="TableParagraph"/>
              <w:spacing w:before="11"/>
              <w:rPr>
                <w:sz w:val="15"/>
              </w:rPr>
            </w:pPr>
          </w:p>
          <w:p>
            <w:pPr>
              <w:pStyle w:val="TableParagraph"/>
              <w:spacing w:line="183" w:lineRule="exact"/>
              <w:ind w:left="103" w:right="177"/>
              <w:rPr>
                <w:sz w:val="16"/>
              </w:rPr>
            </w:pPr>
            <w:r>
              <w:rPr>
                <w:sz w:val="16"/>
              </w:rPr>
              <w:t>UE: Gobernanza.</w:t>
            </w:r>
          </w:p>
          <w:p>
            <w:pPr>
              <w:pStyle w:val="TableParagraph"/>
              <w:ind w:left="103" w:right="169"/>
              <w:rPr>
                <w:sz w:val="16"/>
              </w:rPr>
            </w:pPr>
            <w:r>
              <w:rPr>
                <w:sz w:val="16"/>
              </w:rPr>
              <w:t>Reducción del tamaño del Estado Políticas de ajuste (política económica), cambios institucionales.</w:t>
            </w:r>
          </w:p>
          <w:p>
            <w:pPr>
              <w:pStyle w:val="TableParagraph"/>
              <w:spacing w:line="182" w:lineRule="exact"/>
              <w:ind w:left="103" w:right="177"/>
              <w:rPr>
                <w:sz w:val="16"/>
              </w:rPr>
            </w:pPr>
            <w:r>
              <w:rPr>
                <w:sz w:val="16"/>
              </w:rPr>
              <w:t>Profesionalización del servicio público.</w:t>
            </w:r>
          </w:p>
        </w:tc>
        <w:tc>
          <w:tcPr>
            <w:tcW w:w="3543" w:type="dxa"/>
            <w:tcBorders>
              <w:top w:val="single" w:sz="12" w:space="0" w:color="808080"/>
              <w:bottom w:val="single" w:sz="12" w:space="0" w:color="808080"/>
            </w:tcBorders>
          </w:tcPr>
          <w:p>
            <w:pPr>
              <w:pStyle w:val="TableParagraph"/>
              <w:ind w:left="100" w:right="614"/>
              <w:rPr>
                <w:sz w:val="16"/>
              </w:rPr>
            </w:pPr>
            <w:r>
              <w:rPr>
                <w:sz w:val="16"/>
              </w:rPr>
              <w:t>Nueva  Administración Pública. Políticas de ajuste (política</w:t>
            </w:r>
            <w:r>
              <w:rPr>
                <w:spacing w:val="-20"/>
                <w:sz w:val="16"/>
              </w:rPr>
              <w:t> </w:t>
            </w:r>
            <w:r>
              <w:rPr>
                <w:sz w:val="16"/>
              </w:rPr>
              <w:t>económica). Reconstrucción del</w:t>
            </w:r>
            <w:r>
              <w:rPr>
                <w:spacing w:val="-10"/>
                <w:sz w:val="16"/>
              </w:rPr>
              <w:t> </w:t>
            </w:r>
            <w:r>
              <w:rPr>
                <w:sz w:val="16"/>
              </w:rPr>
              <w:t>Estado.</w:t>
            </w:r>
          </w:p>
          <w:p>
            <w:pPr>
              <w:pStyle w:val="TableParagraph"/>
              <w:spacing w:before="1"/>
              <w:ind w:left="100" w:right="283"/>
              <w:rPr>
                <w:sz w:val="16"/>
              </w:rPr>
            </w:pPr>
            <w:r>
              <w:rPr>
                <w:sz w:val="16"/>
              </w:rPr>
              <w:t>Disminución de las políticas proteccionistas. Cambios institucionales.</w:t>
            </w:r>
          </w:p>
          <w:p>
            <w:pPr>
              <w:pStyle w:val="TableParagraph"/>
              <w:ind w:left="100" w:right="2399"/>
              <w:rPr>
                <w:sz w:val="16"/>
              </w:rPr>
            </w:pPr>
            <w:r>
              <w:rPr>
                <w:sz w:val="16"/>
              </w:rPr>
              <w:t>Control social. Legitimidad. Democracia.</w:t>
            </w:r>
          </w:p>
        </w:tc>
      </w:tr>
    </w:tbl>
    <w:p>
      <w:pPr>
        <w:pStyle w:val="BodyText"/>
        <w:spacing w:before="2"/>
        <w:rPr>
          <w:sz w:val="6"/>
        </w:rPr>
      </w:pPr>
    </w:p>
    <w:p>
      <w:pPr>
        <w:spacing w:before="85"/>
        <w:ind w:left="122" w:right="50" w:firstLine="0"/>
        <w:jc w:val="left"/>
        <w:rPr>
          <w:sz w:val="12"/>
        </w:rPr>
      </w:pPr>
      <w:r>
        <w:rPr>
          <w:sz w:val="12"/>
        </w:rPr>
        <w:t>FUENTE:  Peters, B. Guy. (1994).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2128;mso-wrap-distance-left:0;mso-wrap-distance-right:0" from="85.103996pt,14.28843pt" to="229.123996pt,14.28843pt" stroked="true" strokeweight=".71997pt" strokecolor="#000000">
            <w10:wrap type="topAndBottom"/>
          </v:line>
        </w:pict>
      </w:r>
    </w:p>
    <w:p>
      <w:pPr>
        <w:spacing w:line="256" w:lineRule="auto" w:before="62"/>
        <w:ind w:left="122" w:right="50" w:firstLine="0"/>
        <w:jc w:val="left"/>
        <w:rPr>
          <w:sz w:val="16"/>
        </w:rPr>
      </w:pPr>
      <w:r>
        <w:rPr>
          <w:rFonts w:ascii="Times New Roman" w:hAnsi="Times New Roman"/>
          <w:position w:val="7"/>
          <w:sz w:val="13"/>
        </w:rPr>
        <w:t>9</w:t>
      </w:r>
      <w:r>
        <w:rPr>
          <w:sz w:val="16"/>
        </w:rPr>
        <w:t>Son políticas económicas que incluyen la política fiscal (ingreso, gasto y deuda) y la política monetaria (control monetario, tasa de interés y tipo de cambio).</w:t>
      </w:r>
    </w:p>
    <w:p>
      <w:pPr>
        <w:spacing w:after="0" w:line="256" w:lineRule="auto"/>
        <w:jc w:val="left"/>
        <w:rPr>
          <w:sz w:val="16"/>
        </w:rPr>
        <w:sectPr>
          <w:pgSz w:w="12240" w:h="15840"/>
          <w:pgMar w:header="0" w:footer="1003" w:top="1360" w:bottom="1200" w:left="1580" w:right="1580"/>
        </w:sectPr>
      </w:pPr>
    </w:p>
    <w:p>
      <w:pPr>
        <w:pStyle w:val="BodyText"/>
        <w:spacing w:line="360" w:lineRule="auto" w:before="54"/>
        <w:ind w:left="102" w:right="114" w:firstLine="427"/>
        <w:jc w:val="both"/>
      </w:pPr>
      <w:r>
        <w:rPr/>
        <w:t>Al</w:t>
      </w:r>
      <w:r>
        <w:rPr>
          <w:spacing w:val="-8"/>
        </w:rPr>
        <w:t> </w:t>
      </w:r>
      <w:r>
        <w:rPr/>
        <w:t>concluir</w:t>
      </w:r>
      <w:r>
        <w:rPr>
          <w:spacing w:val="-8"/>
        </w:rPr>
        <w:t> </w:t>
      </w:r>
      <w:r>
        <w:rPr/>
        <w:t>la</w:t>
      </w:r>
      <w:r>
        <w:rPr>
          <w:spacing w:val="-7"/>
        </w:rPr>
        <w:t> </w:t>
      </w:r>
      <w:r>
        <w:rPr/>
        <w:t>década</w:t>
      </w:r>
      <w:r>
        <w:rPr>
          <w:spacing w:val="-7"/>
        </w:rPr>
        <w:t> </w:t>
      </w:r>
      <w:r>
        <w:rPr/>
        <w:t>de</w:t>
      </w:r>
      <w:r>
        <w:rPr>
          <w:spacing w:val="-7"/>
        </w:rPr>
        <w:t> </w:t>
      </w:r>
      <w:r>
        <w:rPr/>
        <w:t>los</w:t>
      </w:r>
      <w:r>
        <w:rPr>
          <w:spacing w:val="-7"/>
        </w:rPr>
        <w:t> </w:t>
      </w:r>
      <w:r>
        <w:rPr/>
        <w:t>años</w:t>
      </w:r>
      <w:r>
        <w:rPr>
          <w:spacing w:val="-8"/>
        </w:rPr>
        <w:t> </w:t>
      </w:r>
      <w:r>
        <w:rPr/>
        <w:t>ochenta</w:t>
      </w:r>
      <w:r>
        <w:rPr>
          <w:spacing w:val="-2"/>
        </w:rPr>
        <w:t> </w:t>
      </w:r>
      <w:r>
        <w:rPr/>
        <w:t>varios</w:t>
      </w:r>
      <w:r>
        <w:rPr>
          <w:spacing w:val="-7"/>
        </w:rPr>
        <w:t> </w:t>
      </w:r>
      <w:r>
        <w:rPr/>
        <w:t>Estados</w:t>
      </w:r>
      <w:r>
        <w:rPr>
          <w:spacing w:val="-8"/>
        </w:rPr>
        <w:t> </w:t>
      </w:r>
      <w:r>
        <w:rPr/>
        <w:t>se</w:t>
      </w:r>
      <w:r>
        <w:rPr>
          <w:spacing w:val="-7"/>
        </w:rPr>
        <w:t> </w:t>
      </w:r>
      <w:r>
        <w:rPr/>
        <w:t>orientaron</w:t>
      </w:r>
      <w:r>
        <w:rPr>
          <w:spacing w:val="-5"/>
        </w:rPr>
        <w:t> </w:t>
      </w:r>
      <w:r>
        <w:rPr/>
        <w:t>a</w:t>
      </w:r>
      <w:r>
        <w:rPr>
          <w:spacing w:val="-7"/>
        </w:rPr>
        <w:t> </w:t>
      </w:r>
      <w:r>
        <w:rPr/>
        <w:t>liberar el mercado mediante la privatización de empresas públicas, lo que causó que el Estado</w:t>
      </w:r>
      <w:r>
        <w:rPr>
          <w:spacing w:val="-16"/>
        </w:rPr>
        <w:t> </w:t>
      </w:r>
      <w:r>
        <w:rPr/>
        <w:t>perdiera</w:t>
      </w:r>
      <w:r>
        <w:rPr>
          <w:spacing w:val="-16"/>
        </w:rPr>
        <w:t> </w:t>
      </w:r>
      <w:r>
        <w:rPr/>
        <w:t>parte</w:t>
      </w:r>
      <w:r>
        <w:rPr>
          <w:spacing w:val="-18"/>
        </w:rPr>
        <w:t> </w:t>
      </w:r>
      <w:r>
        <w:rPr/>
        <w:t>de</w:t>
      </w:r>
      <w:r>
        <w:rPr>
          <w:spacing w:val="-16"/>
        </w:rPr>
        <w:t> </w:t>
      </w:r>
      <w:r>
        <w:rPr/>
        <w:t>su</w:t>
      </w:r>
      <w:r>
        <w:rPr>
          <w:spacing w:val="-16"/>
        </w:rPr>
        <w:t> </w:t>
      </w:r>
      <w:r>
        <w:rPr/>
        <w:t>poder</w:t>
      </w:r>
      <w:r>
        <w:rPr>
          <w:spacing w:val="-17"/>
        </w:rPr>
        <w:t> </w:t>
      </w:r>
      <w:r>
        <w:rPr/>
        <w:t>y</w:t>
      </w:r>
      <w:r>
        <w:rPr>
          <w:spacing w:val="-19"/>
        </w:rPr>
        <w:t> </w:t>
      </w:r>
      <w:r>
        <w:rPr/>
        <w:t>limitó</w:t>
      </w:r>
      <w:r>
        <w:rPr>
          <w:spacing w:val="-16"/>
        </w:rPr>
        <w:t> </w:t>
      </w:r>
      <w:r>
        <w:rPr/>
        <w:t>la</w:t>
      </w:r>
      <w:r>
        <w:rPr>
          <w:spacing w:val="-16"/>
        </w:rPr>
        <w:t> </w:t>
      </w:r>
      <w:r>
        <w:rPr/>
        <w:t>actividad</w:t>
      </w:r>
      <w:r>
        <w:rPr>
          <w:spacing w:val="-16"/>
        </w:rPr>
        <w:t> </w:t>
      </w:r>
      <w:r>
        <w:rPr/>
        <w:t>directiva</w:t>
      </w:r>
      <w:r>
        <w:rPr>
          <w:spacing w:val="-16"/>
        </w:rPr>
        <w:t> </w:t>
      </w:r>
      <w:r>
        <w:rPr/>
        <w:t>del</w:t>
      </w:r>
      <w:r>
        <w:rPr>
          <w:spacing w:val="-17"/>
        </w:rPr>
        <w:t> </w:t>
      </w:r>
      <w:r>
        <w:rPr/>
        <w:t>mismo.</w:t>
      </w:r>
      <w:r>
        <w:rPr>
          <w:spacing w:val="-18"/>
        </w:rPr>
        <w:t> </w:t>
      </w:r>
      <w:r>
        <w:rPr/>
        <w:t>El</w:t>
      </w:r>
      <w:r>
        <w:rPr>
          <w:spacing w:val="-17"/>
        </w:rPr>
        <w:t> </w:t>
      </w:r>
      <w:r>
        <w:rPr/>
        <w:t>cambio de régimen de algunos estados, al pasar de autoritarios a democráticos hizo </w:t>
      </w:r>
      <w:r>
        <w:rPr>
          <w:spacing w:val="-2"/>
        </w:rPr>
        <w:t>que </w:t>
      </w:r>
      <w:r>
        <w:rPr/>
        <w:t>éstos redujeran su participación, pero a la vez algunos ganaron</w:t>
      </w:r>
      <w:r>
        <w:rPr>
          <w:spacing w:val="-24"/>
        </w:rPr>
        <w:t> </w:t>
      </w:r>
      <w:r>
        <w:rPr/>
        <w:t>legitimación.</w:t>
      </w:r>
    </w:p>
    <w:p>
      <w:pPr>
        <w:pStyle w:val="BodyText"/>
        <w:spacing w:line="360" w:lineRule="auto" w:before="5"/>
        <w:ind w:left="102" w:right="122" w:firstLine="427"/>
        <w:jc w:val="both"/>
      </w:pPr>
      <w:r>
        <w:rPr/>
        <w:t>Cuando un sistema político logra una democracia, pero sin construir las condiciones</w:t>
      </w:r>
      <w:r>
        <w:rPr>
          <w:spacing w:val="-5"/>
        </w:rPr>
        <w:t> </w:t>
      </w:r>
      <w:r>
        <w:rPr/>
        <w:t>institucionales</w:t>
      </w:r>
      <w:r>
        <w:rPr>
          <w:spacing w:val="-5"/>
        </w:rPr>
        <w:t> </w:t>
      </w:r>
      <w:r>
        <w:rPr/>
        <w:t>y</w:t>
      </w:r>
      <w:r>
        <w:rPr>
          <w:spacing w:val="-6"/>
        </w:rPr>
        <w:t> </w:t>
      </w:r>
      <w:r>
        <w:rPr/>
        <w:t>técnicas</w:t>
      </w:r>
      <w:r>
        <w:rPr>
          <w:spacing w:val="-8"/>
        </w:rPr>
        <w:t> </w:t>
      </w:r>
      <w:r>
        <w:rPr/>
        <w:t>de</w:t>
      </w:r>
      <w:r>
        <w:rPr>
          <w:spacing w:val="-5"/>
        </w:rPr>
        <w:t> </w:t>
      </w:r>
      <w:r>
        <w:rPr/>
        <w:t>la</w:t>
      </w:r>
      <w:r>
        <w:rPr>
          <w:spacing w:val="-5"/>
        </w:rPr>
        <w:t> </w:t>
      </w:r>
      <w:r>
        <w:rPr/>
        <w:t>eficacia</w:t>
      </w:r>
      <w:r>
        <w:rPr>
          <w:spacing w:val="-5"/>
        </w:rPr>
        <w:t> </w:t>
      </w:r>
      <w:r>
        <w:rPr/>
        <w:t>política</w:t>
      </w:r>
      <w:r>
        <w:rPr>
          <w:spacing w:val="-5"/>
        </w:rPr>
        <w:t> </w:t>
      </w:r>
      <w:r>
        <w:rPr/>
        <w:t>y</w:t>
      </w:r>
      <w:r>
        <w:rPr>
          <w:spacing w:val="-8"/>
        </w:rPr>
        <w:t> </w:t>
      </w:r>
      <w:r>
        <w:rPr/>
        <w:t>técnica,</w:t>
      </w:r>
      <w:r>
        <w:rPr>
          <w:spacing w:val="-5"/>
        </w:rPr>
        <w:t> </w:t>
      </w:r>
      <w:r>
        <w:rPr/>
        <w:t>también</w:t>
      </w:r>
      <w:r>
        <w:rPr>
          <w:spacing w:val="-5"/>
        </w:rPr>
        <w:t> </w:t>
      </w:r>
      <w:r>
        <w:rPr/>
        <w:t>gana legitimidad, pero no la capacidad de conducción y</w:t>
      </w:r>
      <w:r>
        <w:rPr>
          <w:spacing w:val="-26"/>
        </w:rPr>
        <w:t> </w:t>
      </w:r>
      <w:r>
        <w:rPr/>
        <w:t>administración.</w:t>
      </w:r>
    </w:p>
    <w:p>
      <w:pPr>
        <w:pStyle w:val="BodyText"/>
        <w:spacing w:line="360" w:lineRule="auto" w:before="2"/>
        <w:ind w:left="102" w:right="118" w:firstLine="427"/>
        <w:jc w:val="both"/>
      </w:pPr>
      <w:r>
        <w:rPr/>
        <w:t>Es importante considerar que la gobernanza surgió de la UE, en países caracterizados por un Estado estable, altos índices de desarrollo humano y una amplia participación ciudadana en los procesos electorales, por mencionar sólo algunas características, por lo que algunos autores consideran que las propuestas de</w:t>
      </w:r>
      <w:r>
        <w:rPr>
          <w:spacing w:val="-9"/>
        </w:rPr>
        <w:t> </w:t>
      </w:r>
      <w:r>
        <w:rPr/>
        <w:t>la</w:t>
      </w:r>
      <w:r>
        <w:rPr>
          <w:spacing w:val="-10"/>
        </w:rPr>
        <w:t> </w:t>
      </w:r>
      <w:r>
        <w:rPr/>
        <w:t>gobernanza</w:t>
      </w:r>
      <w:r>
        <w:rPr>
          <w:spacing w:val="-9"/>
        </w:rPr>
        <w:t> </w:t>
      </w:r>
      <w:r>
        <w:rPr/>
        <w:t>son</w:t>
      </w:r>
      <w:r>
        <w:rPr>
          <w:spacing w:val="-12"/>
        </w:rPr>
        <w:t> </w:t>
      </w:r>
      <w:r>
        <w:rPr/>
        <w:t>más</w:t>
      </w:r>
      <w:r>
        <w:rPr>
          <w:spacing w:val="-13"/>
        </w:rPr>
        <w:t> </w:t>
      </w:r>
      <w:r>
        <w:rPr/>
        <w:t>fácilmente</w:t>
      </w:r>
      <w:r>
        <w:rPr>
          <w:spacing w:val="-11"/>
        </w:rPr>
        <w:t> </w:t>
      </w:r>
      <w:r>
        <w:rPr/>
        <w:t>aplicables</w:t>
      </w:r>
      <w:r>
        <w:rPr>
          <w:spacing w:val="-10"/>
        </w:rPr>
        <w:t> </w:t>
      </w:r>
      <w:r>
        <w:rPr/>
        <w:t>en</w:t>
      </w:r>
      <w:r>
        <w:rPr>
          <w:spacing w:val="-9"/>
        </w:rPr>
        <w:t> </w:t>
      </w:r>
      <w:r>
        <w:rPr/>
        <w:t>países</w:t>
      </w:r>
      <w:r>
        <w:rPr>
          <w:spacing w:val="-10"/>
        </w:rPr>
        <w:t> </w:t>
      </w:r>
      <w:r>
        <w:rPr/>
        <w:t>avanzados,</w:t>
      </w:r>
      <w:r>
        <w:rPr>
          <w:spacing w:val="-10"/>
        </w:rPr>
        <w:t> </w:t>
      </w:r>
      <w:r>
        <w:rPr/>
        <w:t>que</w:t>
      </w:r>
      <w:r>
        <w:rPr>
          <w:spacing w:val="-9"/>
        </w:rPr>
        <w:t> </w:t>
      </w:r>
      <w:r>
        <w:rPr/>
        <w:t>cuentan con sistemas políticos altamente</w:t>
      </w:r>
      <w:r>
        <w:rPr>
          <w:spacing w:val="-13"/>
        </w:rPr>
        <w:t> </w:t>
      </w:r>
      <w:r>
        <w:rPr/>
        <w:t>funcionales.</w:t>
      </w:r>
    </w:p>
    <w:p>
      <w:pPr>
        <w:pStyle w:val="BodyText"/>
      </w:pPr>
    </w:p>
    <w:p>
      <w:pPr>
        <w:pStyle w:val="BodyText"/>
        <w:spacing w:before="5"/>
        <w:rPr>
          <w:sz w:val="20"/>
        </w:rPr>
      </w:pPr>
    </w:p>
    <w:p>
      <w:pPr>
        <w:pStyle w:val="Heading3"/>
        <w:numPr>
          <w:ilvl w:val="2"/>
          <w:numId w:val="16"/>
        </w:numPr>
        <w:tabs>
          <w:tab w:pos="704" w:val="left" w:leader="none"/>
        </w:tabs>
        <w:spacing w:line="240" w:lineRule="auto" w:before="0" w:after="0"/>
        <w:ind w:left="703" w:right="0" w:hanging="601"/>
        <w:jc w:val="both"/>
      </w:pPr>
      <w:bookmarkStart w:name="_bookmark7" w:id="9"/>
      <w:bookmarkEnd w:id="9"/>
      <w:r>
        <w:rPr>
          <w:b w:val="0"/>
        </w:rPr>
      </w:r>
      <w:bookmarkStart w:name="_bookmark7" w:id="10"/>
      <w:bookmarkEnd w:id="10"/>
      <w:r>
        <w:rPr/>
        <w:t>La</w:t>
      </w:r>
      <w:r>
        <w:rPr/>
        <w:t> despolitización de la política en la</w:t>
      </w:r>
      <w:r>
        <w:rPr>
          <w:spacing w:val="-17"/>
        </w:rPr>
        <w:t> </w:t>
      </w:r>
      <w:r>
        <w:rPr/>
        <w:t>democracia</w:t>
      </w:r>
    </w:p>
    <w:p>
      <w:pPr>
        <w:pStyle w:val="BodyText"/>
        <w:rPr>
          <w:b/>
        </w:rPr>
      </w:pPr>
    </w:p>
    <w:p>
      <w:pPr>
        <w:pStyle w:val="BodyText"/>
        <w:rPr>
          <w:b/>
        </w:rPr>
      </w:pPr>
    </w:p>
    <w:p>
      <w:pPr>
        <w:spacing w:line="360" w:lineRule="auto" w:before="0"/>
        <w:ind w:left="102" w:right="117" w:firstLine="0"/>
        <w:jc w:val="both"/>
        <w:rPr>
          <w:sz w:val="24"/>
        </w:rPr>
      </w:pPr>
      <w:r>
        <w:rPr>
          <w:sz w:val="24"/>
        </w:rPr>
        <w:t>El</w:t>
      </w:r>
      <w:r>
        <w:rPr>
          <w:spacing w:val="-10"/>
          <w:sz w:val="24"/>
        </w:rPr>
        <w:t> </w:t>
      </w:r>
      <w:r>
        <w:rPr>
          <w:sz w:val="24"/>
        </w:rPr>
        <w:t>estudio</w:t>
      </w:r>
      <w:r>
        <w:rPr>
          <w:spacing w:val="-9"/>
          <w:sz w:val="24"/>
        </w:rPr>
        <w:t> </w:t>
      </w:r>
      <w:r>
        <w:rPr>
          <w:sz w:val="24"/>
        </w:rPr>
        <w:t>de</w:t>
      </w:r>
      <w:r>
        <w:rPr>
          <w:spacing w:val="-8"/>
          <w:sz w:val="24"/>
        </w:rPr>
        <w:t> </w:t>
      </w:r>
      <w:r>
        <w:rPr>
          <w:sz w:val="24"/>
        </w:rPr>
        <w:t>las</w:t>
      </w:r>
      <w:r>
        <w:rPr>
          <w:spacing w:val="-11"/>
          <w:sz w:val="24"/>
        </w:rPr>
        <w:t> </w:t>
      </w:r>
      <w:r>
        <w:rPr>
          <w:sz w:val="24"/>
        </w:rPr>
        <w:t>formas</w:t>
      </w:r>
      <w:r>
        <w:rPr>
          <w:spacing w:val="-9"/>
          <w:sz w:val="24"/>
        </w:rPr>
        <w:t> </w:t>
      </w:r>
      <w:r>
        <w:rPr>
          <w:sz w:val="24"/>
        </w:rPr>
        <w:t>de</w:t>
      </w:r>
      <w:r>
        <w:rPr>
          <w:spacing w:val="-8"/>
          <w:sz w:val="24"/>
        </w:rPr>
        <w:t> </w:t>
      </w:r>
      <w:r>
        <w:rPr>
          <w:sz w:val="24"/>
        </w:rPr>
        <w:t>gobierno</w:t>
      </w:r>
      <w:r>
        <w:rPr>
          <w:spacing w:val="-8"/>
          <w:sz w:val="24"/>
        </w:rPr>
        <w:t> </w:t>
      </w:r>
      <w:r>
        <w:rPr>
          <w:sz w:val="24"/>
        </w:rPr>
        <w:t>tuvo</w:t>
      </w:r>
      <w:r>
        <w:rPr>
          <w:spacing w:val="-8"/>
          <w:sz w:val="24"/>
        </w:rPr>
        <w:t> </w:t>
      </w:r>
      <w:r>
        <w:rPr>
          <w:sz w:val="24"/>
        </w:rPr>
        <w:t>un</w:t>
      </w:r>
      <w:r>
        <w:rPr>
          <w:spacing w:val="-8"/>
          <w:sz w:val="24"/>
        </w:rPr>
        <w:t> </w:t>
      </w:r>
      <w:r>
        <w:rPr>
          <w:sz w:val="24"/>
        </w:rPr>
        <w:t>inicio</w:t>
      </w:r>
      <w:r>
        <w:rPr>
          <w:spacing w:val="-11"/>
          <w:sz w:val="24"/>
        </w:rPr>
        <w:t> </w:t>
      </w:r>
      <w:r>
        <w:rPr>
          <w:sz w:val="24"/>
        </w:rPr>
        <w:t>filosófico;</w:t>
      </w:r>
      <w:r>
        <w:rPr>
          <w:spacing w:val="-9"/>
          <w:sz w:val="24"/>
        </w:rPr>
        <w:t> </w:t>
      </w:r>
      <w:r>
        <w:rPr>
          <w:sz w:val="24"/>
        </w:rPr>
        <w:t>el</w:t>
      </w:r>
      <w:r>
        <w:rPr>
          <w:spacing w:val="-12"/>
          <w:sz w:val="24"/>
        </w:rPr>
        <w:t> </w:t>
      </w:r>
      <w:r>
        <w:rPr>
          <w:sz w:val="24"/>
        </w:rPr>
        <w:t>primer</w:t>
      </w:r>
      <w:r>
        <w:rPr>
          <w:spacing w:val="-10"/>
          <w:sz w:val="24"/>
        </w:rPr>
        <w:t> </w:t>
      </w:r>
      <w:r>
        <w:rPr>
          <w:sz w:val="24"/>
        </w:rPr>
        <w:t>estudio</w:t>
      </w:r>
      <w:r>
        <w:rPr>
          <w:spacing w:val="-9"/>
          <w:sz w:val="24"/>
        </w:rPr>
        <w:t> </w:t>
      </w:r>
      <w:r>
        <w:rPr>
          <w:sz w:val="24"/>
        </w:rPr>
        <w:t>sobre la</w:t>
      </w:r>
      <w:r>
        <w:rPr>
          <w:spacing w:val="-6"/>
          <w:sz w:val="24"/>
        </w:rPr>
        <w:t> </w:t>
      </w:r>
      <w:r>
        <w:rPr>
          <w:sz w:val="24"/>
        </w:rPr>
        <w:t>forma</w:t>
      </w:r>
      <w:r>
        <w:rPr>
          <w:spacing w:val="-4"/>
          <w:sz w:val="24"/>
        </w:rPr>
        <w:t> </w:t>
      </w:r>
      <w:r>
        <w:rPr>
          <w:sz w:val="24"/>
        </w:rPr>
        <w:t>de</w:t>
      </w:r>
      <w:r>
        <w:rPr>
          <w:spacing w:val="-4"/>
          <w:sz w:val="24"/>
        </w:rPr>
        <w:t> </w:t>
      </w:r>
      <w:r>
        <w:rPr>
          <w:sz w:val="24"/>
        </w:rPr>
        <w:t>gobierno</w:t>
      </w:r>
      <w:r>
        <w:rPr>
          <w:spacing w:val="-6"/>
          <w:sz w:val="24"/>
        </w:rPr>
        <w:t> </w:t>
      </w:r>
      <w:r>
        <w:rPr>
          <w:sz w:val="24"/>
        </w:rPr>
        <w:t>se</w:t>
      </w:r>
      <w:r>
        <w:rPr>
          <w:spacing w:val="-4"/>
          <w:sz w:val="24"/>
        </w:rPr>
        <w:t> </w:t>
      </w:r>
      <w:r>
        <w:rPr>
          <w:sz w:val="24"/>
        </w:rPr>
        <w:t>presentó</w:t>
      </w:r>
      <w:r>
        <w:rPr>
          <w:spacing w:val="-2"/>
          <w:sz w:val="24"/>
        </w:rPr>
        <w:t> </w:t>
      </w:r>
      <w:r>
        <w:rPr>
          <w:sz w:val="24"/>
        </w:rPr>
        <w:t>en</w:t>
      </w:r>
      <w:r>
        <w:rPr>
          <w:spacing w:val="-6"/>
          <w:sz w:val="24"/>
        </w:rPr>
        <w:t> </w:t>
      </w:r>
      <w:r>
        <w:rPr>
          <w:i/>
          <w:sz w:val="24"/>
        </w:rPr>
        <w:t>Los</w:t>
      </w:r>
      <w:r>
        <w:rPr>
          <w:i/>
          <w:spacing w:val="-7"/>
          <w:sz w:val="24"/>
        </w:rPr>
        <w:t> </w:t>
      </w:r>
      <w:r>
        <w:rPr>
          <w:i/>
          <w:sz w:val="24"/>
        </w:rPr>
        <w:t>nueve</w:t>
      </w:r>
      <w:r>
        <w:rPr>
          <w:i/>
          <w:spacing w:val="-4"/>
          <w:sz w:val="24"/>
        </w:rPr>
        <w:t> </w:t>
      </w:r>
      <w:r>
        <w:rPr>
          <w:i/>
          <w:sz w:val="24"/>
        </w:rPr>
        <w:t>libros</w:t>
      </w:r>
      <w:r>
        <w:rPr>
          <w:i/>
          <w:spacing w:val="-4"/>
          <w:sz w:val="24"/>
        </w:rPr>
        <w:t> </w:t>
      </w:r>
      <w:r>
        <w:rPr>
          <w:i/>
          <w:sz w:val="24"/>
        </w:rPr>
        <w:t>de</w:t>
      </w:r>
      <w:r>
        <w:rPr>
          <w:i/>
          <w:spacing w:val="-6"/>
          <w:sz w:val="24"/>
        </w:rPr>
        <w:t> </w:t>
      </w:r>
      <w:r>
        <w:rPr>
          <w:i/>
          <w:sz w:val="24"/>
        </w:rPr>
        <w:t>la</w:t>
      </w:r>
      <w:r>
        <w:rPr>
          <w:i/>
          <w:spacing w:val="-2"/>
          <w:sz w:val="24"/>
        </w:rPr>
        <w:t> </w:t>
      </w:r>
      <w:r>
        <w:rPr>
          <w:i/>
          <w:sz w:val="24"/>
        </w:rPr>
        <w:t>Historia</w:t>
      </w:r>
      <w:r>
        <w:rPr>
          <w:i/>
          <w:spacing w:val="-6"/>
          <w:sz w:val="24"/>
        </w:rPr>
        <w:t> </w:t>
      </w:r>
      <w:r>
        <w:rPr>
          <w:sz w:val="24"/>
        </w:rPr>
        <w:t>(Herodoto)</w:t>
      </w:r>
      <w:r>
        <w:rPr>
          <w:spacing w:val="-5"/>
          <w:sz w:val="24"/>
        </w:rPr>
        <w:t> </w:t>
      </w:r>
      <w:r>
        <w:rPr>
          <w:sz w:val="24"/>
        </w:rPr>
        <w:t>y</w:t>
      </w:r>
      <w:r>
        <w:rPr>
          <w:spacing w:val="-5"/>
          <w:sz w:val="24"/>
        </w:rPr>
        <w:t> </w:t>
      </w:r>
      <w:r>
        <w:rPr>
          <w:i/>
          <w:sz w:val="24"/>
        </w:rPr>
        <w:t>La </w:t>
      </w:r>
      <w:r>
        <w:rPr>
          <w:i/>
          <w:sz w:val="24"/>
        </w:rPr>
        <w:t>Republica</w:t>
      </w:r>
      <w:r>
        <w:rPr>
          <w:i/>
          <w:spacing w:val="-3"/>
          <w:sz w:val="24"/>
        </w:rPr>
        <w:t> </w:t>
      </w:r>
      <w:r>
        <w:rPr>
          <w:sz w:val="24"/>
        </w:rPr>
        <w:t>(Platón).</w:t>
      </w:r>
    </w:p>
    <w:p>
      <w:pPr>
        <w:pStyle w:val="BodyText"/>
      </w:pPr>
    </w:p>
    <w:p>
      <w:pPr>
        <w:pStyle w:val="BodyText"/>
        <w:spacing w:line="360" w:lineRule="auto" w:before="142"/>
        <w:ind w:left="102" w:right="118" w:firstLine="427"/>
        <w:jc w:val="both"/>
      </w:pPr>
      <w:r>
        <w:rPr/>
        <w:t>En </w:t>
      </w:r>
      <w:r>
        <w:rPr>
          <w:i/>
        </w:rPr>
        <w:t>La Republica </w:t>
      </w:r>
      <w:r>
        <w:rPr/>
        <w:t>se consideró a la aristocracia la forma más perfecta de gobierno sobre aquellas formas de gobierno como la timocracia, la oligarquía (que surge cuando los propietarios asumen el poder político) y la democracia (gobierno de las masas), hasta la tiranía.</w:t>
      </w:r>
    </w:p>
    <w:p>
      <w:pPr>
        <w:pStyle w:val="BodyText"/>
      </w:pPr>
    </w:p>
    <w:p>
      <w:pPr>
        <w:pStyle w:val="BodyText"/>
        <w:spacing w:line="360" w:lineRule="auto" w:before="140"/>
        <w:ind w:left="102" w:right="119" w:firstLine="427"/>
        <w:jc w:val="both"/>
      </w:pPr>
      <w:r>
        <w:rPr/>
        <w:t>La</w:t>
      </w:r>
      <w:r>
        <w:rPr>
          <w:spacing w:val="-6"/>
        </w:rPr>
        <w:t> </w:t>
      </w:r>
      <w:r>
        <w:rPr/>
        <w:t>obra</w:t>
      </w:r>
      <w:r>
        <w:rPr>
          <w:spacing w:val="-6"/>
        </w:rPr>
        <w:t> </w:t>
      </w:r>
      <w:r>
        <w:rPr>
          <w:i/>
        </w:rPr>
        <w:t>La</w:t>
      </w:r>
      <w:r>
        <w:rPr>
          <w:i/>
          <w:spacing w:val="-6"/>
        </w:rPr>
        <w:t> </w:t>
      </w:r>
      <w:r>
        <w:rPr>
          <w:i/>
        </w:rPr>
        <w:t>política</w:t>
      </w:r>
      <w:r>
        <w:rPr>
          <w:i/>
          <w:spacing w:val="-2"/>
        </w:rPr>
        <w:t> </w:t>
      </w:r>
      <w:r>
        <w:rPr/>
        <w:t>de</w:t>
      </w:r>
      <w:r>
        <w:rPr>
          <w:spacing w:val="-6"/>
        </w:rPr>
        <w:t> </w:t>
      </w:r>
      <w:r>
        <w:rPr/>
        <w:t>Aristóteles</w:t>
      </w:r>
      <w:r>
        <w:rPr>
          <w:spacing w:val="-4"/>
        </w:rPr>
        <w:t> </w:t>
      </w:r>
      <w:r>
        <w:rPr/>
        <w:t>consideró</w:t>
      </w:r>
      <w:r>
        <w:rPr>
          <w:spacing w:val="-3"/>
        </w:rPr>
        <w:t> </w:t>
      </w:r>
      <w:r>
        <w:rPr/>
        <w:t>las</w:t>
      </w:r>
      <w:r>
        <w:rPr>
          <w:spacing w:val="-7"/>
        </w:rPr>
        <w:t> </w:t>
      </w:r>
      <w:r>
        <w:rPr/>
        <w:t>formas</w:t>
      </w:r>
      <w:r>
        <w:rPr>
          <w:spacing w:val="-7"/>
        </w:rPr>
        <w:t> </w:t>
      </w:r>
      <w:r>
        <w:rPr/>
        <w:t>de</w:t>
      </w:r>
      <w:r>
        <w:rPr>
          <w:spacing w:val="-6"/>
        </w:rPr>
        <w:t> </w:t>
      </w:r>
      <w:r>
        <w:rPr/>
        <w:t>gobierno</w:t>
      </w:r>
      <w:r>
        <w:rPr>
          <w:spacing w:val="-8"/>
        </w:rPr>
        <w:t> </w:t>
      </w:r>
      <w:r>
        <w:rPr/>
        <w:t>divididas</w:t>
      </w:r>
      <w:r>
        <w:rPr>
          <w:spacing w:val="-4"/>
        </w:rPr>
        <w:t> </w:t>
      </w:r>
      <w:r>
        <w:rPr/>
        <w:t>en dos grupos: puras (destinadas a realizar el bien de la comunidad) e impuras (que solo toman en cuenta el interés de los gobernantes y desvirtúan su</w:t>
      </w:r>
      <w:r>
        <w:rPr>
          <w:spacing w:val="-27"/>
        </w:rPr>
        <w:t> </w:t>
      </w:r>
      <w:r>
        <w:rPr/>
        <w:t>finalidad):</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10"/>
        <w:rPr>
          <w:sz w:val="16"/>
        </w:rPr>
      </w:pPr>
    </w:p>
    <w:p>
      <w:pPr>
        <w:spacing w:before="1"/>
        <w:ind w:left="3074" w:right="3075" w:firstLine="0"/>
        <w:jc w:val="center"/>
        <w:rPr>
          <w:sz w:val="20"/>
        </w:rPr>
      </w:pPr>
      <w:bookmarkStart w:name="_bookmark8" w:id="11"/>
      <w:bookmarkEnd w:id="11"/>
      <w:r>
        <w:rPr/>
      </w:r>
      <w:r>
        <w:rPr>
          <w:sz w:val="20"/>
        </w:rPr>
        <w:t>Cuadro 1.4. Formas de gobierno</w:t>
      </w:r>
    </w:p>
    <w:p>
      <w:pPr>
        <w:pStyle w:val="BodyText"/>
        <w:spacing w:before="6" w:after="1"/>
        <w:rPr>
          <w:sz w:val="17"/>
        </w:rPr>
      </w:pPr>
    </w:p>
    <w:tbl>
      <w:tblPr>
        <w:tblW w:w="0" w:type="auto"/>
        <w:jc w:val="left"/>
        <w:tblInd w:w="342"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0" w:type="dxa"/>
          <w:left w:w="0" w:type="dxa"/>
          <w:bottom w:w="0" w:type="dxa"/>
          <w:right w:w="0" w:type="dxa"/>
        </w:tblCellMar>
        <w:tblLook w:val="01E0"/>
      </w:tblPr>
      <w:tblGrid>
        <w:gridCol w:w="4253"/>
        <w:gridCol w:w="4112"/>
      </w:tblGrid>
      <w:tr>
        <w:trPr>
          <w:trHeight w:val="240" w:hRule="exact"/>
        </w:trPr>
        <w:tc>
          <w:tcPr>
            <w:tcW w:w="4253" w:type="dxa"/>
          </w:tcPr>
          <w:p>
            <w:pPr>
              <w:pStyle w:val="TableParagraph"/>
              <w:spacing w:line="178" w:lineRule="exact"/>
              <w:ind w:left="1869" w:right="1869"/>
              <w:jc w:val="center"/>
              <w:rPr>
                <w:b/>
                <w:sz w:val="16"/>
              </w:rPr>
            </w:pPr>
            <w:r>
              <w:rPr>
                <w:b/>
                <w:sz w:val="16"/>
              </w:rPr>
              <w:t>Puras</w:t>
            </w:r>
          </w:p>
        </w:tc>
        <w:tc>
          <w:tcPr>
            <w:tcW w:w="4112" w:type="dxa"/>
          </w:tcPr>
          <w:p>
            <w:pPr>
              <w:pStyle w:val="TableParagraph"/>
              <w:spacing w:line="180" w:lineRule="exact"/>
              <w:ind w:left="1714" w:right="1707"/>
              <w:jc w:val="center"/>
              <w:rPr>
                <w:b/>
                <w:sz w:val="16"/>
              </w:rPr>
            </w:pPr>
            <w:r>
              <w:rPr>
                <w:b/>
                <w:sz w:val="16"/>
              </w:rPr>
              <w:t>Impuras</w:t>
            </w:r>
          </w:p>
        </w:tc>
      </w:tr>
      <w:tr>
        <w:trPr>
          <w:trHeight w:val="794" w:hRule="exact"/>
        </w:trPr>
        <w:tc>
          <w:tcPr>
            <w:tcW w:w="4253" w:type="dxa"/>
            <w:tcBorders>
              <w:left w:val="single" w:sz="4" w:space="0" w:color="000000"/>
              <w:right w:val="single" w:sz="4" w:space="0" w:color="000000"/>
            </w:tcBorders>
          </w:tcPr>
          <w:p>
            <w:pPr>
              <w:pStyle w:val="TableParagraph"/>
              <w:spacing w:before="13"/>
              <w:ind w:left="419" w:right="139"/>
              <w:rPr>
                <w:sz w:val="16"/>
              </w:rPr>
            </w:pPr>
            <w:r>
              <w:rPr>
                <w:sz w:val="16"/>
              </w:rPr>
              <w:t>La monarquía, que es el gobierno ejercido por una sola persona (aquel Estado en que el poder dirigido al interés común no corresponde más que a uno solo).</w:t>
            </w:r>
          </w:p>
        </w:tc>
        <w:tc>
          <w:tcPr>
            <w:tcW w:w="4112" w:type="dxa"/>
            <w:tcBorders>
              <w:left w:val="single" w:sz="4" w:space="0" w:color="000000"/>
              <w:right w:val="single" w:sz="4" w:space="0" w:color="000000"/>
            </w:tcBorders>
          </w:tcPr>
          <w:p>
            <w:pPr>
              <w:pStyle w:val="TableParagraph"/>
              <w:spacing w:before="118"/>
              <w:ind w:left="105" w:right="108"/>
              <w:rPr>
                <w:sz w:val="16"/>
              </w:rPr>
            </w:pPr>
            <w:r>
              <w:rPr>
                <w:i/>
                <w:sz w:val="16"/>
              </w:rPr>
              <w:t>La tiranía </w:t>
            </w:r>
            <w:r>
              <w:rPr>
                <w:sz w:val="16"/>
              </w:rPr>
              <w:t>o degeneración de la monarquía.</w:t>
            </w:r>
          </w:p>
        </w:tc>
      </w:tr>
      <w:tr>
        <w:trPr>
          <w:trHeight w:val="638" w:hRule="exact"/>
        </w:trPr>
        <w:tc>
          <w:tcPr>
            <w:tcW w:w="4253" w:type="dxa"/>
            <w:tcBorders>
              <w:left w:val="single" w:sz="4" w:space="0" w:color="000000"/>
              <w:right w:val="single" w:sz="4" w:space="0" w:color="000000"/>
            </w:tcBorders>
          </w:tcPr>
          <w:p>
            <w:pPr>
              <w:pStyle w:val="TableParagraph"/>
              <w:spacing w:before="25"/>
              <w:ind w:left="419" w:right="166"/>
              <w:rPr>
                <w:sz w:val="16"/>
              </w:rPr>
            </w:pPr>
            <w:r>
              <w:rPr>
                <w:sz w:val="16"/>
              </w:rPr>
              <w:t>La aristocracia, que es el gobierno ejercido por una minoría selecta (aquel Estado en que el poder se confía a más de uno).</w:t>
            </w:r>
          </w:p>
        </w:tc>
        <w:tc>
          <w:tcPr>
            <w:tcW w:w="4112" w:type="dxa"/>
            <w:tcBorders>
              <w:left w:val="single" w:sz="4" w:space="0" w:color="000000"/>
              <w:right w:val="single" w:sz="4" w:space="0" w:color="000000"/>
            </w:tcBorders>
          </w:tcPr>
          <w:p>
            <w:pPr>
              <w:pStyle w:val="TableParagraph"/>
              <w:spacing w:before="118"/>
              <w:ind w:left="105" w:right="108"/>
              <w:rPr>
                <w:sz w:val="16"/>
              </w:rPr>
            </w:pPr>
            <w:r>
              <w:rPr>
                <w:i/>
                <w:sz w:val="16"/>
              </w:rPr>
              <w:t>La oligarquía </w:t>
            </w:r>
            <w:r>
              <w:rPr>
                <w:sz w:val="16"/>
              </w:rPr>
              <w:t>o forma corrompida de la aristocracia.</w:t>
            </w:r>
          </w:p>
        </w:tc>
      </w:tr>
      <w:tr>
        <w:trPr>
          <w:trHeight w:val="638" w:hRule="exact"/>
        </w:trPr>
        <w:tc>
          <w:tcPr>
            <w:tcW w:w="4253" w:type="dxa"/>
            <w:tcBorders>
              <w:left w:val="single" w:sz="4" w:space="0" w:color="000000"/>
              <w:right w:val="single" w:sz="4" w:space="0" w:color="000000"/>
            </w:tcBorders>
          </w:tcPr>
          <w:p>
            <w:pPr>
              <w:pStyle w:val="TableParagraph"/>
              <w:spacing w:before="25"/>
              <w:ind w:left="419" w:right="122"/>
              <w:rPr>
                <w:sz w:val="16"/>
              </w:rPr>
            </w:pPr>
            <w:r>
              <w:rPr>
                <w:sz w:val="16"/>
              </w:rPr>
              <w:t>La democracia, que es el gobierno ejercido por la multitud o mayoría de los ciudadanos (aquel Estado en que la multitud gobierna para la utilidad pública).</w:t>
            </w:r>
          </w:p>
        </w:tc>
        <w:tc>
          <w:tcPr>
            <w:tcW w:w="4112" w:type="dxa"/>
            <w:tcBorders>
              <w:left w:val="single" w:sz="4" w:space="0" w:color="000000"/>
              <w:right w:val="single" w:sz="4" w:space="0" w:color="000000"/>
            </w:tcBorders>
          </w:tcPr>
          <w:p>
            <w:pPr>
              <w:pStyle w:val="TableParagraph"/>
              <w:spacing w:before="116"/>
              <w:ind w:left="105" w:right="108"/>
              <w:rPr>
                <w:sz w:val="16"/>
              </w:rPr>
            </w:pPr>
            <w:r>
              <w:rPr>
                <w:i/>
                <w:sz w:val="16"/>
              </w:rPr>
              <w:t>La demagogia </w:t>
            </w:r>
            <w:r>
              <w:rPr>
                <w:sz w:val="16"/>
              </w:rPr>
              <w:t>que también se llama la oclocracia, que es una degeneración de la democracia.</w:t>
            </w:r>
          </w:p>
        </w:tc>
      </w:tr>
    </w:tbl>
    <w:p>
      <w:pPr>
        <w:pStyle w:val="BodyText"/>
        <w:spacing w:before="10"/>
        <w:rPr>
          <w:sz w:val="11"/>
        </w:rPr>
      </w:pPr>
    </w:p>
    <w:p>
      <w:pPr>
        <w:spacing w:before="0"/>
        <w:ind w:left="830" w:right="50" w:firstLine="0"/>
        <w:jc w:val="left"/>
        <w:rPr>
          <w:sz w:val="12"/>
        </w:rPr>
      </w:pPr>
      <w:r>
        <w:rPr>
          <w:sz w:val="12"/>
        </w:rPr>
        <w:t>FUENTE:      Aristóteles. (s.f.).</w:t>
      </w:r>
    </w:p>
    <w:p>
      <w:pPr>
        <w:pStyle w:val="BodyText"/>
        <w:rPr>
          <w:sz w:val="12"/>
        </w:rPr>
      </w:pPr>
    </w:p>
    <w:p>
      <w:pPr>
        <w:pStyle w:val="BodyText"/>
        <w:rPr>
          <w:sz w:val="12"/>
        </w:rPr>
      </w:pPr>
    </w:p>
    <w:p>
      <w:pPr>
        <w:pStyle w:val="BodyText"/>
        <w:rPr>
          <w:sz w:val="12"/>
        </w:rPr>
      </w:pPr>
    </w:p>
    <w:p>
      <w:pPr>
        <w:pStyle w:val="BodyText"/>
        <w:spacing w:before="11"/>
        <w:rPr>
          <w:sz w:val="11"/>
        </w:rPr>
      </w:pPr>
    </w:p>
    <w:p>
      <w:pPr>
        <w:pStyle w:val="BodyText"/>
        <w:spacing w:line="360" w:lineRule="auto"/>
        <w:ind w:left="122" w:right="115" w:firstLine="424"/>
        <w:jc w:val="both"/>
      </w:pPr>
      <w:r>
        <w:rPr/>
        <w:t>A la clasificación de Aristóteles se le han hecho numerosas críticas y contribuciones, señalando otras formas de gobierno. La democracia es la forma de gobierno</w:t>
      </w:r>
      <w:r>
        <w:rPr>
          <w:spacing w:val="-6"/>
        </w:rPr>
        <w:t> </w:t>
      </w:r>
      <w:r>
        <w:rPr/>
        <w:t>que</w:t>
      </w:r>
      <w:r>
        <w:rPr>
          <w:spacing w:val="-6"/>
        </w:rPr>
        <w:t> </w:t>
      </w:r>
      <w:r>
        <w:rPr/>
        <w:t>la</w:t>
      </w:r>
      <w:r>
        <w:rPr>
          <w:spacing w:val="-6"/>
        </w:rPr>
        <w:t> </w:t>
      </w:r>
      <w:r>
        <w:rPr/>
        <w:t>ciencia</w:t>
      </w:r>
      <w:r>
        <w:rPr>
          <w:spacing w:val="-6"/>
        </w:rPr>
        <w:t> </w:t>
      </w:r>
      <w:r>
        <w:rPr/>
        <w:t>política</w:t>
      </w:r>
      <w:r>
        <w:rPr>
          <w:spacing w:val="-6"/>
        </w:rPr>
        <w:t> </w:t>
      </w:r>
      <w:r>
        <w:rPr/>
        <w:t>considera</w:t>
      </w:r>
      <w:r>
        <w:rPr>
          <w:spacing w:val="-7"/>
        </w:rPr>
        <w:t> </w:t>
      </w:r>
      <w:r>
        <w:rPr/>
        <w:t>como</w:t>
      </w:r>
      <w:r>
        <w:rPr>
          <w:spacing w:val="-6"/>
        </w:rPr>
        <w:t> </w:t>
      </w:r>
      <w:r>
        <w:rPr/>
        <w:t>la</w:t>
      </w:r>
      <w:r>
        <w:rPr>
          <w:spacing w:val="-9"/>
        </w:rPr>
        <w:t> </w:t>
      </w:r>
      <w:r>
        <w:rPr/>
        <w:t>más</w:t>
      </w:r>
      <w:r>
        <w:rPr>
          <w:spacing w:val="-7"/>
        </w:rPr>
        <w:t> </w:t>
      </w:r>
      <w:r>
        <w:rPr/>
        <w:t>conveniente</w:t>
      </w:r>
      <w:r>
        <w:rPr>
          <w:spacing w:val="-8"/>
        </w:rPr>
        <w:t> </w:t>
      </w:r>
      <w:r>
        <w:rPr/>
        <w:t>para</w:t>
      </w:r>
      <w:r>
        <w:rPr>
          <w:spacing w:val="-7"/>
        </w:rPr>
        <w:t> </w:t>
      </w:r>
      <w:r>
        <w:rPr/>
        <w:t>generar</w:t>
      </w:r>
      <w:r>
        <w:rPr>
          <w:spacing w:val="1"/>
        </w:rPr>
        <w:t> </w:t>
      </w:r>
      <w:r>
        <w:rPr/>
        <w:t>la armonía política y</w:t>
      </w:r>
      <w:r>
        <w:rPr>
          <w:spacing w:val="-8"/>
        </w:rPr>
        <w:t> </w:t>
      </w:r>
      <w:r>
        <w:rPr/>
        <w:t>social.</w:t>
      </w:r>
    </w:p>
    <w:p>
      <w:pPr>
        <w:pStyle w:val="BodyText"/>
        <w:spacing w:line="360" w:lineRule="auto" w:before="2"/>
        <w:ind w:left="122" w:right="116" w:firstLine="424"/>
        <w:jc w:val="both"/>
        <w:rPr>
          <w:sz w:val="16"/>
        </w:rPr>
      </w:pPr>
      <w:r>
        <w:rPr/>
        <w:t>Al</w:t>
      </w:r>
      <w:r>
        <w:rPr>
          <w:spacing w:val="-15"/>
        </w:rPr>
        <w:t> </w:t>
      </w:r>
      <w:r>
        <w:rPr/>
        <w:t>respecto</w:t>
      </w:r>
      <w:r>
        <w:rPr>
          <w:spacing w:val="-14"/>
        </w:rPr>
        <w:t> </w:t>
      </w:r>
      <w:r>
        <w:rPr/>
        <w:t>Robert</w:t>
      </w:r>
      <w:r>
        <w:rPr>
          <w:spacing w:val="-18"/>
        </w:rPr>
        <w:t> </w:t>
      </w:r>
      <w:r>
        <w:rPr/>
        <w:t>Dahl</w:t>
      </w:r>
      <w:r>
        <w:rPr>
          <w:spacing w:val="-15"/>
        </w:rPr>
        <w:t> </w:t>
      </w:r>
      <w:r>
        <w:rPr/>
        <w:t>consideró</w:t>
      </w:r>
      <w:r>
        <w:rPr>
          <w:spacing w:val="-15"/>
        </w:rPr>
        <w:t> </w:t>
      </w:r>
      <w:r>
        <w:rPr/>
        <w:t>que</w:t>
      </w:r>
      <w:r>
        <w:rPr>
          <w:spacing w:val="-14"/>
        </w:rPr>
        <w:t> </w:t>
      </w:r>
      <w:r>
        <w:rPr/>
        <w:t>la</w:t>
      </w:r>
      <w:r>
        <w:rPr>
          <w:spacing w:val="-17"/>
        </w:rPr>
        <w:t> </w:t>
      </w:r>
      <w:r>
        <w:rPr/>
        <w:t>democracia</w:t>
      </w:r>
      <w:r>
        <w:rPr>
          <w:spacing w:val="-17"/>
        </w:rPr>
        <w:t> </w:t>
      </w:r>
      <w:r>
        <w:rPr/>
        <w:t>no</w:t>
      </w:r>
      <w:r>
        <w:rPr>
          <w:spacing w:val="-16"/>
        </w:rPr>
        <w:t> </w:t>
      </w:r>
      <w:r>
        <w:rPr/>
        <w:t>necesariamente</w:t>
      </w:r>
      <w:r>
        <w:rPr>
          <w:spacing w:val="-16"/>
        </w:rPr>
        <w:t> </w:t>
      </w:r>
      <w:r>
        <w:rPr/>
        <w:t>ocurre en la realidad, ni ha ocurrido y es posible que no lo ocurra; pero que sí existen estructuras democráticas llamadas </w:t>
      </w:r>
      <w:r>
        <w:rPr>
          <w:i/>
        </w:rPr>
        <w:t>poliarquía</w:t>
      </w:r>
      <w:r>
        <w:rPr/>
        <w:t>, que en un régimen de apertura elevada con debate público; la poliarquía permite la participación de la sociedad</w:t>
      </w:r>
      <w:r>
        <w:rPr>
          <w:spacing w:val="-40"/>
        </w:rPr>
        <w:t> </w:t>
      </w:r>
      <w:r>
        <w:rPr/>
        <w:t>en los aspectos</w:t>
      </w:r>
      <w:r>
        <w:rPr>
          <w:spacing w:val="-8"/>
        </w:rPr>
        <w:t> </w:t>
      </w:r>
      <w:r>
        <w:rPr/>
        <w:t>políticos.</w:t>
      </w:r>
      <w:r>
        <w:rPr>
          <w:position w:val="8"/>
          <w:sz w:val="16"/>
        </w:rPr>
        <w:t>10</w:t>
      </w:r>
    </w:p>
    <w:p>
      <w:pPr>
        <w:pStyle w:val="BodyText"/>
        <w:spacing w:line="360" w:lineRule="auto" w:before="1"/>
        <w:ind w:left="122" w:right="123" w:firstLine="427"/>
        <w:jc w:val="both"/>
      </w:pPr>
      <w:r>
        <w:rPr/>
        <w:t>Robert</w:t>
      </w:r>
      <w:r>
        <w:rPr>
          <w:spacing w:val="-13"/>
        </w:rPr>
        <w:t> </w:t>
      </w:r>
      <w:r>
        <w:rPr/>
        <w:t>Dahl</w:t>
      </w:r>
      <w:r>
        <w:rPr>
          <w:spacing w:val="-13"/>
        </w:rPr>
        <w:t> </w:t>
      </w:r>
      <w:r>
        <w:rPr/>
        <w:t>(1992)</w:t>
      </w:r>
      <w:r>
        <w:rPr>
          <w:spacing w:val="-16"/>
        </w:rPr>
        <w:t> </w:t>
      </w:r>
      <w:r>
        <w:rPr/>
        <w:t>mencionó</w:t>
      </w:r>
      <w:r>
        <w:rPr>
          <w:spacing w:val="-14"/>
        </w:rPr>
        <w:t> </w:t>
      </w:r>
      <w:r>
        <w:rPr/>
        <w:t>que</w:t>
      </w:r>
      <w:r>
        <w:rPr>
          <w:spacing w:val="-14"/>
        </w:rPr>
        <w:t> </w:t>
      </w:r>
      <w:r>
        <w:rPr/>
        <w:t>una</w:t>
      </w:r>
      <w:r>
        <w:rPr>
          <w:spacing w:val="-12"/>
        </w:rPr>
        <w:t> </w:t>
      </w:r>
      <w:r>
        <w:rPr/>
        <w:t>poliarquía</w:t>
      </w:r>
      <w:r>
        <w:rPr>
          <w:spacing w:val="-12"/>
        </w:rPr>
        <w:t> </w:t>
      </w:r>
      <w:r>
        <w:rPr/>
        <w:t>considera</w:t>
      </w:r>
      <w:r>
        <w:rPr>
          <w:spacing w:val="-12"/>
        </w:rPr>
        <w:t> </w:t>
      </w:r>
      <w:r>
        <w:rPr/>
        <w:t>que</w:t>
      </w:r>
      <w:r>
        <w:rPr>
          <w:spacing w:val="-12"/>
        </w:rPr>
        <w:t> </w:t>
      </w:r>
      <w:r>
        <w:rPr/>
        <w:t>tanto</w:t>
      </w:r>
      <w:r>
        <w:rPr>
          <w:spacing w:val="-12"/>
        </w:rPr>
        <w:t> </w:t>
      </w:r>
      <w:r>
        <w:rPr/>
        <w:t>el</w:t>
      </w:r>
      <w:r>
        <w:rPr>
          <w:spacing w:val="-15"/>
        </w:rPr>
        <w:t> </w:t>
      </w:r>
      <w:r>
        <w:rPr/>
        <w:t>sistema político como el Estado deben contar con los siguientes</w:t>
      </w:r>
      <w:r>
        <w:rPr>
          <w:spacing w:val="-16"/>
        </w:rPr>
        <w:t> </w:t>
      </w:r>
      <w:r>
        <w:rPr/>
        <w:t>elementos:</w:t>
      </w:r>
    </w:p>
    <w:p>
      <w:pPr>
        <w:pStyle w:val="BodyText"/>
        <w:spacing w:before="7"/>
      </w:pPr>
    </w:p>
    <w:p>
      <w:pPr>
        <w:pStyle w:val="ListParagraph"/>
        <w:numPr>
          <w:ilvl w:val="0"/>
          <w:numId w:val="17"/>
        </w:numPr>
        <w:tabs>
          <w:tab w:pos="722" w:val="left" w:leader="none"/>
        </w:tabs>
        <w:spacing w:line="360" w:lineRule="auto" w:before="0" w:after="0"/>
        <w:ind w:left="688" w:right="121" w:hanging="283"/>
        <w:jc w:val="both"/>
        <w:rPr>
          <w:sz w:val="24"/>
        </w:rPr>
      </w:pPr>
      <w:r>
        <w:rPr>
          <w:sz w:val="24"/>
        </w:rPr>
        <w:t>Para que el </w:t>
      </w:r>
      <w:hyperlink r:id="rId33">
        <w:r>
          <w:rPr>
            <w:sz w:val="24"/>
          </w:rPr>
          <w:t>sistema político</w:t>
        </w:r>
      </w:hyperlink>
      <w:r>
        <w:rPr>
          <w:sz w:val="24"/>
        </w:rPr>
        <w:t> funcione correctamente los ciudadanos deben poder formular sus preferencias mediante la acción individual o colectiva y lograr</w:t>
      </w:r>
      <w:r>
        <w:rPr>
          <w:spacing w:val="-15"/>
          <w:sz w:val="24"/>
        </w:rPr>
        <w:t> </w:t>
      </w:r>
      <w:r>
        <w:rPr>
          <w:sz w:val="24"/>
        </w:rPr>
        <w:t>que</w:t>
      </w:r>
      <w:r>
        <w:rPr>
          <w:spacing w:val="-17"/>
          <w:sz w:val="24"/>
        </w:rPr>
        <w:t> </w:t>
      </w:r>
      <w:r>
        <w:rPr>
          <w:sz w:val="24"/>
        </w:rPr>
        <w:t>sus</w:t>
      </w:r>
      <w:r>
        <w:rPr>
          <w:spacing w:val="-17"/>
          <w:sz w:val="24"/>
        </w:rPr>
        <w:t> </w:t>
      </w:r>
      <w:r>
        <w:rPr>
          <w:sz w:val="24"/>
        </w:rPr>
        <w:t>preferencias</w:t>
      </w:r>
      <w:r>
        <w:rPr>
          <w:spacing w:val="-17"/>
          <w:sz w:val="24"/>
        </w:rPr>
        <w:t> </w:t>
      </w:r>
      <w:r>
        <w:rPr>
          <w:sz w:val="24"/>
        </w:rPr>
        <w:t>tengan</w:t>
      </w:r>
      <w:r>
        <w:rPr>
          <w:spacing w:val="-17"/>
          <w:sz w:val="24"/>
        </w:rPr>
        <w:t> </w:t>
      </w:r>
      <w:r>
        <w:rPr>
          <w:sz w:val="24"/>
        </w:rPr>
        <w:t>la</w:t>
      </w:r>
      <w:r>
        <w:rPr>
          <w:spacing w:val="-17"/>
          <w:sz w:val="24"/>
        </w:rPr>
        <w:t> </w:t>
      </w:r>
      <w:r>
        <w:rPr>
          <w:sz w:val="24"/>
        </w:rPr>
        <w:t>misma</w:t>
      </w:r>
      <w:r>
        <w:rPr>
          <w:spacing w:val="-19"/>
          <w:sz w:val="24"/>
        </w:rPr>
        <w:t> </w:t>
      </w:r>
      <w:r>
        <w:rPr>
          <w:sz w:val="24"/>
        </w:rPr>
        <w:t>probabilidad</w:t>
      </w:r>
      <w:r>
        <w:rPr>
          <w:spacing w:val="-17"/>
          <w:sz w:val="24"/>
        </w:rPr>
        <w:t> </w:t>
      </w:r>
      <w:r>
        <w:rPr>
          <w:sz w:val="24"/>
        </w:rPr>
        <w:t>de</w:t>
      </w:r>
      <w:r>
        <w:rPr>
          <w:spacing w:val="-17"/>
          <w:sz w:val="24"/>
        </w:rPr>
        <w:t> </w:t>
      </w:r>
      <w:r>
        <w:rPr>
          <w:sz w:val="24"/>
        </w:rPr>
        <w:t>ser</w:t>
      </w:r>
      <w:r>
        <w:rPr>
          <w:spacing w:val="-18"/>
          <w:sz w:val="24"/>
        </w:rPr>
        <w:t> </w:t>
      </w:r>
      <w:r>
        <w:rPr>
          <w:sz w:val="24"/>
        </w:rPr>
        <w:t>consideradas.</w:t>
      </w:r>
    </w:p>
    <w:p>
      <w:pPr>
        <w:pStyle w:val="ListParagraph"/>
        <w:numPr>
          <w:ilvl w:val="0"/>
          <w:numId w:val="17"/>
        </w:numPr>
        <w:tabs>
          <w:tab w:pos="682" w:val="left" w:leader="none"/>
        </w:tabs>
        <w:spacing w:line="360" w:lineRule="auto" w:before="5" w:after="0"/>
        <w:ind w:left="688" w:right="117" w:hanging="283"/>
        <w:jc w:val="both"/>
        <w:rPr>
          <w:sz w:val="24"/>
        </w:rPr>
      </w:pPr>
      <w:r>
        <w:rPr>
          <w:sz w:val="24"/>
        </w:rPr>
        <w:t>El</w:t>
      </w:r>
      <w:r>
        <w:rPr>
          <w:spacing w:val="-8"/>
          <w:sz w:val="24"/>
        </w:rPr>
        <w:t> </w:t>
      </w:r>
      <w:hyperlink r:id="rId34">
        <w:r>
          <w:rPr>
            <w:sz w:val="24"/>
          </w:rPr>
          <w:t>Estado</w:t>
        </w:r>
      </w:hyperlink>
      <w:r>
        <w:rPr>
          <w:spacing w:val="-9"/>
          <w:sz w:val="24"/>
        </w:rPr>
        <w:t> </w:t>
      </w:r>
      <w:r>
        <w:rPr>
          <w:sz w:val="24"/>
        </w:rPr>
        <w:t>debe</w:t>
      </w:r>
      <w:r>
        <w:rPr>
          <w:spacing w:val="-7"/>
          <w:sz w:val="24"/>
        </w:rPr>
        <w:t> </w:t>
      </w:r>
      <w:r>
        <w:rPr>
          <w:sz w:val="24"/>
        </w:rPr>
        <w:t>permitir</w:t>
      </w:r>
      <w:r>
        <w:rPr>
          <w:spacing w:val="-9"/>
          <w:sz w:val="24"/>
        </w:rPr>
        <w:t> </w:t>
      </w:r>
      <w:r>
        <w:rPr>
          <w:sz w:val="24"/>
        </w:rPr>
        <w:t>la</w:t>
      </w:r>
      <w:r>
        <w:rPr>
          <w:spacing w:val="-7"/>
          <w:sz w:val="24"/>
        </w:rPr>
        <w:t> </w:t>
      </w:r>
      <w:r>
        <w:rPr>
          <w:sz w:val="24"/>
        </w:rPr>
        <w:t>libertad</w:t>
      </w:r>
      <w:r>
        <w:rPr>
          <w:spacing w:val="-7"/>
          <w:sz w:val="24"/>
        </w:rPr>
        <w:t> </w:t>
      </w:r>
      <w:r>
        <w:rPr>
          <w:sz w:val="24"/>
        </w:rPr>
        <w:t>de</w:t>
      </w:r>
      <w:r>
        <w:rPr>
          <w:spacing w:val="-7"/>
          <w:sz w:val="24"/>
        </w:rPr>
        <w:t> </w:t>
      </w:r>
      <w:r>
        <w:rPr>
          <w:sz w:val="24"/>
        </w:rPr>
        <w:t>asociación,</w:t>
      </w:r>
      <w:r>
        <w:rPr>
          <w:spacing w:val="-7"/>
          <w:sz w:val="24"/>
        </w:rPr>
        <w:t> </w:t>
      </w:r>
      <w:r>
        <w:rPr>
          <w:sz w:val="24"/>
        </w:rPr>
        <w:t>organización,</w:t>
      </w:r>
      <w:r>
        <w:rPr>
          <w:spacing w:val="-10"/>
          <w:sz w:val="24"/>
        </w:rPr>
        <w:t> </w:t>
      </w:r>
      <w:r>
        <w:rPr>
          <w:sz w:val="24"/>
        </w:rPr>
        <w:t>pensamiento</w:t>
      </w:r>
      <w:r>
        <w:rPr>
          <w:spacing w:val="-7"/>
          <w:sz w:val="24"/>
        </w:rPr>
        <w:t> </w:t>
      </w:r>
      <w:r>
        <w:rPr>
          <w:sz w:val="24"/>
        </w:rPr>
        <w:t>y expresión, el derecho de </w:t>
      </w:r>
      <w:hyperlink r:id="rId35">
        <w:r>
          <w:rPr>
            <w:sz w:val="24"/>
          </w:rPr>
          <w:t>sufragio</w:t>
        </w:r>
      </w:hyperlink>
      <w:r>
        <w:rPr>
          <w:sz w:val="24"/>
        </w:rPr>
        <w:t>, el derecho de competir por el apoyo electoral y de contar con fuentes alternativas de </w:t>
      </w:r>
      <w:hyperlink r:id="rId36">
        <w:r>
          <w:rPr>
            <w:sz w:val="24"/>
          </w:rPr>
          <w:t>información</w:t>
        </w:r>
      </w:hyperlink>
      <w:r>
        <w:rPr>
          <w:sz w:val="24"/>
        </w:rPr>
        <w:t> accesibles, entre otros</w:t>
      </w:r>
      <w:r>
        <w:rPr>
          <w:spacing w:val="-5"/>
          <w:sz w:val="24"/>
        </w:rPr>
        <w:t> </w:t>
      </w:r>
      <w:r>
        <w:rPr>
          <w:sz w:val="24"/>
        </w:rPr>
        <w:t>aspectos.</w:t>
      </w:r>
    </w:p>
    <w:p>
      <w:pPr>
        <w:pStyle w:val="BodyText"/>
        <w:rPr>
          <w:sz w:val="20"/>
        </w:rPr>
      </w:pPr>
    </w:p>
    <w:p>
      <w:pPr>
        <w:pStyle w:val="BodyText"/>
        <w:rPr>
          <w:sz w:val="20"/>
        </w:rPr>
      </w:pPr>
    </w:p>
    <w:p>
      <w:pPr>
        <w:pStyle w:val="BodyText"/>
        <w:spacing w:before="4"/>
        <w:rPr>
          <w:sz w:val="28"/>
        </w:rPr>
      </w:pPr>
      <w:r>
        <w:rPr/>
        <w:pict>
          <v:line style="position:absolute;mso-position-horizontal-relative:page;mso-position-vertical-relative:paragraph;z-index:2152;mso-wrap-distance-left:0;mso-wrap-distance-right:0" from="85.103996pt,18.63184pt" to="229.123996pt,18.63184pt" stroked="true" strokeweight=".72003pt" strokecolor="#000000">
            <w10:wrap type="topAndBottom"/>
          </v:line>
        </w:pict>
      </w:r>
    </w:p>
    <w:p>
      <w:pPr>
        <w:spacing w:before="62"/>
        <w:ind w:left="122" w:right="50" w:firstLine="0"/>
        <w:jc w:val="left"/>
        <w:rPr>
          <w:sz w:val="16"/>
        </w:rPr>
      </w:pPr>
      <w:r>
        <w:rPr>
          <w:rFonts w:ascii="Times New Roman" w:hAnsi="Times New Roman"/>
          <w:position w:val="7"/>
          <w:sz w:val="13"/>
        </w:rPr>
        <w:t>10</w:t>
      </w:r>
      <w:r>
        <w:rPr>
          <w:sz w:val="16"/>
        </w:rPr>
        <w:t>La existencia de un interés común puede hacer crecer la voluntad política de los gobiernos y gobernados.</w:t>
      </w:r>
    </w:p>
    <w:p>
      <w:pPr>
        <w:spacing w:after="0"/>
        <w:jc w:val="left"/>
        <w:rPr>
          <w:sz w:val="16"/>
        </w:rPr>
        <w:sectPr>
          <w:pgSz w:w="12240" w:h="15840"/>
          <w:pgMar w:header="0" w:footer="1003" w:top="1500" w:bottom="1200" w:left="1580" w:right="1580"/>
        </w:sectPr>
      </w:pPr>
    </w:p>
    <w:p>
      <w:pPr>
        <w:pStyle w:val="BodyText"/>
        <w:spacing w:line="360" w:lineRule="auto" w:before="54"/>
        <w:ind w:left="122" w:right="120" w:firstLine="427"/>
        <w:jc w:val="both"/>
      </w:pPr>
      <w:r>
        <w:rPr/>
        <w:t>La antítesis de la propuesta de Dahl la presentó Noam Chomsky, quien consideró que, aunque la democracia significa poder popular, en la realidad la democracia está basada en una distribución altamente asimétrica de los recursos, lo</w:t>
      </w:r>
      <w:r>
        <w:rPr>
          <w:spacing w:val="-6"/>
        </w:rPr>
        <w:t> </w:t>
      </w:r>
      <w:r>
        <w:rPr/>
        <w:t>que</w:t>
      </w:r>
      <w:r>
        <w:rPr>
          <w:spacing w:val="-6"/>
        </w:rPr>
        <w:t> </w:t>
      </w:r>
      <w:r>
        <w:rPr/>
        <w:t>significa</w:t>
      </w:r>
      <w:r>
        <w:rPr>
          <w:spacing w:val="-6"/>
        </w:rPr>
        <w:t> </w:t>
      </w:r>
      <w:r>
        <w:rPr/>
        <w:t>poder,</w:t>
      </w:r>
      <w:r>
        <w:rPr>
          <w:spacing w:val="-12"/>
        </w:rPr>
        <w:t> </w:t>
      </w:r>
      <w:r>
        <w:rPr/>
        <w:t>mas</w:t>
      </w:r>
      <w:r>
        <w:rPr>
          <w:spacing w:val="-6"/>
        </w:rPr>
        <w:t> </w:t>
      </w:r>
      <w:r>
        <w:rPr/>
        <w:t>no</w:t>
      </w:r>
      <w:r>
        <w:rPr>
          <w:spacing w:val="-8"/>
        </w:rPr>
        <w:t> </w:t>
      </w:r>
      <w:r>
        <w:rPr/>
        <w:t>democracia.</w:t>
      </w:r>
      <w:r>
        <w:rPr>
          <w:spacing w:val="-6"/>
        </w:rPr>
        <w:t> </w:t>
      </w:r>
      <w:r>
        <w:rPr/>
        <w:t>Chomsky</w:t>
      </w:r>
      <w:r>
        <w:rPr>
          <w:spacing w:val="-9"/>
        </w:rPr>
        <w:t> </w:t>
      </w:r>
      <w:r>
        <w:rPr/>
        <w:t>consideró</w:t>
      </w:r>
      <w:r>
        <w:rPr>
          <w:spacing w:val="-7"/>
        </w:rPr>
        <w:t> </w:t>
      </w:r>
      <w:r>
        <w:rPr/>
        <w:t>que</w:t>
      </w:r>
      <w:r>
        <w:rPr>
          <w:spacing w:val="-8"/>
        </w:rPr>
        <w:t> </w:t>
      </w:r>
      <w:r>
        <w:rPr/>
        <w:t>la</w:t>
      </w:r>
      <w:r>
        <w:rPr>
          <w:spacing w:val="-6"/>
        </w:rPr>
        <w:t> </w:t>
      </w:r>
      <w:r>
        <w:rPr/>
        <w:t>poliarquía</w:t>
      </w:r>
      <w:r>
        <w:rPr>
          <w:spacing w:val="-6"/>
        </w:rPr>
        <w:t> </w:t>
      </w:r>
      <w:r>
        <w:rPr/>
        <w:t>es un sistema donde solo los gobernantes toman las decisiones y es así como funcionan las sociedades avanzadas, pero no considera que eso pueda denominarse</w:t>
      </w:r>
      <w:r>
        <w:rPr>
          <w:spacing w:val="-10"/>
        </w:rPr>
        <w:t> </w:t>
      </w:r>
      <w:r>
        <w:rPr/>
        <w:t>democracia.</w:t>
      </w:r>
    </w:p>
    <w:p>
      <w:pPr>
        <w:pStyle w:val="BodyText"/>
        <w:spacing w:line="360" w:lineRule="auto" w:before="5"/>
        <w:ind w:left="122" w:right="119" w:firstLine="427"/>
        <w:jc w:val="both"/>
        <w:rPr>
          <w:sz w:val="16"/>
        </w:rPr>
      </w:pPr>
      <w:r>
        <w:rPr/>
        <w:t>Chomsky a la vez, se apoyó en la propuesta de John Dewey, quien afirmó que no puede existir democracia a menos que la industria, el comercio y los medios de comunicación</w:t>
      </w:r>
      <w:r>
        <w:rPr>
          <w:spacing w:val="-18"/>
        </w:rPr>
        <w:t> </w:t>
      </w:r>
      <w:r>
        <w:rPr/>
        <w:t>cambien</w:t>
      </w:r>
      <w:r>
        <w:rPr>
          <w:spacing w:val="-20"/>
        </w:rPr>
        <w:t> </w:t>
      </w:r>
      <w:r>
        <w:rPr/>
        <w:t>radicalmente,</w:t>
      </w:r>
      <w:r>
        <w:rPr>
          <w:spacing w:val="-18"/>
        </w:rPr>
        <w:t> </w:t>
      </w:r>
      <w:r>
        <w:rPr/>
        <w:t>y</w:t>
      </w:r>
      <w:r>
        <w:rPr>
          <w:spacing w:val="-21"/>
        </w:rPr>
        <w:t> </w:t>
      </w:r>
      <w:r>
        <w:rPr/>
        <w:t>en</w:t>
      </w:r>
      <w:r>
        <w:rPr>
          <w:spacing w:val="-18"/>
        </w:rPr>
        <w:t> </w:t>
      </w:r>
      <w:r>
        <w:rPr/>
        <w:t>lugar</w:t>
      </w:r>
      <w:r>
        <w:rPr>
          <w:spacing w:val="-19"/>
        </w:rPr>
        <w:t> </w:t>
      </w:r>
      <w:r>
        <w:rPr/>
        <w:t>de</w:t>
      </w:r>
      <w:r>
        <w:rPr>
          <w:spacing w:val="-18"/>
        </w:rPr>
        <w:t> </w:t>
      </w:r>
      <w:r>
        <w:rPr/>
        <w:t>responder</w:t>
      </w:r>
      <w:r>
        <w:rPr>
          <w:spacing w:val="-19"/>
        </w:rPr>
        <w:t> </w:t>
      </w:r>
      <w:r>
        <w:rPr/>
        <w:t>a</w:t>
      </w:r>
      <w:r>
        <w:rPr>
          <w:spacing w:val="-18"/>
        </w:rPr>
        <w:t> </w:t>
      </w:r>
      <w:r>
        <w:rPr/>
        <w:t>estructuras</w:t>
      </w:r>
      <w:r>
        <w:rPr>
          <w:spacing w:val="-19"/>
        </w:rPr>
        <w:t> </w:t>
      </w:r>
      <w:r>
        <w:rPr/>
        <w:t>de</w:t>
      </w:r>
      <w:r>
        <w:rPr>
          <w:spacing w:val="-20"/>
        </w:rPr>
        <w:t> </w:t>
      </w:r>
      <w:r>
        <w:rPr/>
        <w:t>poder centralizado, respondan al control democrático. Chomsky mencionó que, en la poliarquía, los medios de comunicación venden un candidato, y que en países emergentes la ciudadanía no tiene la capacidad de discernir si el candidato que le presentan los medios de comunicación es el idóneo para</w:t>
      </w:r>
      <w:r>
        <w:rPr>
          <w:spacing w:val="-23"/>
        </w:rPr>
        <w:t> </w:t>
      </w:r>
      <w:r>
        <w:rPr/>
        <w:t>gobernarlos.</w:t>
      </w:r>
      <w:r>
        <w:rPr>
          <w:position w:val="8"/>
          <w:sz w:val="16"/>
        </w:rPr>
        <w:t>11</w:t>
      </w:r>
    </w:p>
    <w:p>
      <w:pPr>
        <w:pStyle w:val="BodyText"/>
        <w:spacing w:line="357" w:lineRule="auto"/>
        <w:ind w:left="122" w:right="116" w:firstLine="427"/>
        <w:jc w:val="both"/>
      </w:pPr>
      <w:r>
        <w:rPr/>
        <w:t>En los países emergentes se prioriza la economía en detrimento de la política por</w:t>
      </w:r>
      <w:r>
        <w:rPr>
          <w:spacing w:val="-12"/>
        </w:rPr>
        <w:t> </w:t>
      </w:r>
      <w:r>
        <w:rPr/>
        <w:t>falta</w:t>
      </w:r>
      <w:r>
        <w:rPr>
          <w:spacing w:val="-11"/>
        </w:rPr>
        <w:t> </w:t>
      </w:r>
      <w:r>
        <w:rPr/>
        <w:t>de</w:t>
      </w:r>
      <w:r>
        <w:rPr>
          <w:spacing w:val="-11"/>
        </w:rPr>
        <w:t> </w:t>
      </w:r>
      <w:r>
        <w:rPr/>
        <w:t>un</w:t>
      </w:r>
      <w:r>
        <w:rPr>
          <w:spacing w:val="-8"/>
        </w:rPr>
        <w:t> </w:t>
      </w:r>
      <w:r>
        <w:rPr/>
        <w:t>sistema</w:t>
      </w:r>
      <w:r>
        <w:rPr>
          <w:spacing w:val="-11"/>
        </w:rPr>
        <w:t> </w:t>
      </w:r>
      <w:r>
        <w:rPr/>
        <w:t>político</w:t>
      </w:r>
      <w:r>
        <w:rPr>
          <w:spacing w:val="-8"/>
        </w:rPr>
        <w:t> </w:t>
      </w:r>
      <w:r>
        <w:rPr/>
        <w:t>sólido,</w:t>
      </w:r>
      <w:r>
        <w:rPr>
          <w:spacing w:val="-11"/>
        </w:rPr>
        <w:t> </w:t>
      </w:r>
      <w:r>
        <w:rPr/>
        <w:t>mientras</w:t>
      </w:r>
      <w:r>
        <w:rPr>
          <w:spacing w:val="-9"/>
        </w:rPr>
        <w:t> </w:t>
      </w:r>
      <w:r>
        <w:rPr/>
        <w:t>que</w:t>
      </w:r>
      <w:r>
        <w:rPr>
          <w:spacing w:val="-8"/>
        </w:rPr>
        <w:t> </w:t>
      </w:r>
      <w:r>
        <w:rPr/>
        <w:t>en</w:t>
      </w:r>
      <w:r>
        <w:rPr>
          <w:spacing w:val="-8"/>
        </w:rPr>
        <w:t> </w:t>
      </w:r>
      <w:r>
        <w:rPr/>
        <w:t>los</w:t>
      </w:r>
      <w:r>
        <w:rPr>
          <w:spacing w:val="-9"/>
        </w:rPr>
        <w:t> </w:t>
      </w:r>
      <w:r>
        <w:rPr/>
        <w:t>países</w:t>
      </w:r>
      <w:r>
        <w:rPr>
          <w:spacing w:val="-9"/>
        </w:rPr>
        <w:t> </w:t>
      </w:r>
      <w:r>
        <w:rPr/>
        <w:t>avanzados</w:t>
      </w:r>
      <w:r>
        <w:rPr>
          <w:spacing w:val="-9"/>
        </w:rPr>
        <w:t> </w:t>
      </w:r>
      <w:r>
        <w:rPr/>
        <w:t>ocurre lo contrario. ¿Cómo se puede evaluar la eficacia, la eficiencia y la economía</w:t>
      </w:r>
      <w:r>
        <w:rPr>
          <w:position w:val="8"/>
          <w:sz w:val="16"/>
        </w:rPr>
        <w:t>12 </w:t>
      </w:r>
      <w:r>
        <w:rPr/>
        <w:t>de</w:t>
      </w:r>
      <w:r>
        <w:rPr>
          <w:spacing w:val="-29"/>
        </w:rPr>
        <w:t> </w:t>
      </w:r>
      <w:r>
        <w:rPr/>
        <w:t>la política de un Estado (desempeño del Estado),</w:t>
      </w:r>
      <w:r>
        <w:rPr>
          <w:position w:val="8"/>
          <w:sz w:val="16"/>
        </w:rPr>
        <w:t>13</w:t>
      </w:r>
      <w:r>
        <w:rPr/>
        <w:t>ya sea avanzado o</w:t>
      </w:r>
      <w:r>
        <w:rPr>
          <w:spacing w:val="-31"/>
        </w:rPr>
        <w:t> </w:t>
      </w:r>
      <w:r>
        <w:rPr/>
        <w:t>emergente?</w:t>
      </w:r>
    </w:p>
    <w:p>
      <w:pPr>
        <w:pStyle w:val="BodyText"/>
        <w:rPr>
          <w:sz w:val="20"/>
        </w:rPr>
      </w:pPr>
    </w:p>
    <w:p>
      <w:pPr>
        <w:pStyle w:val="BodyText"/>
        <w:spacing w:before="1"/>
        <w:rPr>
          <w:sz w:val="15"/>
        </w:rPr>
      </w:pPr>
      <w:r>
        <w:rPr/>
        <w:pict>
          <v:line style="position:absolute;mso-position-horizontal-relative:page;mso-position-vertical-relative:paragraph;z-index:2176;mso-wrap-distance-left:0;mso-wrap-distance-right:0" from="85.103996pt,11.003291pt" to="229.123996pt,11.003291pt" stroked="true" strokeweight=".72pt" strokecolor="#000000">
            <w10:wrap type="topAndBottom"/>
          </v:line>
        </w:pict>
      </w:r>
    </w:p>
    <w:p>
      <w:pPr>
        <w:spacing w:line="256" w:lineRule="auto" w:before="62"/>
        <w:ind w:left="122" w:right="341" w:firstLine="0"/>
        <w:jc w:val="left"/>
        <w:rPr>
          <w:sz w:val="16"/>
        </w:rPr>
      </w:pPr>
      <w:r>
        <w:rPr>
          <w:rFonts w:ascii="Times New Roman"/>
          <w:position w:val="7"/>
          <w:sz w:val="13"/>
        </w:rPr>
        <w:t>11</w:t>
      </w:r>
      <w:r>
        <w:rPr>
          <w:sz w:val="16"/>
        </w:rPr>
        <w:t>Disponible en: </w:t>
      </w:r>
      <w:hyperlink r:id="rId37">
        <w:r>
          <w:rPr>
            <w:sz w:val="16"/>
          </w:rPr>
          <w:t>http://www.cgt.es/descargas/SalaLectura/chomsky-medios-comunicacion.html</w:t>
        </w:r>
      </w:hyperlink>
      <w:r>
        <w:rPr>
          <w:sz w:val="16"/>
        </w:rPr>
        <w:t> [Fecha de consulta: 21 de marzo, 2015]</w:t>
      </w:r>
    </w:p>
    <w:p>
      <w:pPr>
        <w:spacing w:line="255" w:lineRule="exact" w:before="0"/>
        <w:ind w:left="122" w:right="0" w:firstLine="0"/>
        <w:jc w:val="both"/>
        <w:rPr>
          <w:sz w:val="16"/>
        </w:rPr>
      </w:pPr>
      <w:r>
        <w:rPr>
          <w:rFonts w:ascii="Calibri" w:hAnsi="Calibri"/>
          <w:position w:val="8"/>
          <w:sz w:val="14"/>
        </w:rPr>
        <w:t>12  </w:t>
      </w:r>
      <w:r>
        <w:rPr>
          <w:rFonts w:ascii="Calibri" w:hAnsi="Calibri"/>
          <w:sz w:val="22"/>
        </w:rPr>
        <w:t>“</w:t>
      </w:r>
      <w:r>
        <w:rPr>
          <w:sz w:val="16"/>
        </w:rPr>
        <w:t>La eficacia es un concepto ligado esencialmente al logro de objetivos. Hace referencia a la relación existente entre   los</w:t>
      </w:r>
    </w:p>
    <w:p>
      <w:pPr>
        <w:spacing w:before="0"/>
        <w:ind w:left="122" w:right="114" w:firstLine="0"/>
        <w:jc w:val="both"/>
        <w:rPr>
          <w:sz w:val="16"/>
        </w:rPr>
      </w:pPr>
      <w:r>
        <w:rPr>
          <w:sz w:val="16"/>
        </w:rPr>
        <w:t>objetivos propuestos, los productos o recursos aportados y los objetivos alcanzados. La eficacia consta de dos partes, una relativa a si se han logrado los objetivos de la política; y, otra, sobre si los acontecimientos deseados efectivamente han ocurrido, y si pueden atribuirse a la política aplicada. Para juzgar en qué medida los acontecimientos observados corresponden a la política se requiere efectuar una comparación. Se mide con indicadores estratégicos.</w:t>
      </w:r>
    </w:p>
    <w:p>
      <w:pPr>
        <w:spacing w:before="1"/>
        <w:ind w:left="122" w:right="116" w:firstLine="0"/>
        <w:jc w:val="both"/>
        <w:rPr>
          <w:sz w:val="16"/>
        </w:rPr>
      </w:pPr>
      <w:r>
        <w:rPr>
          <w:sz w:val="16"/>
        </w:rPr>
        <w:t>La</w:t>
      </w:r>
      <w:r>
        <w:rPr>
          <w:spacing w:val="-9"/>
          <w:sz w:val="16"/>
        </w:rPr>
        <w:t> </w:t>
      </w:r>
      <w:r>
        <w:rPr>
          <w:sz w:val="16"/>
        </w:rPr>
        <w:t>eficiencia</w:t>
      </w:r>
      <w:r>
        <w:rPr>
          <w:spacing w:val="-11"/>
          <w:sz w:val="16"/>
        </w:rPr>
        <w:t> </w:t>
      </w:r>
      <w:r>
        <w:rPr>
          <w:sz w:val="16"/>
        </w:rPr>
        <w:t>mide</w:t>
      </w:r>
      <w:r>
        <w:rPr>
          <w:spacing w:val="-9"/>
          <w:sz w:val="16"/>
        </w:rPr>
        <w:t> </w:t>
      </w:r>
      <w:r>
        <w:rPr>
          <w:sz w:val="16"/>
        </w:rPr>
        <w:t>y</w:t>
      </w:r>
      <w:r>
        <w:rPr>
          <w:spacing w:val="-12"/>
          <w:sz w:val="16"/>
        </w:rPr>
        <w:t> </w:t>
      </w:r>
      <w:r>
        <w:rPr>
          <w:sz w:val="16"/>
        </w:rPr>
        <w:t>califica</w:t>
      </w:r>
      <w:r>
        <w:rPr>
          <w:spacing w:val="-12"/>
          <w:sz w:val="16"/>
        </w:rPr>
        <w:t> </w:t>
      </w:r>
      <w:r>
        <w:rPr>
          <w:sz w:val="16"/>
        </w:rPr>
        <w:t>el</w:t>
      </w:r>
      <w:r>
        <w:rPr>
          <w:spacing w:val="-8"/>
          <w:sz w:val="16"/>
        </w:rPr>
        <w:t> </w:t>
      </w:r>
      <w:r>
        <w:rPr>
          <w:sz w:val="16"/>
        </w:rPr>
        <w:t>recorrido</w:t>
      </w:r>
      <w:r>
        <w:rPr>
          <w:spacing w:val="-9"/>
          <w:sz w:val="16"/>
        </w:rPr>
        <w:t> </w:t>
      </w:r>
      <w:r>
        <w:rPr>
          <w:sz w:val="16"/>
        </w:rPr>
        <w:t>entre</w:t>
      </w:r>
      <w:r>
        <w:rPr>
          <w:spacing w:val="-12"/>
          <w:sz w:val="16"/>
        </w:rPr>
        <w:t> </w:t>
      </w:r>
      <w:r>
        <w:rPr>
          <w:sz w:val="16"/>
        </w:rPr>
        <w:t>medios</w:t>
      </w:r>
      <w:r>
        <w:rPr>
          <w:spacing w:val="-10"/>
          <w:sz w:val="16"/>
        </w:rPr>
        <w:t> </w:t>
      </w:r>
      <w:r>
        <w:rPr>
          <w:sz w:val="16"/>
        </w:rPr>
        <w:t>y</w:t>
      </w:r>
      <w:r>
        <w:rPr>
          <w:spacing w:val="-10"/>
          <w:sz w:val="16"/>
        </w:rPr>
        <w:t> </w:t>
      </w:r>
      <w:r>
        <w:rPr>
          <w:sz w:val="16"/>
        </w:rPr>
        <w:t>fines;</w:t>
      </w:r>
      <w:r>
        <w:rPr>
          <w:spacing w:val="-8"/>
          <w:sz w:val="16"/>
        </w:rPr>
        <w:t> </w:t>
      </w:r>
      <w:r>
        <w:rPr>
          <w:sz w:val="16"/>
        </w:rPr>
        <w:t>es</w:t>
      </w:r>
      <w:r>
        <w:rPr>
          <w:spacing w:val="-10"/>
          <w:sz w:val="16"/>
        </w:rPr>
        <w:t> </w:t>
      </w:r>
      <w:r>
        <w:rPr>
          <w:sz w:val="16"/>
        </w:rPr>
        <w:t>la</w:t>
      </w:r>
      <w:r>
        <w:rPr>
          <w:spacing w:val="-6"/>
          <w:sz w:val="16"/>
        </w:rPr>
        <w:t> </w:t>
      </w:r>
      <w:r>
        <w:rPr>
          <w:sz w:val="16"/>
        </w:rPr>
        <w:t>proporción</w:t>
      </w:r>
      <w:r>
        <w:rPr>
          <w:spacing w:val="-9"/>
          <w:sz w:val="16"/>
        </w:rPr>
        <w:t> </w:t>
      </w:r>
      <w:r>
        <w:rPr>
          <w:sz w:val="16"/>
        </w:rPr>
        <w:t>entre</w:t>
      </w:r>
      <w:r>
        <w:rPr>
          <w:spacing w:val="-9"/>
          <w:sz w:val="16"/>
        </w:rPr>
        <w:t> </w:t>
      </w:r>
      <w:r>
        <w:rPr>
          <w:sz w:val="16"/>
        </w:rPr>
        <w:t>la</w:t>
      </w:r>
      <w:r>
        <w:rPr>
          <w:spacing w:val="-9"/>
          <w:sz w:val="16"/>
        </w:rPr>
        <w:t> </w:t>
      </w:r>
      <w:r>
        <w:rPr>
          <w:sz w:val="16"/>
        </w:rPr>
        <w:t>utilización</w:t>
      </w:r>
      <w:r>
        <w:rPr>
          <w:spacing w:val="-9"/>
          <w:sz w:val="16"/>
        </w:rPr>
        <w:t> </w:t>
      </w:r>
      <w:r>
        <w:rPr>
          <w:sz w:val="16"/>
        </w:rPr>
        <w:t>de</w:t>
      </w:r>
      <w:r>
        <w:rPr>
          <w:spacing w:val="-9"/>
          <w:sz w:val="16"/>
        </w:rPr>
        <w:t> </w:t>
      </w:r>
      <w:r>
        <w:rPr>
          <w:sz w:val="16"/>
        </w:rPr>
        <w:t>insumos,</w:t>
      </w:r>
      <w:r>
        <w:rPr>
          <w:spacing w:val="-8"/>
          <w:sz w:val="16"/>
        </w:rPr>
        <w:t> </w:t>
      </w:r>
      <w:r>
        <w:rPr>
          <w:sz w:val="16"/>
        </w:rPr>
        <w:t>recursos,</w:t>
      </w:r>
      <w:r>
        <w:rPr>
          <w:spacing w:val="-10"/>
          <w:sz w:val="16"/>
        </w:rPr>
        <w:t> </w:t>
      </w:r>
      <w:r>
        <w:rPr>
          <w:sz w:val="16"/>
        </w:rPr>
        <w:t>costos, tiempo y forma en la que se relacionan los fines con los medios. A mayor eficiencia más racionalidad y optimización. La eficiencia se mide con indicadores de</w:t>
      </w:r>
      <w:r>
        <w:rPr>
          <w:spacing w:val="-17"/>
          <w:sz w:val="16"/>
        </w:rPr>
        <w:t> </w:t>
      </w:r>
      <w:r>
        <w:rPr>
          <w:sz w:val="16"/>
        </w:rPr>
        <w:t>gestión.</w:t>
      </w:r>
    </w:p>
    <w:p>
      <w:pPr>
        <w:spacing w:before="1"/>
        <w:ind w:left="122" w:right="115" w:firstLine="0"/>
        <w:jc w:val="both"/>
        <w:rPr>
          <w:sz w:val="16"/>
        </w:rPr>
      </w:pPr>
      <w:r>
        <w:rPr>
          <w:sz w:val="16"/>
        </w:rPr>
        <w:t>La economía mide el costo o los recursos aplicados para lograr los objetivos de un programa o política pública contra los resultados obtenidos implica racionalidad, es decir, elegir entre varias opciones la alternativa que conduzca al máximo cumplimiento de los objetivos con el menor gasto presupuestal posible. La principal interrogante es saber si –dentro del contexto</w:t>
      </w:r>
      <w:r>
        <w:rPr>
          <w:spacing w:val="-4"/>
          <w:sz w:val="16"/>
        </w:rPr>
        <w:t> </w:t>
      </w:r>
      <w:r>
        <w:rPr>
          <w:sz w:val="16"/>
        </w:rPr>
        <w:t>político</w:t>
      </w:r>
      <w:r>
        <w:rPr>
          <w:spacing w:val="-4"/>
          <w:sz w:val="16"/>
        </w:rPr>
        <w:t> </w:t>
      </w:r>
      <w:r>
        <w:rPr>
          <w:sz w:val="16"/>
        </w:rPr>
        <w:t>y</w:t>
      </w:r>
      <w:r>
        <w:rPr>
          <w:spacing w:val="-5"/>
          <w:sz w:val="16"/>
        </w:rPr>
        <w:t> </w:t>
      </w:r>
      <w:r>
        <w:rPr>
          <w:sz w:val="16"/>
        </w:rPr>
        <w:t>social</w:t>
      </w:r>
      <w:r>
        <w:rPr>
          <w:spacing w:val="-4"/>
          <w:sz w:val="16"/>
        </w:rPr>
        <w:t> </w:t>
      </w:r>
      <w:r>
        <w:rPr>
          <w:sz w:val="16"/>
        </w:rPr>
        <w:t>específico−</w:t>
      </w:r>
      <w:r>
        <w:rPr>
          <w:spacing w:val="-4"/>
          <w:sz w:val="16"/>
        </w:rPr>
        <w:t> </w:t>
      </w:r>
      <w:r>
        <w:rPr>
          <w:sz w:val="16"/>
        </w:rPr>
        <w:t>los</w:t>
      </w:r>
      <w:r>
        <w:rPr>
          <w:spacing w:val="-3"/>
          <w:sz w:val="16"/>
        </w:rPr>
        <w:t> </w:t>
      </w:r>
      <w:r>
        <w:rPr>
          <w:sz w:val="16"/>
        </w:rPr>
        <w:t>recursos</w:t>
      </w:r>
      <w:r>
        <w:rPr>
          <w:spacing w:val="-3"/>
          <w:sz w:val="16"/>
        </w:rPr>
        <w:t> </w:t>
      </w:r>
      <w:r>
        <w:rPr>
          <w:sz w:val="16"/>
        </w:rPr>
        <w:t>han</w:t>
      </w:r>
      <w:r>
        <w:rPr>
          <w:spacing w:val="-7"/>
          <w:sz w:val="16"/>
        </w:rPr>
        <w:t> </w:t>
      </w:r>
      <w:r>
        <w:rPr>
          <w:sz w:val="16"/>
        </w:rPr>
        <w:t>sido</w:t>
      </w:r>
      <w:r>
        <w:rPr>
          <w:spacing w:val="-5"/>
          <w:sz w:val="16"/>
        </w:rPr>
        <w:t> </w:t>
      </w:r>
      <w:r>
        <w:rPr>
          <w:sz w:val="16"/>
        </w:rPr>
        <w:t>aplicados</w:t>
      </w:r>
      <w:r>
        <w:rPr>
          <w:spacing w:val="-1"/>
          <w:sz w:val="16"/>
        </w:rPr>
        <w:t> </w:t>
      </w:r>
      <w:r>
        <w:rPr>
          <w:sz w:val="16"/>
        </w:rPr>
        <w:t>y</w:t>
      </w:r>
      <w:r>
        <w:rPr>
          <w:spacing w:val="-5"/>
          <w:sz w:val="16"/>
        </w:rPr>
        <w:t> </w:t>
      </w:r>
      <w:r>
        <w:rPr>
          <w:sz w:val="16"/>
        </w:rPr>
        <w:t>utilizados</w:t>
      </w:r>
      <w:r>
        <w:rPr>
          <w:spacing w:val="-3"/>
          <w:sz w:val="16"/>
        </w:rPr>
        <w:t> </w:t>
      </w:r>
      <w:r>
        <w:rPr>
          <w:sz w:val="16"/>
        </w:rPr>
        <w:t>de</w:t>
      </w:r>
      <w:r>
        <w:rPr>
          <w:spacing w:val="-4"/>
          <w:sz w:val="16"/>
        </w:rPr>
        <w:t> </w:t>
      </w:r>
      <w:r>
        <w:rPr>
          <w:sz w:val="16"/>
        </w:rPr>
        <w:t>un</w:t>
      </w:r>
      <w:r>
        <w:rPr>
          <w:spacing w:val="-7"/>
          <w:sz w:val="16"/>
        </w:rPr>
        <w:t> </w:t>
      </w:r>
      <w:r>
        <w:rPr>
          <w:sz w:val="16"/>
        </w:rPr>
        <w:t>modo</w:t>
      </w:r>
      <w:r>
        <w:rPr>
          <w:spacing w:val="-4"/>
          <w:sz w:val="16"/>
        </w:rPr>
        <w:t> </w:t>
      </w:r>
      <w:r>
        <w:rPr>
          <w:sz w:val="16"/>
        </w:rPr>
        <w:t>económico</w:t>
      </w:r>
      <w:r>
        <w:rPr>
          <w:spacing w:val="-4"/>
          <w:sz w:val="16"/>
        </w:rPr>
        <w:t> </w:t>
      </w:r>
      <w:r>
        <w:rPr>
          <w:sz w:val="16"/>
        </w:rPr>
        <w:t>para</w:t>
      </w:r>
      <w:r>
        <w:rPr>
          <w:spacing w:val="-4"/>
          <w:sz w:val="16"/>
        </w:rPr>
        <w:t> </w:t>
      </w:r>
      <w:r>
        <w:rPr>
          <w:sz w:val="16"/>
        </w:rPr>
        <w:t>lograr</w:t>
      </w:r>
      <w:r>
        <w:rPr>
          <w:spacing w:val="-4"/>
          <w:sz w:val="16"/>
        </w:rPr>
        <w:t> </w:t>
      </w:r>
      <w:r>
        <w:rPr>
          <w:sz w:val="16"/>
        </w:rPr>
        <w:t>los</w:t>
      </w:r>
      <w:r>
        <w:rPr>
          <w:spacing w:val="-3"/>
          <w:sz w:val="16"/>
        </w:rPr>
        <w:t> </w:t>
      </w:r>
      <w:r>
        <w:rPr>
          <w:sz w:val="16"/>
        </w:rPr>
        <w:t>fines previstos. También se le conoce como valor por dinero o </w:t>
      </w:r>
      <w:r>
        <w:rPr>
          <w:i/>
          <w:sz w:val="16"/>
        </w:rPr>
        <w:t>valve for</w:t>
      </w:r>
      <w:r>
        <w:rPr>
          <w:i/>
          <w:spacing w:val="-20"/>
          <w:sz w:val="16"/>
        </w:rPr>
        <w:t> </w:t>
      </w:r>
      <w:r>
        <w:rPr>
          <w:i/>
          <w:sz w:val="16"/>
        </w:rPr>
        <w:t>money</w:t>
      </w:r>
      <w:r>
        <w:rPr>
          <w:sz w:val="16"/>
        </w:rPr>
        <w:t>.”</w:t>
      </w:r>
    </w:p>
    <w:p>
      <w:pPr>
        <w:spacing w:line="183" w:lineRule="exact" w:before="1"/>
        <w:ind w:left="122" w:right="0" w:firstLine="0"/>
        <w:jc w:val="both"/>
        <w:rPr>
          <w:sz w:val="16"/>
        </w:rPr>
      </w:pPr>
      <w:r>
        <w:rPr>
          <w:sz w:val="16"/>
        </w:rPr>
        <w:t>ASF/AED. </w:t>
      </w:r>
      <w:r>
        <w:rPr>
          <w:i/>
          <w:sz w:val="16"/>
        </w:rPr>
        <w:t>Marco operativo </w:t>
      </w:r>
      <w:r>
        <w:rPr>
          <w:sz w:val="16"/>
        </w:rPr>
        <w:t>(2009: 158-161)</w:t>
      </w:r>
    </w:p>
    <w:p>
      <w:pPr>
        <w:spacing w:line="249" w:lineRule="auto" w:before="0"/>
        <w:ind w:left="122" w:right="119" w:firstLine="0"/>
        <w:jc w:val="both"/>
        <w:rPr>
          <w:sz w:val="16"/>
        </w:rPr>
      </w:pPr>
      <w:r>
        <w:rPr>
          <w:rFonts w:ascii="Calibri" w:hAnsi="Calibri"/>
          <w:position w:val="8"/>
          <w:sz w:val="14"/>
        </w:rPr>
        <w:t>13</w:t>
      </w:r>
      <w:r>
        <w:rPr>
          <w:sz w:val="16"/>
        </w:rPr>
        <w:t>“Todo</w:t>
      </w:r>
      <w:r>
        <w:rPr>
          <w:spacing w:val="-9"/>
          <w:sz w:val="16"/>
        </w:rPr>
        <w:t> </w:t>
      </w:r>
      <w:r>
        <w:rPr>
          <w:sz w:val="16"/>
        </w:rPr>
        <w:t>desempeño</w:t>
      </w:r>
      <w:r>
        <w:rPr>
          <w:spacing w:val="-12"/>
          <w:sz w:val="16"/>
        </w:rPr>
        <w:t> </w:t>
      </w:r>
      <w:r>
        <w:rPr>
          <w:sz w:val="16"/>
        </w:rPr>
        <w:t>se</w:t>
      </w:r>
      <w:r>
        <w:rPr>
          <w:spacing w:val="-14"/>
          <w:sz w:val="16"/>
        </w:rPr>
        <w:t> </w:t>
      </w:r>
      <w:r>
        <w:rPr>
          <w:sz w:val="16"/>
        </w:rPr>
        <w:t>mide</w:t>
      </w:r>
      <w:r>
        <w:rPr>
          <w:spacing w:val="-9"/>
          <w:sz w:val="16"/>
        </w:rPr>
        <w:t> </w:t>
      </w:r>
      <w:r>
        <w:rPr>
          <w:sz w:val="16"/>
        </w:rPr>
        <w:t>por</w:t>
      </w:r>
      <w:r>
        <w:rPr>
          <w:spacing w:val="-9"/>
          <w:sz w:val="16"/>
        </w:rPr>
        <w:t> </w:t>
      </w:r>
      <w:r>
        <w:rPr>
          <w:sz w:val="16"/>
        </w:rPr>
        <w:t>el</w:t>
      </w:r>
      <w:r>
        <w:rPr>
          <w:spacing w:val="-11"/>
          <w:sz w:val="16"/>
        </w:rPr>
        <w:t> </w:t>
      </w:r>
      <w:r>
        <w:rPr>
          <w:sz w:val="16"/>
        </w:rPr>
        <w:t>resultado</w:t>
      </w:r>
      <w:r>
        <w:rPr>
          <w:spacing w:val="-12"/>
          <w:sz w:val="16"/>
        </w:rPr>
        <w:t> </w:t>
      </w:r>
      <w:r>
        <w:rPr>
          <w:sz w:val="16"/>
        </w:rPr>
        <w:t>obtenido</w:t>
      </w:r>
      <w:r>
        <w:rPr>
          <w:spacing w:val="-9"/>
          <w:sz w:val="16"/>
        </w:rPr>
        <w:t> </w:t>
      </w:r>
      <w:r>
        <w:rPr>
          <w:sz w:val="16"/>
        </w:rPr>
        <w:t>y</w:t>
      </w:r>
      <w:r>
        <w:rPr>
          <w:spacing w:val="-12"/>
          <w:sz w:val="16"/>
        </w:rPr>
        <w:t> </w:t>
      </w:r>
      <w:r>
        <w:rPr>
          <w:sz w:val="16"/>
        </w:rPr>
        <w:t>se</w:t>
      </w:r>
      <w:r>
        <w:rPr>
          <w:spacing w:val="-14"/>
          <w:sz w:val="16"/>
        </w:rPr>
        <w:t> </w:t>
      </w:r>
      <w:r>
        <w:rPr>
          <w:sz w:val="16"/>
        </w:rPr>
        <w:t>compara</w:t>
      </w:r>
      <w:r>
        <w:rPr>
          <w:spacing w:val="-12"/>
          <w:sz w:val="16"/>
        </w:rPr>
        <w:t> </w:t>
      </w:r>
      <w:r>
        <w:rPr>
          <w:sz w:val="16"/>
        </w:rPr>
        <w:t>con</w:t>
      </w:r>
      <w:r>
        <w:rPr>
          <w:spacing w:val="-9"/>
          <w:sz w:val="16"/>
        </w:rPr>
        <w:t> </w:t>
      </w:r>
      <w:r>
        <w:rPr>
          <w:sz w:val="16"/>
        </w:rPr>
        <w:t>los</w:t>
      </w:r>
      <w:r>
        <w:rPr>
          <w:spacing w:val="-12"/>
          <w:sz w:val="16"/>
        </w:rPr>
        <w:t> </w:t>
      </w:r>
      <w:r>
        <w:rPr>
          <w:sz w:val="16"/>
        </w:rPr>
        <w:t>costos</w:t>
      </w:r>
      <w:r>
        <w:rPr>
          <w:spacing w:val="-10"/>
          <w:sz w:val="16"/>
        </w:rPr>
        <w:t> </w:t>
      </w:r>
      <w:r>
        <w:rPr>
          <w:sz w:val="16"/>
        </w:rPr>
        <w:t>y</w:t>
      </w:r>
      <w:r>
        <w:rPr>
          <w:spacing w:val="-10"/>
          <w:sz w:val="16"/>
        </w:rPr>
        <w:t> </w:t>
      </w:r>
      <w:r>
        <w:rPr>
          <w:sz w:val="16"/>
        </w:rPr>
        <w:t>otras</w:t>
      </w:r>
      <w:r>
        <w:rPr>
          <w:spacing w:val="-10"/>
          <w:sz w:val="16"/>
        </w:rPr>
        <w:t> </w:t>
      </w:r>
      <w:r>
        <w:rPr>
          <w:sz w:val="16"/>
        </w:rPr>
        <w:t>circunstancias</w:t>
      </w:r>
      <w:r>
        <w:rPr>
          <w:spacing w:val="-12"/>
          <w:sz w:val="16"/>
        </w:rPr>
        <w:t> </w:t>
      </w:r>
      <w:r>
        <w:rPr>
          <w:sz w:val="16"/>
        </w:rPr>
        <w:t>adversas</w:t>
      </w:r>
      <w:r>
        <w:rPr>
          <w:spacing w:val="-8"/>
          <w:sz w:val="16"/>
        </w:rPr>
        <w:t> </w:t>
      </w:r>
      <w:r>
        <w:rPr>
          <w:sz w:val="16"/>
        </w:rPr>
        <w:t>que</w:t>
      </w:r>
      <w:r>
        <w:rPr>
          <w:spacing w:val="-12"/>
          <w:sz w:val="16"/>
        </w:rPr>
        <w:t> </w:t>
      </w:r>
      <w:r>
        <w:rPr>
          <w:sz w:val="16"/>
        </w:rPr>
        <w:t>hacen improbable su realización. En virtud del desempeño se logran objetivos y metas que no se obtendrían mediante la inacción. De</w:t>
      </w:r>
      <w:r>
        <w:rPr>
          <w:spacing w:val="-4"/>
          <w:sz w:val="16"/>
        </w:rPr>
        <w:t> </w:t>
      </w:r>
      <w:r>
        <w:rPr>
          <w:sz w:val="16"/>
        </w:rPr>
        <w:t>ahí</w:t>
      </w:r>
      <w:r>
        <w:rPr>
          <w:spacing w:val="-5"/>
          <w:sz w:val="16"/>
        </w:rPr>
        <w:t> </w:t>
      </w:r>
      <w:r>
        <w:rPr>
          <w:sz w:val="16"/>
        </w:rPr>
        <w:t>que</w:t>
      </w:r>
      <w:r>
        <w:rPr>
          <w:spacing w:val="-4"/>
          <w:sz w:val="16"/>
        </w:rPr>
        <w:t> </w:t>
      </w:r>
      <w:r>
        <w:rPr>
          <w:sz w:val="16"/>
        </w:rPr>
        <w:t>haya</w:t>
      </w:r>
      <w:r>
        <w:rPr>
          <w:spacing w:val="-4"/>
          <w:sz w:val="16"/>
        </w:rPr>
        <w:t> </w:t>
      </w:r>
      <w:r>
        <w:rPr>
          <w:sz w:val="16"/>
        </w:rPr>
        <w:t>nacido</w:t>
      </w:r>
      <w:r>
        <w:rPr>
          <w:spacing w:val="-5"/>
          <w:sz w:val="16"/>
        </w:rPr>
        <w:t> </w:t>
      </w:r>
      <w:r>
        <w:rPr>
          <w:sz w:val="16"/>
        </w:rPr>
        <w:t>una</w:t>
      </w:r>
      <w:r>
        <w:rPr>
          <w:spacing w:val="-4"/>
          <w:sz w:val="16"/>
        </w:rPr>
        <w:t> </w:t>
      </w:r>
      <w:r>
        <w:rPr>
          <w:sz w:val="16"/>
        </w:rPr>
        <w:t>corriente</w:t>
      </w:r>
      <w:r>
        <w:rPr>
          <w:spacing w:val="-4"/>
          <w:sz w:val="16"/>
        </w:rPr>
        <w:t> </w:t>
      </w:r>
      <w:r>
        <w:rPr>
          <w:sz w:val="16"/>
        </w:rPr>
        <w:t>académica,</w:t>
      </w:r>
      <w:r>
        <w:rPr>
          <w:spacing w:val="-5"/>
          <w:sz w:val="16"/>
        </w:rPr>
        <w:t> </w:t>
      </w:r>
      <w:r>
        <w:rPr>
          <w:sz w:val="16"/>
        </w:rPr>
        <w:t>hoy</w:t>
      </w:r>
      <w:r>
        <w:rPr>
          <w:spacing w:val="-5"/>
          <w:sz w:val="16"/>
        </w:rPr>
        <w:t> </w:t>
      </w:r>
      <w:r>
        <w:rPr>
          <w:sz w:val="16"/>
        </w:rPr>
        <w:t>predominante</w:t>
      </w:r>
      <w:r>
        <w:rPr>
          <w:spacing w:val="-7"/>
          <w:sz w:val="16"/>
        </w:rPr>
        <w:t> </w:t>
      </w:r>
      <w:r>
        <w:rPr>
          <w:sz w:val="16"/>
        </w:rPr>
        <w:t>en</w:t>
      </w:r>
      <w:r>
        <w:rPr>
          <w:spacing w:val="-4"/>
          <w:sz w:val="16"/>
        </w:rPr>
        <w:t> </w:t>
      </w:r>
      <w:r>
        <w:rPr>
          <w:sz w:val="16"/>
        </w:rPr>
        <w:t>los</w:t>
      </w:r>
      <w:r>
        <w:rPr>
          <w:spacing w:val="-5"/>
          <w:sz w:val="16"/>
        </w:rPr>
        <w:t> </w:t>
      </w:r>
      <w:r>
        <w:rPr>
          <w:sz w:val="16"/>
        </w:rPr>
        <w:t>círculos</w:t>
      </w:r>
      <w:r>
        <w:rPr>
          <w:spacing w:val="-3"/>
          <w:sz w:val="16"/>
        </w:rPr>
        <w:t> </w:t>
      </w:r>
      <w:r>
        <w:rPr>
          <w:sz w:val="16"/>
        </w:rPr>
        <w:t>especializados</w:t>
      </w:r>
      <w:r>
        <w:rPr>
          <w:spacing w:val="-3"/>
          <w:sz w:val="16"/>
        </w:rPr>
        <w:t> </w:t>
      </w:r>
      <w:r>
        <w:rPr>
          <w:sz w:val="16"/>
        </w:rPr>
        <w:t>en</w:t>
      </w:r>
      <w:r>
        <w:rPr>
          <w:spacing w:val="-7"/>
          <w:sz w:val="16"/>
        </w:rPr>
        <w:t> </w:t>
      </w:r>
      <w:r>
        <w:rPr>
          <w:sz w:val="16"/>
        </w:rPr>
        <w:t>el</w:t>
      </w:r>
      <w:r>
        <w:rPr>
          <w:spacing w:val="-3"/>
          <w:sz w:val="16"/>
        </w:rPr>
        <w:t> </w:t>
      </w:r>
      <w:r>
        <w:rPr>
          <w:sz w:val="16"/>
        </w:rPr>
        <w:t>estudio</w:t>
      </w:r>
      <w:r>
        <w:rPr>
          <w:spacing w:val="-4"/>
          <w:sz w:val="16"/>
        </w:rPr>
        <w:t> </w:t>
      </w:r>
      <w:r>
        <w:rPr>
          <w:sz w:val="16"/>
        </w:rPr>
        <w:t>de</w:t>
      </w:r>
      <w:r>
        <w:rPr>
          <w:spacing w:val="-7"/>
          <w:sz w:val="16"/>
        </w:rPr>
        <w:t> </w:t>
      </w:r>
      <w:r>
        <w:rPr>
          <w:sz w:val="16"/>
        </w:rPr>
        <w:t>la</w:t>
      </w:r>
      <w:r>
        <w:rPr>
          <w:spacing w:val="-4"/>
          <w:sz w:val="16"/>
        </w:rPr>
        <w:t> </w:t>
      </w:r>
      <w:r>
        <w:rPr>
          <w:sz w:val="16"/>
        </w:rPr>
        <w:t>acción gubernamental</w:t>
      </w:r>
      <w:r>
        <w:rPr>
          <w:spacing w:val="14"/>
          <w:sz w:val="16"/>
        </w:rPr>
        <w:t> </w:t>
      </w:r>
      <w:r>
        <w:rPr>
          <w:sz w:val="16"/>
        </w:rPr>
        <w:t>que</w:t>
      </w:r>
      <w:r>
        <w:rPr>
          <w:spacing w:val="14"/>
          <w:sz w:val="16"/>
        </w:rPr>
        <w:t> </w:t>
      </w:r>
      <w:r>
        <w:rPr>
          <w:sz w:val="16"/>
        </w:rPr>
        <w:t>se</w:t>
      </w:r>
      <w:r>
        <w:rPr>
          <w:spacing w:val="14"/>
          <w:sz w:val="16"/>
        </w:rPr>
        <w:t> </w:t>
      </w:r>
      <w:r>
        <w:rPr>
          <w:sz w:val="16"/>
        </w:rPr>
        <w:t>le</w:t>
      </w:r>
      <w:r>
        <w:rPr>
          <w:spacing w:val="14"/>
          <w:sz w:val="16"/>
        </w:rPr>
        <w:t> </w:t>
      </w:r>
      <w:r>
        <w:rPr>
          <w:sz w:val="16"/>
        </w:rPr>
        <w:t>denomina</w:t>
      </w:r>
      <w:r>
        <w:rPr>
          <w:spacing w:val="15"/>
          <w:sz w:val="16"/>
        </w:rPr>
        <w:t> </w:t>
      </w:r>
      <w:r>
        <w:rPr>
          <w:sz w:val="16"/>
        </w:rPr>
        <w:t>behaviorismo</w:t>
      </w:r>
      <w:r>
        <w:rPr>
          <w:spacing w:val="14"/>
          <w:sz w:val="16"/>
        </w:rPr>
        <w:t> </w:t>
      </w:r>
      <w:r>
        <w:rPr>
          <w:sz w:val="16"/>
        </w:rPr>
        <w:t>o</w:t>
      </w:r>
      <w:r>
        <w:rPr>
          <w:spacing w:val="11"/>
          <w:sz w:val="16"/>
        </w:rPr>
        <w:t> </w:t>
      </w:r>
      <w:r>
        <w:rPr>
          <w:sz w:val="16"/>
        </w:rPr>
        <w:t>conductismo</w:t>
      </w:r>
      <w:r>
        <w:rPr>
          <w:spacing w:val="14"/>
          <w:sz w:val="16"/>
        </w:rPr>
        <w:t> </w:t>
      </w:r>
      <w:r>
        <w:rPr>
          <w:sz w:val="16"/>
        </w:rPr>
        <w:t>que</w:t>
      </w:r>
      <w:r>
        <w:rPr>
          <w:spacing w:val="15"/>
          <w:sz w:val="16"/>
        </w:rPr>
        <w:t> </w:t>
      </w:r>
      <w:r>
        <w:rPr>
          <w:sz w:val="16"/>
        </w:rPr>
        <w:t>estudia</w:t>
      </w:r>
      <w:r>
        <w:rPr>
          <w:spacing w:val="14"/>
          <w:sz w:val="16"/>
        </w:rPr>
        <w:t> </w:t>
      </w:r>
      <w:r>
        <w:rPr>
          <w:sz w:val="16"/>
        </w:rPr>
        <w:t>el</w:t>
      </w:r>
      <w:r>
        <w:rPr>
          <w:spacing w:val="14"/>
          <w:sz w:val="16"/>
        </w:rPr>
        <w:t> </w:t>
      </w:r>
      <w:r>
        <w:rPr>
          <w:sz w:val="16"/>
        </w:rPr>
        <w:t>comportamiento</w:t>
      </w:r>
      <w:r>
        <w:rPr>
          <w:spacing w:val="15"/>
          <w:sz w:val="16"/>
        </w:rPr>
        <w:t> </w:t>
      </w:r>
      <w:r>
        <w:rPr>
          <w:sz w:val="16"/>
        </w:rPr>
        <w:t>de</w:t>
      </w:r>
      <w:r>
        <w:rPr>
          <w:spacing w:val="15"/>
          <w:sz w:val="16"/>
        </w:rPr>
        <w:t> </w:t>
      </w:r>
      <w:r>
        <w:rPr>
          <w:sz w:val="16"/>
        </w:rPr>
        <w:t>grupos,</w:t>
      </w:r>
      <w:r>
        <w:rPr>
          <w:spacing w:val="14"/>
          <w:sz w:val="16"/>
        </w:rPr>
        <w:t> </w:t>
      </w:r>
      <w:r>
        <w:rPr>
          <w:sz w:val="16"/>
        </w:rPr>
        <w:t>instituciones,</w:t>
      </w:r>
    </w:p>
    <w:p>
      <w:pPr>
        <w:spacing w:line="240" w:lineRule="auto" w:before="0"/>
        <w:ind w:left="122" w:right="116" w:firstLine="0"/>
        <w:jc w:val="both"/>
        <w:rPr>
          <w:sz w:val="16"/>
        </w:rPr>
      </w:pPr>
      <w:r>
        <w:rPr>
          <w:sz w:val="16"/>
        </w:rPr>
        <w:t>procesos</w:t>
      </w:r>
      <w:r>
        <w:rPr>
          <w:spacing w:val="-5"/>
          <w:sz w:val="16"/>
        </w:rPr>
        <w:t> </w:t>
      </w:r>
      <w:r>
        <w:rPr>
          <w:sz w:val="16"/>
        </w:rPr>
        <w:t>o</w:t>
      </w:r>
      <w:r>
        <w:rPr>
          <w:spacing w:val="-7"/>
          <w:sz w:val="16"/>
        </w:rPr>
        <w:t> </w:t>
      </w:r>
      <w:r>
        <w:rPr>
          <w:sz w:val="16"/>
        </w:rPr>
        <w:t>sistemas.</w:t>
      </w:r>
      <w:r>
        <w:rPr>
          <w:spacing w:val="-5"/>
          <w:sz w:val="16"/>
        </w:rPr>
        <w:t> </w:t>
      </w:r>
      <w:r>
        <w:rPr>
          <w:sz w:val="16"/>
        </w:rPr>
        <w:t>El</w:t>
      </w:r>
      <w:r>
        <w:rPr>
          <w:spacing w:val="-6"/>
          <w:sz w:val="16"/>
        </w:rPr>
        <w:t> </w:t>
      </w:r>
      <w:r>
        <w:rPr>
          <w:sz w:val="16"/>
        </w:rPr>
        <w:t>desempeño</w:t>
      </w:r>
      <w:r>
        <w:rPr>
          <w:spacing w:val="-4"/>
          <w:sz w:val="16"/>
        </w:rPr>
        <w:t> </w:t>
      </w:r>
      <w:r>
        <w:rPr>
          <w:sz w:val="16"/>
        </w:rPr>
        <w:t>del</w:t>
      </w:r>
      <w:r>
        <w:rPr>
          <w:spacing w:val="-3"/>
          <w:sz w:val="16"/>
        </w:rPr>
        <w:t> </w:t>
      </w:r>
      <w:r>
        <w:rPr>
          <w:sz w:val="16"/>
        </w:rPr>
        <w:t>gobierno</w:t>
      </w:r>
      <w:r>
        <w:rPr>
          <w:spacing w:val="-4"/>
          <w:sz w:val="16"/>
        </w:rPr>
        <w:t> </w:t>
      </w:r>
      <w:r>
        <w:rPr>
          <w:sz w:val="16"/>
        </w:rPr>
        <w:t>se</w:t>
      </w:r>
      <w:r>
        <w:rPr>
          <w:spacing w:val="-4"/>
          <w:sz w:val="16"/>
        </w:rPr>
        <w:t> </w:t>
      </w:r>
      <w:r>
        <w:rPr>
          <w:sz w:val="16"/>
        </w:rPr>
        <w:t>relaciona</w:t>
      </w:r>
      <w:r>
        <w:rPr>
          <w:spacing w:val="-4"/>
          <w:sz w:val="16"/>
        </w:rPr>
        <w:t> </w:t>
      </w:r>
      <w:r>
        <w:rPr>
          <w:sz w:val="16"/>
        </w:rPr>
        <w:t>con</w:t>
      </w:r>
      <w:r>
        <w:rPr>
          <w:spacing w:val="-7"/>
          <w:sz w:val="16"/>
        </w:rPr>
        <w:t> </w:t>
      </w:r>
      <w:r>
        <w:rPr>
          <w:sz w:val="16"/>
        </w:rPr>
        <w:t>los</w:t>
      </w:r>
      <w:r>
        <w:rPr>
          <w:spacing w:val="-3"/>
          <w:sz w:val="16"/>
        </w:rPr>
        <w:t> </w:t>
      </w:r>
      <w:r>
        <w:rPr>
          <w:sz w:val="16"/>
        </w:rPr>
        <w:t>tres</w:t>
      </w:r>
      <w:r>
        <w:rPr>
          <w:spacing w:val="-3"/>
          <w:sz w:val="16"/>
        </w:rPr>
        <w:t> </w:t>
      </w:r>
      <w:r>
        <w:rPr>
          <w:sz w:val="16"/>
        </w:rPr>
        <w:t>tiempos</w:t>
      </w:r>
      <w:r>
        <w:rPr>
          <w:spacing w:val="-3"/>
          <w:sz w:val="16"/>
        </w:rPr>
        <w:t> </w:t>
      </w:r>
      <w:r>
        <w:rPr>
          <w:sz w:val="16"/>
        </w:rPr>
        <w:t>simples:</w:t>
      </w:r>
      <w:r>
        <w:rPr>
          <w:spacing w:val="-5"/>
          <w:sz w:val="16"/>
        </w:rPr>
        <w:t> </w:t>
      </w:r>
      <w:r>
        <w:rPr>
          <w:sz w:val="16"/>
        </w:rPr>
        <w:t>con</w:t>
      </w:r>
      <w:r>
        <w:rPr>
          <w:spacing w:val="-4"/>
          <w:sz w:val="16"/>
        </w:rPr>
        <w:t> </w:t>
      </w:r>
      <w:r>
        <w:rPr>
          <w:sz w:val="16"/>
        </w:rPr>
        <w:t>el</w:t>
      </w:r>
      <w:r>
        <w:rPr>
          <w:spacing w:val="-6"/>
          <w:sz w:val="16"/>
        </w:rPr>
        <w:t> </w:t>
      </w:r>
      <w:r>
        <w:rPr>
          <w:sz w:val="16"/>
        </w:rPr>
        <w:t>pasado</w:t>
      </w:r>
      <w:r>
        <w:rPr>
          <w:spacing w:val="-4"/>
          <w:sz w:val="16"/>
        </w:rPr>
        <w:t> </w:t>
      </w:r>
      <w:r>
        <w:rPr>
          <w:sz w:val="16"/>
        </w:rPr>
        <w:t>para</w:t>
      </w:r>
      <w:r>
        <w:rPr>
          <w:spacing w:val="-4"/>
          <w:sz w:val="16"/>
        </w:rPr>
        <w:t> </w:t>
      </w:r>
      <w:r>
        <w:rPr>
          <w:sz w:val="16"/>
        </w:rPr>
        <w:t>saber</w:t>
      </w:r>
      <w:r>
        <w:rPr>
          <w:spacing w:val="-4"/>
          <w:sz w:val="16"/>
        </w:rPr>
        <w:t> </w:t>
      </w:r>
      <w:r>
        <w:rPr>
          <w:sz w:val="16"/>
        </w:rPr>
        <w:t>qué</w:t>
      </w:r>
      <w:r>
        <w:rPr>
          <w:spacing w:val="-7"/>
          <w:sz w:val="16"/>
        </w:rPr>
        <w:t> </w:t>
      </w:r>
      <w:r>
        <w:rPr>
          <w:sz w:val="16"/>
        </w:rPr>
        <w:t>se pudo hacer y qué experiencias proporciona la historia; con el presente para hacer el máximo posible “aquí y ahora”; y con el futuro para preparar el camino de lo que falta por hacer. Por lo tanto, el desempeño del gobierno se relaciona con: Primero, alcanzar</w:t>
      </w:r>
      <w:r>
        <w:rPr>
          <w:spacing w:val="-2"/>
          <w:sz w:val="16"/>
        </w:rPr>
        <w:t> </w:t>
      </w:r>
      <w:r>
        <w:rPr>
          <w:sz w:val="16"/>
        </w:rPr>
        <w:t>la</w:t>
      </w:r>
      <w:r>
        <w:rPr>
          <w:spacing w:val="-4"/>
          <w:sz w:val="16"/>
        </w:rPr>
        <w:t> </w:t>
      </w:r>
      <w:r>
        <w:rPr>
          <w:sz w:val="16"/>
        </w:rPr>
        <w:t>mayor</w:t>
      </w:r>
      <w:r>
        <w:rPr>
          <w:spacing w:val="-4"/>
          <w:sz w:val="16"/>
        </w:rPr>
        <w:t> </w:t>
      </w:r>
      <w:r>
        <w:rPr>
          <w:sz w:val="16"/>
        </w:rPr>
        <w:t>cantidad</w:t>
      </w:r>
      <w:r>
        <w:rPr>
          <w:spacing w:val="-4"/>
          <w:sz w:val="16"/>
        </w:rPr>
        <w:t> </w:t>
      </w:r>
      <w:r>
        <w:rPr>
          <w:sz w:val="16"/>
        </w:rPr>
        <w:t>posible</w:t>
      </w:r>
      <w:r>
        <w:rPr>
          <w:spacing w:val="-2"/>
          <w:sz w:val="16"/>
        </w:rPr>
        <w:t> </w:t>
      </w:r>
      <w:r>
        <w:rPr>
          <w:sz w:val="16"/>
        </w:rPr>
        <w:t>de</w:t>
      </w:r>
      <w:r>
        <w:rPr>
          <w:spacing w:val="-2"/>
          <w:sz w:val="16"/>
        </w:rPr>
        <w:t> </w:t>
      </w:r>
      <w:r>
        <w:rPr>
          <w:sz w:val="16"/>
        </w:rPr>
        <w:t>cada</w:t>
      </w:r>
      <w:r>
        <w:rPr>
          <w:spacing w:val="-4"/>
          <w:sz w:val="16"/>
        </w:rPr>
        <w:t> </w:t>
      </w:r>
      <w:r>
        <w:rPr>
          <w:sz w:val="16"/>
        </w:rPr>
        <w:t>uno</w:t>
      </w:r>
      <w:r>
        <w:rPr>
          <w:spacing w:val="-2"/>
          <w:sz w:val="16"/>
        </w:rPr>
        <w:t> </w:t>
      </w:r>
      <w:r>
        <w:rPr>
          <w:sz w:val="16"/>
        </w:rPr>
        <w:t>de</w:t>
      </w:r>
      <w:r>
        <w:rPr>
          <w:spacing w:val="-2"/>
          <w:sz w:val="16"/>
        </w:rPr>
        <w:t> </w:t>
      </w:r>
      <w:r>
        <w:rPr>
          <w:sz w:val="16"/>
        </w:rPr>
        <w:t>los</w:t>
      </w:r>
      <w:r>
        <w:rPr>
          <w:spacing w:val="-3"/>
          <w:sz w:val="16"/>
        </w:rPr>
        <w:t> </w:t>
      </w:r>
      <w:r>
        <w:rPr>
          <w:sz w:val="16"/>
        </w:rPr>
        <w:t>múltiples</w:t>
      </w:r>
      <w:r>
        <w:rPr>
          <w:spacing w:val="-3"/>
          <w:sz w:val="16"/>
        </w:rPr>
        <w:t> </w:t>
      </w:r>
      <w:r>
        <w:rPr>
          <w:sz w:val="16"/>
        </w:rPr>
        <w:t>valores que</w:t>
      </w:r>
      <w:r>
        <w:rPr>
          <w:spacing w:val="-2"/>
          <w:sz w:val="16"/>
        </w:rPr>
        <w:t> </w:t>
      </w:r>
      <w:r>
        <w:rPr>
          <w:sz w:val="16"/>
        </w:rPr>
        <w:t>el</w:t>
      </w:r>
      <w:r>
        <w:rPr>
          <w:spacing w:val="-4"/>
          <w:sz w:val="16"/>
        </w:rPr>
        <w:t> </w:t>
      </w:r>
      <w:r>
        <w:rPr>
          <w:sz w:val="16"/>
        </w:rPr>
        <w:t>pueblo</w:t>
      </w:r>
      <w:r>
        <w:rPr>
          <w:spacing w:val="-2"/>
          <w:sz w:val="16"/>
        </w:rPr>
        <w:t> </w:t>
      </w:r>
      <w:r>
        <w:rPr>
          <w:sz w:val="16"/>
        </w:rPr>
        <w:t>desea</w:t>
      </w:r>
      <w:r>
        <w:rPr>
          <w:spacing w:val="-4"/>
          <w:sz w:val="16"/>
        </w:rPr>
        <w:t> </w:t>
      </w:r>
      <w:r>
        <w:rPr>
          <w:sz w:val="16"/>
        </w:rPr>
        <w:t>ahora.</w:t>
      </w:r>
    </w:p>
    <w:p>
      <w:pPr>
        <w:spacing w:before="0"/>
        <w:ind w:left="122" w:right="116" w:firstLine="0"/>
        <w:jc w:val="both"/>
        <w:rPr>
          <w:sz w:val="16"/>
        </w:rPr>
      </w:pPr>
      <w:r>
        <w:rPr>
          <w:sz w:val="16"/>
        </w:rPr>
        <w:t>Segundo, mantener la búsqueda de estos valores lo más compatible con el futuro inmediato. Tercero, preservar y aumentar la capacidad para buscar nuevos valores y alcanzarlos. ”ASF/AED. </w:t>
      </w:r>
      <w:r>
        <w:rPr>
          <w:i/>
          <w:sz w:val="16"/>
        </w:rPr>
        <w:t>Marco operativo </w:t>
      </w:r>
      <w:r>
        <w:rPr>
          <w:sz w:val="16"/>
        </w:rPr>
        <w:t>(2009: 157)</w:t>
      </w:r>
    </w:p>
    <w:p>
      <w:pPr>
        <w:spacing w:after="0"/>
        <w:jc w:val="both"/>
        <w:rPr>
          <w:sz w:val="16"/>
        </w:rPr>
        <w:sectPr>
          <w:pgSz w:w="12240" w:h="15840"/>
          <w:pgMar w:header="0" w:footer="1003" w:top="1360" w:bottom="1200" w:left="1580" w:right="1580"/>
        </w:sectPr>
      </w:pPr>
    </w:p>
    <w:p>
      <w:pPr>
        <w:pStyle w:val="BodyText"/>
        <w:spacing w:line="360" w:lineRule="auto" w:before="54"/>
        <w:ind w:left="122" w:right="117" w:firstLine="427"/>
        <w:jc w:val="both"/>
      </w:pPr>
      <w:r>
        <w:rPr/>
        <w:t>El</w:t>
      </w:r>
      <w:r>
        <w:rPr>
          <w:spacing w:val="-11"/>
        </w:rPr>
        <w:t> </w:t>
      </w:r>
      <w:r>
        <w:rPr/>
        <w:t>incumplimiento</w:t>
      </w:r>
      <w:r>
        <w:rPr>
          <w:spacing w:val="-9"/>
        </w:rPr>
        <w:t> </w:t>
      </w:r>
      <w:r>
        <w:rPr/>
        <w:t>de</w:t>
      </w:r>
      <w:r>
        <w:rPr>
          <w:spacing w:val="-9"/>
        </w:rPr>
        <w:t> </w:t>
      </w:r>
      <w:r>
        <w:rPr/>
        <w:t>un</w:t>
      </w:r>
      <w:r>
        <w:rPr>
          <w:spacing w:val="-9"/>
        </w:rPr>
        <w:t> </w:t>
      </w:r>
      <w:r>
        <w:rPr/>
        <w:t>programa</w:t>
      </w:r>
      <w:r>
        <w:rPr>
          <w:spacing w:val="-12"/>
        </w:rPr>
        <w:t> </w:t>
      </w:r>
      <w:r>
        <w:rPr/>
        <w:t>económico</w:t>
      </w:r>
      <w:r>
        <w:rPr>
          <w:spacing w:val="-12"/>
        </w:rPr>
        <w:t> </w:t>
      </w:r>
      <w:r>
        <w:rPr/>
        <w:t>puede</w:t>
      </w:r>
      <w:r>
        <w:rPr>
          <w:spacing w:val="-9"/>
        </w:rPr>
        <w:t> </w:t>
      </w:r>
      <w:r>
        <w:rPr/>
        <w:t>ser</w:t>
      </w:r>
      <w:r>
        <w:rPr>
          <w:spacing w:val="-11"/>
        </w:rPr>
        <w:t> </w:t>
      </w:r>
      <w:r>
        <w:rPr/>
        <w:t>benéfico</w:t>
      </w:r>
      <w:r>
        <w:rPr>
          <w:spacing w:val="-9"/>
        </w:rPr>
        <w:t> </w:t>
      </w:r>
      <w:r>
        <w:rPr/>
        <w:t>políticamente sólo si ello genera estabilidad política (al menos en el corto plazo). En los países avanzados generalmente tienen sistemas políticos sólidos y la economía les sirve de base para afianzar el poder político, no así en los</w:t>
      </w:r>
      <w:r>
        <w:rPr>
          <w:spacing w:val="-29"/>
        </w:rPr>
        <w:t> </w:t>
      </w:r>
      <w:r>
        <w:rPr/>
        <w:t>emergentes.</w:t>
      </w:r>
    </w:p>
    <w:p>
      <w:pPr>
        <w:pStyle w:val="BodyText"/>
        <w:spacing w:line="360" w:lineRule="auto" w:before="2"/>
        <w:ind w:left="122" w:right="119" w:firstLine="427"/>
        <w:jc w:val="both"/>
      </w:pPr>
      <w:r>
        <w:rPr/>
        <w:t>La gobernanza implica que el Estado debe ser incluyente, compartir el poder con otros actores, por lo que el Estado ya no es el único con poder, pero sí el que lo concentra. Tanto en países avanzados como en los emergentes, el Estado debe conservar su poder coercitivo y su facultad de generar leyes e instituciones.</w:t>
      </w:r>
    </w:p>
    <w:p>
      <w:pPr>
        <w:pStyle w:val="BodyText"/>
        <w:spacing w:line="360" w:lineRule="auto" w:before="2"/>
        <w:ind w:left="122" w:right="116" w:firstLine="427"/>
        <w:jc w:val="both"/>
        <w:rPr>
          <w:sz w:val="16"/>
        </w:rPr>
      </w:pPr>
      <w:r>
        <w:rPr/>
        <w:t>La globalización transforma la política, ya que el déficit democrático y el descrédito</w:t>
      </w:r>
      <w:r>
        <w:rPr>
          <w:spacing w:val="-8"/>
        </w:rPr>
        <w:t> </w:t>
      </w:r>
      <w:r>
        <w:rPr/>
        <w:t>de</w:t>
      </w:r>
      <w:r>
        <w:rPr>
          <w:spacing w:val="-8"/>
        </w:rPr>
        <w:t> </w:t>
      </w:r>
      <w:r>
        <w:rPr/>
        <w:t>la</w:t>
      </w:r>
      <w:r>
        <w:rPr>
          <w:spacing w:val="-9"/>
        </w:rPr>
        <w:t> </w:t>
      </w:r>
      <w:r>
        <w:rPr/>
        <w:t>política</w:t>
      </w:r>
      <w:r>
        <w:rPr>
          <w:spacing w:val="-8"/>
        </w:rPr>
        <w:t> </w:t>
      </w:r>
      <w:r>
        <w:rPr/>
        <w:t>se</w:t>
      </w:r>
      <w:r>
        <w:rPr>
          <w:spacing w:val="-8"/>
        </w:rPr>
        <w:t> </w:t>
      </w:r>
      <w:r>
        <w:rPr/>
        <w:t>hacen</w:t>
      </w:r>
      <w:r>
        <w:rPr>
          <w:spacing w:val="-8"/>
        </w:rPr>
        <w:t> </w:t>
      </w:r>
      <w:r>
        <w:rPr/>
        <w:t>más</w:t>
      </w:r>
      <w:r>
        <w:rPr>
          <w:spacing w:val="-9"/>
        </w:rPr>
        <w:t> </w:t>
      </w:r>
      <w:r>
        <w:rPr/>
        <w:t>evidentes</w:t>
      </w:r>
      <w:r>
        <w:rPr>
          <w:spacing w:val="-5"/>
        </w:rPr>
        <w:t> </w:t>
      </w:r>
      <w:r>
        <w:rPr/>
        <w:t>a</w:t>
      </w:r>
      <w:r>
        <w:rPr>
          <w:spacing w:val="-8"/>
        </w:rPr>
        <w:t> </w:t>
      </w:r>
      <w:r>
        <w:rPr/>
        <w:t>la</w:t>
      </w:r>
      <w:r>
        <w:rPr>
          <w:spacing w:val="-9"/>
        </w:rPr>
        <w:t> </w:t>
      </w:r>
      <w:r>
        <w:rPr/>
        <w:t>comunidad</w:t>
      </w:r>
      <w:r>
        <w:rPr>
          <w:spacing w:val="-8"/>
        </w:rPr>
        <w:t> </w:t>
      </w:r>
      <w:r>
        <w:rPr/>
        <w:t>internacional.</w:t>
      </w:r>
      <w:r>
        <w:rPr>
          <w:spacing w:val="-9"/>
        </w:rPr>
        <w:t> </w:t>
      </w:r>
      <w:r>
        <w:rPr/>
        <w:t>Esto hace necesario que la política sea más incluyente y que las instituciones políticas se </w:t>
      </w:r>
      <w:r>
        <w:rPr>
          <w:i/>
        </w:rPr>
        <w:t>politicen</w:t>
      </w:r>
      <w:r>
        <w:rPr/>
        <w:t>, es decir, que cumplan con su función esencial conferida por el</w:t>
      </w:r>
      <w:r>
        <w:rPr>
          <w:spacing w:val="-35"/>
        </w:rPr>
        <w:t> </w:t>
      </w:r>
      <w:r>
        <w:rPr/>
        <w:t>Estado, pero a la vez que se </w:t>
      </w:r>
      <w:r>
        <w:rPr>
          <w:i/>
        </w:rPr>
        <w:t>despoliticen</w:t>
      </w:r>
      <w:r>
        <w:rPr/>
        <w:t>, es decir, que sus acciones no se orienten por las decisiones personales de sus</w:t>
      </w:r>
      <w:r>
        <w:rPr>
          <w:spacing w:val="-15"/>
        </w:rPr>
        <w:t> </w:t>
      </w:r>
      <w:r>
        <w:rPr/>
        <w:t>dirigentes.</w:t>
      </w:r>
      <w:r>
        <w:rPr>
          <w:position w:val="8"/>
          <w:sz w:val="16"/>
        </w:rPr>
        <w:t>14</w:t>
      </w:r>
    </w:p>
    <w:p>
      <w:pPr>
        <w:pStyle w:val="BodyText"/>
        <w:spacing w:line="360" w:lineRule="auto"/>
        <w:ind w:left="122" w:right="125" w:firstLine="427"/>
        <w:jc w:val="both"/>
      </w:pPr>
      <w:r>
        <w:rPr/>
        <w:t>Joan Prats Catalá (Prats, 2005: 146) mencionó que los procesos que contribuyen en la crisis y cambio de la política actual son los siguientes:</w:t>
      </w:r>
    </w:p>
    <w:p>
      <w:pPr>
        <w:pStyle w:val="BodyText"/>
      </w:pPr>
    </w:p>
    <w:p>
      <w:pPr>
        <w:pStyle w:val="ListParagraph"/>
        <w:numPr>
          <w:ilvl w:val="0"/>
          <w:numId w:val="18"/>
        </w:numPr>
        <w:tabs>
          <w:tab w:pos="842" w:val="left" w:leader="none"/>
        </w:tabs>
        <w:spacing w:line="360" w:lineRule="auto" w:before="142" w:after="0"/>
        <w:ind w:left="842" w:right="124" w:hanging="360"/>
        <w:jc w:val="both"/>
        <w:rPr>
          <w:sz w:val="24"/>
        </w:rPr>
      </w:pPr>
      <w:r>
        <w:rPr>
          <w:sz w:val="24"/>
        </w:rPr>
        <w:t>La política se redescubre y revaloriza al percibirse los límites de la tecnocracia. Ahora hay más conciencia de nuestros límites. Las decisiones públicas ya no se legitiman sólo en la técnica, por lo que se hace necesario el</w:t>
      </w:r>
      <w:r>
        <w:rPr>
          <w:spacing w:val="-4"/>
          <w:sz w:val="24"/>
        </w:rPr>
        <w:t> </w:t>
      </w:r>
      <w:r>
        <w:rPr>
          <w:sz w:val="24"/>
        </w:rPr>
        <w:t>consenso.</w:t>
      </w:r>
    </w:p>
    <w:p>
      <w:pPr>
        <w:pStyle w:val="ListParagraph"/>
        <w:numPr>
          <w:ilvl w:val="0"/>
          <w:numId w:val="18"/>
        </w:numPr>
        <w:tabs>
          <w:tab w:pos="842" w:val="left" w:leader="none"/>
        </w:tabs>
        <w:spacing w:line="360" w:lineRule="auto" w:before="5" w:after="0"/>
        <w:ind w:left="842" w:right="122" w:hanging="360"/>
        <w:jc w:val="both"/>
        <w:rPr>
          <w:sz w:val="24"/>
        </w:rPr>
      </w:pPr>
      <w:r>
        <w:rPr>
          <w:sz w:val="24"/>
        </w:rPr>
        <w:t>La política entra en descrédito por la inadecuación de las instituciones políticas</w:t>
      </w:r>
      <w:r>
        <w:rPr>
          <w:spacing w:val="-17"/>
          <w:sz w:val="24"/>
        </w:rPr>
        <w:t> </w:t>
      </w:r>
      <w:r>
        <w:rPr>
          <w:sz w:val="24"/>
        </w:rPr>
        <w:t>y</w:t>
      </w:r>
      <w:r>
        <w:rPr>
          <w:spacing w:val="-20"/>
          <w:sz w:val="24"/>
        </w:rPr>
        <w:t> </w:t>
      </w:r>
      <w:r>
        <w:rPr>
          <w:sz w:val="24"/>
        </w:rPr>
        <w:t>administrativas,</w:t>
      </w:r>
      <w:r>
        <w:rPr>
          <w:spacing w:val="-17"/>
          <w:sz w:val="24"/>
        </w:rPr>
        <w:t> </w:t>
      </w:r>
      <w:r>
        <w:rPr>
          <w:sz w:val="24"/>
        </w:rPr>
        <w:t>que</w:t>
      </w:r>
      <w:r>
        <w:rPr>
          <w:spacing w:val="-19"/>
          <w:sz w:val="24"/>
        </w:rPr>
        <w:t> </w:t>
      </w:r>
      <w:r>
        <w:rPr>
          <w:sz w:val="24"/>
        </w:rPr>
        <w:t>propician</w:t>
      </w:r>
      <w:r>
        <w:rPr>
          <w:spacing w:val="-19"/>
          <w:sz w:val="24"/>
        </w:rPr>
        <w:t> </w:t>
      </w:r>
      <w:r>
        <w:rPr>
          <w:sz w:val="24"/>
        </w:rPr>
        <w:t>un</w:t>
      </w:r>
      <w:r>
        <w:rPr>
          <w:spacing w:val="-20"/>
          <w:sz w:val="24"/>
        </w:rPr>
        <w:t> </w:t>
      </w:r>
      <w:r>
        <w:rPr>
          <w:sz w:val="24"/>
        </w:rPr>
        <w:t>marco</w:t>
      </w:r>
      <w:r>
        <w:rPr>
          <w:spacing w:val="-17"/>
          <w:sz w:val="24"/>
        </w:rPr>
        <w:t> </w:t>
      </w:r>
      <w:r>
        <w:rPr>
          <w:sz w:val="24"/>
        </w:rPr>
        <w:t>que</w:t>
      </w:r>
      <w:r>
        <w:rPr>
          <w:spacing w:val="-20"/>
          <w:sz w:val="24"/>
        </w:rPr>
        <w:t> </w:t>
      </w:r>
      <w:r>
        <w:rPr>
          <w:sz w:val="24"/>
        </w:rPr>
        <w:t>favorece</w:t>
      </w:r>
      <w:r>
        <w:rPr>
          <w:spacing w:val="-19"/>
          <w:sz w:val="24"/>
        </w:rPr>
        <w:t> </w:t>
      </w:r>
      <w:r>
        <w:rPr>
          <w:sz w:val="24"/>
        </w:rPr>
        <w:t>la</w:t>
      </w:r>
      <w:r>
        <w:rPr>
          <w:spacing w:val="-19"/>
          <w:sz w:val="24"/>
        </w:rPr>
        <w:t> </w:t>
      </w:r>
      <w:r>
        <w:rPr>
          <w:sz w:val="24"/>
        </w:rPr>
        <w:t>corrupción político-empresarial y la mala</w:t>
      </w:r>
      <w:r>
        <w:rPr>
          <w:spacing w:val="-16"/>
          <w:sz w:val="24"/>
        </w:rPr>
        <w:t> </w:t>
      </w:r>
      <w:r>
        <w:rPr>
          <w:sz w:val="24"/>
        </w:rPr>
        <w:t>política.</w:t>
      </w:r>
    </w:p>
    <w:p>
      <w:pPr>
        <w:pStyle w:val="ListParagraph"/>
        <w:numPr>
          <w:ilvl w:val="0"/>
          <w:numId w:val="18"/>
        </w:numPr>
        <w:tabs>
          <w:tab w:pos="842" w:val="left" w:leader="none"/>
        </w:tabs>
        <w:spacing w:line="360" w:lineRule="auto" w:before="0" w:after="0"/>
        <w:ind w:left="842" w:right="116" w:hanging="360"/>
        <w:jc w:val="both"/>
        <w:rPr>
          <w:sz w:val="24"/>
        </w:rPr>
      </w:pPr>
      <w:r>
        <w:rPr>
          <w:sz w:val="24"/>
        </w:rPr>
        <w:t>Los partidos políticos</w:t>
      </w:r>
      <w:r>
        <w:rPr>
          <w:position w:val="8"/>
          <w:sz w:val="16"/>
        </w:rPr>
        <w:t>15 </w:t>
      </w:r>
      <w:r>
        <w:rPr>
          <w:sz w:val="24"/>
        </w:rPr>
        <w:t>aunque están circunscritos al juego electoral, son poco relevantes a los desafíos de la gobernabilidad global y pierden el monopolio de la praxis</w:t>
      </w:r>
      <w:r>
        <w:rPr>
          <w:spacing w:val="-13"/>
          <w:sz w:val="24"/>
        </w:rPr>
        <w:t> </w:t>
      </w:r>
      <w:r>
        <w:rPr>
          <w:sz w:val="24"/>
        </w:rPr>
        <w:t>política.</w:t>
      </w:r>
    </w:p>
    <w:p>
      <w:pPr>
        <w:pStyle w:val="BodyText"/>
        <w:rPr>
          <w:sz w:val="26"/>
        </w:rPr>
      </w:pPr>
      <w:r>
        <w:rPr/>
        <w:pict>
          <v:line style="position:absolute;mso-position-horizontal-relative:page;mso-position-vertical-relative:paragraph;z-index:2200;mso-wrap-distance-left:0;mso-wrap-distance-right:0" from="85.103996pt,17.273928pt" to="229.123996pt,17.273928pt" stroked="true" strokeweight=".71997pt" strokecolor="#000000">
            <w10:wrap type="topAndBottom"/>
          </v:line>
        </w:pict>
      </w:r>
    </w:p>
    <w:p>
      <w:pPr>
        <w:spacing w:line="247" w:lineRule="auto" w:before="62"/>
        <w:ind w:left="122" w:right="115" w:firstLine="0"/>
        <w:jc w:val="both"/>
        <w:rPr>
          <w:sz w:val="16"/>
        </w:rPr>
      </w:pPr>
      <w:r>
        <w:rPr>
          <w:rFonts w:ascii="Times New Roman" w:hAnsi="Times New Roman"/>
          <w:position w:val="7"/>
          <w:sz w:val="13"/>
        </w:rPr>
        <w:t>14</w:t>
      </w:r>
      <w:r>
        <w:rPr>
          <w:sz w:val="16"/>
        </w:rPr>
        <w:t>Otro significado de politizar se refiere a dar una dimensión política a acontecimientos no políticos o para crear un ambiente de opinión triunfalista, mientras que despolitizar es despojar de significado político (o de pasiones políticas) a temas y cuestiones no políticas y que se manejen de manera más técnica y objetiva.</w:t>
      </w:r>
    </w:p>
    <w:p>
      <w:pPr>
        <w:spacing w:line="175" w:lineRule="exact" w:before="0"/>
        <w:ind w:left="122" w:right="0" w:firstLine="0"/>
        <w:jc w:val="both"/>
        <w:rPr>
          <w:sz w:val="16"/>
        </w:rPr>
      </w:pPr>
      <w:r>
        <w:rPr>
          <w:sz w:val="16"/>
        </w:rPr>
        <w:t>Disponible en: </w:t>
      </w:r>
      <w:hyperlink r:id="rId38">
        <w:r>
          <w:rPr>
            <w:sz w:val="16"/>
          </w:rPr>
          <w:t>http://diccionario.inep.org/index.html</w:t>
        </w:r>
      </w:hyperlink>
    </w:p>
    <w:p>
      <w:pPr>
        <w:spacing w:line="249" w:lineRule="auto" w:before="0"/>
        <w:ind w:left="122" w:right="116" w:firstLine="0"/>
        <w:jc w:val="both"/>
        <w:rPr>
          <w:sz w:val="16"/>
        </w:rPr>
      </w:pPr>
      <w:r>
        <w:rPr>
          <w:rFonts w:ascii="Times New Roman" w:hAnsi="Times New Roman"/>
          <w:position w:val="7"/>
          <w:sz w:val="13"/>
        </w:rPr>
        <w:t>15</w:t>
      </w:r>
      <w:r>
        <w:rPr>
          <w:sz w:val="16"/>
        </w:rPr>
        <w:t>Alexis de Tocqueville consideró que “Norteamérica es la tierra de la democracia”, por lo que el estudio que realizó a los partidos políticos de Estados Unidos fue importante para destacar que los grandes partidos políticos estadounidenses se basan en principios, no en consecuencias.</w:t>
      </w:r>
    </w:p>
    <w:p>
      <w:pPr>
        <w:spacing w:after="0" w:line="249" w:lineRule="auto"/>
        <w:jc w:val="both"/>
        <w:rPr>
          <w:sz w:val="16"/>
        </w:rPr>
        <w:sectPr>
          <w:pgSz w:w="12240" w:h="15840"/>
          <w:pgMar w:header="0" w:footer="1003" w:top="1360" w:bottom="1200" w:left="1580" w:right="1580"/>
        </w:sectPr>
      </w:pPr>
    </w:p>
    <w:p>
      <w:pPr>
        <w:pStyle w:val="ListParagraph"/>
        <w:numPr>
          <w:ilvl w:val="0"/>
          <w:numId w:val="18"/>
        </w:numPr>
        <w:tabs>
          <w:tab w:pos="822" w:val="left" w:leader="none"/>
        </w:tabs>
        <w:spacing w:line="360" w:lineRule="auto" w:before="54" w:after="0"/>
        <w:ind w:left="822" w:right="117" w:hanging="360"/>
        <w:jc w:val="both"/>
        <w:rPr>
          <w:sz w:val="24"/>
        </w:rPr>
      </w:pPr>
      <w:r>
        <w:rPr>
          <w:sz w:val="24"/>
        </w:rPr>
        <w:t>La política es cada vez menos dirección política de organizaciones técnicas y cada vez más articulación de asociaciones entre diversos niveles de gobiernos (gobierno multinivel). Esto requiere grandes capacidades de iniciativa, liderazgo, concertación, prevención y gestión de conflictos, comunicación, creación de equipos y redes,</w:t>
      </w:r>
      <w:r>
        <w:rPr>
          <w:spacing w:val="-17"/>
          <w:sz w:val="24"/>
        </w:rPr>
        <w:t> </w:t>
      </w:r>
      <w:r>
        <w:rPr>
          <w:sz w:val="24"/>
        </w:rPr>
        <w:t>etcétera.</w:t>
      </w:r>
    </w:p>
    <w:p>
      <w:pPr>
        <w:pStyle w:val="BodyText"/>
      </w:pPr>
    </w:p>
    <w:p>
      <w:pPr>
        <w:pStyle w:val="BodyText"/>
        <w:spacing w:line="360" w:lineRule="auto" w:before="142"/>
        <w:ind w:left="102" w:right="117" w:firstLine="427"/>
        <w:jc w:val="both"/>
      </w:pPr>
      <w:r>
        <w:rPr/>
        <w:t>En la UE las políticas adoptadas no se cuestionan seriamente, aunque sus procedimientos</w:t>
      </w:r>
      <w:r>
        <w:rPr>
          <w:spacing w:val="-17"/>
        </w:rPr>
        <w:t> </w:t>
      </w:r>
      <w:r>
        <w:rPr/>
        <w:t>no</w:t>
      </w:r>
      <w:r>
        <w:rPr>
          <w:spacing w:val="-16"/>
        </w:rPr>
        <w:t> </w:t>
      </w:r>
      <w:r>
        <w:rPr/>
        <w:t>conformen</w:t>
      </w:r>
      <w:r>
        <w:rPr>
          <w:spacing w:val="-14"/>
        </w:rPr>
        <w:t> </w:t>
      </w:r>
      <w:r>
        <w:rPr/>
        <w:t>los</w:t>
      </w:r>
      <w:r>
        <w:rPr>
          <w:spacing w:val="-17"/>
        </w:rPr>
        <w:t> </w:t>
      </w:r>
      <w:r>
        <w:rPr/>
        <w:t>modelos</w:t>
      </w:r>
      <w:r>
        <w:rPr>
          <w:spacing w:val="-17"/>
        </w:rPr>
        <w:t> </w:t>
      </w:r>
      <w:r>
        <w:rPr/>
        <w:t>estándar</w:t>
      </w:r>
      <w:r>
        <w:rPr>
          <w:spacing w:val="-16"/>
        </w:rPr>
        <w:t> </w:t>
      </w:r>
      <w:r>
        <w:rPr/>
        <w:t>de</w:t>
      </w:r>
      <w:r>
        <w:rPr>
          <w:spacing w:val="-14"/>
        </w:rPr>
        <w:t> </w:t>
      </w:r>
      <w:r>
        <w:rPr/>
        <w:t>rendición</w:t>
      </w:r>
      <w:r>
        <w:rPr>
          <w:spacing w:val="-16"/>
        </w:rPr>
        <w:t> </w:t>
      </w:r>
      <w:r>
        <w:rPr/>
        <w:t>de</w:t>
      </w:r>
      <w:r>
        <w:rPr>
          <w:spacing w:val="-19"/>
        </w:rPr>
        <w:t> </w:t>
      </w:r>
      <w:r>
        <w:rPr/>
        <w:t>cuentas.</w:t>
      </w:r>
      <w:r>
        <w:rPr>
          <w:spacing w:val="-14"/>
        </w:rPr>
        <w:t> </w:t>
      </w:r>
      <w:r>
        <w:rPr/>
        <w:t>Donde no hay consenso, la acción europea se bloquea y las decisiones se toman desde los gobiernos nacionales, como se hace en otros países (entre ellos los emergentes); sin embargo, esto implica también que sus instituciones no pueden mantener políticas que violen el</w:t>
      </w:r>
      <w:r>
        <w:rPr>
          <w:spacing w:val="-15"/>
        </w:rPr>
        <w:t> </w:t>
      </w:r>
      <w:r>
        <w:rPr/>
        <w:t>consenso.</w:t>
      </w:r>
    </w:p>
    <w:p>
      <w:pPr>
        <w:pStyle w:val="BodyText"/>
        <w:spacing w:line="360" w:lineRule="auto" w:before="2"/>
        <w:ind w:left="102" w:right="120" w:firstLine="427"/>
        <w:jc w:val="both"/>
      </w:pPr>
      <w:r>
        <w:rPr/>
        <w:t>Desafortunadamente en los países emergentes este proceso es muy cuestionado debido a que durante mucho tiempo sus sistemas autoritarios impidieron</w:t>
      </w:r>
      <w:r>
        <w:rPr>
          <w:spacing w:val="-17"/>
        </w:rPr>
        <w:t> </w:t>
      </w:r>
      <w:r>
        <w:rPr/>
        <w:t>la</w:t>
      </w:r>
      <w:r>
        <w:rPr>
          <w:spacing w:val="-19"/>
        </w:rPr>
        <w:t> </w:t>
      </w:r>
      <w:r>
        <w:rPr/>
        <w:t>participación</w:t>
      </w:r>
      <w:r>
        <w:rPr>
          <w:spacing w:val="-16"/>
        </w:rPr>
        <w:t> </w:t>
      </w:r>
      <w:r>
        <w:rPr/>
        <w:t>ciudadana,</w:t>
      </w:r>
      <w:r>
        <w:rPr>
          <w:spacing w:val="-17"/>
        </w:rPr>
        <w:t> </w:t>
      </w:r>
      <w:r>
        <w:rPr/>
        <w:t>la</w:t>
      </w:r>
      <w:r>
        <w:rPr>
          <w:spacing w:val="-19"/>
        </w:rPr>
        <w:t> </w:t>
      </w:r>
      <w:r>
        <w:rPr/>
        <w:t>rendición</w:t>
      </w:r>
      <w:r>
        <w:rPr>
          <w:spacing w:val="-17"/>
        </w:rPr>
        <w:t> </w:t>
      </w:r>
      <w:r>
        <w:rPr/>
        <w:t>de</w:t>
      </w:r>
      <w:r>
        <w:rPr>
          <w:spacing w:val="-17"/>
        </w:rPr>
        <w:t> </w:t>
      </w:r>
      <w:r>
        <w:rPr/>
        <w:t>cuentas</w:t>
      </w:r>
      <w:r>
        <w:rPr>
          <w:spacing w:val="-20"/>
        </w:rPr>
        <w:t> </w:t>
      </w:r>
      <w:r>
        <w:rPr/>
        <w:t>y,</w:t>
      </w:r>
      <w:r>
        <w:rPr>
          <w:spacing w:val="-17"/>
        </w:rPr>
        <w:t> </w:t>
      </w:r>
      <w:r>
        <w:rPr/>
        <w:t>sobre</w:t>
      </w:r>
      <w:r>
        <w:rPr>
          <w:spacing w:val="-17"/>
        </w:rPr>
        <w:t> </w:t>
      </w:r>
      <w:r>
        <w:rPr/>
        <w:t>todo,</w:t>
      </w:r>
      <w:r>
        <w:rPr>
          <w:spacing w:val="-19"/>
        </w:rPr>
        <w:t> </w:t>
      </w:r>
      <w:r>
        <w:rPr/>
        <w:t>el</w:t>
      </w:r>
      <w:r>
        <w:rPr>
          <w:spacing w:val="-20"/>
        </w:rPr>
        <w:t> </w:t>
      </w:r>
      <w:r>
        <w:rPr/>
        <w:t>eficaz funcionamiento de las instituciones</w:t>
      </w:r>
      <w:r>
        <w:rPr>
          <w:spacing w:val="-11"/>
        </w:rPr>
        <w:t> </w:t>
      </w:r>
      <w:r>
        <w:rPr/>
        <w:t>públicas.</w:t>
      </w:r>
    </w:p>
    <w:p>
      <w:pPr>
        <w:pStyle w:val="BodyText"/>
        <w:spacing w:line="360" w:lineRule="auto" w:before="2"/>
        <w:ind w:left="102" w:right="118" w:firstLine="427"/>
        <w:jc w:val="both"/>
      </w:pPr>
      <w:r>
        <w:rPr/>
        <w:t>Una consecuencia no deseada de la democratización ha sido el debilitamiento de la capacidad directiva de los gobiernos democráticos de América Latina, poniendo énfasis en el descontento electoral, más que gobernativo. Una forma de atender este problema es sustituir a los viejos gobernantes por nuevos políticos y crear el orden institucional, político, financiero y administrativo que requiere un gobierno democrático para acreditar eficacia directiva y un diseño institucional idóneo.</w:t>
      </w:r>
    </w:p>
    <w:p>
      <w:pPr>
        <w:pStyle w:val="BodyText"/>
      </w:pPr>
    </w:p>
    <w:p>
      <w:pPr>
        <w:pStyle w:val="BodyText"/>
      </w:pPr>
    </w:p>
    <w:p>
      <w:pPr>
        <w:pStyle w:val="BodyText"/>
        <w:spacing w:before="2"/>
        <w:rPr>
          <w:sz w:val="23"/>
        </w:rPr>
      </w:pPr>
    </w:p>
    <w:p>
      <w:pPr>
        <w:pStyle w:val="Heading3"/>
        <w:numPr>
          <w:ilvl w:val="2"/>
          <w:numId w:val="16"/>
        </w:numPr>
        <w:tabs>
          <w:tab w:pos="704" w:val="left" w:leader="none"/>
        </w:tabs>
        <w:spacing w:line="240" w:lineRule="auto" w:before="1" w:after="0"/>
        <w:ind w:left="703" w:right="0" w:hanging="601"/>
        <w:jc w:val="both"/>
      </w:pPr>
      <w:bookmarkStart w:name="_bookmark9" w:id="12"/>
      <w:bookmarkEnd w:id="12"/>
      <w:r>
        <w:rPr>
          <w:b w:val="0"/>
        </w:rPr>
      </w:r>
      <w:bookmarkStart w:name="_bookmark9" w:id="13"/>
      <w:bookmarkEnd w:id="13"/>
      <w:r>
        <w:rPr/>
        <w:t>E</w:t>
      </w:r>
      <w:r>
        <w:rPr/>
        <w:t>stado: Democracia y legitimidad en la</w:t>
      </w:r>
      <w:r>
        <w:rPr>
          <w:spacing w:val="-20"/>
        </w:rPr>
        <w:t> </w:t>
      </w:r>
      <w:r>
        <w:rPr/>
        <w:t>gobernanza</w:t>
      </w:r>
    </w:p>
    <w:p>
      <w:pPr>
        <w:pStyle w:val="BodyText"/>
        <w:rPr>
          <w:b/>
        </w:rPr>
      </w:pPr>
    </w:p>
    <w:p>
      <w:pPr>
        <w:pStyle w:val="BodyText"/>
        <w:rPr>
          <w:b/>
        </w:rPr>
      </w:pPr>
    </w:p>
    <w:p>
      <w:pPr>
        <w:pStyle w:val="BodyText"/>
        <w:spacing w:line="360" w:lineRule="auto"/>
        <w:ind w:left="102" w:right="116"/>
        <w:jc w:val="both"/>
      </w:pPr>
      <w:r>
        <w:rPr/>
        <w:t>Podría considerarse en un primer momento que la inclusión del sector privado en las actividades estatales mediante las redes, implica un menor poder y capacidad del Estado para gobernar (Cerrillo, 2005: 15); sin embargo, el recurso de poder coercitivo que tiene el Estado prevalece en la gobernanza.</w:t>
      </w:r>
    </w:p>
    <w:p>
      <w:pPr>
        <w:spacing w:after="0" w:line="360" w:lineRule="auto"/>
        <w:jc w:val="both"/>
        <w:sectPr>
          <w:pgSz w:w="12240" w:h="15840"/>
          <w:pgMar w:header="0" w:footer="1003" w:top="1360" w:bottom="1200" w:left="1600" w:right="1580"/>
        </w:sectPr>
      </w:pPr>
    </w:p>
    <w:p>
      <w:pPr>
        <w:pStyle w:val="BodyText"/>
        <w:spacing w:line="360" w:lineRule="auto" w:before="54"/>
        <w:ind w:left="58" w:right="119" w:firstLine="427"/>
        <w:jc w:val="right"/>
      </w:pPr>
      <w:r>
        <w:rPr/>
        <w:t>El hecho de que en países emergentes el Estado tenga una escasa legitimidad</w:t>
      </w:r>
      <w:r>
        <w:rPr>
          <w:w w:val="99"/>
        </w:rPr>
        <w:t> </w:t>
      </w:r>
      <w:r>
        <w:rPr/>
        <w:t>y un ambiente de procesos políticos cuestionados, puede dar lugar a concluir que</w:t>
      </w:r>
      <w:r>
        <w:rPr>
          <w:w w:val="99"/>
        </w:rPr>
        <w:t> </w:t>
      </w:r>
      <w:r>
        <w:rPr/>
        <w:t>el papel del Estado se reduce a ser simplemente un actor más. Hay estudios y aportaciones que consideran que la relación del Estado con el sector privado no</w:t>
      </w:r>
      <w:r>
        <w:rPr>
          <w:w w:val="99"/>
        </w:rPr>
        <w:t> </w:t>
      </w:r>
      <w:r>
        <w:rPr/>
        <w:t>implica una pérdida del poder estatal, sino nuevos mecanismos y oportunidades mediante los cuales el Estado puede adquirir más elementos para una mejor toma</w:t>
      </w:r>
      <w:r>
        <w:rPr>
          <w:w w:val="99"/>
        </w:rPr>
        <w:t> </w:t>
      </w:r>
      <w:r>
        <w:rPr/>
        <w:t>de decisiones, todo depende del sistema político y de la forma de implementación.</w:t>
      </w:r>
      <w:r>
        <w:rPr>
          <w:w w:val="100"/>
        </w:rPr>
        <w:t> </w:t>
      </w:r>
      <w:r>
        <w:rPr/>
        <w:t>Las diversas definiciones (y seudo-definiciones) de gobernanza</w:t>
      </w:r>
      <w:r>
        <w:rPr>
          <w:spacing w:val="53"/>
        </w:rPr>
        <w:t> </w:t>
      </w:r>
      <w:r>
        <w:rPr/>
        <w:t>consideran</w:t>
      </w:r>
      <w:r>
        <w:rPr>
          <w:w w:val="99"/>
        </w:rPr>
        <w:t> </w:t>
      </w:r>
      <w:r>
        <w:rPr/>
        <w:t>predominante el papel del Estado en la atención de las demandas sociales, por lo</w:t>
      </w:r>
      <w:r>
        <w:rPr>
          <w:w w:val="99"/>
        </w:rPr>
        <w:t> </w:t>
      </w:r>
      <w:r>
        <w:rPr/>
        <w:t>que implícitamente se sigue considerando irremplazable el papel del Estado en la</w:t>
      </w:r>
      <w:r>
        <w:rPr>
          <w:w w:val="99"/>
        </w:rPr>
        <w:t> </w:t>
      </w:r>
      <w:r>
        <w:rPr/>
        <w:t>determinación de objetivos y su consecución y, sobre todo, su papel indelegable de</w:t>
      </w:r>
    </w:p>
    <w:p>
      <w:pPr>
        <w:pStyle w:val="BodyText"/>
        <w:spacing w:before="5"/>
        <w:ind w:left="122" w:right="50"/>
      </w:pPr>
      <w:r>
        <w:rPr/>
        <w:t>cohesión para hacer cumplir sus objetivos.</w:t>
      </w:r>
    </w:p>
    <w:p>
      <w:pPr>
        <w:pStyle w:val="BodyText"/>
        <w:spacing w:line="360" w:lineRule="auto" w:before="137"/>
        <w:ind w:left="122" w:right="116" w:firstLine="427"/>
        <w:jc w:val="both"/>
      </w:pPr>
      <w:r>
        <w:rPr/>
        <w:t>La sociedad es la principal receptora de los efectos de las decisiones del Estado,</w:t>
      </w:r>
      <w:r>
        <w:rPr>
          <w:spacing w:val="-16"/>
        </w:rPr>
        <w:t> </w:t>
      </w:r>
      <w:r>
        <w:rPr/>
        <w:t>ya</w:t>
      </w:r>
      <w:r>
        <w:rPr>
          <w:spacing w:val="-16"/>
        </w:rPr>
        <w:t> </w:t>
      </w:r>
      <w:r>
        <w:rPr/>
        <w:t>que</w:t>
      </w:r>
      <w:r>
        <w:rPr>
          <w:spacing w:val="-17"/>
        </w:rPr>
        <w:t> </w:t>
      </w:r>
      <w:r>
        <w:rPr/>
        <w:t>en</w:t>
      </w:r>
      <w:r>
        <w:rPr>
          <w:spacing w:val="-18"/>
        </w:rPr>
        <w:t> </w:t>
      </w:r>
      <w:r>
        <w:rPr/>
        <w:t>forma</w:t>
      </w:r>
      <w:r>
        <w:rPr>
          <w:spacing w:val="-17"/>
        </w:rPr>
        <w:t> </w:t>
      </w:r>
      <w:r>
        <w:rPr/>
        <w:t>personal</w:t>
      </w:r>
      <w:r>
        <w:rPr>
          <w:spacing w:val="-18"/>
        </w:rPr>
        <w:t> </w:t>
      </w:r>
      <w:r>
        <w:rPr/>
        <w:t>y</w:t>
      </w:r>
      <w:r>
        <w:rPr>
          <w:spacing w:val="-17"/>
        </w:rPr>
        <w:t> </w:t>
      </w:r>
      <w:r>
        <w:rPr/>
        <w:t>organizacional</w:t>
      </w:r>
      <w:r>
        <w:rPr>
          <w:spacing w:val="-18"/>
        </w:rPr>
        <w:t> </w:t>
      </w:r>
      <w:r>
        <w:rPr/>
        <w:t>perciben</w:t>
      </w:r>
      <w:r>
        <w:rPr>
          <w:spacing w:val="-18"/>
        </w:rPr>
        <w:t> </w:t>
      </w:r>
      <w:r>
        <w:rPr/>
        <w:t>el</w:t>
      </w:r>
      <w:r>
        <w:rPr>
          <w:spacing w:val="-18"/>
        </w:rPr>
        <w:t> </w:t>
      </w:r>
      <w:r>
        <w:rPr/>
        <w:t>efecto</w:t>
      </w:r>
      <w:r>
        <w:rPr>
          <w:spacing w:val="-18"/>
        </w:rPr>
        <w:t> </w:t>
      </w:r>
      <w:r>
        <w:rPr/>
        <w:t>de</w:t>
      </w:r>
      <w:r>
        <w:rPr>
          <w:spacing w:val="-17"/>
        </w:rPr>
        <w:t> </w:t>
      </w:r>
      <w:r>
        <w:rPr/>
        <w:t>las</w:t>
      </w:r>
      <w:r>
        <w:rPr>
          <w:spacing w:val="-17"/>
        </w:rPr>
        <w:t> </w:t>
      </w:r>
      <w:r>
        <w:rPr/>
        <w:t>políticas del Estado, por lo que el hecho de que el Estado tenga un papel más incluyente en la sociedad mediante las redes, otorga a los mismos individuos y a las organizaciones una mayor conciencia sobre su papel. Cuando el sector privado percibe que sus opiniones y sugerencias son consideradas en el diseño de las políticas, la participación en aspectos sociales es más activa y el Estado se fortalece.</w:t>
      </w:r>
    </w:p>
    <w:p>
      <w:pPr>
        <w:pStyle w:val="BodyText"/>
        <w:spacing w:line="360" w:lineRule="auto" w:before="2"/>
        <w:ind w:left="122" w:right="116" w:firstLine="427"/>
        <w:jc w:val="both"/>
      </w:pPr>
      <w:r>
        <w:rPr/>
        <w:t>Si bien las redes han estado adquiriendo mayor participación en la sociedad,</w:t>
      </w:r>
      <w:r>
        <w:rPr>
          <w:spacing w:val="-44"/>
        </w:rPr>
        <w:t> </w:t>
      </w:r>
      <w:r>
        <w:rPr/>
        <w:t>la decisión última sobre la aplicación de las políticas sigue siendo del Estado, lo que hace importante considerar el papel del Congreso en la gobernanza. Los aspectos intertemporales que existen entre las iniciativas y propuestas y el tiempo en que éstas son evaluadas para su aplicación o desecho, hacen que la efectividad de la política se</w:t>
      </w:r>
      <w:r>
        <w:rPr>
          <w:spacing w:val="-8"/>
        </w:rPr>
        <w:t> </w:t>
      </w:r>
      <w:r>
        <w:rPr/>
        <w:t>reduzca.</w:t>
      </w:r>
    </w:p>
    <w:p>
      <w:pPr>
        <w:pStyle w:val="BodyText"/>
        <w:spacing w:line="360" w:lineRule="auto"/>
        <w:ind w:left="122" w:right="120" w:firstLine="427"/>
        <w:jc w:val="both"/>
      </w:pPr>
      <w:r>
        <w:rPr/>
        <w:t>La OCDE</w:t>
      </w:r>
      <w:r>
        <w:rPr>
          <w:position w:val="8"/>
          <w:sz w:val="16"/>
        </w:rPr>
        <w:t>16 </w:t>
      </w:r>
      <w:r>
        <w:rPr/>
        <w:t>ha recomendado al Estado efectuar mejores prácticas en transparencia  presupuestaria;  por  ejemplo,  la  organización  considera  que     el</w:t>
      </w:r>
    </w:p>
    <w:p>
      <w:pPr>
        <w:pStyle w:val="BodyText"/>
        <w:rPr>
          <w:sz w:val="20"/>
        </w:rPr>
      </w:pPr>
    </w:p>
    <w:p>
      <w:pPr>
        <w:pStyle w:val="BodyText"/>
        <w:spacing w:before="9"/>
        <w:rPr>
          <w:sz w:val="21"/>
        </w:rPr>
      </w:pPr>
      <w:r>
        <w:rPr/>
        <w:pict>
          <v:line style="position:absolute;mso-position-horizontal-relative:page;mso-position-vertical-relative:paragraph;z-index:2224;mso-wrap-distance-left:0;mso-wrap-distance-right:0" from="85.103996pt,14.894894pt" to="229.123996pt,14.894894pt" stroked="true" strokeweight=".71997pt" strokecolor="#000000">
            <w10:wrap type="topAndBottom"/>
          </v:line>
        </w:pict>
      </w:r>
    </w:p>
    <w:p>
      <w:pPr>
        <w:spacing w:line="244" w:lineRule="auto" w:before="62"/>
        <w:ind w:left="122" w:right="117" w:firstLine="0"/>
        <w:jc w:val="both"/>
        <w:rPr>
          <w:sz w:val="16"/>
        </w:rPr>
      </w:pPr>
      <w:r>
        <w:rPr>
          <w:rFonts w:ascii="Times New Roman" w:hAnsi="Times New Roman"/>
          <w:position w:val="7"/>
          <w:sz w:val="13"/>
        </w:rPr>
        <w:t>16</w:t>
      </w:r>
      <w:r>
        <w:rPr>
          <w:sz w:val="16"/>
        </w:rPr>
        <w:t>Los 34 países que integran la OCDE son Australia, Alemania, Austria, Bélgica, Canadá, Chile, Corea, Dinamarca, Eslovaquia, Eslovenia, Estonia, España, Estados Unidos, Francia, Finlandia, Grecia, Holanda, Hungría, Irlanda, Islandia, Israel, Italia, Japón, Luxemburgo, México, Noruega, Nueva Zelanda, Polonia, Portugal, Reino Unido, República Checa, Suecia, Suiza y Turquía.</w:t>
      </w:r>
    </w:p>
    <w:p>
      <w:pPr>
        <w:spacing w:after="0" w:line="244" w:lineRule="auto"/>
        <w:jc w:val="both"/>
        <w:rPr>
          <w:sz w:val="16"/>
        </w:rPr>
        <w:sectPr>
          <w:pgSz w:w="12240" w:h="15840"/>
          <w:pgMar w:header="0" w:footer="1003" w:top="1360" w:bottom="1200" w:left="1580" w:right="1580"/>
        </w:sectPr>
      </w:pPr>
    </w:p>
    <w:p>
      <w:pPr>
        <w:pStyle w:val="BodyText"/>
        <w:spacing w:line="360" w:lineRule="auto" w:before="54"/>
        <w:ind w:left="102" w:right="117"/>
        <w:jc w:val="both"/>
      </w:pPr>
      <w:r>
        <w:rPr/>
        <w:t>proyecto de presupuesto del Ejecutivo debe ser presentado con suficiente antelación al congreso para permitir su adecuada revisión, debate y las propuestas de reformas correspondientes. En </w:t>
      </w:r>
      <w:r>
        <w:rPr>
          <w:i/>
        </w:rPr>
        <w:t>Governament at a Glance 2011 </w:t>
      </w:r>
      <w:r>
        <w:rPr/>
        <w:t>la OCDE sugirió que</w:t>
      </w:r>
      <w:r>
        <w:rPr>
          <w:spacing w:val="-9"/>
        </w:rPr>
        <w:t> </w:t>
      </w:r>
      <w:r>
        <w:rPr/>
        <w:t>la</w:t>
      </w:r>
      <w:r>
        <w:rPr>
          <w:spacing w:val="-10"/>
        </w:rPr>
        <w:t> </w:t>
      </w:r>
      <w:r>
        <w:rPr/>
        <w:t>presentación</w:t>
      </w:r>
      <w:r>
        <w:rPr>
          <w:spacing w:val="-11"/>
        </w:rPr>
        <w:t> </w:t>
      </w:r>
      <w:r>
        <w:rPr/>
        <w:t>del</w:t>
      </w:r>
      <w:r>
        <w:rPr>
          <w:spacing w:val="-11"/>
        </w:rPr>
        <w:t> </w:t>
      </w:r>
      <w:r>
        <w:rPr/>
        <w:t>proyecto</w:t>
      </w:r>
      <w:r>
        <w:rPr>
          <w:spacing w:val="-9"/>
        </w:rPr>
        <w:t> </w:t>
      </w:r>
      <w:r>
        <w:rPr/>
        <w:t>presupuestario</w:t>
      </w:r>
      <w:r>
        <w:rPr>
          <w:spacing w:val="-9"/>
        </w:rPr>
        <w:t> </w:t>
      </w:r>
      <w:r>
        <w:rPr/>
        <w:t>no</w:t>
      </w:r>
      <w:r>
        <w:rPr>
          <w:spacing w:val="-9"/>
        </w:rPr>
        <w:t> </w:t>
      </w:r>
      <w:r>
        <w:rPr/>
        <w:t>debería</w:t>
      </w:r>
      <w:r>
        <w:rPr>
          <w:spacing w:val="-9"/>
        </w:rPr>
        <w:t> </w:t>
      </w:r>
      <w:r>
        <w:rPr/>
        <w:t>ser</w:t>
      </w:r>
      <w:r>
        <w:rPr>
          <w:spacing w:val="-11"/>
        </w:rPr>
        <w:t> </w:t>
      </w:r>
      <w:r>
        <w:rPr/>
        <w:t>menor</w:t>
      </w:r>
      <w:r>
        <w:rPr>
          <w:spacing w:val="-11"/>
        </w:rPr>
        <w:t> </w:t>
      </w:r>
      <w:r>
        <w:rPr/>
        <w:t>a</w:t>
      </w:r>
      <w:r>
        <w:rPr>
          <w:spacing w:val="-9"/>
        </w:rPr>
        <w:t> </w:t>
      </w:r>
      <w:r>
        <w:rPr/>
        <w:t>tres</w:t>
      </w:r>
      <w:r>
        <w:rPr>
          <w:spacing w:val="-13"/>
        </w:rPr>
        <w:t> </w:t>
      </w:r>
      <w:r>
        <w:rPr/>
        <w:t>meses antes de iniciar el año fiscal y el presupuesto debe ser aprobado por la legislatura previo al ejercicio</w:t>
      </w:r>
      <w:r>
        <w:rPr>
          <w:spacing w:val="-7"/>
        </w:rPr>
        <w:t> </w:t>
      </w:r>
      <w:r>
        <w:rPr/>
        <w:t>fiscal.</w:t>
      </w:r>
    </w:p>
    <w:p>
      <w:pPr>
        <w:pStyle w:val="BodyText"/>
        <w:spacing w:line="360" w:lineRule="auto" w:before="2"/>
        <w:ind w:left="102" w:right="117" w:firstLine="427"/>
        <w:jc w:val="both"/>
      </w:pPr>
      <w:r>
        <w:rPr/>
        <w:t>Los estudios orientados al apoyo de la idea que la gobernanza contribuye a la legitimidad del Estado, necesariamente implican que éste goza de una democracia participativa; sin embargo, hay otros estudios que consideran que hay una fisura entre</w:t>
      </w:r>
      <w:r>
        <w:rPr>
          <w:spacing w:val="-12"/>
        </w:rPr>
        <w:t> </w:t>
      </w:r>
      <w:r>
        <w:rPr/>
        <w:t>gobernanza</w:t>
      </w:r>
      <w:r>
        <w:rPr>
          <w:spacing w:val="-9"/>
        </w:rPr>
        <w:t> </w:t>
      </w:r>
      <w:r>
        <w:rPr/>
        <w:t>y</w:t>
      </w:r>
      <w:r>
        <w:rPr>
          <w:spacing w:val="-13"/>
        </w:rPr>
        <w:t> </w:t>
      </w:r>
      <w:r>
        <w:rPr/>
        <w:t>democracia,</w:t>
      </w:r>
      <w:r>
        <w:rPr>
          <w:spacing w:val="-12"/>
        </w:rPr>
        <w:t> </w:t>
      </w:r>
      <w:r>
        <w:rPr/>
        <w:t>al</w:t>
      </w:r>
      <w:r>
        <w:rPr>
          <w:spacing w:val="-11"/>
        </w:rPr>
        <w:t> </w:t>
      </w:r>
      <w:r>
        <w:rPr/>
        <w:t>considerar</w:t>
      </w:r>
      <w:r>
        <w:rPr>
          <w:spacing w:val="-11"/>
        </w:rPr>
        <w:t> </w:t>
      </w:r>
      <w:r>
        <w:rPr/>
        <w:t>que</w:t>
      </w:r>
      <w:r>
        <w:rPr>
          <w:spacing w:val="-9"/>
        </w:rPr>
        <w:t> </w:t>
      </w:r>
      <w:r>
        <w:rPr/>
        <w:t>los</w:t>
      </w:r>
      <w:r>
        <w:rPr>
          <w:spacing w:val="-14"/>
        </w:rPr>
        <w:t> </w:t>
      </w:r>
      <w:r>
        <w:rPr/>
        <w:t>agentes</w:t>
      </w:r>
      <w:r>
        <w:rPr>
          <w:spacing w:val="-13"/>
        </w:rPr>
        <w:t> </w:t>
      </w:r>
      <w:r>
        <w:rPr/>
        <w:t>del</w:t>
      </w:r>
      <w:r>
        <w:rPr>
          <w:spacing w:val="-11"/>
        </w:rPr>
        <w:t> </w:t>
      </w:r>
      <w:r>
        <w:rPr/>
        <w:t>sector</w:t>
      </w:r>
      <w:r>
        <w:rPr>
          <w:spacing w:val="-13"/>
        </w:rPr>
        <w:t> </w:t>
      </w:r>
      <w:r>
        <w:rPr/>
        <w:t>privado</w:t>
      </w:r>
      <w:r>
        <w:rPr>
          <w:spacing w:val="-12"/>
        </w:rPr>
        <w:t> </w:t>
      </w:r>
      <w:r>
        <w:rPr/>
        <w:t>no cuentan con legitimidad democrática (Cerrillo, 2005: 17).Es necesario considerar que la singularidad de cada sistema político puede apoyar a los primeros estudios y, en otro momento, a los segundos (o viceversa). Todo depende de la efectividad del</w:t>
      </w:r>
      <w:r>
        <w:rPr>
          <w:spacing w:val="-7"/>
        </w:rPr>
        <w:t> </w:t>
      </w:r>
      <w:r>
        <w:rPr/>
        <w:t>poder</w:t>
      </w:r>
      <w:r>
        <w:rPr>
          <w:spacing w:val="-7"/>
        </w:rPr>
        <w:t> </w:t>
      </w:r>
      <w:r>
        <w:rPr/>
        <w:t>del</w:t>
      </w:r>
      <w:r>
        <w:rPr>
          <w:spacing w:val="-7"/>
        </w:rPr>
        <w:t> </w:t>
      </w:r>
      <w:r>
        <w:rPr/>
        <w:t>Estado</w:t>
      </w:r>
      <w:r>
        <w:rPr>
          <w:spacing w:val="-8"/>
        </w:rPr>
        <w:t> </w:t>
      </w:r>
      <w:r>
        <w:rPr/>
        <w:t>para</w:t>
      </w:r>
      <w:r>
        <w:rPr>
          <w:spacing w:val="-7"/>
        </w:rPr>
        <w:t> </w:t>
      </w:r>
      <w:r>
        <w:rPr/>
        <w:t>moderar</w:t>
      </w:r>
      <w:r>
        <w:rPr>
          <w:spacing w:val="-7"/>
        </w:rPr>
        <w:t> </w:t>
      </w:r>
      <w:r>
        <w:rPr/>
        <w:t>políticamente</w:t>
      </w:r>
      <w:r>
        <w:rPr>
          <w:spacing w:val="-8"/>
        </w:rPr>
        <w:t> </w:t>
      </w:r>
      <w:r>
        <w:rPr/>
        <w:t>su</w:t>
      </w:r>
      <w:r>
        <w:rPr>
          <w:spacing w:val="-6"/>
        </w:rPr>
        <w:t> </w:t>
      </w:r>
      <w:r>
        <w:rPr/>
        <w:t>relación</w:t>
      </w:r>
      <w:r>
        <w:rPr>
          <w:spacing w:val="-6"/>
        </w:rPr>
        <w:t> </w:t>
      </w:r>
      <w:r>
        <w:rPr/>
        <w:t>con</w:t>
      </w:r>
      <w:r>
        <w:rPr>
          <w:spacing w:val="-6"/>
        </w:rPr>
        <w:t> </w:t>
      </w:r>
      <w:r>
        <w:rPr/>
        <w:t>el</w:t>
      </w:r>
      <w:r>
        <w:rPr>
          <w:spacing w:val="-10"/>
        </w:rPr>
        <w:t> </w:t>
      </w:r>
      <w:r>
        <w:rPr/>
        <w:t>sector</w:t>
      </w:r>
      <w:r>
        <w:rPr>
          <w:spacing w:val="-7"/>
        </w:rPr>
        <w:t> </w:t>
      </w:r>
      <w:r>
        <w:rPr/>
        <w:t>privado</w:t>
      </w:r>
      <w:r>
        <w:rPr>
          <w:spacing w:val="-6"/>
        </w:rPr>
        <w:t> </w:t>
      </w:r>
      <w:r>
        <w:rPr/>
        <w:t>y de los aspectos intertemporales de la economía y la</w:t>
      </w:r>
      <w:r>
        <w:rPr>
          <w:spacing w:val="-24"/>
        </w:rPr>
        <w:t> </w:t>
      </w:r>
      <w:r>
        <w:rPr/>
        <w:t>política.</w:t>
      </w:r>
    </w:p>
    <w:p>
      <w:pPr>
        <w:pStyle w:val="BodyText"/>
        <w:spacing w:line="360" w:lineRule="auto" w:before="5"/>
        <w:ind w:left="102" w:right="116" w:firstLine="427"/>
        <w:jc w:val="both"/>
      </w:pPr>
      <w:r>
        <w:rPr/>
        <w:t>El Estado dispone de mecanismos que coadyuvan a lograr, preservar o incrementar su legitimidad, entre ellas: la gobernabilidad (buen gobierno), </w:t>
      </w:r>
      <w:r>
        <w:rPr>
          <w:spacing w:val="3"/>
        </w:rPr>
        <w:t>la </w:t>
      </w:r>
      <w:r>
        <w:rPr/>
        <w:t>efectividad</w:t>
      </w:r>
      <w:r>
        <w:rPr>
          <w:spacing w:val="-12"/>
        </w:rPr>
        <w:t> </w:t>
      </w:r>
      <w:r>
        <w:rPr/>
        <w:t>del</w:t>
      </w:r>
      <w:r>
        <w:rPr>
          <w:spacing w:val="-13"/>
        </w:rPr>
        <w:t> </w:t>
      </w:r>
      <w:r>
        <w:rPr/>
        <w:t>Estado</w:t>
      </w:r>
      <w:r>
        <w:rPr>
          <w:spacing w:val="-14"/>
        </w:rPr>
        <w:t> </w:t>
      </w:r>
      <w:r>
        <w:rPr/>
        <w:t>de</w:t>
      </w:r>
      <w:r>
        <w:rPr>
          <w:spacing w:val="-9"/>
        </w:rPr>
        <w:t> </w:t>
      </w:r>
      <w:r>
        <w:rPr/>
        <w:t>Derecho,</w:t>
      </w:r>
      <w:r>
        <w:rPr>
          <w:spacing w:val="-10"/>
        </w:rPr>
        <w:t> </w:t>
      </w:r>
      <w:r>
        <w:rPr/>
        <w:t>la</w:t>
      </w:r>
      <w:r>
        <w:rPr>
          <w:spacing w:val="-12"/>
        </w:rPr>
        <w:t> </w:t>
      </w:r>
      <w:r>
        <w:rPr/>
        <w:t>seguridad</w:t>
      </w:r>
      <w:r>
        <w:rPr>
          <w:spacing w:val="-12"/>
        </w:rPr>
        <w:t> </w:t>
      </w:r>
      <w:r>
        <w:rPr/>
        <w:t>nacional,</w:t>
      </w:r>
      <w:r>
        <w:rPr>
          <w:spacing w:val="-13"/>
        </w:rPr>
        <w:t> </w:t>
      </w:r>
      <w:r>
        <w:rPr/>
        <w:t>una</w:t>
      </w:r>
      <w:r>
        <w:rPr>
          <w:spacing w:val="-12"/>
        </w:rPr>
        <w:t> </w:t>
      </w:r>
      <w:r>
        <w:rPr/>
        <w:t>eficiente</w:t>
      </w:r>
      <w:r>
        <w:rPr>
          <w:spacing w:val="-11"/>
        </w:rPr>
        <w:t> </w:t>
      </w:r>
      <w:r>
        <w:rPr/>
        <w:t>rendición</w:t>
      </w:r>
      <w:r>
        <w:rPr>
          <w:spacing w:val="-12"/>
        </w:rPr>
        <w:t> </w:t>
      </w:r>
      <w:r>
        <w:rPr/>
        <w:t>de cuentas y la participación ciudadana. Estos elementos pueden resumirse en uno solo: una gobernanza</w:t>
      </w:r>
      <w:r>
        <w:rPr>
          <w:spacing w:val="-12"/>
        </w:rPr>
        <w:t> </w:t>
      </w:r>
      <w:r>
        <w:rPr/>
        <w:t>efectiva.</w:t>
      </w:r>
    </w:p>
    <w:p>
      <w:pPr>
        <w:pStyle w:val="BodyText"/>
        <w:spacing w:line="360" w:lineRule="auto" w:before="2"/>
        <w:ind w:left="102" w:right="117" w:firstLine="427"/>
        <w:jc w:val="both"/>
      </w:pPr>
      <w:r>
        <w:rPr/>
        <w:t>En América Latina los cambios estructurales que emprendieron los estados en la década de los años setenta para salir de la crisis fiscal, fueron la consolidación y redemocratización</w:t>
      </w:r>
      <w:r>
        <w:rPr>
          <w:spacing w:val="-8"/>
        </w:rPr>
        <w:t> </w:t>
      </w:r>
      <w:r>
        <w:rPr/>
        <w:t>del</w:t>
      </w:r>
      <w:r>
        <w:rPr>
          <w:spacing w:val="-9"/>
        </w:rPr>
        <w:t> </w:t>
      </w:r>
      <w:r>
        <w:rPr/>
        <w:t>Estado.</w:t>
      </w:r>
      <w:r>
        <w:rPr>
          <w:spacing w:val="-8"/>
        </w:rPr>
        <w:t> </w:t>
      </w:r>
      <w:r>
        <w:rPr/>
        <w:t>Los</w:t>
      </w:r>
      <w:r>
        <w:rPr>
          <w:spacing w:val="-9"/>
        </w:rPr>
        <w:t> </w:t>
      </w:r>
      <w:r>
        <w:rPr/>
        <w:t>regímenes</w:t>
      </w:r>
      <w:r>
        <w:rPr>
          <w:spacing w:val="-9"/>
        </w:rPr>
        <w:t> </w:t>
      </w:r>
      <w:r>
        <w:rPr/>
        <w:t>autoritarios</w:t>
      </w:r>
      <w:r>
        <w:rPr>
          <w:spacing w:val="-11"/>
        </w:rPr>
        <w:t> </w:t>
      </w:r>
      <w:r>
        <w:rPr/>
        <w:t>dificultaron</w:t>
      </w:r>
      <w:r>
        <w:rPr>
          <w:spacing w:val="-8"/>
        </w:rPr>
        <w:t> </w:t>
      </w:r>
      <w:r>
        <w:rPr/>
        <w:t>la</w:t>
      </w:r>
      <w:r>
        <w:rPr>
          <w:spacing w:val="-8"/>
        </w:rPr>
        <w:t> </w:t>
      </w:r>
      <w:r>
        <w:rPr/>
        <w:t>aprobación de las reformas del Estado, lo que retrasó la democracia en la región. La situación política</w:t>
      </w:r>
      <w:r>
        <w:rPr>
          <w:spacing w:val="-6"/>
        </w:rPr>
        <w:t> </w:t>
      </w:r>
      <w:r>
        <w:rPr/>
        <w:t>ocasionó</w:t>
      </w:r>
      <w:r>
        <w:rPr>
          <w:spacing w:val="-6"/>
        </w:rPr>
        <w:t> </w:t>
      </w:r>
      <w:r>
        <w:rPr/>
        <w:t>la</w:t>
      </w:r>
      <w:r>
        <w:rPr>
          <w:spacing w:val="-6"/>
        </w:rPr>
        <w:t> </w:t>
      </w:r>
      <w:r>
        <w:rPr/>
        <w:t>pérdida</w:t>
      </w:r>
      <w:r>
        <w:rPr>
          <w:spacing w:val="-6"/>
        </w:rPr>
        <w:t> </w:t>
      </w:r>
      <w:r>
        <w:rPr/>
        <w:t>de</w:t>
      </w:r>
      <w:r>
        <w:rPr>
          <w:spacing w:val="-6"/>
        </w:rPr>
        <w:t> </w:t>
      </w:r>
      <w:r>
        <w:rPr/>
        <w:t>legitimidad</w:t>
      </w:r>
      <w:r>
        <w:rPr>
          <w:spacing w:val="-6"/>
        </w:rPr>
        <w:t> </w:t>
      </w:r>
      <w:r>
        <w:rPr/>
        <w:t>y</w:t>
      </w:r>
      <w:r>
        <w:rPr>
          <w:spacing w:val="-9"/>
        </w:rPr>
        <w:t> </w:t>
      </w:r>
      <w:r>
        <w:rPr/>
        <w:t>sólo</w:t>
      </w:r>
      <w:r>
        <w:rPr>
          <w:spacing w:val="-6"/>
        </w:rPr>
        <w:t> </w:t>
      </w:r>
      <w:r>
        <w:rPr/>
        <w:t>se</w:t>
      </w:r>
      <w:r>
        <w:rPr>
          <w:spacing w:val="-6"/>
        </w:rPr>
        <w:t> </w:t>
      </w:r>
      <w:r>
        <w:rPr/>
        <w:t>logró</w:t>
      </w:r>
      <w:r>
        <w:rPr>
          <w:spacing w:val="-7"/>
        </w:rPr>
        <w:t> </w:t>
      </w:r>
      <w:r>
        <w:rPr/>
        <w:t>una</w:t>
      </w:r>
      <w:r>
        <w:rPr>
          <w:spacing w:val="-6"/>
        </w:rPr>
        <w:t> </w:t>
      </w:r>
      <w:r>
        <w:rPr/>
        <w:t>relativa</w:t>
      </w:r>
      <w:r>
        <w:rPr>
          <w:spacing w:val="-6"/>
        </w:rPr>
        <w:t> </w:t>
      </w:r>
      <w:r>
        <w:rPr/>
        <w:t>estabilización de las finanzas</w:t>
      </w:r>
      <w:r>
        <w:rPr>
          <w:spacing w:val="-11"/>
        </w:rPr>
        <w:t> </w:t>
      </w:r>
      <w:r>
        <w:rPr/>
        <w:t>públicas.</w:t>
      </w:r>
    </w:p>
    <w:p>
      <w:pPr>
        <w:pStyle w:val="BodyText"/>
        <w:spacing w:line="360" w:lineRule="auto" w:before="2"/>
        <w:ind w:left="102" w:right="118" w:firstLine="427"/>
        <w:jc w:val="both"/>
      </w:pPr>
      <w:r>
        <w:rPr/>
        <w:t>Los países de América Latina a diferencia de los europeos, emprendieron estrategias</w:t>
      </w:r>
      <w:r>
        <w:rPr>
          <w:spacing w:val="-7"/>
        </w:rPr>
        <w:t> </w:t>
      </w:r>
      <w:r>
        <w:rPr/>
        <w:t>empresariales</w:t>
      </w:r>
      <w:r>
        <w:rPr>
          <w:spacing w:val="-7"/>
        </w:rPr>
        <w:t> </w:t>
      </w:r>
      <w:r>
        <w:rPr/>
        <w:t>y</w:t>
      </w:r>
      <w:r>
        <w:rPr>
          <w:spacing w:val="-10"/>
        </w:rPr>
        <w:t> </w:t>
      </w:r>
      <w:r>
        <w:rPr/>
        <w:t>tomaron</w:t>
      </w:r>
      <w:r>
        <w:rPr>
          <w:spacing w:val="-9"/>
        </w:rPr>
        <w:t> </w:t>
      </w:r>
      <w:r>
        <w:rPr/>
        <w:t>decisiones</w:t>
      </w:r>
      <w:r>
        <w:rPr>
          <w:spacing w:val="-8"/>
        </w:rPr>
        <w:t> </w:t>
      </w:r>
      <w:r>
        <w:rPr/>
        <w:t>basadas</w:t>
      </w:r>
      <w:r>
        <w:rPr>
          <w:spacing w:val="-5"/>
        </w:rPr>
        <w:t> </w:t>
      </w:r>
      <w:r>
        <w:rPr/>
        <w:t>en</w:t>
      </w:r>
      <w:r>
        <w:rPr>
          <w:spacing w:val="-7"/>
        </w:rPr>
        <w:t> </w:t>
      </w:r>
      <w:r>
        <w:rPr/>
        <w:t>esquemas</w:t>
      </w:r>
      <w:r>
        <w:rPr>
          <w:spacing w:val="-8"/>
        </w:rPr>
        <w:t> </w:t>
      </w:r>
      <w:r>
        <w:rPr/>
        <w:t>jerárquicos, característicos</w:t>
      </w:r>
      <w:r>
        <w:rPr>
          <w:spacing w:val="-5"/>
        </w:rPr>
        <w:t> </w:t>
      </w:r>
      <w:r>
        <w:rPr/>
        <w:t>de</w:t>
      </w:r>
      <w:r>
        <w:rPr>
          <w:spacing w:val="-5"/>
        </w:rPr>
        <w:t> </w:t>
      </w:r>
      <w:r>
        <w:rPr/>
        <w:t>la</w:t>
      </w:r>
      <w:r>
        <w:rPr>
          <w:spacing w:val="-7"/>
        </w:rPr>
        <w:t> </w:t>
      </w:r>
      <w:r>
        <w:rPr/>
        <w:t>Nueva</w:t>
      </w:r>
      <w:r>
        <w:rPr>
          <w:spacing w:val="-5"/>
        </w:rPr>
        <w:t> </w:t>
      </w:r>
      <w:r>
        <w:rPr/>
        <w:t>Administración</w:t>
      </w:r>
      <w:r>
        <w:rPr>
          <w:spacing w:val="-7"/>
        </w:rPr>
        <w:t> </w:t>
      </w:r>
      <w:r>
        <w:rPr/>
        <w:t>Pública.</w:t>
      </w:r>
      <w:r>
        <w:rPr>
          <w:spacing w:val="-7"/>
        </w:rPr>
        <w:t> </w:t>
      </w:r>
      <w:r>
        <w:rPr/>
        <w:t>Sin</w:t>
      </w:r>
      <w:r>
        <w:rPr>
          <w:spacing w:val="-7"/>
        </w:rPr>
        <w:t> </w:t>
      </w:r>
      <w:r>
        <w:rPr/>
        <w:t>embargo,</w:t>
      </w:r>
      <w:r>
        <w:rPr>
          <w:spacing w:val="-7"/>
        </w:rPr>
        <w:t> </w:t>
      </w:r>
      <w:r>
        <w:rPr/>
        <w:t>la</w:t>
      </w:r>
      <w:r>
        <w:rPr>
          <w:spacing w:val="-7"/>
        </w:rPr>
        <w:t> </w:t>
      </w:r>
      <w:r>
        <w:rPr/>
        <w:t>conducción</w:t>
      </w:r>
      <w:r>
        <w:rPr>
          <w:spacing w:val="-7"/>
        </w:rPr>
        <w:t> </w:t>
      </w:r>
      <w:r>
        <w:rPr/>
        <w:t>del Estado bajo estándares empresariales tiene el inconveniente de orientarse hacia</w:t>
      </w:r>
      <w:r>
        <w:rPr>
          <w:spacing w:val="-38"/>
        </w:rPr>
        <w:t> </w:t>
      </w:r>
      <w:r>
        <w:rPr/>
        <w:t>la permanencia en el mercado y no hacia lograr la</w:t>
      </w:r>
      <w:r>
        <w:rPr>
          <w:spacing w:val="-23"/>
        </w:rPr>
        <w:t> </w:t>
      </w:r>
      <w:r>
        <w:rPr/>
        <w:t>gobernabilidad.</w:t>
      </w:r>
    </w:p>
    <w:p>
      <w:pPr>
        <w:spacing w:after="0" w:line="360" w:lineRule="auto"/>
        <w:jc w:val="both"/>
        <w:sectPr>
          <w:footerReference w:type="even" r:id="rId39"/>
          <w:footerReference w:type="default" r:id="rId40"/>
          <w:pgSz w:w="12240" w:h="15840"/>
          <w:pgMar w:footer="1003" w:header="0" w:top="1360" w:bottom="1200" w:left="1600" w:right="1580"/>
        </w:sectPr>
      </w:pPr>
    </w:p>
    <w:p>
      <w:pPr>
        <w:pStyle w:val="BodyText"/>
        <w:spacing w:line="360" w:lineRule="auto" w:before="54"/>
        <w:ind w:left="102" w:right="123" w:firstLine="427"/>
        <w:jc w:val="both"/>
      </w:pPr>
      <w:r>
        <w:rPr/>
        <w:t>La profesionalización del servicio público, como originalmente lo propuso Max Weber, es una medida que ha sido adoptada por los países avanzados, pero en economías con otras características, la profesionalización es más difícil por la herencia de la cultura autoritaria que aún prevalece.</w:t>
      </w:r>
    </w:p>
    <w:p>
      <w:pPr>
        <w:pStyle w:val="BodyText"/>
        <w:spacing w:line="360" w:lineRule="auto" w:before="2"/>
        <w:ind w:left="102" w:right="125" w:firstLine="427"/>
        <w:jc w:val="both"/>
      </w:pPr>
      <w:r>
        <w:rPr/>
        <w:t>El equilibrio fiscal y de balanza de pagos es imprescindible para las naciones emergentes; sin embargo, es más importante que el Estado mantenga un poder efectivo en la sociedad mediante la democracia.</w:t>
      </w:r>
    </w:p>
    <w:p>
      <w:pPr>
        <w:pStyle w:val="BodyText"/>
        <w:spacing w:line="360" w:lineRule="auto" w:before="5"/>
        <w:ind w:left="102" w:right="121" w:firstLine="427"/>
        <w:jc w:val="both"/>
      </w:pPr>
      <w:r>
        <w:rPr/>
        <w:t>Se considera que los gobiernos autoritarios están más expuestos a cometer errores de decisión en sus políticas y programas, debido a que no están sujetos a controles y contrapesos de otros poderes públicos y son gobiernos que politizan (despartidizan)</w:t>
      </w:r>
      <w:r>
        <w:rPr>
          <w:spacing w:val="-20"/>
        </w:rPr>
        <w:t> </w:t>
      </w:r>
      <w:r>
        <w:rPr/>
        <w:t>el</w:t>
      </w:r>
      <w:r>
        <w:rPr>
          <w:spacing w:val="-19"/>
        </w:rPr>
        <w:t> </w:t>
      </w:r>
      <w:r>
        <w:rPr/>
        <w:t>gasto</w:t>
      </w:r>
      <w:r>
        <w:rPr>
          <w:spacing w:val="-18"/>
        </w:rPr>
        <w:t> </w:t>
      </w:r>
      <w:r>
        <w:rPr/>
        <w:t>para</w:t>
      </w:r>
      <w:r>
        <w:rPr>
          <w:spacing w:val="-18"/>
        </w:rPr>
        <w:t> </w:t>
      </w:r>
      <w:r>
        <w:rPr/>
        <w:t>legitimarse,</w:t>
      </w:r>
      <w:r>
        <w:rPr>
          <w:spacing w:val="-20"/>
        </w:rPr>
        <w:t> </w:t>
      </w:r>
      <w:r>
        <w:rPr/>
        <w:t>realizan</w:t>
      </w:r>
      <w:r>
        <w:rPr>
          <w:spacing w:val="-18"/>
        </w:rPr>
        <w:t> </w:t>
      </w:r>
      <w:r>
        <w:rPr/>
        <w:t>políticas</w:t>
      </w:r>
      <w:r>
        <w:rPr>
          <w:spacing w:val="-18"/>
        </w:rPr>
        <w:t> </w:t>
      </w:r>
      <w:r>
        <w:rPr/>
        <w:t>expansivas</w:t>
      </w:r>
      <w:r>
        <w:rPr>
          <w:spacing w:val="-18"/>
        </w:rPr>
        <w:t> </w:t>
      </w:r>
      <w:r>
        <w:rPr/>
        <w:t>de</w:t>
      </w:r>
      <w:r>
        <w:rPr>
          <w:spacing w:val="-20"/>
        </w:rPr>
        <w:t> </w:t>
      </w:r>
      <w:r>
        <w:rPr/>
        <w:t>gasto</w:t>
      </w:r>
      <w:r>
        <w:rPr>
          <w:spacing w:val="-19"/>
        </w:rPr>
        <w:t> </w:t>
      </w:r>
      <w:r>
        <w:rPr/>
        <w:t>para satisfacer las demandas de las masas pobres. Los regímenes autoritarios cuando tienen crisis fiscales no pueden reconstruir su capacidad directiva, a menos que se sujeten a una reforma política de fondo y no sólo a la reconstrucción de su economía.</w:t>
      </w:r>
    </w:p>
    <w:p>
      <w:pPr>
        <w:pStyle w:val="Heading3"/>
        <w:numPr>
          <w:ilvl w:val="2"/>
          <w:numId w:val="16"/>
        </w:numPr>
        <w:tabs>
          <w:tab w:pos="704" w:val="left" w:leader="none"/>
        </w:tabs>
        <w:spacing w:line="240" w:lineRule="auto" w:before="204" w:after="0"/>
        <w:ind w:left="703" w:right="0" w:hanging="601"/>
        <w:jc w:val="both"/>
      </w:pPr>
      <w:bookmarkStart w:name="_bookmark10" w:id="14"/>
      <w:bookmarkEnd w:id="14"/>
      <w:r>
        <w:rPr>
          <w:b w:val="0"/>
        </w:rPr>
      </w:r>
      <w:bookmarkStart w:name="_bookmark10" w:id="15"/>
      <w:bookmarkEnd w:id="15"/>
      <w:r>
        <w:rPr/>
        <w:t>La</w:t>
      </w:r>
      <w:r>
        <w:rPr/>
        <w:t>s instituciones de rendición de</w:t>
      </w:r>
      <w:r>
        <w:rPr>
          <w:spacing w:val="-12"/>
        </w:rPr>
        <w:t> </w:t>
      </w:r>
      <w:r>
        <w:rPr/>
        <w:t>cuentas</w:t>
      </w:r>
    </w:p>
    <w:p>
      <w:pPr>
        <w:pStyle w:val="BodyText"/>
        <w:rPr>
          <w:b/>
        </w:rPr>
      </w:pPr>
    </w:p>
    <w:p>
      <w:pPr>
        <w:pStyle w:val="BodyText"/>
        <w:spacing w:before="4"/>
        <w:rPr>
          <w:b/>
          <w:sz w:val="32"/>
        </w:rPr>
      </w:pPr>
    </w:p>
    <w:p>
      <w:pPr>
        <w:pStyle w:val="BodyText"/>
        <w:spacing w:line="360" w:lineRule="auto"/>
        <w:ind w:left="102" w:right="115"/>
        <w:jc w:val="both"/>
      </w:pPr>
      <w:r>
        <w:rPr/>
        <w:t>La gobernanza se orienta a establecer mayores controles al poder del Estado, y el uso de las tecnologías de la información en los medios de comunicación, ha impulsado a algunos Estados a establecer mecanismos de información (</w:t>
      </w:r>
      <w:r>
        <w:rPr>
          <w:i/>
        </w:rPr>
        <w:t>accountability</w:t>
      </w:r>
      <w:r>
        <w:rPr/>
        <w:t>), justificación (</w:t>
      </w:r>
      <w:r>
        <w:rPr>
          <w:i/>
        </w:rPr>
        <w:t>answerability</w:t>
      </w:r>
      <w:r>
        <w:rPr/>
        <w:t>) y sanciones (</w:t>
      </w:r>
      <w:r>
        <w:rPr>
          <w:i/>
        </w:rPr>
        <w:t>enforcement</w:t>
      </w:r>
      <w:r>
        <w:rPr/>
        <w:t>) más efectivos.</w:t>
      </w:r>
      <w:r>
        <w:rPr>
          <w:spacing w:val="-19"/>
        </w:rPr>
        <w:t> </w:t>
      </w:r>
      <w:r>
        <w:rPr/>
        <w:t>Sin</w:t>
      </w:r>
      <w:r>
        <w:rPr>
          <w:spacing w:val="-19"/>
        </w:rPr>
        <w:t> </w:t>
      </w:r>
      <w:r>
        <w:rPr/>
        <w:t>embargo,</w:t>
      </w:r>
      <w:r>
        <w:rPr>
          <w:spacing w:val="-19"/>
        </w:rPr>
        <w:t> </w:t>
      </w:r>
      <w:r>
        <w:rPr/>
        <w:t>la</w:t>
      </w:r>
      <w:r>
        <w:rPr>
          <w:spacing w:val="-19"/>
        </w:rPr>
        <w:t> </w:t>
      </w:r>
      <w:r>
        <w:rPr/>
        <w:t>participación</w:t>
      </w:r>
      <w:r>
        <w:rPr>
          <w:spacing w:val="-19"/>
        </w:rPr>
        <w:t> </w:t>
      </w:r>
      <w:r>
        <w:rPr/>
        <w:t>ciudadana</w:t>
      </w:r>
      <w:r>
        <w:rPr>
          <w:spacing w:val="-19"/>
        </w:rPr>
        <w:t> </w:t>
      </w:r>
      <w:r>
        <w:rPr/>
        <w:t>que</w:t>
      </w:r>
      <w:r>
        <w:rPr>
          <w:spacing w:val="-19"/>
        </w:rPr>
        <w:t> </w:t>
      </w:r>
      <w:r>
        <w:rPr/>
        <w:t>demanda</w:t>
      </w:r>
      <w:r>
        <w:rPr>
          <w:spacing w:val="-21"/>
        </w:rPr>
        <w:t> </w:t>
      </w:r>
      <w:r>
        <w:rPr/>
        <w:t>mejores</w:t>
      </w:r>
      <w:r>
        <w:rPr>
          <w:spacing w:val="-20"/>
        </w:rPr>
        <w:t> </w:t>
      </w:r>
      <w:r>
        <w:rPr/>
        <w:t>resultados de las políticas es más importante que cualquier</w:t>
      </w:r>
      <w:r>
        <w:rPr>
          <w:spacing w:val="-25"/>
        </w:rPr>
        <w:t> </w:t>
      </w:r>
      <w:r>
        <w:rPr/>
        <w:t>tecnología.</w:t>
      </w:r>
    </w:p>
    <w:p>
      <w:pPr>
        <w:pStyle w:val="BodyText"/>
      </w:pPr>
    </w:p>
    <w:p>
      <w:pPr>
        <w:pStyle w:val="BodyText"/>
        <w:spacing w:line="360" w:lineRule="auto" w:before="142"/>
        <w:ind w:left="102" w:right="118" w:firstLine="427"/>
        <w:jc w:val="both"/>
      </w:pPr>
      <w:r>
        <w:rPr/>
        <w:t>Tanto</w:t>
      </w:r>
      <w:r>
        <w:rPr>
          <w:spacing w:val="-6"/>
        </w:rPr>
        <w:t> </w:t>
      </w:r>
      <w:r>
        <w:rPr/>
        <w:t>los</w:t>
      </w:r>
      <w:r>
        <w:rPr>
          <w:spacing w:val="-7"/>
        </w:rPr>
        <w:t> </w:t>
      </w:r>
      <w:r>
        <w:rPr/>
        <w:t>países</w:t>
      </w:r>
      <w:r>
        <w:rPr>
          <w:spacing w:val="-8"/>
        </w:rPr>
        <w:t> </w:t>
      </w:r>
      <w:r>
        <w:rPr/>
        <w:t>avanzados</w:t>
      </w:r>
      <w:r>
        <w:rPr>
          <w:spacing w:val="-5"/>
        </w:rPr>
        <w:t> </w:t>
      </w:r>
      <w:r>
        <w:rPr/>
        <w:t>como</w:t>
      </w:r>
      <w:r>
        <w:rPr>
          <w:spacing w:val="-7"/>
        </w:rPr>
        <w:t> </w:t>
      </w:r>
      <w:r>
        <w:rPr/>
        <w:t>los</w:t>
      </w:r>
      <w:r>
        <w:rPr>
          <w:spacing w:val="-7"/>
        </w:rPr>
        <w:t> </w:t>
      </w:r>
      <w:r>
        <w:rPr/>
        <w:t>emergentes</w:t>
      </w:r>
      <w:r>
        <w:rPr>
          <w:spacing w:val="-8"/>
        </w:rPr>
        <w:t> </w:t>
      </w:r>
      <w:r>
        <w:rPr/>
        <w:t>cuentan</w:t>
      </w:r>
      <w:r>
        <w:rPr>
          <w:spacing w:val="-7"/>
        </w:rPr>
        <w:t> </w:t>
      </w:r>
      <w:r>
        <w:rPr/>
        <w:t>con</w:t>
      </w:r>
      <w:r>
        <w:rPr>
          <w:spacing w:val="-7"/>
        </w:rPr>
        <w:t> </w:t>
      </w:r>
      <w:r>
        <w:rPr/>
        <w:t>instituciones</w:t>
      </w:r>
      <w:r>
        <w:rPr>
          <w:spacing w:val="-8"/>
        </w:rPr>
        <w:t> </w:t>
      </w:r>
      <w:r>
        <w:rPr/>
        <w:t>de rendición de cuentas, las cuales tienen la misma función sustantiva, pero obtienen resultados distintos. Esto puede explicarse en parte, por los diferentes sistemas políticos, distintos intereses políticos, la relación Estado-sociedad, la forma de implementación de los instrumentos de rendición de cuentas y principalmente, la cultura política</w:t>
      </w:r>
      <w:r>
        <w:rPr>
          <w:spacing w:val="-9"/>
        </w:rPr>
        <w:t> </w:t>
      </w:r>
      <w:r>
        <w:rPr/>
        <w:t>ciudadana.</w:t>
      </w:r>
    </w:p>
    <w:p>
      <w:pPr>
        <w:spacing w:after="0" w:line="360" w:lineRule="auto"/>
        <w:jc w:val="both"/>
        <w:sectPr>
          <w:pgSz w:w="12240" w:h="15840"/>
          <w:pgMar w:header="0" w:footer="1003" w:top="1360" w:bottom="1200" w:left="1600" w:right="1580"/>
        </w:sectPr>
      </w:pPr>
    </w:p>
    <w:p>
      <w:pPr>
        <w:pStyle w:val="BodyText"/>
        <w:spacing w:line="360" w:lineRule="auto" w:before="54"/>
        <w:ind w:left="122" w:right="117" w:firstLine="427"/>
        <w:jc w:val="both"/>
      </w:pPr>
      <w:r>
        <w:rPr/>
        <w:t>La implementación de políticas efectivas de rendición de cuentas depende, entre otros aspectos, de la dicotomía politización-despolitización,</w:t>
      </w:r>
      <w:r>
        <w:rPr>
          <w:position w:val="8"/>
          <w:sz w:val="16"/>
        </w:rPr>
        <w:t>17 </w:t>
      </w:r>
      <w:r>
        <w:rPr/>
        <w:t>ya que se requiere que las instituciones de rendición de cuentas cumplan con su función política de informar a la sociedad y presentar al congreso la evaluación de los resultados de las políticas públicas y hacerlo del conocimiento público, tanto nacional como de la comunidad internacional.</w:t>
      </w:r>
    </w:p>
    <w:p>
      <w:pPr>
        <w:pStyle w:val="BodyText"/>
        <w:spacing w:line="360" w:lineRule="auto" w:before="2"/>
        <w:ind w:left="122" w:right="116" w:firstLine="427"/>
        <w:jc w:val="both"/>
      </w:pPr>
      <w:r>
        <w:rPr/>
        <w:t>La gobernanza puede orientarse hacia la creación de nuevos canales de rendición de cuentas en el Estado donde haya más participación ciudadana mediante redes, pero los ciudadanos no les pueden exigir a las organizaciones privadas responsabilidad sobre las políticas públicas.</w:t>
      </w:r>
    </w:p>
    <w:p>
      <w:pPr>
        <w:pStyle w:val="BodyText"/>
        <w:spacing w:line="360" w:lineRule="auto" w:before="2"/>
        <w:ind w:left="122" w:right="123" w:firstLine="427"/>
        <w:jc w:val="both"/>
      </w:pPr>
      <w:r>
        <w:rPr/>
        <w:t>Una de las aportaciones de la gobernanza a la rendición de cuentas es que puede realizarse una mejor rendición si se hace una distinción entre política y administración, es decir, diferenciar entre los aspectos estratégicos y operativos, lo cual orientará la política hacia aspectos estructurales.</w:t>
      </w:r>
    </w:p>
    <w:p>
      <w:pPr>
        <w:pStyle w:val="BodyText"/>
        <w:spacing w:line="360" w:lineRule="auto" w:before="2"/>
        <w:ind w:left="122" w:right="124" w:firstLine="427"/>
        <w:jc w:val="both"/>
      </w:pPr>
      <w:r>
        <w:rPr/>
        <w:t>Las evaluaciones de las políticas públicas mediante la rendición de cuentas le permiten al Estado y a la sociedad realizar un diagnóstico del funcionamiento y resultados de la gobernanza en la gobernabilidad.</w:t>
      </w:r>
    </w:p>
    <w:p>
      <w:pPr>
        <w:pStyle w:val="BodyText"/>
      </w:pPr>
    </w:p>
    <w:p>
      <w:pPr>
        <w:pStyle w:val="BodyText"/>
        <w:spacing w:line="360" w:lineRule="auto" w:before="142"/>
        <w:ind w:left="122" w:right="119" w:firstLine="427"/>
        <w:jc w:val="both"/>
      </w:pPr>
      <w:r>
        <w:rPr/>
        <w:t>Para resolver los problemas actuales la sociedad requiere ascender a un nivel superior de información, conciencia, seguimiento y organización, por lo que es necesario construir formas de asociación público-privada (redes).</w:t>
      </w:r>
    </w:p>
    <w:p>
      <w:pPr>
        <w:pStyle w:val="BodyText"/>
        <w:spacing w:line="360" w:lineRule="auto" w:before="5"/>
        <w:ind w:left="122" w:right="119" w:firstLine="427"/>
        <w:jc w:val="both"/>
      </w:pPr>
      <w:r>
        <w:rPr/>
        <w:t>La</w:t>
      </w:r>
      <w:r>
        <w:rPr>
          <w:spacing w:val="-16"/>
        </w:rPr>
        <w:t> </w:t>
      </w:r>
      <w:r>
        <w:rPr/>
        <w:t>gobernanza</w:t>
      </w:r>
      <w:r>
        <w:rPr>
          <w:spacing w:val="-14"/>
        </w:rPr>
        <w:t> </w:t>
      </w:r>
      <w:r>
        <w:rPr/>
        <w:t>requiere</w:t>
      </w:r>
      <w:r>
        <w:rPr>
          <w:spacing w:val="-16"/>
        </w:rPr>
        <w:t> </w:t>
      </w:r>
      <w:r>
        <w:rPr/>
        <w:t>dar</w:t>
      </w:r>
      <w:r>
        <w:rPr>
          <w:spacing w:val="-19"/>
        </w:rPr>
        <w:t> </w:t>
      </w:r>
      <w:r>
        <w:rPr/>
        <w:t>mayor</w:t>
      </w:r>
      <w:r>
        <w:rPr>
          <w:spacing w:val="-17"/>
        </w:rPr>
        <w:t> </w:t>
      </w:r>
      <w:r>
        <w:rPr/>
        <w:t>atención</w:t>
      </w:r>
      <w:r>
        <w:rPr>
          <w:spacing w:val="-16"/>
        </w:rPr>
        <w:t> </w:t>
      </w:r>
      <w:r>
        <w:rPr/>
        <w:t>a</w:t>
      </w:r>
      <w:r>
        <w:rPr>
          <w:spacing w:val="-18"/>
        </w:rPr>
        <w:t> </w:t>
      </w:r>
      <w:r>
        <w:rPr/>
        <w:t>los</w:t>
      </w:r>
      <w:r>
        <w:rPr>
          <w:spacing w:val="-16"/>
        </w:rPr>
        <w:t> </w:t>
      </w:r>
      <w:r>
        <w:rPr/>
        <w:t>problemas</w:t>
      </w:r>
      <w:r>
        <w:rPr>
          <w:spacing w:val="-19"/>
        </w:rPr>
        <w:t> </w:t>
      </w:r>
      <w:r>
        <w:rPr/>
        <w:t>políticos</w:t>
      </w:r>
      <w:r>
        <w:rPr>
          <w:spacing w:val="-16"/>
        </w:rPr>
        <w:t> </w:t>
      </w:r>
      <w:r>
        <w:rPr/>
        <w:t>y</w:t>
      </w:r>
      <w:r>
        <w:rPr>
          <w:spacing w:val="-19"/>
        </w:rPr>
        <w:t> </w:t>
      </w:r>
      <w:r>
        <w:rPr/>
        <w:t>sociales, una mayor capacidad del Estado y del sector privado para diseñar e implementar políticas orientadas hacia la lucha contra la corrupción y una eficiente rendición de cuentas.</w:t>
      </w:r>
    </w:p>
    <w:p>
      <w:pPr>
        <w:pStyle w:val="BodyText"/>
        <w:spacing w:line="360" w:lineRule="auto" w:before="5"/>
        <w:ind w:left="122" w:right="120" w:firstLine="427"/>
        <w:jc w:val="both"/>
      </w:pPr>
      <w:r>
        <w:rPr/>
        <w:t>Ni el Estado ni el mercado pueden prescindir de la sociedad, por lo que la participación de ella en exigir cuentas al Estado no puede ser sustituida por otro</w:t>
      </w:r>
    </w:p>
    <w:p>
      <w:pPr>
        <w:pStyle w:val="BodyText"/>
        <w:spacing w:before="11"/>
        <w:rPr>
          <w:sz w:val="29"/>
        </w:rPr>
      </w:pPr>
      <w:r>
        <w:rPr/>
        <w:pict>
          <v:line style="position:absolute;mso-position-horizontal-relative:page;mso-position-vertical-relative:paragraph;z-index:2248;mso-wrap-distance-left:0;mso-wrap-distance-right:0" from="85.103996pt,19.553896pt" to="229.123996pt,19.553896pt" stroked="true" strokeweight=".72003pt" strokecolor="#000000">
            <w10:wrap type="topAndBottom"/>
          </v:line>
        </w:pict>
      </w:r>
    </w:p>
    <w:p>
      <w:pPr>
        <w:spacing w:line="244" w:lineRule="auto" w:before="62"/>
        <w:ind w:left="122" w:right="118" w:firstLine="0"/>
        <w:jc w:val="both"/>
        <w:rPr>
          <w:sz w:val="16"/>
        </w:rPr>
      </w:pPr>
      <w:r>
        <w:rPr>
          <w:rFonts w:ascii="Times New Roman" w:hAnsi="Times New Roman"/>
          <w:position w:val="7"/>
          <w:sz w:val="13"/>
        </w:rPr>
        <w:t>17</w:t>
      </w:r>
      <w:r>
        <w:rPr>
          <w:sz w:val="16"/>
        </w:rPr>
        <w:t>De acuerdo con estudios jurídicos realizados sobre la pertinencia de la autonomía constitucional de las entidades de rendición</w:t>
      </w:r>
      <w:r>
        <w:rPr>
          <w:spacing w:val="-6"/>
          <w:sz w:val="16"/>
        </w:rPr>
        <w:t> </w:t>
      </w:r>
      <w:r>
        <w:rPr>
          <w:sz w:val="16"/>
        </w:rPr>
        <w:t>de</w:t>
      </w:r>
      <w:r>
        <w:rPr>
          <w:spacing w:val="-8"/>
          <w:sz w:val="16"/>
        </w:rPr>
        <w:t> </w:t>
      </w:r>
      <w:r>
        <w:rPr>
          <w:sz w:val="16"/>
        </w:rPr>
        <w:t>cuentas,</w:t>
      </w:r>
      <w:r>
        <w:rPr>
          <w:spacing w:val="-6"/>
          <w:sz w:val="16"/>
        </w:rPr>
        <w:t> </w:t>
      </w:r>
      <w:r>
        <w:rPr>
          <w:sz w:val="16"/>
        </w:rPr>
        <w:t>se</w:t>
      </w:r>
      <w:r>
        <w:rPr>
          <w:spacing w:val="-8"/>
          <w:sz w:val="16"/>
        </w:rPr>
        <w:t> </w:t>
      </w:r>
      <w:r>
        <w:rPr>
          <w:sz w:val="16"/>
        </w:rPr>
        <w:t>considera</w:t>
      </w:r>
      <w:r>
        <w:rPr>
          <w:spacing w:val="-5"/>
          <w:sz w:val="16"/>
        </w:rPr>
        <w:t> </w:t>
      </w:r>
      <w:r>
        <w:rPr>
          <w:sz w:val="16"/>
        </w:rPr>
        <w:t>que</w:t>
      </w:r>
      <w:r>
        <w:rPr>
          <w:spacing w:val="-5"/>
          <w:sz w:val="16"/>
        </w:rPr>
        <w:t> </w:t>
      </w:r>
      <w:r>
        <w:rPr>
          <w:sz w:val="16"/>
        </w:rPr>
        <w:t>éstas</w:t>
      </w:r>
      <w:r>
        <w:rPr>
          <w:spacing w:val="-4"/>
          <w:sz w:val="16"/>
        </w:rPr>
        <w:t> </w:t>
      </w:r>
      <w:r>
        <w:rPr>
          <w:sz w:val="16"/>
        </w:rPr>
        <w:t>deben</w:t>
      </w:r>
      <w:r>
        <w:rPr>
          <w:spacing w:val="-8"/>
          <w:sz w:val="16"/>
        </w:rPr>
        <w:t> </w:t>
      </w:r>
      <w:r>
        <w:rPr>
          <w:sz w:val="16"/>
        </w:rPr>
        <w:t>ser</w:t>
      </w:r>
      <w:r>
        <w:rPr>
          <w:spacing w:val="-8"/>
          <w:sz w:val="16"/>
        </w:rPr>
        <w:t> </w:t>
      </w:r>
      <w:r>
        <w:rPr>
          <w:sz w:val="16"/>
        </w:rPr>
        <w:t>“ajenas</w:t>
      </w:r>
      <w:r>
        <w:rPr>
          <w:spacing w:val="-6"/>
          <w:sz w:val="16"/>
        </w:rPr>
        <w:t> </w:t>
      </w:r>
      <w:r>
        <w:rPr>
          <w:sz w:val="16"/>
        </w:rPr>
        <w:t>al</w:t>
      </w:r>
      <w:r>
        <w:rPr>
          <w:spacing w:val="-4"/>
          <w:sz w:val="16"/>
        </w:rPr>
        <w:t> </w:t>
      </w:r>
      <w:r>
        <w:rPr>
          <w:sz w:val="16"/>
        </w:rPr>
        <w:t>ámbito</w:t>
      </w:r>
      <w:r>
        <w:rPr>
          <w:spacing w:val="-8"/>
          <w:sz w:val="16"/>
        </w:rPr>
        <w:t> </w:t>
      </w:r>
      <w:r>
        <w:rPr>
          <w:sz w:val="16"/>
        </w:rPr>
        <w:t>de</w:t>
      </w:r>
      <w:r>
        <w:rPr>
          <w:spacing w:val="-5"/>
          <w:sz w:val="16"/>
        </w:rPr>
        <w:t> </w:t>
      </w:r>
      <w:r>
        <w:rPr>
          <w:sz w:val="16"/>
        </w:rPr>
        <w:t>la</w:t>
      </w:r>
      <w:r>
        <w:rPr>
          <w:spacing w:val="-7"/>
          <w:sz w:val="16"/>
        </w:rPr>
        <w:t> </w:t>
      </w:r>
      <w:r>
        <w:rPr>
          <w:sz w:val="16"/>
        </w:rPr>
        <w:t>política,</w:t>
      </w:r>
      <w:r>
        <w:rPr>
          <w:spacing w:val="-6"/>
          <w:sz w:val="16"/>
        </w:rPr>
        <w:t> </w:t>
      </w:r>
      <w:r>
        <w:rPr>
          <w:sz w:val="16"/>
        </w:rPr>
        <w:t>al</w:t>
      </w:r>
      <w:r>
        <w:rPr>
          <w:spacing w:val="-4"/>
          <w:sz w:val="16"/>
        </w:rPr>
        <w:t> </w:t>
      </w:r>
      <w:r>
        <w:rPr>
          <w:sz w:val="16"/>
        </w:rPr>
        <w:t>ámbito</w:t>
      </w:r>
      <w:r>
        <w:rPr>
          <w:spacing w:val="-3"/>
          <w:sz w:val="16"/>
        </w:rPr>
        <w:t> </w:t>
      </w:r>
      <w:r>
        <w:rPr>
          <w:sz w:val="16"/>
        </w:rPr>
        <w:t>de</w:t>
      </w:r>
      <w:r>
        <w:rPr>
          <w:spacing w:val="-8"/>
          <w:sz w:val="16"/>
        </w:rPr>
        <w:t> </w:t>
      </w:r>
      <w:r>
        <w:rPr>
          <w:sz w:val="16"/>
        </w:rPr>
        <w:t>los</w:t>
      </w:r>
      <w:r>
        <w:rPr>
          <w:spacing w:val="-4"/>
          <w:sz w:val="16"/>
        </w:rPr>
        <w:t> </w:t>
      </w:r>
      <w:r>
        <w:rPr>
          <w:sz w:val="16"/>
        </w:rPr>
        <w:t>intereses</w:t>
      </w:r>
      <w:r>
        <w:rPr>
          <w:spacing w:val="-4"/>
          <w:sz w:val="16"/>
        </w:rPr>
        <w:t> </w:t>
      </w:r>
      <w:r>
        <w:rPr>
          <w:sz w:val="16"/>
        </w:rPr>
        <w:t>partidistas, deben</w:t>
      </w:r>
      <w:r>
        <w:rPr>
          <w:spacing w:val="-8"/>
          <w:sz w:val="16"/>
        </w:rPr>
        <w:t> </w:t>
      </w:r>
      <w:r>
        <w:rPr>
          <w:sz w:val="16"/>
        </w:rPr>
        <w:t>ser,</w:t>
      </w:r>
      <w:r>
        <w:rPr>
          <w:spacing w:val="-6"/>
          <w:sz w:val="16"/>
        </w:rPr>
        <w:t> </w:t>
      </w:r>
      <w:r>
        <w:rPr>
          <w:sz w:val="16"/>
        </w:rPr>
        <w:t>pues,</w:t>
      </w:r>
      <w:r>
        <w:rPr>
          <w:spacing w:val="-6"/>
          <w:sz w:val="16"/>
        </w:rPr>
        <w:t> </w:t>
      </w:r>
      <w:r>
        <w:rPr>
          <w:sz w:val="16"/>
        </w:rPr>
        <w:t>instituciones</w:t>
      </w:r>
      <w:r>
        <w:rPr>
          <w:spacing w:val="-6"/>
          <w:sz w:val="16"/>
        </w:rPr>
        <w:t> </w:t>
      </w:r>
      <w:r>
        <w:rPr>
          <w:sz w:val="16"/>
        </w:rPr>
        <w:t>neutras,</w:t>
      </w:r>
      <w:r>
        <w:rPr>
          <w:spacing w:val="-9"/>
          <w:sz w:val="16"/>
        </w:rPr>
        <w:t> </w:t>
      </w:r>
      <w:r>
        <w:rPr>
          <w:sz w:val="16"/>
        </w:rPr>
        <w:t>política</w:t>
      </w:r>
      <w:r>
        <w:rPr>
          <w:spacing w:val="-8"/>
          <w:sz w:val="16"/>
        </w:rPr>
        <w:t> </w:t>
      </w:r>
      <w:r>
        <w:rPr>
          <w:sz w:val="16"/>
        </w:rPr>
        <w:t>y</w:t>
      </w:r>
      <w:r>
        <w:rPr>
          <w:spacing w:val="-8"/>
          <w:sz w:val="16"/>
        </w:rPr>
        <w:t> </w:t>
      </w:r>
      <w:r>
        <w:rPr>
          <w:sz w:val="16"/>
        </w:rPr>
        <w:t>partidistamente</w:t>
      </w:r>
      <w:r>
        <w:rPr>
          <w:spacing w:val="-8"/>
          <w:sz w:val="16"/>
        </w:rPr>
        <w:t> </w:t>
      </w:r>
      <w:r>
        <w:rPr>
          <w:sz w:val="16"/>
        </w:rPr>
        <w:t>hablando</w:t>
      </w:r>
      <w:r>
        <w:rPr>
          <w:spacing w:val="-8"/>
          <w:sz w:val="16"/>
        </w:rPr>
        <w:t> </w:t>
      </w:r>
      <w:r>
        <w:rPr>
          <w:sz w:val="16"/>
        </w:rPr>
        <w:t>para</w:t>
      </w:r>
      <w:r>
        <w:rPr>
          <w:spacing w:val="-8"/>
          <w:sz w:val="16"/>
        </w:rPr>
        <w:t> </w:t>
      </w:r>
      <w:r>
        <w:rPr>
          <w:sz w:val="16"/>
        </w:rPr>
        <w:t>que</w:t>
      </w:r>
      <w:r>
        <w:rPr>
          <w:spacing w:val="-8"/>
          <w:sz w:val="16"/>
        </w:rPr>
        <w:t> </w:t>
      </w:r>
      <w:r>
        <w:rPr>
          <w:sz w:val="16"/>
        </w:rPr>
        <w:t>puedan</w:t>
      </w:r>
      <w:r>
        <w:rPr>
          <w:spacing w:val="-8"/>
          <w:sz w:val="16"/>
        </w:rPr>
        <w:t> </w:t>
      </w:r>
      <w:r>
        <w:rPr>
          <w:sz w:val="16"/>
        </w:rPr>
        <w:t>actuar</w:t>
      </w:r>
      <w:r>
        <w:rPr>
          <w:spacing w:val="-8"/>
          <w:sz w:val="16"/>
        </w:rPr>
        <w:t> </w:t>
      </w:r>
      <w:r>
        <w:rPr>
          <w:sz w:val="16"/>
        </w:rPr>
        <w:t>con</w:t>
      </w:r>
      <w:r>
        <w:rPr>
          <w:spacing w:val="-10"/>
          <w:sz w:val="16"/>
        </w:rPr>
        <w:t> </w:t>
      </w:r>
      <w:r>
        <w:rPr>
          <w:sz w:val="16"/>
        </w:rPr>
        <w:t>imparcialidad</w:t>
      </w:r>
      <w:r>
        <w:rPr>
          <w:spacing w:val="-8"/>
          <w:sz w:val="16"/>
        </w:rPr>
        <w:t> </w:t>
      </w:r>
      <w:r>
        <w:rPr>
          <w:sz w:val="16"/>
        </w:rPr>
        <w:t>y</w:t>
      </w:r>
      <w:r>
        <w:rPr>
          <w:spacing w:val="-8"/>
          <w:sz w:val="16"/>
        </w:rPr>
        <w:t> </w:t>
      </w:r>
      <w:r>
        <w:rPr>
          <w:sz w:val="16"/>
        </w:rPr>
        <w:t>deben ser, además autónomas para que puedan actuar con entera</w:t>
      </w:r>
      <w:r>
        <w:rPr>
          <w:spacing w:val="-22"/>
          <w:sz w:val="16"/>
        </w:rPr>
        <w:t> </w:t>
      </w:r>
      <w:r>
        <w:rPr>
          <w:sz w:val="16"/>
        </w:rPr>
        <w:t>libertad.”</w:t>
      </w:r>
    </w:p>
    <w:p>
      <w:pPr>
        <w:spacing w:line="180" w:lineRule="exact" w:before="0"/>
        <w:ind w:left="122" w:right="0" w:firstLine="0"/>
        <w:jc w:val="both"/>
        <w:rPr>
          <w:sz w:val="16"/>
        </w:rPr>
      </w:pPr>
      <w:r>
        <w:rPr>
          <w:sz w:val="16"/>
        </w:rPr>
        <w:t>Autonomía de la Auditoría Superior de la Federación y de la Procuraduría General de la República, p. 130.</w:t>
      </w:r>
    </w:p>
    <w:p>
      <w:pPr>
        <w:spacing w:before="0"/>
        <w:ind w:left="122" w:right="4411" w:firstLine="0"/>
        <w:jc w:val="left"/>
        <w:rPr>
          <w:sz w:val="16"/>
        </w:rPr>
      </w:pPr>
      <w:r>
        <w:rPr>
          <w:sz w:val="16"/>
        </w:rPr>
        <w:t>Disponible en: </w:t>
      </w:r>
      <w:hyperlink r:id="rId43">
        <w:r>
          <w:rPr>
            <w:sz w:val="16"/>
          </w:rPr>
          <w:t>http://www.bibliojuridica.org/libros/6/2739/11.pdf</w:t>
        </w:r>
      </w:hyperlink>
      <w:r>
        <w:rPr>
          <w:sz w:val="16"/>
        </w:rPr>
        <w:t> [Fecha de consulta: 20 de abril, 2015]</w:t>
      </w:r>
    </w:p>
    <w:p>
      <w:pPr>
        <w:spacing w:after="0"/>
        <w:jc w:val="left"/>
        <w:rPr>
          <w:sz w:val="16"/>
        </w:rPr>
        <w:sectPr>
          <w:footerReference w:type="even" r:id="rId41"/>
          <w:footerReference w:type="default" r:id="rId42"/>
          <w:pgSz w:w="12240" w:h="15840"/>
          <w:pgMar w:footer="1003" w:header="0" w:top="1360" w:bottom="1200" w:left="1580" w:right="1580"/>
          <w:pgNumType w:start="22"/>
        </w:sectPr>
      </w:pPr>
    </w:p>
    <w:p>
      <w:pPr>
        <w:pStyle w:val="BodyText"/>
        <w:spacing w:line="360" w:lineRule="auto" w:before="54"/>
        <w:ind w:left="122" w:right="119"/>
        <w:jc w:val="both"/>
      </w:pPr>
      <w:r>
        <w:rPr/>
        <w:t>actor; sin embargo, crear una cultura ciudadana responsable y evaluadora de la gestión pública es una tarea difícil que puede tardar generaciones, en el mejor de los casos, por lo que es necesario emprender esa tarea en forma inmediata.</w:t>
      </w:r>
    </w:p>
    <w:p>
      <w:pPr>
        <w:pStyle w:val="BodyText"/>
        <w:spacing w:line="360" w:lineRule="auto" w:before="5"/>
        <w:ind w:left="122" w:right="116" w:firstLine="427"/>
        <w:jc w:val="right"/>
      </w:pPr>
      <w:r>
        <w:rPr/>
        <w:t>El</w:t>
      </w:r>
      <w:r>
        <w:rPr>
          <w:spacing w:val="-15"/>
        </w:rPr>
        <w:t> </w:t>
      </w:r>
      <w:r>
        <w:rPr/>
        <w:t>exigir</w:t>
      </w:r>
      <w:r>
        <w:rPr>
          <w:spacing w:val="-15"/>
        </w:rPr>
        <w:t> </w:t>
      </w:r>
      <w:r>
        <w:rPr/>
        <w:t>cuentas</w:t>
      </w:r>
      <w:r>
        <w:rPr>
          <w:spacing w:val="-16"/>
        </w:rPr>
        <w:t> </w:t>
      </w:r>
      <w:r>
        <w:rPr/>
        <w:t>tiene</w:t>
      </w:r>
      <w:r>
        <w:rPr>
          <w:spacing w:val="-15"/>
        </w:rPr>
        <w:t> </w:t>
      </w:r>
      <w:r>
        <w:rPr/>
        <w:t>la</w:t>
      </w:r>
      <w:r>
        <w:rPr>
          <w:spacing w:val="-16"/>
        </w:rPr>
        <w:t> </w:t>
      </w:r>
      <w:r>
        <w:rPr/>
        <w:t>facultad</w:t>
      </w:r>
      <w:r>
        <w:rPr>
          <w:spacing w:val="-16"/>
        </w:rPr>
        <w:t> </w:t>
      </w:r>
      <w:r>
        <w:rPr/>
        <w:t>de</w:t>
      </w:r>
      <w:r>
        <w:rPr>
          <w:spacing w:val="-14"/>
        </w:rPr>
        <w:t> </w:t>
      </w:r>
      <w:r>
        <w:rPr/>
        <w:t>servir</w:t>
      </w:r>
      <w:r>
        <w:rPr>
          <w:spacing w:val="-15"/>
        </w:rPr>
        <w:t> </w:t>
      </w:r>
      <w:r>
        <w:rPr/>
        <w:t>de</w:t>
      </w:r>
      <w:r>
        <w:rPr>
          <w:spacing w:val="-14"/>
        </w:rPr>
        <w:t> </w:t>
      </w:r>
      <w:r>
        <w:rPr/>
        <w:t>contrapeso</w:t>
      </w:r>
      <w:r>
        <w:rPr>
          <w:spacing w:val="-16"/>
        </w:rPr>
        <w:t> </w:t>
      </w:r>
      <w:r>
        <w:rPr/>
        <w:t>al</w:t>
      </w:r>
      <w:r>
        <w:rPr>
          <w:spacing w:val="-15"/>
        </w:rPr>
        <w:t> </w:t>
      </w:r>
      <w:r>
        <w:rPr/>
        <w:t>poder,</w:t>
      </w:r>
      <w:r>
        <w:rPr>
          <w:spacing w:val="-15"/>
        </w:rPr>
        <w:t> </w:t>
      </w:r>
      <w:r>
        <w:rPr/>
        <w:t>ya</w:t>
      </w:r>
      <w:r>
        <w:rPr>
          <w:spacing w:val="-14"/>
        </w:rPr>
        <w:t> </w:t>
      </w:r>
      <w:r>
        <w:rPr/>
        <w:t>que</w:t>
      </w:r>
      <w:r>
        <w:rPr>
          <w:spacing w:val="-14"/>
        </w:rPr>
        <w:t> </w:t>
      </w:r>
      <w:r>
        <w:rPr/>
        <w:t>obliga</w:t>
      </w:r>
      <w:r>
        <w:rPr>
          <w:w w:val="99"/>
        </w:rPr>
        <w:t> </w:t>
      </w:r>
      <w:r>
        <w:rPr/>
        <w:t>a las instituciones a ser más eficientes. No obstante, el contrapeso de</w:t>
      </w:r>
      <w:r>
        <w:rPr>
          <w:spacing w:val="26"/>
        </w:rPr>
        <w:t> </w:t>
      </w:r>
      <w:r>
        <w:rPr/>
        <w:t>la</w:t>
      </w:r>
      <w:r>
        <w:rPr>
          <w:spacing w:val="7"/>
        </w:rPr>
        <w:t> </w:t>
      </w:r>
      <w:r>
        <w:rPr/>
        <w:t>sociedad</w:t>
      </w:r>
      <w:r>
        <w:rPr>
          <w:w w:val="99"/>
        </w:rPr>
        <w:t> </w:t>
      </w:r>
      <w:r>
        <w:rPr/>
        <w:t>también</w:t>
      </w:r>
      <w:r>
        <w:rPr>
          <w:spacing w:val="27"/>
        </w:rPr>
        <w:t> </w:t>
      </w:r>
      <w:r>
        <w:rPr/>
        <w:t>puede</w:t>
      </w:r>
      <w:r>
        <w:rPr>
          <w:spacing w:val="27"/>
        </w:rPr>
        <w:t> </w:t>
      </w:r>
      <w:r>
        <w:rPr/>
        <w:t>orientarse</w:t>
      </w:r>
      <w:r>
        <w:rPr>
          <w:spacing w:val="28"/>
        </w:rPr>
        <w:t> </w:t>
      </w:r>
      <w:r>
        <w:rPr/>
        <w:t>a</w:t>
      </w:r>
      <w:r>
        <w:rPr>
          <w:spacing w:val="26"/>
        </w:rPr>
        <w:t> </w:t>
      </w:r>
      <w:r>
        <w:rPr/>
        <w:t>exigir</w:t>
      </w:r>
      <w:r>
        <w:rPr>
          <w:spacing w:val="27"/>
        </w:rPr>
        <w:t> </w:t>
      </w:r>
      <w:r>
        <w:rPr/>
        <w:t>el</w:t>
      </w:r>
      <w:r>
        <w:rPr>
          <w:spacing w:val="28"/>
        </w:rPr>
        <w:t> </w:t>
      </w:r>
      <w:r>
        <w:rPr/>
        <w:t>correcto</w:t>
      </w:r>
      <w:r>
        <w:rPr>
          <w:spacing w:val="29"/>
        </w:rPr>
        <w:t> </w:t>
      </w:r>
      <w:r>
        <w:rPr/>
        <w:t>desempeño</w:t>
      </w:r>
      <w:r>
        <w:rPr>
          <w:spacing w:val="26"/>
        </w:rPr>
        <w:t> </w:t>
      </w:r>
      <w:r>
        <w:rPr/>
        <w:t>de</w:t>
      </w:r>
      <w:r>
        <w:rPr>
          <w:spacing w:val="27"/>
        </w:rPr>
        <w:t> </w:t>
      </w:r>
      <w:r>
        <w:rPr/>
        <w:t>las</w:t>
      </w:r>
      <w:r>
        <w:rPr>
          <w:spacing w:val="28"/>
        </w:rPr>
        <w:t> </w:t>
      </w:r>
      <w:r>
        <w:rPr/>
        <w:t>instituciones</w:t>
      </w:r>
      <w:r>
        <w:rPr>
          <w:spacing w:val="26"/>
        </w:rPr>
        <w:t> </w:t>
      </w:r>
      <w:r>
        <w:rPr/>
        <w:t>de</w:t>
      </w:r>
      <w:r>
        <w:rPr>
          <w:w w:val="99"/>
        </w:rPr>
        <w:t> </w:t>
      </w:r>
      <w:r>
        <w:rPr/>
        <w:t>rendición de cuentas. En algunos países como México, por ejemplo,</w:t>
      </w:r>
      <w:r>
        <w:rPr>
          <w:spacing w:val="20"/>
        </w:rPr>
        <w:t> </w:t>
      </w:r>
      <w:r>
        <w:rPr/>
        <w:t>la</w:t>
      </w:r>
      <w:r>
        <w:rPr>
          <w:spacing w:val="14"/>
        </w:rPr>
        <w:t> </w:t>
      </w:r>
      <w:r>
        <w:rPr/>
        <w:t>institución</w:t>
      </w:r>
      <w:r>
        <w:rPr>
          <w:w w:val="99"/>
        </w:rPr>
        <w:t> </w:t>
      </w:r>
      <w:r>
        <w:rPr/>
        <w:t>electoral se ha visto politizada, pero su imagen en la sociedad puede cambiar</w:t>
      </w:r>
      <w:r>
        <w:rPr>
          <w:spacing w:val="-34"/>
        </w:rPr>
        <w:t> </w:t>
      </w:r>
      <w:r>
        <w:rPr/>
        <w:t>en</w:t>
      </w:r>
      <w:r>
        <w:rPr>
          <w:spacing w:val="-4"/>
        </w:rPr>
        <w:t> </w:t>
      </w:r>
      <w:r>
        <w:rPr>
          <w:spacing w:val="2"/>
        </w:rPr>
        <w:t>la</w:t>
      </w:r>
      <w:r>
        <w:rPr>
          <w:w w:val="99"/>
        </w:rPr>
        <w:t> </w:t>
      </w:r>
      <w:r>
        <w:rPr/>
        <w:t>medida</w:t>
      </w:r>
      <w:r>
        <w:rPr>
          <w:spacing w:val="-12"/>
        </w:rPr>
        <w:t> </w:t>
      </w:r>
      <w:r>
        <w:rPr/>
        <w:t>en</w:t>
      </w:r>
      <w:r>
        <w:rPr>
          <w:spacing w:val="-12"/>
        </w:rPr>
        <w:t> </w:t>
      </w:r>
      <w:r>
        <w:rPr/>
        <w:t>que</w:t>
      </w:r>
      <w:r>
        <w:rPr>
          <w:spacing w:val="-12"/>
        </w:rPr>
        <w:t> </w:t>
      </w:r>
      <w:r>
        <w:rPr/>
        <w:t>sus</w:t>
      </w:r>
      <w:r>
        <w:rPr>
          <w:spacing w:val="-13"/>
        </w:rPr>
        <w:t> </w:t>
      </w:r>
      <w:r>
        <w:rPr/>
        <w:t>evaluaciones</w:t>
      </w:r>
      <w:r>
        <w:rPr>
          <w:spacing w:val="-13"/>
        </w:rPr>
        <w:t> </w:t>
      </w:r>
      <w:r>
        <w:rPr/>
        <w:t>de</w:t>
      </w:r>
      <w:r>
        <w:rPr>
          <w:spacing w:val="-9"/>
        </w:rPr>
        <w:t> </w:t>
      </w:r>
      <w:r>
        <w:rPr/>
        <w:t>rendición</w:t>
      </w:r>
      <w:r>
        <w:rPr>
          <w:spacing w:val="-14"/>
        </w:rPr>
        <w:t> </w:t>
      </w:r>
      <w:r>
        <w:rPr/>
        <w:t>de</w:t>
      </w:r>
      <w:r>
        <w:rPr>
          <w:spacing w:val="-9"/>
        </w:rPr>
        <w:t> </w:t>
      </w:r>
      <w:r>
        <w:rPr/>
        <w:t>cuentas</w:t>
      </w:r>
      <w:r>
        <w:rPr>
          <w:spacing w:val="-13"/>
        </w:rPr>
        <w:t> </w:t>
      </w:r>
      <w:r>
        <w:rPr/>
        <w:t>reflejen</w:t>
      </w:r>
      <w:r>
        <w:rPr>
          <w:spacing w:val="-9"/>
        </w:rPr>
        <w:t> </w:t>
      </w:r>
      <w:r>
        <w:rPr/>
        <w:t>la</w:t>
      </w:r>
      <w:r>
        <w:rPr>
          <w:spacing w:val="-12"/>
        </w:rPr>
        <w:t> </w:t>
      </w:r>
      <w:r>
        <w:rPr/>
        <w:t>despolitización.</w:t>
      </w:r>
    </w:p>
    <w:p>
      <w:pPr>
        <w:pStyle w:val="BodyText"/>
        <w:spacing w:line="360" w:lineRule="auto" w:before="5"/>
        <w:ind w:left="122" w:right="124" w:firstLine="427"/>
        <w:jc w:val="both"/>
      </w:pPr>
      <w:r>
        <w:rPr/>
        <w:t>Resulta más importante que las mismas instituciones de rendición de cuentas se encuentren libres de la influencia del Congreso o del Poder Ejecutivo. Al respecto, Guy Peters considera que la figura de Tribunal de Cuentas permitirá despolitizar a las instituciones de rendición de cuentas, ya te así contará con facultades judiciales y estará libre de influencias partidistas.</w:t>
      </w:r>
    </w:p>
    <w:p>
      <w:pPr>
        <w:pStyle w:val="BodyText"/>
        <w:spacing w:line="360" w:lineRule="auto" w:before="2"/>
        <w:ind w:left="122" w:right="116" w:firstLine="427"/>
        <w:jc w:val="both"/>
      </w:pPr>
      <w:r>
        <w:rPr/>
        <w:t>Es importante considerar que aun en los países avanzados existe el problema de rendición de cuentas, ya que los actores privados no cuentan con legitimación democrática.</w:t>
      </w:r>
      <w:r>
        <w:rPr>
          <w:spacing w:val="-14"/>
        </w:rPr>
        <w:t> </w:t>
      </w:r>
      <w:r>
        <w:rPr/>
        <w:t>Guy</w:t>
      </w:r>
      <w:r>
        <w:rPr>
          <w:spacing w:val="-14"/>
        </w:rPr>
        <w:t> </w:t>
      </w:r>
      <w:r>
        <w:rPr/>
        <w:t>Peters</w:t>
      </w:r>
      <w:r>
        <w:rPr>
          <w:spacing w:val="-13"/>
        </w:rPr>
        <w:t> </w:t>
      </w:r>
      <w:r>
        <w:rPr/>
        <w:t>sostiene</w:t>
      </w:r>
      <w:r>
        <w:rPr>
          <w:spacing w:val="-12"/>
        </w:rPr>
        <w:t> </w:t>
      </w:r>
      <w:r>
        <w:rPr/>
        <w:t>que</w:t>
      </w:r>
      <w:r>
        <w:rPr>
          <w:spacing w:val="-12"/>
        </w:rPr>
        <w:t> </w:t>
      </w:r>
      <w:r>
        <w:rPr/>
        <w:t>la</w:t>
      </w:r>
      <w:r>
        <w:rPr>
          <w:spacing w:val="-12"/>
        </w:rPr>
        <w:t> </w:t>
      </w:r>
      <w:r>
        <w:rPr/>
        <w:t>rendición</w:t>
      </w:r>
      <w:r>
        <w:rPr>
          <w:spacing w:val="-11"/>
        </w:rPr>
        <w:t> </w:t>
      </w:r>
      <w:r>
        <w:rPr/>
        <w:t>de</w:t>
      </w:r>
      <w:r>
        <w:rPr>
          <w:spacing w:val="-12"/>
        </w:rPr>
        <w:t> </w:t>
      </w:r>
      <w:r>
        <w:rPr/>
        <w:t>cuentas</w:t>
      </w:r>
      <w:r>
        <w:rPr>
          <w:spacing w:val="-13"/>
        </w:rPr>
        <w:t> </w:t>
      </w:r>
      <w:r>
        <w:rPr/>
        <w:t>en</w:t>
      </w:r>
      <w:r>
        <w:rPr>
          <w:spacing w:val="-12"/>
        </w:rPr>
        <w:t> </w:t>
      </w:r>
      <w:r>
        <w:rPr/>
        <w:t>países</w:t>
      </w:r>
      <w:r>
        <w:rPr>
          <w:spacing w:val="-13"/>
        </w:rPr>
        <w:t> </w:t>
      </w:r>
      <w:r>
        <w:rPr/>
        <w:t>avanzados como Estados Unidos y Reino Unido (Cerrillo, 2005: 111-112) es un asunto sin resolver, ya que los mecanismos tradicionales de rendición de cuentas se han reemplazado por diferentes procesos de control electoral (Cerrillo, 2005:</w:t>
      </w:r>
      <w:r>
        <w:rPr>
          <w:spacing w:val="-29"/>
        </w:rPr>
        <w:t> </w:t>
      </w:r>
      <w:r>
        <w:rPr/>
        <w:t>128).</w:t>
      </w:r>
    </w:p>
    <w:p>
      <w:pPr>
        <w:pStyle w:val="BodyText"/>
      </w:pPr>
    </w:p>
    <w:p>
      <w:pPr>
        <w:pStyle w:val="BodyText"/>
      </w:pPr>
    </w:p>
    <w:p>
      <w:pPr>
        <w:pStyle w:val="BodyText"/>
        <w:spacing w:before="2"/>
      </w:pPr>
    </w:p>
    <w:p>
      <w:pPr>
        <w:pStyle w:val="BodyText"/>
        <w:spacing w:line="360" w:lineRule="auto" w:before="1"/>
        <w:ind w:left="122" w:right="119" w:firstLine="427"/>
        <w:jc w:val="both"/>
      </w:pPr>
      <w:r>
        <w:rPr/>
        <w:t>Un elemento que puede limitar una rendición de cuentas eficiente, tanto en países emergentes como avanzados, es la existencia de instituciones gubernamentales</w:t>
      </w:r>
      <w:r>
        <w:rPr>
          <w:spacing w:val="-17"/>
        </w:rPr>
        <w:t> </w:t>
      </w:r>
      <w:r>
        <w:rPr/>
        <w:t>con</w:t>
      </w:r>
      <w:r>
        <w:rPr>
          <w:spacing w:val="-17"/>
        </w:rPr>
        <w:t> </w:t>
      </w:r>
      <w:r>
        <w:rPr/>
        <w:t>una</w:t>
      </w:r>
      <w:r>
        <w:rPr>
          <w:spacing w:val="-16"/>
        </w:rPr>
        <w:t> </w:t>
      </w:r>
      <w:r>
        <w:rPr/>
        <w:t>autonomía</w:t>
      </w:r>
      <w:r>
        <w:rPr>
          <w:position w:val="8"/>
          <w:sz w:val="16"/>
        </w:rPr>
        <w:t>18</w:t>
      </w:r>
      <w:r>
        <w:rPr>
          <w:spacing w:val="7"/>
          <w:position w:val="8"/>
          <w:sz w:val="16"/>
        </w:rPr>
        <w:t> </w:t>
      </w:r>
      <w:r>
        <w:rPr/>
        <w:t>o</w:t>
      </w:r>
      <w:r>
        <w:rPr>
          <w:spacing w:val="-16"/>
        </w:rPr>
        <w:t> </w:t>
      </w:r>
      <w:r>
        <w:rPr/>
        <w:t>semi-autonomía</w:t>
      </w:r>
      <w:r>
        <w:rPr>
          <w:spacing w:val="-17"/>
        </w:rPr>
        <w:t> </w:t>
      </w:r>
      <w:r>
        <w:rPr/>
        <w:t>mal</w:t>
      </w:r>
      <w:r>
        <w:rPr>
          <w:spacing w:val="-18"/>
        </w:rPr>
        <w:t> </w:t>
      </w:r>
      <w:r>
        <w:rPr/>
        <w:t>comprendida</w:t>
      </w:r>
      <w:r>
        <w:rPr>
          <w:spacing w:val="-16"/>
        </w:rPr>
        <w:t> </w:t>
      </w:r>
      <w:r>
        <w:rPr/>
        <w:t>y</w:t>
      </w:r>
      <w:r>
        <w:rPr>
          <w:spacing w:val="-17"/>
        </w:rPr>
        <w:t> </w:t>
      </w:r>
      <w:r>
        <w:rPr/>
        <w:t>usada como justificación de exclusión de rendición de cuentas, lo que causa ineficiencia</w:t>
      </w:r>
      <w:r>
        <w:rPr>
          <w:spacing w:val="-36"/>
        </w:rPr>
        <w:t> </w:t>
      </w:r>
      <w:r>
        <w:rPr/>
        <w:t>y corrupción en esas instituciones</w:t>
      </w:r>
      <w:r>
        <w:rPr>
          <w:spacing w:val="-8"/>
        </w:rPr>
        <w:t> </w:t>
      </w:r>
      <w:r>
        <w:rPr/>
        <w:t>públicas.</w:t>
      </w:r>
    </w:p>
    <w:p>
      <w:pPr>
        <w:pStyle w:val="BodyText"/>
        <w:spacing w:before="6"/>
        <w:rPr>
          <w:sz w:val="10"/>
        </w:rPr>
      </w:pPr>
      <w:r>
        <w:rPr/>
        <w:pict>
          <v:line style="position:absolute;mso-position-horizontal-relative:page;mso-position-vertical-relative:paragraph;z-index:2272;mso-wrap-distance-left:0;mso-wrap-distance-right:0" from="85.103996pt,8.393927pt" to="229.123996pt,8.393927pt" stroked="true" strokeweight=".71997pt" strokecolor="#000000">
            <w10:wrap type="topAndBottom"/>
          </v:line>
        </w:pict>
      </w:r>
    </w:p>
    <w:p>
      <w:pPr>
        <w:spacing w:line="249" w:lineRule="auto" w:before="67"/>
        <w:ind w:left="122" w:right="114" w:firstLine="0"/>
        <w:jc w:val="both"/>
        <w:rPr>
          <w:sz w:val="16"/>
        </w:rPr>
      </w:pPr>
      <w:r>
        <w:rPr>
          <w:rFonts w:ascii="Calibri" w:hAnsi="Calibri"/>
          <w:position w:val="8"/>
          <w:sz w:val="14"/>
        </w:rPr>
        <w:t>18 </w:t>
      </w:r>
      <w:r>
        <w:rPr>
          <w:sz w:val="16"/>
        </w:rPr>
        <w:t>De conformidad con los artículos 28, párrafo sexto, de la Constitución Política de los Estados Unidos Mexicanos y 1° de la Ley del Banco de México, el Banco de México cuenta con autonomía constitucional y presupuestal. El organismo no reporta en la Cuenta Pública ni su presupuesto se presenta en el Presupuesto de Egresos de la Federación; sin embargo, en la fiscalización superior de los recursos ejercidos por el Banco se considera que éstos son de carácter federal (artículo 1,</w:t>
      </w:r>
    </w:p>
    <w:p>
      <w:pPr>
        <w:spacing w:line="240" w:lineRule="auto" w:before="0"/>
        <w:ind w:left="122" w:right="115" w:firstLine="0"/>
        <w:jc w:val="both"/>
        <w:rPr>
          <w:sz w:val="16"/>
        </w:rPr>
      </w:pPr>
      <w:r>
        <w:rPr>
          <w:sz w:val="16"/>
        </w:rPr>
        <w:t>segundo</w:t>
      </w:r>
      <w:r>
        <w:rPr>
          <w:spacing w:val="-7"/>
          <w:sz w:val="16"/>
        </w:rPr>
        <w:t> </w:t>
      </w:r>
      <w:r>
        <w:rPr>
          <w:sz w:val="16"/>
        </w:rPr>
        <w:t>párrafo</w:t>
      </w:r>
      <w:r>
        <w:rPr>
          <w:spacing w:val="-9"/>
          <w:sz w:val="16"/>
        </w:rPr>
        <w:t> </w:t>
      </w:r>
      <w:r>
        <w:rPr>
          <w:sz w:val="16"/>
        </w:rPr>
        <w:t>de</w:t>
      </w:r>
      <w:r>
        <w:rPr>
          <w:spacing w:val="-7"/>
          <w:sz w:val="16"/>
        </w:rPr>
        <w:t> </w:t>
      </w:r>
      <w:r>
        <w:rPr>
          <w:sz w:val="16"/>
        </w:rPr>
        <w:t>la</w:t>
      </w:r>
      <w:r>
        <w:rPr>
          <w:spacing w:val="-9"/>
          <w:sz w:val="16"/>
        </w:rPr>
        <w:t> </w:t>
      </w:r>
      <w:r>
        <w:rPr>
          <w:sz w:val="16"/>
        </w:rPr>
        <w:t>Ley</w:t>
      </w:r>
      <w:r>
        <w:rPr>
          <w:spacing w:val="-10"/>
          <w:sz w:val="16"/>
        </w:rPr>
        <w:t> </w:t>
      </w:r>
      <w:r>
        <w:rPr>
          <w:sz w:val="16"/>
        </w:rPr>
        <w:t>de</w:t>
      </w:r>
      <w:r>
        <w:rPr>
          <w:spacing w:val="-7"/>
          <w:sz w:val="16"/>
        </w:rPr>
        <w:t> </w:t>
      </w:r>
      <w:r>
        <w:rPr>
          <w:sz w:val="16"/>
        </w:rPr>
        <w:t>Fiscalización</w:t>
      </w:r>
      <w:r>
        <w:rPr>
          <w:spacing w:val="-7"/>
          <w:sz w:val="16"/>
        </w:rPr>
        <w:t> </w:t>
      </w:r>
      <w:r>
        <w:rPr>
          <w:sz w:val="16"/>
        </w:rPr>
        <w:t>y</w:t>
      </w:r>
      <w:r>
        <w:rPr>
          <w:spacing w:val="-10"/>
          <w:sz w:val="16"/>
        </w:rPr>
        <w:t> </w:t>
      </w:r>
      <w:r>
        <w:rPr>
          <w:sz w:val="16"/>
        </w:rPr>
        <w:t>Rendición</w:t>
      </w:r>
      <w:r>
        <w:rPr>
          <w:spacing w:val="-7"/>
          <w:sz w:val="16"/>
        </w:rPr>
        <w:t> </w:t>
      </w:r>
      <w:r>
        <w:rPr>
          <w:sz w:val="16"/>
        </w:rPr>
        <w:t>de</w:t>
      </w:r>
      <w:r>
        <w:rPr>
          <w:spacing w:val="-9"/>
          <w:sz w:val="16"/>
        </w:rPr>
        <w:t> </w:t>
      </w:r>
      <w:r>
        <w:rPr>
          <w:sz w:val="16"/>
        </w:rPr>
        <w:t>Cuentas</w:t>
      </w:r>
      <w:r>
        <w:rPr>
          <w:spacing w:val="-8"/>
          <w:sz w:val="16"/>
        </w:rPr>
        <w:t> </w:t>
      </w:r>
      <w:r>
        <w:rPr>
          <w:sz w:val="16"/>
        </w:rPr>
        <w:t>de</w:t>
      </w:r>
      <w:r>
        <w:rPr>
          <w:spacing w:val="-7"/>
          <w:sz w:val="16"/>
        </w:rPr>
        <w:t> </w:t>
      </w:r>
      <w:r>
        <w:rPr>
          <w:sz w:val="16"/>
        </w:rPr>
        <w:t>la</w:t>
      </w:r>
      <w:r>
        <w:rPr>
          <w:spacing w:val="-9"/>
          <w:sz w:val="16"/>
        </w:rPr>
        <w:t> </w:t>
      </w:r>
      <w:r>
        <w:rPr>
          <w:sz w:val="16"/>
        </w:rPr>
        <w:t>Federación)</w:t>
      </w:r>
      <w:r>
        <w:rPr>
          <w:spacing w:val="-9"/>
          <w:sz w:val="16"/>
        </w:rPr>
        <w:t> </w:t>
      </w:r>
      <w:r>
        <w:rPr>
          <w:sz w:val="16"/>
        </w:rPr>
        <w:t>y</w:t>
      </w:r>
      <w:r>
        <w:rPr>
          <w:spacing w:val="-5"/>
          <w:sz w:val="16"/>
        </w:rPr>
        <w:t> </w:t>
      </w:r>
      <w:r>
        <w:rPr>
          <w:sz w:val="16"/>
        </w:rPr>
        <w:t>de</w:t>
      </w:r>
      <w:r>
        <w:rPr>
          <w:spacing w:val="-9"/>
          <w:sz w:val="16"/>
        </w:rPr>
        <w:t> </w:t>
      </w:r>
      <w:r>
        <w:rPr>
          <w:sz w:val="16"/>
        </w:rPr>
        <w:t>acuerdo</w:t>
      </w:r>
      <w:r>
        <w:rPr>
          <w:spacing w:val="-9"/>
          <w:sz w:val="16"/>
        </w:rPr>
        <w:t> </w:t>
      </w:r>
      <w:r>
        <w:rPr>
          <w:sz w:val="16"/>
        </w:rPr>
        <w:t>con</w:t>
      </w:r>
      <w:r>
        <w:rPr>
          <w:spacing w:val="-6"/>
          <w:sz w:val="16"/>
        </w:rPr>
        <w:t> </w:t>
      </w:r>
      <w:r>
        <w:rPr>
          <w:sz w:val="16"/>
        </w:rPr>
        <w:t>el</w:t>
      </w:r>
      <w:r>
        <w:rPr>
          <w:spacing w:val="-8"/>
          <w:sz w:val="16"/>
        </w:rPr>
        <w:t> </w:t>
      </w:r>
      <w:r>
        <w:rPr>
          <w:sz w:val="16"/>
        </w:rPr>
        <w:t>artículo</w:t>
      </w:r>
      <w:r>
        <w:rPr>
          <w:spacing w:val="-9"/>
          <w:sz w:val="16"/>
        </w:rPr>
        <w:t> </w:t>
      </w:r>
      <w:r>
        <w:rPr>
          <w:sz w:val="16"/>
        </w:rPr>
        <w:t>46,</w:t>
      </w:r>
      <w:r>
        <w:rPr>
          <w:spacing w:val="-8"/>
          <w:sz w:val="16"/>
        </w:rPr>
        <w:t> </w:t>
      </w:r>
      <w:r>
        <w:rPr>
          <w:sz w:val="16"/>
        </w:rPr>
        <w:t>fracción XI, de la Ley del Banco de México, su presupuesto debe guardar congruencia con el Presupuesto de Egresos de la Federación. En cumplimiento al artículo 51 de la misma Ley, su presupuesto aprobado por la Junta de Gobierno del Banco, es enviado al Ejecutivo Federal y al H. Congreso de la Unión en enero de cada</w:t>
      </w:r>
      <w:r>
        <w:rPr>
          <w:spacing w:val="-23"/>
          <w:sz w:val="16"/>
        </w:rPr>
        <w:t> </w:t>
      </w:r>
      <w:r>
        <w:rPr>
          <w:sz w:val="16"/>
        </w:rPr>
        <w:t>año.</w:t>
      </w:r>
    </w:p>
    <w:p>
      <w:pPr>
        <w:spacing w:after="0" w:line="240" w:lineRule="auto"/>
        <w:jc w:val="both"/>
        <w:rPr>
          <w:sz w:val="16"/>
        </w:rPr>
        <w:sectPr>
          <w:pgSz w:w="12240" w:h="15840"/>
          <w:pgMar w:header="0" w:footer="1003" w:top="1360" w:bottom="1200" w:left="1580" w:right="1580"/>
        </w:sectPr>
      </w:pPr>
    </w:p>
    <w:p>
      <w:pPr>
        <w:pStyle w:val="BodyText"/>
        <w:spacing w:line="360" w:lineRule="auto" w:before="54"/>
        <w:ind w:left="102" w:right="123" w:firstLine="427"/>
        <w:jc w:val="both"/>
      </w:pPr>
      <w:r>
        <w:rPr/>
        <w:t>Las sociedades emergentes requieren analizar la pertinencia de adoptar modelos europeos, ya que copiar reformas políticas y económicas, cuya viabilidad está contextualizada para países con mayor madurez institucional, puede traer mayores problemas que solucione</w:t>
      </w:r>
      <w:bookmarkStart w:name="_bookmark11" w:id="16"/>
      <w:bookmarkEnd w:id="16"/>
      <w:r>
        <w:rPr/>
        <w:t>s.</w:t>
      </w:r>
    </w:p>
    <w:p>
      <w:pPr>
        <w:pStyle w:val="Heading2"/>
        <w:numPr>
          <w:ilvl w:val="1"/>
          <w:numId w:val="19"/>
        </w:numPr>
        <w:tabs>
          <w:tab w:pos="535" w:val="left" w:leader="none"/>
        </w:tabs>
        <w:spacing w:line="240" w:lineRule="auto" w:before="3" w:after="0"/>
        <w:ind w:left="534" w:right="0" w:hanging="432"/>
        <w:jc w:val="both"/>
      </w:pPr>
      <w:r>
        <w:rPr/>
        <w:t>La gobernanza y las instituciones</w:t>
      </w:r>
      <w:r>
        <w:rPr>
          <w:spacing w:val="-14"/>
        </w:rPr>
        <w:t> </w:t>
      </w:r>
      <w:r>
        <w:rPr/>
        <w:t>internacionale</w:t>
      </w:r>
      <w:bookmarkStart w:name="_bookmark12" w:id="17"/>
      <w:bookmarkEnd w:id="17"/>
      <w:r>
        <w:rPr/>
        <w:t>s</w:t>
      </w:r>
    </w:p>
    <w:p>
      <w:pPr>
        <w:pStyle w:val="BodyText"/>
        <w:spacing w:before="6"/>
        <w:rPr>
          <w:b/>
          <w:sz w:val="30"/>
        </w:rPr>
      </w:pPr>
    </w:p>
    <w:p>
      <w:pPr>
        <w:spacing w:before="0"/>
        <w:ind w:left="102" w:right="0" w:firstLine="0"/>
        <w:jc w:val="both"/>
        <w:rPr>
          <w:b/>
          <w:sz w:val="26"/>
        </w:rPr>
      </w:pPr>
      <w:r>
        <w:rPr>
          <w:b/>
          <w:sz w:val="26"/>
        </w:rPr>
        <w:t>1.3.1 Propuestas del Foro por una Nueva Gobernanza Mundial</w:t>
      </w:r>
    </w:p>
    <w:p>
      <w:pPr>
        <w:pStyle w:val="BodyText"/>
        <w:spacing w:before="3"/>
        <w:rPr>
          <w:b/>
          <w:sz w:val="30"/>
        </w:rPr>
      </w:pPr>
    </w:p>
    <w:p>
      <w:pPr>
        <w:pStyle w:val="BodyText"/>
        <w:spacing w:line="360" w:lineRule="auto"/>
        <w:ind w:left="102" w:right="118"/>
        <w:jc w:val="both"/>
      </w:pPr>
      <w:r>
        <w:rPr/>
        <w:t>El</w:t>
      </w:r>
      <w:r>
        <w:rPr>
          <w:spacing w:val="-6"/>
        </w:rPr>
        <w:t> </w:t>
      </w:r>
      <w:r>
        <w:rPr/>
        <w:t>Foro</w:t>
      </w:r>
      <w:r>
        <w:rPr>
          <w:spacing w:val="-8"/>
        </w:rPr>
        <w:t> </w:t>
      </w:r>
      <w:r>
        <w:rPr/>
        <w:t>por</w:t>
      </w:r>
      <w:r>
        <w:rPr>
          <w:spacing w:val="-8"/>
        </w:rPr>
        <w:t> </w:t>
      </w:r>
      <w:r>
        <w:rPr/>
        <w:t>una</w:t>
      </w:r>
      <w:r>
        <w:rPr>
          <w:spacing w:val="-6"/>
        </w:rPr>
        <w:t> </w:t>
      </w:r>
      <w:r>
        <w:rPr/>
        <w:t>Nueva</w:t>
      </w:r>
      <w:r>
        <w:rPr>
          <w:spacing w:val="-6"/>
        </w:rPr>
        <w:t> </w:t>
      </w:r>
      <w:r>
        <w:rPr/>
        <w:t>Gobernanza</w:t>
      </w:r>
      <w:r>
        <w:rPr>
          <w:spacing w:val="-6"/>
        </w:rPr>
        <w:t> </w:t>
      </w:r>
      <w:r>
        <w:rPr/>
        <w:t>Mundial</w:t>
      </w:r>
      <w:r>
        <w:rPr>
          <w:spacing w:val="-6"/>
        </w:rPr>
        <w:t> </w:t>
      </w:r>
      <w:r>
        <w:rPr/>
        <w:t>(FnGM)</w:t>
      </w:r>
      <w:r>
        <w:rPr>
          <w:spacing w:val="-6"/>
        </w:rPr>
        <w:t> </w:t>
      </w:r>
      <w:r>
        <w:rPr/>
        <w:t>definió</w:t>
      </w:r>
      <w:r>
        <w:rPr>
          <w:spacing w:val="-6"/>
        </w:rPr>
        <w:t> </w:t>
      </w:r>
      <w:r>
        <w:rPr/>
        <w:t>la</w:t>
      </w:r>
      <w:r>
        <w:rPr>
          <w:spacing w:val="-7"/>
        </w:rPr>
        <w:t> </w:t>
      </w:r>
      <w:r>
        <w:rPr/>
        <w:t>gobernanza</w:t>
      </w:r>
      <w:r>
        <w:rPr>
          <w:spacing w:val="-7"/>
        </w:rPr>
        <w:t> </w:t>
      </w:r>
      <w:r>
        <w:rPr/>
        <w:t>mundial como la gestión colectiva del planeta, definición amplia que permite revisar las dimensiones de lo que es y lo que podría ser la gobernanza</w:t>
      </w:r>
      <w:r>
        <w:rPr>
          <w:spacing w:val="-28"/>
        </w:rPr>
        <w:t> </w:t>
      </w:r>
      <w:r>
        <w:rPr/>
        <w:t>mundial.</w:t>
      </w:r>
    </w:p>
    <w:p>
      <w:pPr>
        <w:pStyle w:val="BodyText"/>
        <w:spacing w:line="360" w:lineRule="auto" w:before="2"/>
        <w:ind w:left="102" w:right="122" w:firstLine="427"/>
        <w:jc w:val="both"/>
      </w:pPr>
      <w:r>
        <w:rPr/>
        <w:t>El FnGM mencionó que los conflictos han sido un elemento permanente de la historia, pero, aunque han disminuido en los últimos años, en el Siglo XXI sus efectos</w:t>
      </w:r>
      <w:r>
        <w:rPr>
          <w:spacing w:val="-14"/>
        </w:rPr>
        <w:t> </w:t>
      </w:r>
      <w:r>
        <w:rPr/>
        <w:t>han</w:t>
      </w:r>
      <w:r>
        <w:rPr>
          <w:spacing w:val="-13"/>
        </w:rPr>
        <w:t> </w:t>
      </w:r>
      <w:r>
        <w:rPr/>
        <w:t>adquirido</w:t>
      </w:r>
      <w:r>
        <w:rPr>
          <w:spacing w:val="-14"/>
        </w:rPr>
        <w:t> </w:t>
      </w:r>
      <w:r>
        <w:rPr/>
        <w:t>niveles</w:t>
      </w:r>
      <w:r>
        <w:rPr>
          <w:spacing w:val="-13"/>
        </w:rPr>
        <w:t> </w:t>
      </w:r>
      <w:r>
        <w:rPr/>
        <w:t>que</w:t>
      </w:r>
      <w:r>
        <w:rPr>
          <w:spacing w:val="-13"/>
        </w:rPr>
        <w:t> </w:t>
      </w:r>
      <w:r>
        <w:rPr/>
        <w:t>ponen</w:t>
      </w:r>
      <w:r>
        <w:rPr>
          <w:spacing w:val="-14"/>
        </w:rPr>
        <w:t> </w:t>
      </w:r>
      <w:r>
        <w:rPr/>
        <w:t>en</w:t>
      </w:r>
      <w:r>
        <w:rPr>
          <w:spacing w:val="-13"/>
        </w:rPr>
        <w:t> </w:t>
      </w:r>
      <w:r>
        <w:rPr/>
        <w:t>riesgo</w:t>
      </w:r>
      <w:r>
        <w:rPr>
          <w:spacing w:val="-13"/>
        </w:rPr>
        <w:t> </w:t>
      </w:r>
      <w:r>
        <w:rPr/>
        <w:t>la</w:t>
      </w:r>
      <w:r>
        <w:rPr>
          <w:spacing w:val="-13"/>
        </w:rPr>
        <w:t> </w:t>
      </w:r>
      <w:r>
        <w:rPr/>
        <w:t>sobrevivencia</w:t>
      </w:r>
      <w:r>
        <w:rPr>
          <w:spacing w:val="-13"/>
        </w:rPr>
        <w:t> </w:t>
      </w:r>
      <w:r>
        <w:rPr/>
        <w:t>de</w:t>
      </w:r>
      <w:r>
        <w:rPr>
          <w:spacing w:val="-13"/>
        </w:rPr>
        <w:t> </w:t>
      </w:r>
      <w:r>
        <w:rPr/>
        <w:t>las</w:t>
      </w:r>
      <w:r>
        <w:rPr>
          <w:spacing w:val="-14"/>
        </w:rPr>
        <w:t> </w:t>
      </w:r>
      <w:r>
        <w:rPr/>
        <w:t>naciones. Consideró que el origen de los conflictos son económicos políticos, religiosos, territoriales y sobre el control de los recursos escasos, lo que causa la crisis de la gobernanza</w:t>
      </w:r>
      <w:r>
        <w:rPr>
          <w:spacing w:val="-7"/>
        </w:rPr>
        <w:t> </w:t>
      </w:r>
      <w:r>
        <w:rPr/>
        <w:t>internacional.</w:t>
      </w:r>
      <w:r>
        <w:rPr>
          <w:spacing w:val="-10"/>
        </w:rPr>
        <w:t> </w:t>
      </w:r>
      <w:r>
        <w:rPr/>
        <w:t>La</w:t>
      </w:r>
      <w:r>
        <w:rPr>
          <w:spacing w:val="-9"/>
        </w:rPr>
        <w:t> </w:t>
      </w:r>
      <w:r>
        <w:rPr/>
        <w:t>ONG</w:t>
      </w:r>
      <w:r>
        <w:rPr>
          <w:spacing w:val="-7"/>
        </w:rPr>
        <w:t> </w:t>
      </w:r>
      <w:r>
        <w:rPr/>
        <w:t>consideró</w:t>
      </w:r>
      <w:r>
        <w:rPr>
          <w:spacing w:val="-10"/>
        </w:rPr>
        <w:t> </w:t>
      </w:r>
      <w:r>
        <w:rPr/>
        <w:t>que</w:t>
      </w:r>
      <w:r>
        <w:rPr>
          <w:spacing w:val="-7"/>
        </w:rPr>
        <w:t> </w:t>
      </w:r>
      <w:r>
        <w:rPr/>
        <w:t>las</w:t>
      </w:r>
      <w:r>
        <w:rPr>
          <w:spacing w:val="-10"/>
        </w:rPr>
        <w:t> </w:t>
      </w:r>
      <w:r>
        <w:rPr/>
        <w:t>causas</w:t>
      </w:r>
      <w:r>
        <w:rPr>
          <w:spacing w:val="-10"/>
        </w:rPr>
        <w:t> </w:t>
      </w:r>
      <w:r>
        <w:rPr/>
        <w:t>principales</w:t>
      </w:r>
      <w:r>
        <w:rPr>
          <w:spacing w:val="-7"/>
        </w:rPr>
        <w:t> </w:t>
      </w:r>
      <w:r>
        <w:rPr/>
        <w:t>de</w:t>
      </w:r>
      <w:r>
        <w:rPr>
          <w:spacing w:val="-7"/>
        </w:rPr>
        <w:t> </w:t>
      </w:r>
      <w:r>
        <w:rPr/>
        <w:t>la</w:t>
      </w:r>
      <w:r>
        <w:rPr>
          <w:spacing w:val="-10"/>
        </w:rPr>
        <w:t> </w:t>
      </w:r>
      <w:r>
        <w:rPr/>
        <w:t>crisis de la gobernanza internacional son las</w:t>
      </w:r>
      <w:r>
        <w:rPr>
          <w:spacing w:val="-17"/>
        </w:rPr>
        <w:t> </w:t>
      </w:r>
      <w:r>
        <w:rPr/>
        <w:t>siguientes:</w:t>
      </w:r>
    </w:p>
    <w:p>
      <w:pPr>
        <w:pStyle w:val="ListParagraph"/>
        <w:numPr>
          <w:ilvl w:val="2"/>
          <w:numId w:val="19"/>
        </w:numPr>
        <w:tabs>
          <w:tab w:pos="822" w:val="left" w:leader="none"/>
        </w:tabs>
        <w:spacing w:line="240" w:lineRule="auto" w:before="5" w:after="0"/>
        <w:ind w:left="822" w:right="0" w:hanging="360"/>
        <w:jc w:val="left"/>
        <w:rPr>
          <w:sz w:val="24"/>
        </w:rPr>
      </w:pPr>
      <w:r>
        <w:rPr>
          <w:sz w:val="24"/>
        </w:rPr>
        <w:t>Estructural: La economía y la tecnología favorecen el desarrollo</w:t>
      </w:r>
      <w:r>
        <w:rPr>
          <w:spacing w:val="-31"/>
          <w:sz w:val="24"/>
        </w:rPr>
        <w:t> </w:t>
      </w:r>
      <w:r>
        <w:rPr>
          <w:sz w:val="24"/>
        </w:rPr>
        <w:t>desigual.</w:t>
      </w:r>
    </w:p>
    <w:p>
      <w:pPr>
        <w:pStyle w:val="ListParagraph"/>
        <w:numPr>
          <w:ilvl w:val="2"/>
          <w:numId w:val="19"/>
        </w:numPr>
        <w:tabs>
          <w:tab w:pos="822" w:val="left" w:leader="none"/>
        </w:tabs>
        <w:spacing w:line="360" w:lineRule="auto" w:before="137" w:after="0"/>
        <w:ind w:left="822" w:right="117" w:hanging="360"/>
        <w:jc w:val="left"/>
        <w:rPr>
          <w:sz w:val="24"/>
        </w:rPr>
      </w:pPr>
      <w:r>
        <w:rPr>
          <w:sz w:val="24"/>
        </w:rPr>
        <w:t>Ideológico: La concentración y distribución de los recursos del sistema capitalista.</w:t>
      </w:r>
    </w:p>
    <w:p>
      <w:pPr>
        <w:pStyle w:val="ListParagraph"/>
        <w:numPr>
          <w:ilvl w:val="2"/>
          <w:numId w:val="19"/>
        </w:numPr>
        <w:tabs>
          <w:tab w:pos="822" w:val="left" w:leader="none"/>
        </w:tabs>
        <w:spacing w:line="360" w:lineRule="auto" w:before="2" w:after="0"/>
        <w:ind w:left="822" w:right="123" w:hanging="360"/>
        <w:jc w:val="left"/>
        <w:rPr>
          <w:sz w:val="24"/>
        </w:rPr>
      </w:pPr>
      <w:r>
        <w:rPr>
          <w:sz w:val="24"/>
        </w:rPr>
        <w:t>Político: Los conflictos no resueltos por la Organización de las Naciones Unidas (ONU) han tenido más efectos negativos que conflictos</w:t>
      </w:r>
      <w:r>
        <w:rPr>
          <w:spacing w:val="-21"/>
          <w:sz w:val="24"/>
        </w:rPr>
        <w:t> </w:t>
      </w:r>
      <w:r>
        <w:rPr>
          <w:sz w:val="24"/>
        </w:rPr>
        <w:t>resueltos.</w:t>
      </w:r>
    </w:p>
    <w:p>
      <w:pPr>
        <w:pStyle w:val="BodyText"/>
      </w:pPr>
    </w:p>
    <w:p>
      <w:pPr>
        <w:pStyle w:val="BodyText"/>
        <w:spacing w:line="360" w:lineRule="auto" w:before="142"/>
        <w:ind w:left="102" w:right="124" w:firstLine="427"/>
        <w:jc w:val="both"/>
      </w:pPr>
      <w:r>
        <w:rPr/>
        <w:t>Aunado a las crisis originadas como consecuencia de los conflictos bélicos, se consideran los regímenes autoritarios que aumentan la pobreza, instituciones impuestas que la sociedad clasifica como ilegítimas y la concentración del ingreso en una minoría.</w:t>
      </w:r>
    </w:p>
    <w:p>
      <w:pPr>
        <w:pStyle w:val="BodyText"/>
        <w:spacing w:line="360" w:lineRule="auto" w:before="2"/>
        <w:ind w:left="102" w:right="124" w:firstLine="427"/>
        <w:jc w:val="both"/>
      </w:pPr>
      <w:r>
        <w:rPr/>
        <w:t>El</w:t>
      </w:r>
      <w:r>
        <w:rPr>
          <w:spacing w:val="-19"/>
        </w:rPr>
        <w:t> </w:t>
      </w:r>
      <w:r>
        <w:rPr/>
        <w:t>FnGM</w:t>
      </w:r>
      <w:r>
        <w:rPr>
          <w:spacing w:val="-19"/>
        </w:rPr>
        <w:t> </w:t>
      </w:r>
      <w:r>
        <w:rPr/>
        <w:t>realizó</w:t>
      </w:r>
      <w:r>
        <w:rPr>
          <w:spacing w:val="-18"/>
        </w:rPr>
        <w:t> </w:t>
      </w:r>
      <w:r>
        <w:rPr/>
        <w:t>propuestas</w:t>
      </w:r>
      <w:r>
        <w:rPr>
          <w:spacing w:val="-18"/>
        </w:rPr>
        <w:t> </w:t>
      </w:r>
      <w:r>
        <w:rPr/>
        <w:t>de</w:t>
      </w:r>
      <w:r>
        <w:rPr>
          <w:spacing w:val="-18"/>
        </w:rPr>
        <w:t> </w:t>
      </w:r>
      <w:r>
        <w:rPr/>
        <w:t>gobernanza,</w:t>
      </w:r>
      <w:r>
        <w:rPr>
          <w:spacing w:val="-18"/>
        </w:rPr>
        <w:t> </w:t>
      </w:r>
      <w:r>
        <w:rPr/>
        <w:t>considerada</w:t>
      </w:r>
      <w:r>
        <w:rPr>
          <w:spacing w:val="-18"/>
        </w:rPr>
        <w:t> </w:t>
      </w:r>
      <w:r>
        <w:rPr/>
        <w:t>como</w:t>
      </w:r>
      <w:r>
        <w:rPr>
          <w:spacing w:val="-18"/>
        </w:rPr>
        <w:t> </w:t>
      </w:r>
      <w:r>
        <w:rPr/>
        <w:t>una</w:t>
      </w:r>
      <w:r>
        <w:rPr>
          <w:spacing w:val="-20"/>
        </w:rPr>
        <w:t> </w:t>
      </w:r>
      <w:r>
        <w:rPr/>
        <w:t>arquitectura de gobernanza ciudadana basada en la ética y filosofía y una economía enfocada hacia alcanzar la justicia social y ambiental. Las propuestas son las</w:t>
      </w:r>
      <w:r>
        <w:rPr>
          <w:spacing w:val="-20"/>
        </w:rPr>
        <w:t> </w:t>
      </w:r>
      <w:r>
        <w:rPr/>
        <w:t>siguientes:</w:t>
      </w:r>
    </w:p>
    <w:p>
      <w:pPr>
        <w:spacing w:after="0" w:line="360" w:lineRule="auto"/>
        <w:jc w:val="both"/>
        <w:sectPr>
          <w:pgSz w:w="12240" w:h="15840"/>
          <w:pgMar w:header="0" w:footer="1003" w:top="1360" w:bottom="1200" w:left="1600" w:right="1580"/>
        </w:sectPr>
      </w:pPr>
    </w:p>
    <w:p>
      <w:pPr>
        <w:pStyle w:val="ListParagraph"/>
        <w:numPr>
          <w:ilvl w:val="3"/>
          <w:numId w:val="19"/>
        </w:numPr>
        <w:tabs>
          <w:tab w:pos="842" w:val="left" w:leader="none"/>
        </w:tabs>
        <w:spacing w:line="360" w:lineRule="auto" w:before="54" w:after="0"/>
        <w:ind w:left="842" w:right="117" w:hanging="360"/>
        <w:jc w:val="both"/>
        <w:rPr>
          <w:sz w:val="24"/>
        </w:rPr>
      </w:pPr>
      <w:r>
        <w:rPr>
          <w:sz w:val="24"/>
        </w:rPr>
        <w:t>Renovar y democratizar los partidos políticos: Varias iniciativas pueden ser puestas en práctica, como son el cambio periódico de los dirigentes, dar prioridad</w:t>
      </w:r>
      <w:r>
        <w:rPr>
          <w:spacing w:val="-17"/>
          <w:sz w:val="24"/>
        </w:rPr>
        <w:t> </w:t>
      </w:r>
      <w:r>
        <w:rPr>
          <w:sz w:val="24"/>
        </w:rPr>
        <w:t>a</w:t>
      </w:r>
      <w:r>
        <w:rPr>
          <w:spacing w:val="-14"/>
          <w:sz w:val="24"/>
        </w:rPr>
        <w:t> </w:t>
      </w:r>
      <w:r>
        <w:rPr>
          <w:sz w:val="24"/>
        </w:rPr>
        <w:t>los</w:t>
      </w:r>
      <w:r>
        <w:rPr>
          <w:spacing w:val="-17"/>
          <w:sz w:val="24"/>
        </w:rPr>
        <w:t> </w:t>
      </w:r>
      <w:r>
        <w:rPr>
          <w:sz w:val="24"/>
        </w:rPr>
        <w:t>jóvenes</w:t>
      </w:r>
      <w:r>
        <w:rPr>
          <w:spacing w:val="-20"/>
          <w:sz w:val="24"/>
        </w:rPr>
        <w:t> </w:t>
      </w:r>
      <w:r>
        <w:rPr>
          <w:sz w:val="24"/>
        </w:rPr>
        <w:t>y</w:t>
      </w:r>
      <w:r>
        <w:rPr>
          <w:spacing w:val="-17"/>
          <w:sz w:val="24"/>
        </w:rPr>
        <w:t> </w:t>
      </w:r>
      <w:r>
        <w:rPr>
          <w:sz w:val="24"/>
        </w:rPr>
        <w:t>las</w:t>
      </w:r>
      <w:r>
        <w:rPr>
          <w:spacing w:val="-14"/>
          <w:sz w:val="24"/>
        </w:rPr>
        <w:t> </w:t>
      </w:r>
      <w:r>
        <w:rPr>
          <w:sz w:val="24"/>
        </w:rPr>
        <w:t>mujeres</w:t>
      </w:r>
      <w:r>
        <w:rPr>
          <w:spacing w:val="-15"/>
          <w:sz w:val="24"/>
        </w:rPr>
        <w:t> </w:t>
      </w:r>
      <w:r>
        <w:rPr>
          <w:sz w:val="24"/>
        </w:rPr>
        <w:t>en</w:t>
      </w:r>
      <w:r>
        <w:rPr>
          <w:spacing w:val="-17"/>
          <w:sz w:val="24"/>
        </w:rPr>
        <w:t> </w:t>
      </w:r>
      <w:r>
        <w:rPr>
          <w:sz w:val="24"/>
        </w:rPr>
        <w:t>puestos</w:t>
      </w:r>
      <w:r>
        <w:rPr>
          <w:spacing w:val="-15"/>
          <w:sz w:val="24"/>
        </w:rPr>
        <w:t> </w:t>
      </w:r>
      <w:r>
        <w:rPr>
          <w:sz w:val="24"/>
        </w:rPr>
        <w:t>de</w:t>
      </w:r>
      <w:r>
        <w:rPr>
          <w:spacing w:val="-14"/>
          <w:sz w:val="24"/>
        </w:rPr>
        <w:t> </w:t>
      </w:r>
      <w:r>
        <w:rPr>
          <w:sz w:val="24"/>
        </w:rPr>
        <w:t>responsabilidad,</w:t>
      </w:r>
      <w:r>
        <w:rPr>
          <w:spacing w:val="-17"/>
          <w:sz w:val="24"/>
        </w:rPr>
        <w:t> </w:t>
      </w:r>
      <w:r>
        <w:rPr>
          <w:sz w:val="24"/>
        </w:rPr>
        <w:t>disponer la</w:t>
      </w:r>
      <w:r>
        <w:rPr>
          <w:spacing w:val="-6"/>
          <w:sz w:val="24"/>
        </w:rPr>
        <w:t> </w:t>
      </w:r>
      <w:r>
        <w:rPr>
          <w:sz w:val="24"/>
        </w:rPr>
        <w:t>información</w:t>
      </w:r>
      <w:r>
        <w:rPr>
          <w:spacing w:val="-6"/>
          <w:sz w:val="24"/>
        </w:rPr>
        <w:t> </w:t>
      </w:r>
      <w:r>
        <w:rPr>
          <w:sz w:val="24"/>
        </w:rPr>
        <w:t>al</w:t>
      </w:r>
      <w:r>
        <w:rPr>
          <w:spacing w:val="-6"/>
          <w:sz w:val="24"/>
        </w:rPr>
        <w:t> </w:t>
      </w:r>
      <w:r>
        <w:rPr>
          <w:sz w:val="24"/>
        </w:rPr>
        <w:t>público</w:t>
      </w:r>
      <w:r>
        <w:rPr>
          <w:spacing w:val="-6"/>
          <w:sz w:val="24"/>
        </w:rPr>
        <w:t> </w:t>
      </w:r>
      <w:r>
        <w:rPr>
          <w:sz w:val="24"/>
        </w:rPr>
        <w:t>en</w:t>
      </w:r>
      <w:r>
        <w:rPr>
          <w:spacing w:val="-6"/>
          <w:sz w:val="24"/>
        </w:rPr>
        <w:t> </w:t>
      </w:r>
      <w:r>
        <w:rPr>
          <w:sz w:val="24"/>
        </w:rPr>
        <w:t>general,</w:t>
      </w:r>
      <w:r>
        <w:rPr>
          <w:spacing w:val="-6"/>
          <w:sz w:val="24"/>
        </w:rPr>
        <w:t> </w:t>
      </w:r>
      <w:r>
        <w:rPr>
          <w:sz w:val="24"/>
        </w:rPr>
        <w:t>realizar</w:t>
      </w:r>
      <w:r>
        <w:rPr>
          <w:spacing w:val="-6"/>
          <w:sz w:val="24"/>
        </w:rPr>
        <w:t> </w:t>
      </w:r>
      <w:r>
        <w:rPr>
          <w:sz w:val="24"/>
        </w:rPr>
        <w:t>consultas</w:t>
      </w:r>
      <w:r>
        <w:rPr>
          <w:spacing w:val="-6"/>
          <w:sz w:val="24"/>
        </w:rPr>
        <w:t> </w:t>
      </w:r>
      <w:r>
        <w:rPr>
          <w:sz w:val="24"/>
        </w:rPr>
        <w:t>ciudadanas,</w:t>
      </w:r>
      <w:r>
        <w:rPr>
          <w:spacing w:val="-7"/>
          <w:sz w:val="24"/>
        </w:rPr>
        <w:t> </w:t>
      </w:r>
      <w:r>
        <w:rPr>
          <w:sz w:val="24"/>
        </w:rPr>
        <w:t>etcétera.</w:t>
      </w:r>
    </w:p>
    <w:p>
      <w:pPr>
        <w:pStyle w:val="ListParagraph"/>
        <w:numPr>
          <w:ilvl w:val="3"/>
          <w:numId w:val="19"/>
        </w:numPr>
        <w:tabs>
          <w:tab w:pos="842" w:val="left" w:leader="none"/>
        </w:tabs>
        <w:spacing w:line="360" w:lineRule="auto" w:before="2" w:after="0"/>
        <w:ind w:left="842" w:right="119" w:hanging="360"/>
        <w:jc w:val="both"/>
        <w:rPr>
          <w:sz w:val="24"/>
        </w:rPr>
      </w:pPr>
      <w:r>
        <w:rPr>
          <w:sz w:val="24"/>
        </w:rPr>
        <w:t>Abrir espacios a los ciudadanos y sus organizaciones en los medios de televisión,</w:t>
      </w:r>
      <w:r>
        <w:rPr>
          <w:spacing w:val="-5"/>
          <w:sz w:val="24"/>
        </w:rPr>
        <w:t> </w:t>
      </w:r>
      <w:r>
        <w:rPr>
          <w:sz w:val="24"/>
        </w:rPr>
        <w:t>radio</w:t>
      </w:r>
      <w:r>
        <w:rPr>
          <w:spacing w:val="-5"/>
          <w:sz w:val="24"/>
        </w:rPr>
        <w:t> </w:t>
      </w:r>
      <w:r>
        <w:rPr>
          <w:sz w:val="24"/>
        </w:rPr>
        <w:t>y</w:t>
      </w:r>
      <w:r>
        <w:rPr>
          <w:spacing w:val="-8"/>
          <w:sz w:val="24"/>
        </w:rPr>
        <w:t> </w:t>
      </w:r>
      <w:r>
        <w:rPr>
          <w:sz w:val="24"/>
        </w:rPr>
        <w:t>prensa.</w:t>
      </w:r>
      <w:r>
        <w:rPr>
          <w:spacing w:val="-3"/>
          <w:sz w:val="24"/>
        </w:rPr>
        <w:t> </w:t>
      </w:r>
      <w:r>
        <w:rPr>
          <w:sz w:val="24"/>
        </w:rPr>
        <w:t>No</w:t>
      </w:r>
      <w:r>
        <w:rPr>
          <w:spacing w:val="-7"/>
          <w:sz w:val="24"/>
        </w:rPr>
        <w:t> </w:t>
      </w:r>
      <w:r>
        <w:rPr>
          <w:sz w:val="24"/>
        </w:rPr>
        <w:t>sólo</w:t>
      </w:r>
      <w:r>
        <w:rPr>
          <w:spacing w:val="-7"/>
          <w:sz w:val="24"/>
        </w:rPr>
        <w:t> </w:t>
      </w:r>
      <w:r>
        <w:rPr>
          <w:sz w:val="24"/>
        </w:rPr>
        <w:t>el</w:t>
      </w:r>
      <w:r>
        <w:rPr>
          <w:spacing w:val="-8"/>
          <w:sz w:val="24"/>
        </w:rPr>
        <w:t> </w:t>
      </w:r>
      <w:r>
        <w:rPr>
          <w:sz w:val="24"/>
        </w:rPr>
        <w:t>uso</w:t>
      </w:r>
      <w:r>
        <w:rPr>
          <w:spacing w:val="-7"/>
          <w:sz w:val="24"/>
        </w:rPr>
        <w:t> </w:t>
      </w:r>
      <w:r>
        <w:rPr>
          <w:sz w:val="24"/>
        </w:rPr>
        <w:t>de</w:t>
      </w:r>
      <w:r>
        <w:rPr>
          <w:spacing w:val="-5"/>
          <w:sz w:val="24"/>
        </w:rPr>
        <w:t> </w:t>
      </w:r>
      <w:r>
        <w:rPr>
          <w:sz w:val="24"/>
        </w:rPr>
        <w:t>la</w:t>
      </w:r>
      <w:r>
        <w:rPr>
          <w:spacing w:val="-5"/>
          <w:sz w:val="24"/>
        </w:rPr>
        <w:t> </w:t>
      </w:r>
      <w:r>
        <w:rPr>
          <w:sz w:val="24"/>
        </w:rPr>
        <w:t>tecnología</w:t>
      </w:r>
      <w:r>
        <w:rPr>
          <w:spacing w:val="-5"/>
          <w:sz w:val="24"/>
        </w:rPr>
        <w:t> </w:t>
      </w:r>
      <w:r>
        <w:rPr>
          <w:sz w:val="24"/>
        </w:rPr>
        <w:t>es</w:t>
      </w:r>
      <w:r>
        <w:rPr>
          <w:spacing w:val="-5"/>
          <w:sz w:val="24"/>
        </w:rPr>
        <w:t> </w:t>
      </w:r>
      <w:r>
        <w:rPr>
          <w:sz w:val="24"/>
        </w:rPr>
        <w:t>importante,</w:t>
      </w:r>
      <w:r>
        <w:rPr>
          <w:spacing w:val="-5"/>
          <w:sz w:val="24"/>
        </w:rPr>
        <w:t> </w:t>
      </w:r>
      <w:r>
        <w:rPr>
          <w:sz w:val="24"/>
        </w:rPr>
        <w:t>sino también la articulación de propuestas y opiniones de diálogos</w:t>
      </w:r>
      <w:r>
        <w:rPr>
          <w:spacing w:val="-25"/>
          <w:sz w:val="24"/>
        </w:rPr>
        <w:t> </w:t>
      </w:r>
      <w:r>
        <w:rPr>
          <w:sz w:val="24"/>
        </w:rPr>
        <w:t>abiertos.</w:t>
      </w:r>
    </w:p>
    <w:p>
      <w:pPr>
        <w:pStyle w:val="ListParagraph"/>
        <w:numPr>
          <w:ilvl w:val="3"/>
          <w:numId w:val="19"/>
        </w:numPr>
        <w:tabs>
          <w:tab w:pos="842" w:val="left" w:leader="none"/>
        </w:tabs>
        <w:spacing w:line="360" w:lineRule="auto" w:before="5" w:after="0"/>
        <w:ind w:left="842" w:right="123" w:hanging="360"/>
        <w:jc w:val="both"/>
        <w:rPr>
          <w:sz w:val="24"/>
        </w:rPr>
      </w:pPr>
      <w:r>
        <w:rPr>
          <w:sz w:val="24"/>
        </w:rPr>
        <w:t>Afirmar la igualdad. Los gobiernos, instituciones y organismos donde las mujeres</w:t>
      </w:r>
      <w:r>
        <w:rPr>
          <w:spacing w:val="-15"/>
          <w:sz w:val="24"/>
        </w:rPr>
        <w:t> </w:t>
      </w:r>
      <w:r>
        <w:rPr>
          <w:sz w:val="24"/>
        </w:rPr>
        <w:t>sean</w:t>
      </w:r>
      <w:r>
        <w:rPr>
          <w:spacing w:val="-14"/>
          <w:sz w:val="24"/>
        </w:rPr>
        <w:t> </w:t>
      </w:r>
      <w:r>
        <w:rPr>
          <w:sz w:val="24"/>
        </w:rPr>
        <w:t>mayoría,</w:t>
      </w:r>
      <w:r>
        <w:rPr>
          <w:spacing w:val="-12"/>
          <w:sz w:val="24"/>
        </w:rPr>
        <w:t> </w:t>
      </w:r>
      <w:r>
        <w:rPr>
          <w:sz w:val="24"/>
        </w:rPr>
        <w:t>deberán</w:t>
      </w:r>
      <w:r>
        <w:rPr>
          <w:spacing w:val="-14"/>
          <w:sz w:val="24"/>
        </w:rPr>
        <w:t> </w:t>
      </w:r>
      <w:r>
        <w:rPr>
          <w:sz w:val="24"/>
        </w:rPr>
        <w:t>promover</w:t>
      </w:r>
      <w:r>
        <w:rPr>
          <w:spacing w:val="-13"/>
          <w:sz w:val="24"/>
        </w:rPr>
        <w:t> </w:t>
      </w:r>
      <w:r>
        <w:rPr>
          <w:sz w:val="24"/>
        </w:rPr>
        <w:t>la</w:t>
      </w:r>
      <w:r>
        <w:rPr>
          <w:spacing w:val="-12"/>
          <w:sz w:val="24"/>
        </w:rPr>
        <w:t> </w:t>
      </w:r>
      <w:r>
        <w:rPr>
          <w:sz w:val="24"/>
        </w:rPr>
        <w:t>igualdad</w:t>
      </w:r>
      <w:r>
        <w:rPr>
          <w:spacing w:val="-14"/>
          <w:sz w:val="24"/>
        </w:rPr>
        <w:t> </w:t>
      </w:r>
      <w:r>
        <w:rPr>
          <w:sz w:val="24"/>
        </w:rPr>
        <w:t>en</w:t>
      </w:r>
      <w:r>
        <w:rPr>
          <w:spacing w:val="-14"/>
          <w:sz w:val="24"/>
        </w:rPr>
        <w:t> </w:t>
      </w:r>
      <w:r>
        <w:rPr>
          <w:sz w:val="24"/>
        </w:rPr>
        <w:t>puestos</w:t>
      </w:r>
      <w:r>
        <w:rPr>
          <w:spacing w:val="-15"/>
          <w:sz w:val="24"/>
        </w:rPr>
        <w:t> </w:t>
      </w:r>
      <w:r>
        <w:rPr>
          <w:sz w:val="24"/>
        </w:rPr>
        <w:t>públicos</w:t>
      </w:r>
      <w:r>
        <w:rPr>
          <w:spacing w:val="-15"/>
          <w:sz w:val="24"/>
        </w:rPr>
        <w:t> </w:t>
      </w:r>
      <w:r>
        <w:rPr>
          <w:sz w:val="24"/>
        </w:rPr>
        <w:t>de responsabilidad.</w:t>
      </w:r>
    </w:p>
    <w:p>
      <w:pPr>
        <w:pStyle w:val="ListParagraph"/>
        <w:numPr>
          <w:ilvl w:val="3"/>
          <w:numId w:val="19"/>
        </w:numPr>
        <w:tabs>
          <w:tab w:pos="842" w:val="left" w:leader="none"/>
        </w:tabs>
        <w:spacing w:line="360" w:lineRule="auto" w:before="2" w:after="0"/>
        <w:ind w:left="842" w:right="124" w:hanging="360"/>
        <w:jc w:val="both"/>
        <w:rPr>
          <w:sz w:val="24"/>
        </w:rPr>
      </w:pPr>
      <w:r>
        <w:rPr>
          <w:sz w:val="24"/>
        </w:rPr>
        <w:t>Financiamiento público a los partidos políticos, provenientes de fondos transparentes para evitar la</w:t>
      </w:r>
      <w:r>
        <w:rPr>
          <w:spacing w:val="-16"/>
          <w:sz w:val="24"/>
        </w:rPr>
        <w:t> </w:t>
      </w:r>
      <w:r>
        <w:rPr>
          <w:sz w:val="24"/>
        </w:rPr>
        <w:t>corrupción.</w:t>
      </w:r>
    </w:p>
    <w:p>
      <w:pPr>
        <w:pStyle w:val="ListParagraph"/>
        <w:numPr>
          <w:ilvl w:val="3"/>
          <w:numId w:val="19"/>
        </w:numPr>
        <w:tabs>
          <w:tab w:pos="842" w:val="left" w:leader="none"/>
        </w:tabs>
        <w:spacing w:line="360" w:lineRule="auto" w:before="2" w:after="0"/>
        <w:ind w:left="842" w:right="116" w:hanging="360"/>
        <w:jc w:val="both"/>
        <w:rPr>
          <w:sz w:val="24"/>
        </w:rPr>
      </w:pPr>
      <w:r>
        <w:rPr>
          <w:sz w:val="24"/>
        </w:rPr>
        <w:t>Acercar los congresos (parlamentos) a los ciudadanos. La acción de legislar no debe estar circunscrita sólo a los diputados y senadores.</w:t>
      </w:r>
      <w:r>
        <w:rPr>
          <w:position w:val="8"/>
          <w:sz w:val="16"/>
        </w:rPr>
        <w:t>19 </w:t>
      </w:r>
      <w:r>
        <w:rPr>
          <w:sz w:val="24"/>
        </w:rPr>
        <w:t>Por ejemplo, el presupuesto y las leyes sobre educación deben ser discutidas con las organizaciones de estudiantes, de profesores, de padres y apoderados, etc. Hay que inventar nuevos mecanismos de diálogo para evitar que los parlamentos se transformen en espacios cerrados o</w:t>
      </w:r>
      <w:r>
        <w:rPr>
          <w:spacing w:val="-25"/>
          <w:sz w:val="24"/>
        </w:rPr>
        <w:t> </w:t>
      </w:r>
      <w:r>
        <w:rPr>
          <w:sz w:val="24"/>
        </w:rPr>
        <w:t>elitistas.</w:t>
      </w:r>
    </w:p>
    <w:p>
      <w:pPr>
        <w:pStyle w:val="ListParagraph"/>
        <w:numPr>
          <w:ilvl w:val="3"/>
          <w:numId w:val="19"/>
        </w:numPr>
        <w:tabs>
          <w:tab w:pos="842" w:val="left" w:leader="none"/>
        </w:tabs>
        <w:spacing w:line="360" w:lineRule="auto" w:before="2" w:after="0"/>
        <w:ind w:left="842" w:right="123" w:hanging="360"/>
        <w:jc w:val="both"/>
        <w:rPr>
          <w:sz w:val="24"/>
        </w:rPr>
      </w:pPr>
      <w:r>
        <w:rPr>
          <w:sz w:val="24"/>
        </w:rPr>
        <w:t>Organizar plebiscitos, referéndums, conferencias de consenso,</w:t>
      </w:r>
      <w:r>
        <w:rPr>
          <w:spacing w:val="-34"/>
          <w:sz w:val="24"/>
        </w:rPr>
        <w:t> </w:t>
      </w:r>
      <w:r>
        <w:rPr>
          <w:sz w:val="24"/>
        </w:rPr>
        <w:t>incentivando la participación de la mayoría de los ciudadanos. Los mecanismos de consulta deben ser regulados y preparados de manera que se aseguren las decisiones informadas y</w:t>
      </w:r>
      <w:r>
        <w:rPr>
          <w:spacing w:val="-16"/>
          <w:sz w:val="24"/>
        </w:rPr>
        <w:t> </w:t>
      </w:r>
      <w:r>
        <w:rPr>
          <w:sz w:val="24"/>
        </w:rPr>
        <w:t>meditadas.</w:t>
      </w:r>
    </w:p>
    <w:p>
      <w:pPr>
        <w:pStyle w:val="ListParagraph"/>
        <w:numPr>
          <w:ilvl w:val="3"/>
          <w:numId w:val="19"/>
        </w:numPr>
        <w:tabs>
          <w:tab w:pos="842" w:val="left" w:leader="none"/>
        </w:tabs>
        <w:spacing w:line="360" w:lineRule="auto" w:before="2" w:after="0"/>
        <w:ind w:left="842" w:right="112" w:hanging="360"/>
        <w:jc w:val="both"/>
        <w:rPr>
          <w:sz w:val="24"/>
        </w:rPr>
      </w:pPr>
      <w:r>
        <w:rPr>
          <w:sz w:val="24"/>
        </w:rPr>
        <w:t>Promover asambleas y conferencias territoriales, comunales, nacionales y regionales y mundiales. Los cambios de los sistemas políticos deben ser capaces de cimentar una nueva arquitectura del poder del local al mundial y deben ser necesariamente duraderos y</w:t>
      </w:r>
      <w:r>
        <w:rPr>
          <w:spacing w:val="-22"/>
          <w:sz w:val="24"/>
        </w:rPr>
        <w:t> </w:t>
      </w:r>
      <w:r>
        <w:rPr>
          <w:sz w:val="24"/>
        </w:rPr>
        <w:t>sustentables.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2296;mso-wrap-distance-left:0;mso-wrap-distance-right:0" from="85.103996pt,10.298809pt" to="229.123996pt,10.298809pt" stroked="true" strokeweight=".71997pt" strokecolor="#000000">
            <w10:wrap type="topAndBottom"/>
          </v:line>
        </w:pict>
      </w:r>
    </w:p>
    <w:p>
      <w:pPr>
        <w:spacing w:line="244" w:lineRule="auto" w:before="62"/>
        <w:ind w:left="122" w:right="114" w:firstLine="0"/>
        <w:jc w:val="both"/>
        <w:rPr>
          <w:sz w:val="16"/>
        </w:rPr>
      </w:pPr>
      <w:r>
        <w:rPr>
          <w:rFonts w:ascii="Times New Roman" w:hAnsi="Times New Roman"/>
          <w:position w:val="7"/>
          <w:sz w:val="13"/>
        </w:rPr>
        <w:t>19</w:t>
      </w:r>
      <w:r>
        <w:rPr>
          <w:sz w:val="16"/>
        </w:rPr>
        <w:t>El 9 de agosto de 2012 en el DOF se presentó la adición de la fracción IV del artículo 71 de la Constitución Federal, en la cual se estipula que el derecho de iniciar leyes o decretos compete (además del Presidente de la República, a los diputados y senadores del H. Congreso de la Unión, a las legislaturas de los Estados) también a los ciudadanos, en un número equivalente al 0.13% de la lista nominal de electores.</w:t>
      </w:r>
    </w:p>
    <w:p>
      <w:pPr>
        <w:spacing w:after="0" w:line="244" w:lineRule="auto"/>
        <w:jc w:val="both"/>
        <w:rPr>
          <w:sz w:val="16"/>
        </w:rPr>
        <w:sectPr>
          <w:pgSz w:w="12240" w:h="15840"/>
          <w:pgMar w:header="0" w:footer="1003" w:top="1360" w:bottom="1200" w:left="1580" w:right="1580"/>
        </w:sectPr>
      </w:pPr>
    </w:p>
    <w:p>
      <w:pPr>
        <w:pStyle w:val="BodyText"/>
        <w:spacing w:line="357" w:lineRule="auto" w:before="54"/>
        <w:ind w:left="122" w:right="116" w:firstLine="359"/>
        <w:jc w:val="both"/>
      </w:pPr>
      <w:r>
        <w:rPr/>
        <w:t>En</w:t>
      </w:r>
      <w:r>
        <w:rPr>
          <w:spacing w:val="-4"/>
        </w:rPr>
        <w:t> </w:t>
      </w:r>
      <w:r>
        <w:rPr/>
        <w:t>abril</w:t>
      </w:r>
      <w:r>
        <w:rPr>
          <w:spacing w:val="-5"/>
        </w:rPr>
        <w:t> </w:t>
      </w:r>
      <w:r>
        <w:rPr/>
        <w:t>de</w:t>
      </w:r>
      <w:r>
        <w:rPr>
          <w:spacing w:val="-4"/>
        </w:rPr>
        <w:t> </w:t>
      </w:r>
      <w:r>
        <w:rPr/>
        <w:t>2012</w:t>
      </w:r>
      <w:r>
        <w:rPr>
          <w:spacing w:val="-4"/>
        </w:rPr>
        <w:t> </w:t>
      </w:r>
      <w:r>
        <w:rPr/>
        <w:t>el</w:t>
      </w:r>
      <w:r>
        <w:rPr>
          <w:spacing w:val="-5"/>
        </w:rPr>
        <w:t> </w:t>
      </w:r>
      <w:r>
        <w:rPr/>
        <w:t>FnGM</w:t>
      </w:r>
      <w:r>
        <w:rPr>
          <w:spacing w:val="-5"/>
        </w:rPr>
        <w:t> </w:t>
      </w:r>
      <w:r>
        <w:rPr/>
        <w:t>difundió</w:t>
      </w:r>
      <w:r>
        <w:rPr>
          <w:spacing w:val="-6"/>
        </w:rPr>
        <w:t> </w:t>
      </w:r>
      <w:r>
        <w:rPr/>
        <w:t>el</w:t>
      </w:r>
      <w:r>
        <w:rPr>
          <w:spacing w:val="-5"/>
        </w:rPr>
        <w:t> </w:t>
      </w:r>
      <w:r>
        <w:rPr/>
        <w:t>documento</w:t>
      </w:r>
      <w:r>
        <w:rPr>
          <w:spacing w:val="-3"/>
        </w:rPr>
        <w:t> </w:t>
      </w:r>
      <w:r>
        <w:rPr/>
        <w:t>“Los</w:t>
      </w:r>
      <w:r>
        <w:rPr>
          <w:spacing w:val="-4"/>
        </w:rPr>
        <w:t> </w:t>
      </w:r>
      <w:r>
        <w:rPr/>
        <w:t>comunes</w:t>
      </w:r>
      <w:r>
        <w:rPr>
          <w:spacing w:val="-4"/>
        </w:rPr>
        <w:t> </w:t>
      </w:r>
      <w:r>
        <w:rPr/>
        <w:t>y</w:t>
      </w:r>
      <w:r>
        <w:rPr>
          <w:spacing w:val="-7"/>
        </w:rPr>
        <w:t> </w:t>
      </w:r>
      <w:r>
        <w:rPr/>
        <w:t>la</w:t>
      </w:r>
      <w:r>
        <w:rPr>
          <w:spacing w:val="-4"/>
        </w:rPr>
        <w:t> </w:t>
      </w:r>
      <w:r>
        <w:rPr/>
        <w:t>gobernanza mundial. Hacia un contrato social mundial”</w:t>
      </w:r>
      <w:r>
        <w:rPr>
          <w:position w:val="8"/>
          <w:sz w:val="16"/>
        </w:rPr>
        <w:t>20 </w:t>
      </w:r>
      <w:r>
        <w:rPr/>
        <w:t>en el cual resaltó la importancia de realizar acciones colectivas para el cuidado de los bienes comunes,</w:t>
      </w:r>
      <w:r>
        <w:rPr>
          <w:position w:val="8"/>
          <w:sz w:val="16"/>
        </w:rPr>
        <w:t>21</w:t>
      </w:r>
      <w:r>
        <w:rPr/>
        <w:t>con connotaciones políticas, y más específicamente de filosofía política mediante la pregunta reflexiva al colectivo internacional: ¿Qué tipo de sociedad mundial queremos?</w:t>
      </w:r>
    </w:p>
    <w:p>
      <w:pPr>
        <w:pStyle w:val="BodyText"/>
        <w:spacing w:line="360" w:lineRule="auto" w:before="5"/>
        <w:ind w:left="122" w:right="116" w:firstLine="359"/>
        <w:jc w:val="both"/>
      </w:pPr>
      <w:r>
        <w:rPr/>
        <w:t>El FnGM mencionó que esto conlleva a un paradigma para la acción política nacional</w:t>
      </w:r>
      <w:r>
        <w:rPr>
          <w:spacing w:val="-18"/>
        </w:rPr>
        <w:t> </w:t>
      </w:r>
      <w:r>
        <w:rPr/>
        <w:t>e</w:t>
      </w:r>
      <w:r>
        <w:rPr>
          <w:spacing w:val="-19"/>
        </w:rPr>
        <w:t> </w:t>
      </w:r>
      <w:r>
        <w:rPr/>
        <w:t>internacional,</w:t>
      </w:r>
      <w:r>
        <w:rPr>
          <w:spacing w:val="-17"/>
        </w:rPr>
        <w:t> </w:t>
      </w:r>
      <w:r>
        <w:rPr/>
        <w:t>ya</w:t>
      </w:r>
      <w:r>
        <w:rPr>
          <w:spacing w:val="-17"/>
        </w:rPr>
        <w:t> </w:t>
      </w:r>
      <w:r>
        <w:rPr/>
        <w:t>que</w:t>
      </w:r>
      <w:r>
        <w:rPr>
          <w:spacing w:val="-17"/>
        </w:rPr>
        <w:t> </w:t>
      </w:r>
      <w:r>
        <w:rPr/>
        <w:t>de</w:t>
      </w:r>
      <w:r>
        <w:rPr>
          <w:spacing w:val="-19"/>
        </w:rPr>
        <w:t> </w:t>
      </w:r>
      <w:r>
        <w:rPr/>
        <w:t>forma</w:t>
      </w:r>
      <w:r>
        <w:rPr>
          <w:spacing w:val="-19"/>
        </w:rPr>
        <w:t> </w:t>
      </w:r>
      <w:r>
        <w:rPr/>
        <w:t>tradicional</w:t>
      </w:r>
      <w:r>
        <w:rPr>
          <w:spacing w:val="-18"/>
        </w:rPr>
        <w:t> </w:t>
      </w:r>
      <w:r>
        <w:rPr/>
        <w:t>la</w:t>
      </w:r>
      <w:r>
        <w:rPr>
          <w:spacing w:val="-19"/>
        </w:rPr>
        <w:t> </w:t>
      </w:r>
      <w:r>
        <w:rPr/>
        <w:t>teoría</w:t>
      </w:r>
      <w:r>
        <w:rPr>
          <w:spacing w:val="-17"/>
        </w:rPr>
        <w:t> </w:t>
      </w:r>
      <w:r>
        <w:rPr/>
        <w:t>política</w:t>
      </w:r>
      <w:r>
        <w:rPr>
          <w:spacing w:val="-19"/>
        </w:rPr>
        <w:t> </w:t>
      </w:r>
      <w:r>
        <w:rPr/>
        <w:t>se</w:t>
      </w:r>
      <w:r>
        <w:rPr>
          <w:spacing w:val="-17"/>
        </w:rPr>
        <w:t> </w:t>
      </w:r>
      <w:r>
        <w:rPr/>
        <w:t>ha</w:t>
      </w:r>
      <w:r>
        <w:rPr>
          <w:spacing w:val="-17"/>
        </w:rPr>
        <w:t> </w:t>
      </w:r>
      <w:r>
        <w:rPr/>
        <w:t>orientado hacia la praxis de entidades políticas cerradas (Estados, reinos, repúblicas o imperios) y restringido su análisis de la esfera</w:t>
      </w:r>
      <w:r>
        <w:rPr>
          <w:spacing w:val="-17"/>
        </w:rPr>
        <w:t> </w:t>
      </w:r>
      <w:r>
        <w:rPr/>
        <w:t>mundial.</w:t>
      </w:r>
    </w:p>
    <w:p>
      <w:pPr>
        <w:pStyle w:val="BodyText"/>
        <w:spacing w:line="360" w:lineRule="auto" w:before="2"/>
        <w:ind w:left="122" w:right="122" w:firstLine="359"/>
        <w:jc w:val="both"/>
      </w:pPr>
      <w:r>
        <w:rPr/>
        <w:t>El documento también consideró la problemática que han enfrentado los sistemas políticos entre el limitar dos elementos: la concentración y el abuso del poder del Estado y el poder que éste ha otorgado al capitalismo para provecho de algunos. Mencionó que la crisis financiera de 2008 es una demostración de la colusión del Estado y el capitalismo, lo que ha empeorado la situación mundial.</w:t>
      </w:r>
    </w:p>
    <w:p>
      <w:pPr>
        <w:pStyle w:val="BodyText"/>
        <w:spacing w:line="360" w:lineRule="auto" w:before="5"/>
        <w:ind w:left="122" w:right="117" w:firstLine="359"/>
        <w:jc w:val="both"/>
      </w:pPr>
      <w:r>
        <w:rPr/>
        <w:t>El problema, de acuerdo con el FnGM, tiene dos vertientes: una esencial (filosofía política) y la otra práctica (política), la primera se remite a la creación de una</w:t>
      </w:r>
      <w:r>
        <w:rPr>
          <w:spacing w:val="-19"/>
        </w:rPr>
        <w:t> </w:t>
      </w:r>
      <w:r>
        <w:rPr/>
        <w:t>buena</w:t>
      </w:r>
      <w:r>
        <w:rPr>
          <w:spacing w:val="-17"/>
        </w:rPr>
        <w:t> </w:t>
      </w:r>
      <w:r>
        <w:rPr/>
        <w:t>“sociedad</w:t>
      </w:r>
      <w:r>
        <w:rPr>
          <w:spacing w:val="-19"/>
        </w:rPr>
        <w:t> </w:t>
      </w:r>
      <w:r>
        <w:rPr/>
        <w:t>mundial”,</w:t>
      </w:r>
      <w:r>
        <w:rPr>
          <w:spacing w:val="-17"/>
        </w:rPr>
        <w:t> </w:t>
      </w:r>
      <w:r>
        <w:rPr/>
        <w:t>que</w:t>
      </w:r>
      <w:r>
        <w:rPr>
          <w:spacing w:val="-17"/>
        </w:rPr>
        <w:t> </w:t>
      </w:r>
      <w:r>
        <w:rPr/>
        <w:t>a</w:t>
      </w:r>
      <w:r>
        <w:rPr>
          <w:spacing w:val="-17"/>
        </w:rPr>
        <w:t> </w:t>
      </w:r>
      <w:r>
        <w:rPr/>
        <w:t>su</w:t>
      </w:r>
      <w:r>
        <w:rPr>
          <w:spacing w:val="-17"/>
        </w:rPr>
        <w:t> </w:t>
      </w:r>
      <w:r>
        <w:rPr/>
        <w:t>vez</w:t>
      </w:r>
      <w:r>
        <w:rPr>
          <w:spacing w:val="-17"/>
        </w:rPr>
        <w:t> </w:t>
      </w:r>
      <w:r>
        <w:rPr/>
        <w:t>implica</w:t>
      </w:r>
      <w:r>
        <w:rPr>
          <w:spacing w:val="-17"/>
        </w:rPr>
        <w:t> </w:t>
      </w:r>
      <w:r>
        <w:rPr/>
        <w:t>una</w:t>
      </w:r>
      <w:r>
        <w:rPr>
          <w:spacing w:val="-17"/>
        </w:rPr>
        <w:t> </w:t>
      </w:r>
      <w:r>
        <w:rPr/>
        <w:t>reconstrucción</w:t>
      </w:r>
      <w:r>
        <w:rPr>
          <w:spacing w:val="-16"/>
        </w:rPr>
        <w:t> </w:t>
      </w:r>
      <w:r>
        <w:rPr/>
        <w:t>de</w:t>
      </w:r>
      <w:r>
        <w:rPr>
          <w:spacing w:val="-19"/>
        </w:rPr>
        <w:t> </w:t>
      </w:r>
      <w:r>
        <w:rPr/>
        <w:t>un</w:t>
      </w:r>
      <w:r>
        <w:rPr>
          <w:spacing w:val="-17"/>
        </w:rPr>
        <w:t> </w:t>
      </w:r>
      <w:r>
        <w:rPr/>
        <w:t>nuevo orden mundial, mientras que la práctica, se remite a transformar las ideas políticas en acción política y en</w:t>
      </w:r>
      <w:r>
        <w:rPr>
          <w:spacing w:val="-11"/>
        </w:rPr>
        <w:t> </w:t>
      </w:r>
      <w:r>
        <w:rPr/>
        <w:t>instituciones.</w:t>
      </w:r>
    </w:p>
    <w:p>
      <w:pPr>
        <w:pStyle w:val="BodyText"/>
        <w:spacing w:line="360" w:lineRule="auto" w:before="2"/>
        <w:ind w:left="122" w:right="115" w:firstLine="359"/>
        <w:jc w:val="both"/>
      </w:pPr>
      <w:r>
        <w:rPr/>
        <w:t>El FnGM sugiere el establecimiento de un contrato social mundial o su equivalente, que impida la guerra entre Estados. El documento aseguró que la gobernanza mundial basada en el Estado y en el mercado está a su vez fundamentada en el poder amoral del poder (considerado por Maquiavelo). En cambio la acción colectiva se considera benéfica en lo individual y social (Confucio y Aristóteles).</w:t>
      </w:r>
    </w:p>
    <w:p>
      <w:pPr>
        <w:pStyle w:val="BodyText"/>
        <w:spacing w:line="360" w:lineRule="auto" w:before="2"/>
        <w:ind w:left="122" w:right="118" w:firstLine="359"/>
        <w:jc w:val="both"/>
      </w:pPr>
      <w:r>
        <w:rPr/>
        <w:t>Una forma de lograr el desarrollo social, de acuerdo con la organización, es sumar experiencias en la gestión desde debajo de “comunes” (opinión pública) y</w:t>
      </w:r>
    </w:p>
    <w:p>
      <w:pPr>
        <w:pStyle w:val="BodyText"/>
        <w:spacing w:before="5"/>
        <w:rPr>
          <w:sz w:val="18"/>
        </w:rPr>
      </w:pPr>
      <w:r>
        <w:rPr/>
        <w:pict>
          <v:line style="position:absolute;mso-position-horizontal-relative:page;mso-position-vertical-relative:paragraph;z-index:2320;mso-wrap-distance-left:0;mso-wrap-distance-right:0" from="85.103996pt,12.953917pt" to="229.123996pt,12.953917pt" stroked="true" strokeweight=".71997pt" strokecolor="#000000">
            <w10:wrap type="topAndBottom"/>
          </v:line>
        </w:pict>
      </w:r>
    </w:p>
    <w:p>
      <w:pPr>
        <w:spacing w:before="67"/>
        <w:ind w:left="122" w:right="50" w:firstLine="0"/>
        <w:jc w:val="left"/>
        <w:rPr>
          <w:sz w:val="16"/>
        </w:rPr>
      </w:pPr>
      <w:r>
        <w:rPr>
          <w:rFonts w:ascii="Calibri"/>
          <w:position w:val="8"/>
          <w:sz w:val="14"/>
        </w:rPr>
        <w:t>20</w:t>
      </w:r>
      <w:r>
        <w:rPr>
          <w:sz w:val="16"/>
        </w:rPr>
        <w:t>Disponible en:</w:t>
      </w:r>
    </w:p>
    <w:p>
      <w:pPr>
        <w:spacing w:before="25"/>
        <w:ind w:left="122" w:right="1476" w:firstLine="0"/>
        <w:jc w:val="left"/>
        <w:rPr>
          <w:sz w:val="16"/>
        </w:rPr>
      </w:pPr>
      <w:hyperlink r:id="rId44">
        <w:r>
          <w:rPr>
            <w:sz w:val="16"/>
          </w:rPr>
          <w:t>http://www.world-governance.org/IMG/pdf_862_AB_GM_Communs_et_gouvernance_mondiale_ES-3.pdf</w:t>
        </w:r>
      </w:hyperlink>
      <w:r>
        <w:rPr>
          <w:sz w:val="16"/>
        </w:rPr>
        <w:t> [Fecha de consulta: 21 de mayo, 2015].</w:t>
      </w:r>
    </w:p>
    <w:p>
      <w:pPr>
        <w:spacing w:line="256" w:lineRule="auto" w:before="0"/>
        <w:ind w:left="122" w:right="50" w:firstLine="0"/>
        <w:jc w:val="left"/>
        <w:rPr>
          <w:sz w:val="16"/>
        </w:rPr>
      </w:pPr>
      <w:r>
        <w:rPr>
          <w:rFonts w:ascii="Times New Roman" w:hAnsi="Times New Roman"/>
          <w:position w:val="7"/>
          <w:sz w:val="13"/>
        </w:rPr>
        <w:t>21</w:t>
      </w:r>
      <w:r>
        <w:rPr>
          <w:sz w:val="16"/>
        </w:rPr>
        <w:t>Considerados por el FnGM como aquellos recursos vitales que son propiedad de la sociedad y clasificados en físicos (recursos naturales), espaciales (mares y espacio), culturales y digitales.</w:t>
      </w:r>
    </w:p>
    <w:p>
      <w:pPr>
        <w:spacing w:after="0" w:line="256" w:lineRule="auto"/>
        <w:jc w:val="left"/>
        <w:rPr>
          <w:sz w:val="16"/>
        </w:rPr>
        <w:sectPr>
          <w:pgSz w:w="12240" w:h="15840"/>
          <w:pgMar w:header="0" w:footer="1003" w:top="1360" w:bottom="1200" w:left="1580" w:right="1580"/>
        </w:sectPr>
      </w:pPr>
    </w:p>
    <w:p>
      <w:pPr>
        <w:pStyle w:val="BodyText"/>
        <w:spacing w:line="360" w:lineRule="auto" w:before="54"/>
        <w:ind w:left="122" w:right="126"/>
        <w:jc w:val="both"/>
      </w:pPr>
      <w:r>
        <w:rPr/>
        <w:t>con ellas formar un sistema adaptable de gobernanza. De esta forma, es mediante este sistema de gobernanza regido por los principios universales de la gobernanza mundial (de Estado y mercado) que es posible lograr un contrato social mundial.</w:t>
      </w:r>
    </w:p>
    <w:p>
      <w:pPr>
        <w:pStyle w:val="BodyText"/>
      </w:pPr>
    </w:p>
    <w:p>
      <w:pPr>
        <w:pStyle w:val="BodyText"/>
        <w:spacing w:before="7"/>
        <w:rPr>
          <w:sz w:val="29"/>
        </w:rPr>
      </w:pPr>
    </w:p>
    <w:p>
      <w:pPr>
        <w:pStyle w:val="Heading3"/>
        <w:numPr>
          <w:ilvl w:val="2"/>
          <w:numId w:val="20"/>
        </w:numPr>
        <w:tabs>
          <w:tab w:pos="724" w:val="left" w:leader="none"/>
        </w:tabs>
        <w:spacing w:line="240" w:lineRule="auto" w:before="0" w:after="0"/>
        <w:ind w:left="122" w:right="0" w:firstLine="0"/>
        <w:jc w:val="both"/>
      </w:pPr>
      <w:bookmarkStart w:name="_bookmark13" w:id="18"/>
      <w:bookmarkEnd w:id="18"/>
      <w:r>
        <w:rPr>
          <w:b w:val="0"/>
        </w:rPr>
      </w:r>
      <w:bookmarkStart w:name="_bookmark13" w:id="19"/>
      <w:bookmarkEnd w:id="19"/>
      <w:r>
        <w:rPr/>
        <w:t>La</w:t>
      </w:r>
      <w:r>
        <w:rPr/>
        <w:t> Organización de las Naciones Unidas y la gobernanza</w:t>
      </w:r>
      <w:r>
        <w:rPr>
          <w:spacing w:val="-18"/>
        </w:rPr>
        <w:t> </w:t>
      </w:r>
      <w:r>
        <w:rPr/>
        <w:t>mundial</w:t>
      </w:r>
    </w:p>
    <w:p>
      <w:pPr>
        <w:pStyle w:val="BodyText"/>
        <w:spacing w:line="360" w:lineRule="auto" w:before="139"/>
        <w:ind w:left="122" w:right="121"/>
        <w:jc w:val="both"/>
      </w:pPr>
      <w:r>
        <w:rPr/>
        <w:t>El FnGM publicó en noviembre de 2008 el documento “La ONU y la gobernanza mundial”</w:t>
      </w:r>
      <w:r>
        <w:rPr>
          <w:position w:val="8"/>
          <w:sz w:val="16"/>
        </w:rPr>
        <w:t>22 </w:t>
      </w:r>
      <w:r>
        <w:rPr/>
        <w:t>en el cual se comentó que la ONU es el pilar de la gobernanza mundial, y es la institución política orientada a establecer la paz y estabilidad mundial, bajo el concepto “seguridad colectiva”.</w:t>
      </w:r>
    </w:p>
    <w:p>
      <w:pPr>
        <w:pStyle w:val="BodyText"/>
        <w:spacing w:line="360" w:lineRule="auto" w:before="2"/>
        <w:ind w:left="122" w:right="120" w:firstLine="427"/>
        <w:jc w:val="both"/>
      </w:pPr>
      <w:r>
        <w:rPr/>
        <w:t>La seguridad colectiva considera que la política internacional no es un juego que suma cero, contrario a la </w:t>
      </w:r>
      <w:r>
        <w:rPr>
          <w:i/>
        </w:rPr>
        <w:t>realpolitik </w:t>
      </w:r>
      <w:r>
        <w:rPr/>
        <w:t>que plantea una lucha permanente por el poder</w:t>
      </w:r>
      <w:r>
        <w:rPr>
          <w:spacing w:val="-9"/>
        </w:rPr>
        <w:t> </w:t>
      </w:r>
      <w:r>
        <w:rPr/>
        <w:t>mundial.</w:t>
      </w:r>
      <w:r>
        <w:rPr>
          <w:spacing w:val="-9"/>
        </w:rPr>
        <w:t> </w:t>
      </w:r>
      <w:r>
        <w:rPr/>
        <w:t>La</w:t>
      </w:r>
      <w:r>
        <w:rPr>
          <w:spacing w:val="-8"/>
        </w:rPr>
        <w:t> </w:t>
      </w:r>
      <w:r>
        <w:rPr/>
        <w:t>seguridad</w:t>
      </w:r>
      <w:r>
        <w:rPr>
          <w:spacing w:val="-8"/>
        </w:rPr>
        <w:t> </w:t>
      </w:r>
      <w:r>
        <w:rPr/>
        <w:t>colectiva</w:t>
      </w:r>
      <w:r>
        <w:rPr>
          <w:spacing w:val="-8"/>
        </w:rPr>
        <w:t> </w:t>
      </w:r>
      <w:r>
        <w:rPr/>
        <w:t>implica,</w:t>
      </w:r>
      <w:r>
        <w:rPr>
          <w:spacing w:val="-8"/>
        </w:rPr>
        <w:t> </w:t>
      </w:r>
      <w:r>
        <w:rPr/>
        <w:t>en</w:t>
      </w:r>
      <w:r>
        <w:rPr>
          <w:spacing w:val="-8"/>
        </w:rPr>
        <w:t> </w:t>
      </w:r>
      <w:r>
        <w:rPr/>
        <w:t>términos</w:t>
      </w:r>
      <w:r>
        <w:rPr>
          <w:spacing w:val="-9"/>
        </w:rPr>
        <w:t> </w:t>
      </w:r>
      <w:r>
        <w:rPr/>
        <w:t>de</w:t>
      </w:r>
      <w:r>
        <w:rPr>
          <w:spacing w:val="-8"/>
        </w:rPr>
        <w:t> </w:t>
      </w:r>
      <w:r>
        <w:rPr/>
        <w:t>poder,</w:t>
      </w:r>
      <w:r>
        <w:rPr>
          <w:spacing w:val="-9"/>
        </w:rPr>
        <w:t> </w:t>
      </w:r>
      <w:r>
        <w:rPr/>
        <w:t>que</w:t>
      </w:r>
      <w:r>
        <w:rPr>
          <w:spacing w:val="-8"/>
        </w:rPr>
        <w:t> </w:t>
      </w:r>
      <w:r>
        <w:rPr/>
        <w:t>cada</w:t>
      </w:r>
      <w:r>
        <w:rPr>
          <w:spacing w:val="-10"/>
        </w:rPr>
        <w:t> </w:t>
      </w:r>
      <w:r>
        <w:rPr/>
        <w:t>país renuncie a conseguir la hegemonía internacional con la intención de mantener la paz</w:t>
      </w:r>
      <w:r>
        <w:rPr>
          <w:spacing w:val="-6"/>
        </w:rPr>
        <w:t> </w:t>
      </w:r>
      <w:r>
        <w:rPr/>
        <w:t>internacional</w:t>
      </w:r>
      <w:r>
        <w:rPr>
          <w:spacing w:val="-5"/>
        </w:rPr>
        <w:t> </w:t>
      </w:r>
      <w:r>
        <w:rPr/>
        <w:t>(pacto</w:t>
      </w:r>
      <w:r>
        <w:rPr>
          <w:spacing w:val="-4"/>
        </w:rPr>
        <w:t> </w:t>
      </w:r>
      <w:r>
        <w:rPr/>
        <w:t>social).</w:t>
      </w:r>
      <w:r>
        <w:rPr>
          <w:spacing w:val="-6"/>
        </w:rPr>
        <w:t> </w:t>
      </w:r>
      <w:r>
        <w:rPr/>
        <w:t>Es</w:t>
      </w:r>
      <w:r>
        <w:rPr>
          <w:spacing w:val="-6"/>
        </w:rPr>
        <w:t> </w:t>
      </w:r>
      <w:r>
        <w:rPr/>
        <w:t>la</w:t>
      </w:r>
      <w:r>
        <w:rPr>
          <w:spacing w:val="-4"/>
        </w:rPr>
        <w:t> </w:t>
      </w:r>
      <w:r>
        <w:rPr/>
        <w:t>idea</w:t>
      </w:r>
      <w:r>
        <w:rPr>
          <w:spacing w:val="-5"/>
        </w:rPr>
        <w:t> </w:t>
      </w:r>
      <w:r>
        <w:rPr/>
        <w:t>de</w:t>
      </w:r>
      <w:r>
        <w:rPr>
          <w:spacing w:val="-5"/>
        </w:rPr>
        <w:t> </w:t>
      </w:r>
      <w:r>
        <w:rPr/>
        <w:t>acuerdo</w:t>
      </w:r>
      <w:r>
        <w:rPr>
          <w:spacing w:val="-5"/>
        </w:rPr>
        <w:t> </w:t>
      </w:r>
      <w:r>
        <w:rPr/>
        <w:t>con</w:t>
      </w:r>
      <w:r>
        <w:rPr>
          <w:spacing w:val="-5"/>
        </w:rPr>
        <w:t> </w:t>
      </w:r>
      <w:r>
        <w:rPr/>
        <w:t>la</w:t>
      </w:r>
      <w:r>
        <w:rPr>
          <w:spacing w:val="-5"/>
        </w:rPr>
        <w:t> </w:t>
      </w:r>
      <w:r>
        <w:rPr/>
        <w:t>cual</w:t>
      </w:r>
      <w:r>
        <w:rPr>
          <w:spacing w:val="-6"/>
        </w:rPr>
        <w:t> </w:t>
      </w:r>
      <w:r>
        <w:rPr/>
        <w:t>la</w:t>
      </w:r>
      <w:r>
        <w:rPr>
          <w:spacing w:val="-5"/>
        </w:rPr>
        <w:t> </w:t>
      </w:r>
      <w:r>
        <w:rPr/>
        <w:t>agresión</w:t>
      </w:r>
      <w:r>
        <w:rPr>
          <w:spacing w:val="-4"/>
        </w:rPr>
        <w:t> </w:t>
      </w:r>
      <w:r>
        <w:rPr/>
        <w:t>de</w:t>
      </w:r>
      <w:r>
        <w:rPr>
          <w:spacing w:val="-7"/>
        </w:rPr>
        <w:t> </w:t>
      </w:r>
      <w:r>
        <w:rPr/>
        <w:t>un país equivale a una agresión contra todos los países y éstos tienen el deber de oponerse a la</w:t>
      </w:r>
      <w:r>
        <w:rPr>
          <w:spacing w:val="-11"/>
        </w:rPr>
        <w:t> </w:t>
      </w:r>
      <w:r>
        <w:rPr/>
        <w:t>agresión.</w:t>
      </w:r>
    </w:p>
    <w:p>
      <w:pPr>
        <w:pStyle w:val="BodyText"/>
        <w:spacing w:line="360" w:lineRule="auto" w:before="5"/>
        <w:ind w:left="122" w:right="123" w:firstLine="427"/>
        <w:jc w:val="both"/>
      </w:pPr>
      <w:r>
        <w:rPr/>
        <w:t>Los objetivos de la ONU son mantener la paz y seguridad internacionales, fomentar</w:t>
      </w:r>
      <w:r>
        <w:rPr>
          <w:spacing w:val="-18"/>
        </w:rPr>
        <w:t> </w:t>
      </w:r>
      <w:r>
        <w:rPr/>
        <w:t>las</w:t>
      </w:r>
      <w:r>
        <w:rPr>
          <w:spacing w:val="-17"/>
        </w:rPr>
        <w:t> </w:t>
      </w:r>
      <w:r>
        <w:rPr/>
        <w:t>relaciones</w:t>
      </w:r>
      <w:r>
        <w:rPr>
          <w:spacing w:val="-19"/>
        </w:rPr>
        <w:t> </w:t>
      </w:r>
      <w:r>
        <w:rPr/>
        <w:t>de</w:t>
      </w:r>
      <w:r>
        <w:rPr>
          <w:spacing w:val="-18"/>
        </w:rPr>
        <w:t> </w:t>
      </w:r>
      <w:r>
        <w:rPr/>
        <w:t>amistad</w:t>
      </w:r>
      <w:r>
        <w:rPr>
          <w:spacing w:val="-18"/>
        </w:rPr>
        <w:t> </w:t>
      </w:r>
      <w:r>
        <w:rPr/>
        <w:t>basadas</w:t>
      </w:r>
      <w:r>
        <w:rPr>
          <w:spacing w:val="-19"/>
        </w:rPr>
        <w:t> </w:t>
      </w:r>
      <w:r>
        <w:rPr/>
        <w:t>en</w:t>
      </w:r>
      <w:r>
        <w:rPr>
          <w:spacing w:val="-17"/>
        </w:rPr>
        <w:t> </w:t>
      </w:r>
      <w:r>
        <w:rPr/>
        <w:t>el</w:t>
      </w:r>
      <w:r>
        <w:rPr>
          <w:spacing w:val="-18"/>
        </w:rPr>
        <w:t> </w:t>
      </w:r>
      <w:r>
        <w:rPr/>
        <w:t>respeto</w:t>
      </w:r>
      <w:r>
        <w:rPr>
          <w:spacing w:val="-18"/>
        </w:rPr>
        <w:t> </w:t>
      </w:r>
      <w:r>
        <w:rPr/>
        <w:t>a</w:t>
      </w:r>
      <w:r>
        <w:rPr>
          <w:spacing w:val="-17"/>
        </w:rPr>
        <w:t> </w:t>
      </w:r>
      <w:r>
        <w:rPr/>
        <w:t>la</w:t>
      </w:r>
      <w:r>
        <w:rPr>
          <w:spacing w:val="-18"/>
        </w:rPr>
        <w:t> </w:t>
      </w:r>
      <w:r>
        <w:rPr/>
        <w:t>igualdad</w:t>
      </w:r>
      <w:r>
        <w:rPr>
          <w:spacing w:val="-18"/>
        </w:rPr>
        <w:t> </w:t>
      </w:r>
      <w:r>
        <w:rPr/>
        <w:t>de</w:t>
      </w:r>
      <w:r>
        <w:rPr>
          <w:spacing w:val="-18"/>
        </w:rPr>
        <w:t> </w:t>
      </w:r>
      <w:r>
        <w:rPr/>
        <w:t>derechos, la cooperación internacional para la solución de problemas internacionales y servir de armonizador entre países para alcanzar los propósitos</w:t>
      </w:r>
      <w:r>
        <w:rPr>
          <w:spacing w:val="-30"/>
        </w:rPr>
        <w:t> </w:t>
      </w:r>
      <w:r>
        <w:rPr/>
        <w:t>comunes.</w:t>
      </w:r>
    </w:p>
    <w:p>
      <w:pPr>
        <w:pStyle w:val="BodyText"/>
        <w:spacing w:line="360" w:lineRule="auto" w:before="2"/>
        <w:ind w:left="122" w:right="120" w:firstLine="427"/>
        <w:jc w:val="both"/>
      </w:pPr>
      <w:r>
        <w:rPr/>
        <w:t>Aunque ONU no ha logrado sus objetivos, su papel diplomático consiste en promover la armonía internacional, función que ninguna otra institución ha considerado.</w:t>
      </w:r>
    </w:p>
    <w:p>
      <w:pPr>
        <w:pStyle w:val="BodyText"/>
        <w:spacing w:line="360" w:lineRule="auto" w:before="5"/>
        <w:ind w:left="122" w:right="116" w:firstLine="427"/>
        <w:jc w:val="both"/>
      </w:pPr>
      <w:r>
        <w:rPr/>
        <w:t>En las décadas de los años ochenta y noventa se hizo más evidente la conformación de la sociedad civil a escala mundial, que enfrentaba la crisis originada por la globalización capitalista. Sin embargo, los constantes conflictos de la Organización del Tratado Atlántico Norte, la intervención estadounidense en Irak y el colapso de las torres gemelas en septiembre de 2001 demostraron la incapacidad de la ONU para lograr la paz.</w:t>
      </w:r>
    </w:p>
    <w:p>
      <w:pPr>
        <w:pStyle w:val="BodyText"/>
        <w:spacing w:before="2"/>
        <w:rPr>
          <w:sz w:val="17"/>
        </w:rPr>
      </w:pPr>
      <w:r>
        <w:rPr/>
        <w:pict>
          <v:line style="position:absolute;mso-position-horizontal-relative:page;mso-position-vertical-relative:paragraph;z-index:2344;mso-wrap-distance-left:0;mso-wrap-distance-right:0" from="85.103996pt,12.229918pt" to="229.123996pt,12.229918pt" stroked="true" strokeweight=".71997pt" strokecolor="#000000">
            <w10:wrap type="topAndBottom"/>
          </v:line>
        </w:pict>
      </w:r>
    </w:p>
    <w:p>
      <w:pPr>
        <w:spacing w:line="271" w:lineRule="auto" w:before="67"/>
        <w:ind w:left="122" w:right="1476" w:firstLine="0"/>
        <w:jc w:val="left"/>
        <w:rPr>
          <w:sz w:val="16"/>
        </w:rPr>
      </w:pPr>
      <w:r>
        <w:rPr>
          <w:rFonts w:ascii="Calibri"/>
          <w:position w:val="8"/>
          <w:sz w:val="14"/>
        </w:rPr>
        <w:t>22</w:t>
      </w:r>
      <w:r>
        <w:rPr>
          <w:sz w:val="16"/>
        </w:rPr>
        <w:t>Disponible en: </w:t>
      </w:r>
      <w:hyperlink r:id="rId45">
        <w:r>
          <w:rPr>
            <w:sz w:val="16"/>
          </w:rPr>
          <w:t>http://www.world-governance.org/IMG/pdf_La_ONU_y_la_Gobernanza_Mundial.pdf</w:t>
        </w:r>
      </w:hyperlink>
      <w:r>
        <w:rPr>
          <w:sz w:val="16"/>
        </w:rPr>
        <w:t> [Fecha de consulta: 22 de mayo, 2015]</w:t>
      </w:r>
    </w:p>
    <w:p>
      <w:pPr>
        <w:spacing w:after="0" w:line="271" w:lineRule="auto"/>
        <w:jc w:val="left"/>
        <w:rPr>
          <w:sz w:val="16"/>
        </w:rPr>
        <w:sectPr>
          <w:pgSz w:w="12240" w:h="15840"/>
          <w:pgMar w:header="0" w:footer="1003" w:top="1360" w:bottom="1200" w:left="1580" w:right="1580"/>
        </w:sectPr>
      </w:pPr>
    </w:p>
    <w:p>
      <w:pPr>
        <w:pStyle w:val="BodyText"/>
        <w:spacing w:line="360" w:lineRule="auto" w:before="54"/>
        <w:ind w:left="122" w:right="119" w:firstLine="427"/>
        <w:jc w:val="both"/>
      </w:pPr>
      <w:r>
        <w:rPr/>
        <w:t>Otro aspecto que puso en evidencia las fallas de la ONU es el fuerte financiamiento que recibe de los Estados Unidos, lo cual ha afectado la legitimidad de la organización, ya que se considera que el país más poderoso del mundo se sirve de la ONU cuando así conviene a sus intereses. Esto quedó demostrado cuando la ONU rehusó intervenir en el conflicto de Estados Unidos e Irak, a pesar de que la función principal de la organización es evitar los conflictos.</w:t>
      </w:r>
    </w:p>
    <w:p>
      <w:pPr>
        <w:pStyle w:val="BodyText"/>
        <w:spacing w:line="360" w:lineRule="auto" w:before="2"/>
        <w:ind w:left="122" w:right="123" w:firstLine="427"/>
        <w:jc w:val="both"/>
      </w:pPr>
      <w:r>
        <w:rPr/>
        <w:t>El informe consideró que la ONU ha politizado el proceso de designación del secretario general, quien históricamente ha tenido bajo perfil profesional y se ha dejado llevar por la participación de los representantes de países emergentes en</w:t>
      </w:r>
      <w:r>
        <w:rPr>
          <w:spacing w:val="-35"/>
        </w:rPr>
        <w:t> </w:t>
      </w:r>
      <w:r>
        <w:rPr/>
        <w:t>la tribuna de la</w:t>
      </w:r>
      <w:r>
        <w:rPr>
          <w:spacing w:val="-8"/>
        </w:rPr>
        <w:t> </w:t>
      </w:r>
      <w:r>
        <w:rPr/>
        <w:t>ONU.</w:t>
      </w:r>
    </w:p>
    <w:p>
      <w:pPr>
        <w:pStyle w:val="BodyText"/>
        <w:spacing w:line="360" w:lineRule="auto" w:before="2"/>
        <w:ind w:left="122" w:right="125" w:firstLine="427"/>
        <w:jc w:val="both"/>
      </w:pPr>
      <w:r>
        <w:rPr/>
        <w:t>Los ideales de libertad, de igualdad y felicidad de Montesquieu, Rousseau y el ex profesor de filosofía política Woodrow Wilson, actualmente tienen otra connotación: hacer la guerra para mantener el equilibrio geopolítico.</w:t>
      </w:r>
    </w:p>
    <w:p>
      <w:pPr>
        <w:pStyle w:val="BodyText"/>
        <w:spacing w:line="360" w:lineRule="auto" w:before="5"/>
        <w:ind w:left="122" w:right="122" w:firstLine="427"/>
        <w:jc w:val="both"/>
      </w:pPr>
      <w:r>
        <w:rPr/>
        <w:t>El fracaso de la ONU en hacer prevalecer la paz ha originado más preguntas que</w:t>
      </w:r>
      <w:r>
        <w:rPr>
          <w:spacing w:val="-17"/>
        </w:rPr>
        <w:t> </w:t>
      </w:r>
      <w:r>
        <w:rPr/>
        <w:t>respuestas</w:t>
      </w:r>
      <w:r>
        <w:rPr>
          <w:spacing w:val="-20"/>
        </w:rPr>
        <w:t> </w:t>
      </w:r>
      <w:r>
        <w:rPr/>
        <w:t>respecto</w:t>
      </w:r>
      <w:r>
        <w:rPr>
          <w:spacing w:val="-16"/>
        </w:rPr>
        <w:t> </w:t>
      </w:r>
      <w:r>
        <w:rPr/>
        <w:t>de</w:t>
      </w:r>
      <w:r>
        <w:rPr>
          <w:spacing w:val="-17"/>
        </w:rPr>
        <w:t> </w:t>
      </w:r>
      <w:r>
        <w:rPr/>
        <w:t>lograr</w:t>
      </w:r>
      <w:r>
        <w:rPr>
          <w:spacing w:val="-18"/>
        </w:rPr>
        <w:t> </w:t>
      </w:r>
      <w:r>
        <w:rPr/>
        <w:t>la</w:t>
      </w:r>
      <w:r>
        <w:rPr>
          <w:spacing w:val="-19"/>
        </w:rPr>
        <w:t> </w:t>
      </w:r>
      <w:r>
        <w:rPr/>
        <w:t>gobernanza</w:t>
      </w:r>
      <w:r>
        <w:rPr>
          <w:spacing w:val="-17"/>
        </w:rPr>
        <w:t> </w:t>
      </w:r>
      <w:r>
        <w:rPr/>
        <w:t>mundial.</w:t>
      </w:r>
      <w:r>
        <w:rPr>
          <w:spacing w:val="-19"/>
        </w:rPr>
        <w:t> </w:t>
      </w:r>
      <w:r>
        <w:rPr/>
        <w:t>El</w:t>
      </w:r>
      <w:r>
        <w:rPr>
          <w:spacing w:val="-18"/>
        </w:rPr>
        <w:t> </w:t>
      </w:r>
      <w:r>
        <w:rPr/>
        <w:t>Foro</w:t>
      </w:r>
      <w:r>
        <w:rPr>
          <w:spacing w:val="-20"/>
        </w:rPr>
        <w:t> </w:t>
      </w:r>
      <w:r>
        <w:rPr/>
        <w:t>prevé</w:t>
      </w:r>
      <w:r>
        <w:rPr>
          <w:spacing w:val="-17"/>
        </w:rPr>
        <w:t> </w:t>
      </w:r>
      <w:r>
        <w:rPr/>
        <w:t>que</w:t>
      </w:r>
      <w:r>
        <w:rPr>
          <w:spacing w:val="-17"/>
        </w:rPr>
        <w:t> </w:t>
      </w:r>
      <w:r>
        <w:rPr/>
        <w:t>la</w:t>
      </w:r>
      <w:r>
        <w:rPr>
          <w:spacing w:val="-19"/>
        </w:rPr>
        <w:t> </w:t>
      </w:r>
      <w:r>
        <w:rPr/>
        <w:t>ONU podrá agendar  los problemas del siglo XXI, pero no podrá pasar a la</w:t>
      </w:r>
      <w:r>
        <w:rPr>
          <w:spacing w:val="-28"/>
        </w:rPr>
        <w:t> </w:t>
      </w:r>
      <w:r>
        <w:rPr/>
        <w:t>acción.</w:t>
      </w:r>
    </w:p>
    <w:p>
      <w:pPr>
        <w:pStyle w:val="BodyText"/>
      </w:pPr>
    </w:p>
    <w:p>
      <w:pPr>
        <w:pStyle w:val="BodyText"/>
      </w:pPr>
    </w:p>
    <w:p>
      <w:pPr>
        <w:pStyle w:val="BodyText"/>
      </w:pPr>
    </w:p>
    <w:p>
      <w:pPr>
        <w:pStyle w:val="BodyText"/>
        <w:spacing w:before="1"/>
        <w:rPr>
          <w:sz w:val="35"/>
        </w:rPr>
      </w:pPr>
    </w:p>
    <w:p>
      <w:pPr>
        <w:pStyle w:val="Heading3"/>
        <w:numPr>
          <w:ilvl w:val="2"/>
          <w:numId w:val="20"/>
        </w:numPr>
        <w:tabs>
          <w:tab w:pos="724" w:val="left" w:leader="none"/>
        </w:tabs>
        <w:spacing w:line="240" w:lineRule="auto" w:before="0" w:after="0"/>
        <w:ind w:left="723" w:right="0" w:hanging="601"/>
        <w:jc w:val="both"/>
      </w:pPr>
      <w:bookmarkStart w:name="_bookmark14" w:id="20"/>
      <w:bookmarkEnd w:id="20"/>
      <w:r>
        <w:rPr>
          <w:b w:val="0"/>
        </w:rPr>
      </w:r>
      <w:bookmarkStart w:name="_bookmark14" w:id="21"/>
      <w:bookmarkEnd w:id="21"/>
      <w:r>
        <w:rPr/>
        <w:t>La</w:t>
      </w:r>
      <w:r>
        <w:rPr/>
        <w:t> promoción del ‘buen gobierno’ por el Banco</w:t>
      </w:r>
      <w:r>
        <w:rPr>
          <w:spacing w:val="-10"/>
        </w:rPr>
        <w:t> </w:t>
      </w:r>
      <w:r>
        <w:rPr/>
        <w:t>Mundial</w:t>
      </w:r>
    </w:p>
    <w:p>
      <w:pPr>
        <w:pStyle w:val="BodyText"/>
        <w:spacing w:line="360" w:lineRule="auto" w:before="137"/>
        <w:ind w:left="122" w:right="115"/>
        <w:jc w:val="both"/>
      </w:pPr>
      <w:r>
        <w:rPr/>
        <w:t>Las contribuciones al estudio de la gobernanza se han visto enriquecidas por el Banco Mundial (</w:t>
      </w:r>
      <w:r>
        <w:rPr>
          <w:i/>
        </w:rPr>
        <w:t>World Bank</w:t>
      </w:r>
      <w:r>
        <w:rPr/>
        <w:t>), quien aportó elementos para analizar la gobernanza desde una perspectiva económica. Se considera que a partir de la publicación “El África Subsahariana: de la crisis al desarrollo sustentable” (</w:t>
      </w:r>
      <w:r>
        <w:rPr>
          <w:i/>
          <w:color w:val="212121"/>
        </w:rPr>
        <w:t>Sub- Saharan Africa: </w:t>
      </w:r>
      <w:r>
        <w:rPr>
          <w:i/>
          <w:color w:val="212121"/>
        </w:rPr>
        <w:t>From crisis to Sustainable Growth</w:t>
      </w:r>
      <w:r>
        <w:rPr>
          <w:color w:val="212121"/>
        </w:rPr>
        <w:t>)</w:t>
      </w:r>
      <w:r>
        <w:rPr/>
        <w:t>, en 1989 se dio difusión internacional al término gobernanza (Aguilar, 2010: 31).</w:t>
      </w:r>
    </w:p>
    <w:p>
      <w:pPr>
        <w:pStyle w:val="BodyText"/>
        <w:spacing w:line="360" w:lineRule="auto"/>
        <w:ind w:left="122" w:right="116" w:firstLine="427"/>
        <w:jc w:val="both"/>
      </w:pPr>
      <w:r>
        <w:rPr/>
        <w:t>También</w:t>
      </w:r>
      <w:r>
        <w:rPr>
          <w:spacing w:val="-14"/>
        </w:rPr>
        <w:t> </w:t>
      </w:r>
      <w:r>
        <w:rPr/>
        <w:t>se</w:t>
      </w:r>
      <w:r>
        <w:rPr>
          <w:spacing w:val="-17"/>
        </w:rPr>
        <w:t> </w:t>
      </w:r>
      <w:r>
        <w:rPr/>
        <w:t>atribuye</w:t>
      </w:r>
      <w:r>
        <w:rPr>
          <w:spacing w:val="-14"/>
        </w:rPr>
        <w:t> </w:t>
      </w:r>
      <w:r>
        <w:rPr/>
        <w:t>al</w:t>
      </w:r>
      <w:r>
        <w:rPr>
          <w:spacing w:val="-18"/>
        </w:rPr>
        <w:t> </w:t>
      </w:r>
      <w:r>
        <w:rPr/>
        <w:t>Banco</w:t>
      </w:r>
      <w:r>
        <w:rPr>
          <w:spacing w:val="-16"/>
        </w:rPr>
        <w:t> </w:t>
      </w:r>
      <w:r>
        <w:rPr/>
        <w:t>Mundial</w:t>
      </w:r>
      <w:r>
        <w:rPr>
          <w:spacing w:val="-15"/>
        </w:rPr>
        <w:t> </w:t>
      </w:r>
      <w:r>
        <w:rPr/>
        <w:t>difundir</w:t>
      </w:r>
      <w:r>
        <w:rPr>
          <w:spacing w:val="-16"/>
        </w:rPr>
        <w:t> </w:t>
      </w:r>
      <w:r>
        <w:rPr/>
        <w:t>el</w:t>
      </w:r>
      <w:r>
        <w:rPr>
          <w:spacing w:val="-9"/>
        </w:rPr>
        <w:t> </w:t>
      </w:r>
      <w:r>
        <w:rPr/>
        <w:t>término</w:t>
      </w:r>
      <w:r>
        <w:rPr>
          <w:spacing w:val="-14"/>
        </w:rPr>
        <w:t> </w:t>
      </w:r>
      <w:r>
        <w:rPr/>
        <w:t>gobernabilidad</w:t>
      </w:r>
      <w:r>
        <w:rPr>
          <w:position w:val="8"/>
          <w:sz w:val="16"/>
        </w:rPr>
        <w:t>23</w:t>
      </w:r>
      <w:r>
        <w:rPr>
          <w:spacing w:val="7"/>
          <w:position w:val="8"/>
          <w:sz w:val="16"/>
        </w:rPr>
        <w:t> </w:t>
      </w:r>
      <w:r>
        <w:rPr/>
        <w:t>como sinónimo</w:t>
      </w:r>
      <w:r>
        <w:rPr>
          <w:spacing w:val="-7"/>
        </w:rPr>
        <w:t> </w:t>
      </w:r>
      <w:r>
        <w:rPr/>
        <w:t>de</w:t>
      </w:r>
      <w:r>
        <w:rPr>
          <w:spacing w:val="-7"/>
        </w:rPr>
        <w:t> </w:t>
      </w:r>
      <w:r>
        <w:rPr/>
        <w:t>‘buen</w:t>
      </w:r>
      <w:r>
        <w:rPr>
          <w:spacing w:val="-5"/>
        </w:rPr>
        <w:t> </w:t>
      </w:r>
      <w:r>
        <w:rPr/>
        <w:t>gobierno’,</w:t>
      </w:r>
      <w:r>
        <w:rPr>
          <w:spacing w:val="-8"/>
        </w:rPr>
        <w:t> </w:t>
      </w:r>
      <w:r>
        <w:rPr/>
        <w:t>descripción</w:t>
      </w:r>
      <w:r>
        <w:rPr>
          <w:spacing w:val="-6"/>
        </w:rPr>
        <w:t> </w:t>
      </w:r>
      <w:r>
        <w:rPr/>
        <w:t>que</w:t>
      </w:r>
      <w:r>
        <w:rPr>
          <w:spacing w:val="-7"/>
        </w:rPr>
        <w:t> </w:t>
      </w:r>
      <w:r>
        <w:rPr/>
        <w:t>se</w:t>
      </w:r>
      <w:r>
        <w:rPr>
          <w:spacing w:val="-7"/>
        </w:rPr>
        <w:t> </w:t>
      </w:r>
      <w:r>
        <w:rPr/>
        <w:t>orienta</w:t>
      </w:r>
      <w:r>
        <w:rPr>
          <w:spacing w:val="-5"/>
        </w:rPr>
        <w:t> </w:t>
      </w:r>
      <w:r>
        <w:rPr/>
        <w:t>al</w:t>
      </w:r>
      <w:r>
        <w:rPr>
          <w:spacing w:val="-8"/>
        </w:rPr>
        <w:t> </w:t>
      </w:r>
      <w:r>
        <w:rPr/>
        <w:t>desarrollo</w:t>
      </w:r>
      <w:r>
        <w:rPr>
          <w:spacing w:val="-5"/>
        </w:rPr>
        <w:t> </w:t>
      </w:r>
      <w:r>
        <w:rPr/>
        <w:t>económico</w:t>
      </w:r>
      <w:r>
        <w:rPr>
          <w:spacing w:val="-7"/>
        </w:rPr>
        <w:t> </w:t>
      </w:r>
      <w:r>
        <w:rPr/>
        <w:t>de un país (desarrollo humano elevado, un Estado de derecho efectivo, bajos niveles de</w:t>
      </w:r>
      <w:r>
        <w:rPr>
          <w:spacing w:val="-7"/>
        </w:rPr>
        <w:t> </w:t>
      </w:r>
      <w:r>
        <w:rPr/>
        <w:t>corrupción</w:t>
      </w:r>
      <w:r>
        <w:rPr>
          <w:spacing w:val="-7"/>
        </w:rPr>
        <w:t> </w:t>
      </w:r>
      <w:r>
        <w:rPr/>
        <w:t>y</w:t>
      </w:r>
      <w:r>
        <w:rPr>
          <w:spacing w:val="-10"/>
        </w:rPr>
        <w:t> </w:t>
      </w:r>
      <w:r>
        <w:rPr/>
        <w:t>políticas</w:t>
      </w:r>
      <w:r>
        <w:rPr>
          <w:spacing w:val="-8"/>
        </w:rPr>
        <w:t> </w:t>
      </w:r>
      <w:r>
        <w:rPr/>
        <w:t>públicas</w:t>
      </w:r>
      <w:r>
        <w:rPr>
          <w:spacing w:val="-10"/>
        </w:rPr>
        <w:t> </w:t>
      </w:r>
      <w:r>
        <w:rPr/>
        <w:t>eficientes,</w:t>
      </w:r>
      <w:r>
        <w:rPr>
          <w:spacing w:val="-10"/>
        </w:rPr>
        <w:t> </w:t>
      </w:r>
      <w:r>
        <w:rPr/>
        <w:t>entre</w:t>
      </w:r>
      <w:r>
        <w:rPr>
          <w:spacing w:val="-7"/>
        </w:rPr>
        <w:t> </w:t>
      </w:r>
      <w:r>
        <w:rPr/>
        <w:t>otros),</w:t>
      </w:r>
      <w:r>
        <w:rPr>
          <w:spacing w:val="-8"/>
        </w:rPr>
        <w:t> </w:t>
      </w:r>
      <w:r>
        <w:rPr/>
        <w:t>en</w:t>
      </w:r>
      <w:r>
        <w:rPr>
          <w:spacing w:val="-2"/>
        </w:rPr>
        <w:t> </w:t>
      </w:r>
      <w:r>
        <w:rPr/>
        <w:t>la</w:t>
      </w:r>
      <w:r>
        <w:rPr>
          <w:spacing w:val="-7"/>
        </w:rPr>
        <w:t> </w:t>
      </w:r>
      <w:r>
        <w:rPr/>
        <w:t>cual</w:t>
      </w:r>
      <w:r>
        <w:rPr>
          <w:spacing w:val="-8"/>
        </w:rPr>
        <w:t> </w:t>
      </w:r>
      <w:r>
        <w:rPr/>
        <w:t>las</w:t>
      </w:r>
      <w:r>
        <w:rPr>
          <w:spacing w:val="-8"/>
        </w:rPr>
        <w:t> </w:t>
      </w:r>
      <w:r>
        <w:rPr/>
        <w:t>instituciones</w:t>
      </w:r>
    </w:p>
    <w:p>
      <w:pPr>
        <w:pStyle w:val="BodyText"/>
        <w:spacing w:before="1"/>
        <w:rPr>
          <w:sz w:val="19"/>
        </w:rPr>
      </w:pPr>
      <w:r>
        <w:rPr/>
        <w:pict>
          <v:line style="position:absolute;mso-position-horizontal-relative:page;mso-position-vertical-relative:paragraph;z-index:2368;mso-wrap-distance-left:0;mso-wrap-distance-right:0" from="85.103996pt,13.309895pt" to="229.123996pt,13.309895pt" stroked="true" strokeweight=".72003pt" strokecolor="#000000">
            <w10:wrap type="topAndBottom"/>
          </v:line>
        </w:pict>
      </w:r>
    </w:p>
    <w:p>
      <w:pPr>
        <w:spacing w:before="62"/>
        <w:ind w:left="122" w:right="50" w:firstLine="0"/>
        <w:jc w:val="left"/>
        <w:rPr>
          <w:sz w:val="16"/>
        </w:rPr>
      </w:pPr>
      <w:r>
        <w:rPr>
          <w:rFonts w:ascii="Times New Roman"/>
          <w:position w:val="7"/>
          <w:sz w:val="13"/>
        </w:rPr>
        <w:t>23</w:t>
      </w:r>
      <w:r>
        <w:rPr>
          <w:sz w:val="16"/>
        </w:rPr>
        <w:t>El Banco Mundial (</w:t>
      </w:r>
      <w:r>
        <w:rPr>
          <w:i/>
          <w:sz w:val="16"/>
        </w:rPr>
        <w:t>World Bank</w:t>
      </w:r>
      <w:r>
        <w:rPr>
          <w:sz w:val="16"/>
        </w:rPr>
        <w:t>) traduce </w:t>
      </w:r>
      <w:r>
        <w:rPr>
          <w:i/>
          <w:sz w:val="16"/>
        </w:rPr>
        <w:t>governance </w:t>
      </w:r>
      <w:r>
        <w:rPr>
          <w:sz w:val="16"/>
        </w:rPr>
        <w:t>al castellano como gobernabilidad.</w:t>
      </w:r>
    </w:p>
    <w:p>
      <w:pPr>
        <w:spacing w:after="0"/>
        <w:jc w:val="left"/>
        <w:rPr>
          <w:sz w:val="16"/>
        </w:rPr>
        <w:sectPr>
          <w:pgSz w:w="12240" w:h="15840"/>
          <w:pgMar w:header="0" w:footer="1003" w:top="1360" w:bottom="1200" w:left="1580" w:right="1580"/>
        </w:sectPr>
      </w:pPr>
    </w:p>
    <w:p>
      <w:pPr>
        <w:pStyle w:val="BodyText"/>
        <w:spacing w:line="362" w:lineRule="auto" w:before="54"/>
        <w:ind w:left="102"/>
      </w:pPr>
      <w:r>
        <w:rPr/>
        <w:t>tienen una función indispensable y constructiva en la creación de un ambiente económico, político y social sólido respecto de los países emergentes.</w:t>
      </w:r>
    </w:p>
    <w:p>
      <w:pPr>
        <w:pStyle w:val="BodyText"/>
        <w:spacing w:line="360" w:lineRule="auto"/>
        <w:ind w:left="102" w:right="117" w:firstLine="427"/>
        <w:jc w:val="both"/>
      </w:pPr>
      <w:r>
        <w:rPr/>
        <w:t>El</w:t>
      </w:r>
      <w:r>
        <w:rPr>
          <w:spacing w:val="-8"/>
        </w:rPr>
        <w:t> </w:t>
      </w:r>
      <w:r>
        <w:rPr/>
        <w:t>Banco</w:t>
      </w:r>
      <w:r>
        <w:rPr>
          <w:spacing w:val="-7"/>
        </w:rPr>
        <w:t> </w:t>
      </w:r>
      <w:r>
        <w:rPr/>
        <w:t>Mundial</w:t>
      </w:r>
      <w:r>
        <w:rPr>
          <w:spacing w:val="-8"/>
        </w:rPr>
        <w:t> </w:t>
      </w:r>
      <w:r>
        <w:rPr/>
        <w:t>busca</w:t>
      </w:r>
      <w:r>
        <w:rPr>
          <w:spacing w:val="-7"/>
        </w:rPr>
        <w:t> </w:t>
      </w:r>
      <w:r>
        <w:rPr/>
        <w:t>promover</w:t>
      </w:r>
      <w:r>
        <w:rPr>
          <w:spacing w:val="-7"/>
        </w:rPr>
        <w:t> </w:t>
      </w:r>
      <w:r>
        <w:rPr/>
        <w:t>el</w:t>
      </w:r>
      <w:r>
        <w:rPr>
          <w:spacing w:val="-8"/>
        </w:rPr>
        <w:t> </w:t>
      </w:r>
      <w:r>
        <w:rPr/>
        <w:t>‘buen</w:t>
      </w:r>
      <w:r>
        <w:rPr>
          <w:spacing w:val="-7"/>
        </w:rPr>
        <w:t> </w:t>
      </w:r>
      <w:r>
        <w:rPr/>
        <w:t>gobierno’,</w:t>
      </w:r>
      <w:r>
        <w:rPr>
          <w:spacing w:val="-8"/>
        </w:rPr>
        <w:t> </w:t>
      </w:r>
      <w:r>
        <w:rPr/>
        <w:t>sobre</w:t>
      </w:r>
      <w:r>
        <w:rPr>
          <w:spacing w:val="-8"/>
        </w:rPr>
        <w:t> </w:t>
      </w:r>
      <w:r>
        <w:rPr/>
        <w:t>todo</w:t>
      </w:r>
      <w:r>
        <w:rPr>
          <w:spacing w:val="-7"/>
        </w:rPr>
        <w:t> </w:t>
      </w:r>
      <w:r>
        <w:rPr/>
        <w:t>en</w:t>
      </w:r>
      <w:r>
        <w:rPr>
          <w:spacing w:val="-9"/>
        </w:rPr>
        <w:t> </w:t>
      </w:r>
      <w:r>
        <w:rPr/>
        <w:t>economías emergentes mediante presentar el análisis de indicadores agregados sintetizados de datos cuantitativos, denominados Indicadores Mundiales de Gobernabilidad(</w:t>
      </w:r>
      <w:r>
        <w:rPr>
          <w:i/>
        </w:rPr>
        <w:t>Worldwide Governance Indicators</w:t>
      </w:r>
      <w:r>
        <w:rPr/>
        <w:t>), en los cuales se conmensuran diversas actividades enfocadas a fomentar el buen gobierno y la lucha contra la corrupción. Los seis indicadores utilizados por el Banco mundial para medir el funcionamiento del ‘buen gobierno’ son los</w:t>
      </w:r>
      <w:r>
        <w:rPr>
          <w:spacing w:val="-15"/>
        </w:rPr>
        <w:t> </w:t>
      </w:r>
      <w:r>
        <w:rPr/>
        <w:t>siguientes:</w:t>
      </w:r>
    </w:p>
    <w:p>
      <w:pPr>
        <w:pStyle w:val="BodyText"/>
      </w:pPr>
    </w:p>
    <w:p>
      <w:pPr>
        <w:pStyle w:val="ListParagraph"/>
        <w:numPr>
          <w:ilvl w:val="3"/>
          <w:numId w:val="20"/>
        </w:numPr>
        <w:tabs>
          <w:tab w:pos="822" w:val="left" w:leader="none"/>
        </w:tabs>
        <w:spacing w:line="360" w:lineRule="auto" w:before="142" w:after="0"/>
        <w:ind w:left="822" w:right="122" w:hanging="360"/>
        <w:jc w:val="both"/>
        <w:rPr>
          <w:sz w:val="24"/>
        </w:rPr>
      </w:pPr>
      <w:r>
        <w:rPr>
          <w:sz w:val="24"/>
        </w:rPr>
        <w:t>Voz (participación) y Rendición de Cuentas: mide los derechos políticos, civiles y humanos, así como la libertad de expresión, de asociación y de prensa.</w:t>
      </w:r>
    </w:p>
    <w:p>
      <w:pPr>
        <w:pStyle w:val="ListParagraph"/>
        <w:numPr>
          <w:ilvl w:val="3"/>
          <w:numId w:val="20"/>
        </w:numPr>
        <w:tabs>
          <w:tab w:pos="822" w:val="left" w:leader="none"/>
        </w:tabs>
        <w:spacing w:line="360" w:lineRule="auto" w:before="5" w:after="0"/>
        <w:ind w:left="822" w:right="125" w:hanging="360"/>
        <w:jc w:val="both"/>
        <w:rPr>
          <w:sz w:val="24"/>
        </w:rPr>
      </w:pPr>
      <w:r>
        <w:rPr>
          <w:sz w:val="24"/>
        </w:rPr>
        <w:t>Estabilidad</w:t>
      </w:r>
      <w:r>
        <w:rPr>
          <w:spacing w:val="-7"/>
          <w:sz w:val="24"/>
        </w:rPr>
        <w:t> </w:t>
      </w:r>
      <w:r>
        <w:rPr>
          <w:sz w:val="24"/>
        </w:rPr>
        <w:t>Política</w:t>
      </w:r>
      <w:r>
        <w:rPr>
          <w:spacing w:val="-7"/>
          <w:sz w:val="24"/>
        </w:rPr>
        <w:t> </w:t>
      </w:r>
      <w:r>
        <w:rPr>
          <w:sz w:val="24"/>
        </w:rPr>
        <w:t>y</w:t>
      </w:r>
      <w:r>
        <w:rPr>
          <w:spacing w:val="-10"/>
          <w:sz w:val="24"/>
        </w:rPr>
        <w:t> </w:t>
      </w:r>
      <w:r>
        <w:rPr>
          <w:sz w:val="24"/>
        </w:rPr>
        <w:t>Ausencia</w:t>
      </w:r>
      <w:r>
        <w:rPr>
          <w:spacing w:val="-10"/>
          <w:sz w:val="24"/>
        </w:rPr>
        <w:t> </w:t>
      </w:r>
      <w:r>
        <w:rPr>
          <w:sz w:val="24"/>
        </w:rPr>
        <w:t>de</w:t>
      </w:r>
      <w:r>
        <w:rPr>
          <w:spacing w:val="-7"/>
          <w:sz w:val="24"/>
        </w:rPr>
        <w:t> </w:t>
      </w:r>
      <w:r>
        <w:rPr>
          <w:sz w:val="24"/>
        </w:rPr>
        <w:t>Violencia/Terrorismo:</w:t>
      </w:r>
      <w:r>
        <w:rPr>
          <w:spacing w:val="-10"/>
          <w:sz w:val="24"/>
        </w:rPr>
        <w:t> </w:t>
      </w:r>
      <w:r>
        <w:rPr>
          <w:sz w:val="24"/>
        </w:rPr>
        <w:t>mide</w:t>
      </w:r>
      <w:r>
        <w:rPr>
          <w:spacing w:val="-7"/>
          <w:sz w:val="24"/>
        </w:rPr>
        <w:t> </w:t>
      </w:r>
      <w:r>
        <w:rPr>
          <w:sz w:val="24"/>
        </w:rPr>
        <w:t>la</w:t>
      </w:r>
      <w:r>
        <w:rPr>
          <w:spacing w:val="-7"/>
          <w:sz w:val="24"/>
        </w:rPr>
        <w:t> </w:t>
      </w:r>
      <w:r>
        <w:rPr>
          <w:sz w:val="24"/>
        </w:rPr>
        <w:t>probabilidad de que el gobierno esté sujeto a amenazas violentas o cambios, incluidos actos de</w:t>
      </w:r>
      <w:r>
        <w:rPr>
          <w:spacing w:val="-7"/>
          <w:sz w:val="24"/>
        </w:rPr>
        <w:t> </w:t>
      </w:r>
      <w:r>
        <w:rPr>
          <w:sz w:val="24"/>
        </w:rPr>
        <w:t>terrorismo.</w:t>
      </w:r>
    </w:p>
    <w:p>
      <w:pPr>
        <w:pStyle w:val="ListParagraph"/>
        <w:numPr>
          <w:ilvl w:val="3"/>
          <w:numId w:val="20"/>
        </w:numPr>
        <w:tabs>
          <w:tab w:pos="822" w:val="left" w:leader="none"/>
        </w:tabs>
        <w:spacing w:line="362" w:lineRule="auto" w:before="2" w:after="0"/>
        <w:ind w:left="822" w:right="123" w:hanging="360"/>
        <w:jc w:val="both"/>
        <w:rPr>
          <w:sz w:val="24"/>
        </w:rPr>
      </w:pPr>
      <w:r>
        <w:rPr>
          <w:sz w:val="24"/>
        </w:rPr>
        <w:t>Efectividad Gubernamental: mide el grado de competencia de la burocracia y la calidad de la prestación de servicios</w:t>
      </w:r>
      <w:r>
        <w:rPr>
          <w:spacing w:val="-17"/>
          <w:sz w:val="24"/>
        </w:rPr>
        <w:t> </w:t>
      </w:r>
      <w:r>
        <w:rPr>
          <w:sz w:val="24"/>
        </w:rPr>
        <w:t>públicos.</w:t>
      </w:r>
    </w:p>
    <w:p>
      <w:pPr>
        <w:pStyle w:val="ListParagraph"/>
        <w:numPr>
          <w:ilvl w:val="3"/>
          <w:numId w:val="20"/>
        </w:numPr>
        <w:tabs>
          <w:tab w:pos="822" w:val="left" w:leader="none"/>
        </w:tabs>
        <w:spacing w:line="360" w:lineRule="auto" w:before="0" w:after="0"/>
        <w:ind w:left="822" w:right="115" w:hanging="360"/>
        <w:jc w:val="both"/>
        <w:rPr>
          <w:sz w:val="24"/>
        </w:rPr>
      </w:pPr>
      <w:r>
        <w:rPr>
          <w:sz w:val="24"/>
        </w:rPr>
        <w:t>Calidad</w:t>
      </w:r>
      <w:r>
        <w:rPr>
          <w:spacing w:val="-14"/>
          <w:sz w:val="24"/>
        </w:rPr>
        <w:t> </w:t>
      </w:r>
      <w:r>
        <w:rPr>
          <w:sz w:val="24"/>
        </w:rPr>
        <w:t>Regulatoria:</w:t>
      </w:r>
      <w:r>
        <w:rPr>
          <w:spacing w:val="-16"/>
          <w:sz w:val="24"/>
        </w:rPr>
        <w:t> </w:t>
      </w:r>
      <w:r>
        <w:rPr>
          <w:sz w:val="24"/>
        </w:rPr>
        <w:t>mide</w:t>
      </w:r>
      <w:r>
        <w:rPr>
          <w:spacing w:val="-14"/>
          <w:sz w:val="24"/>
        </w:rPr>
        <w:t> </w:t>
      </w:r>
      <w:r>
        <w:rPr>
          <w:sz w:val="24"/>
        </w:rPr>
        <w:t>la</w:t>
      </w:r>
      <w:r>
        <w:rPr>
          <w:spacing w:val="-16"/>
          <w:sz w:val="24"/>
        </w:rPr>
        <w:t> </w:t>
      </w:r>
      <w:r>
        <w:rPr>
          <w:sz w:val="24"/>
        </w:rPr>
        <w:t>capacidad</w:t>
      </w:r>
      <w:r>
        <w:rPr>
          <w:spacing w:val="-16"/>
          <w:sz w:val="24"/>
        </w:rPr>
        <w:t> </w:t>
      </w:r>
      <w:r>
        <w:rPr>
          <w:sz w:val="24"/>
        </w:rPr>
        <w:t>del</w:t>
      </w:r>
      <w:r>
        <w:rPr>
          <w:spacing w:val="-15"/>
          <w:sz w:val="24"/>
        </w:rPr>
        <w:t> </w:t>
      </w:r>
      <w:r>
        <w:rPr>
          <w:sz w:val="24"/>
        </w:rPr>
        <w:t>gobierno</w:t>
      </w:r>
      <w:r>
        <w:rPr>
          <w:spacing w:val="-16"/>
          <w:sz w:val="24"/>
        </w:rPr>
        <w:t> </w:t>
      </w:r>
      <w:r>
        <w:rPr>
          <w:sz w:val="24"/>
        </w:rPr>
        <w:t>para</w:t>
      </w:r>
      <w:r>
        <w:rPr>
          <w:spacing w:val="-16"/>
          <w:sz w:val="24"/>
        </w:rPr>
        <w:t> </w:t>
      </w:r>
      <w:r>
        <w:rPr>
          <w:sz w:val="24"/>
        </w:rPr>
        <w:t>establecer</w:t>
      </w:r>
      <w:r>
        <w:rPr>
          <w:spacing w:val="-17"/>
          <w:sz w:val="24"/>
        </w:rPr>
        <w:t> </w:t>
      </w:r>
      <w:r>
        <w:rPr>
          <w:sz w:val="24"/>
        </w:rPr>
        <w:t>políticas y reglamentaciones acertadas que permitan y promuevan el desarrollo del sector</w:t>
      </w:r>
      <w:r>
        <w:rPr>
          <w:spacing w:val="-5"/>
          <w:sz w:val="24"/>
        </w:rPr>
        <w:t> </w:t>
      </w:r>
      <w:r>
        <w:rPr>
          <w:sz w:val="24"/>
        </w:rPr>
        <w:t>privado.</w:t>
      </w:r>
    </w:p>
    <w:p>
      <w:pPr>
        <w:pStyle w:val="ListParagraph"/>
        <w:numPr>
          <w:ilvl w:val="3"/>
          <w:numId w:val="20"/>
        </w:numPr>
        <w:tabs>
          <w:tab w:pos="822" w:val="left" w:leader="none"/>
        </w:tabs>
        <w:spacing w:line="360" w:lineRule="auto" w:before="5" w:after="0"/>
        <w:ind w:left="822" w:right="123" w:hanging="360"/>
        <w:jc w:val="both"/>
        <w:rPr>
          <w:sz w:val="24"/>
        </w:rPr>
      </w:pPr>
      <w:r>
        <w:rPr>
          <w:sz w:val="24"/>
        </w:rPr>
        <w:t>Estado de Derecho: mide la calidad de la ejecución de contratos, la policía y los tribunales, incluida la independencia del poder judicial y la incidencia del delito.</w:t>
      </w:r>
    </w:p>
    <w:p>
      <w:pPr>
        <w:pStyle w:val="ListParagraph"/>
        <w:numPr>
          <w:ilvl w:val="3"/>
          <w:numId w:val="20"/>
        </w:numPr>
        <w:tabs>
          <w:tab w:pos="822" w:val="left" w:leader="none"/>
        </w:tabs>
        <w:spacing w:line="360" w:lineRule="auto" w:before="2" w:after="0"/>
        <w:ind w:left="822" w:right="116" w:hanging="360"/>
        <w:jc w:val="both"/>
        <w:rPr>
          <w:sz w:val="24"/>
        </w:rPr>
      </w:pPr>
      <w:r>
        <w:rPr>
          <w:sz w:val="24"/>
        </w:rPr>
        <w:t>Control de la Corrupción: mide el abuso del poder público en beneficio privado,</w:t>
      </w:r>
      <w:r>
        <w:rPr>
          <w:spacing w:val="-9"/>
          <w:sz w:val="24"/>
        </w:rPr>
        <w:t> </w:t>
      </w:r>
      <w:r>
        <w:rPr>
          <w:sz w:val="24"/>
        </w:rPr>
        <w:t>con</w:t>
      </w:r>
      <w:r>
        <w:rPr>
          <w:spacing w:val="-11"/>
          <w:sz w:val="24"/>
        </w:rPr>
        <w:t> </w:t>
      </w:r>
      <w:r>
        <w:rPr>
          <w:sz w:val="24"/>
        </w:rPr>
        <w:t>inclusión</w:t>
      </w:r>
      <w:r>
        <w:rPr>
          <w:spacing w:val="-11"/>
          <w:sz w:val="24"/>
        </w:rPr>
        <w:t> </w:t>
      </w:r>
      <w:r>
        <w:rPr>
          <w:sz w:val="24"/>
        </w:rPr>
        <w:t>de</w:t>
      </w:r>
      <w:r>
        <w:rPr>
          <w:spacing w:val="-8"/>
          <w:sz w:val="24"/>
        </w:rPr>
        <w:t> </w:t>
      </w:r>
      <w:r>
        <w:rPr>
          <w:sz w:val="24"/>
        </w:rPr>
        <w:t>la</w:t>
      </w:r>
      <w:r>
        <w:rPr>
          <w:spacing w:val="-11"/>
          <w:sz w:val="24"/>
        </w:rPr>
        <w:t> </w:t>
      </w:r>
      <w:r>
        <w:rPr>
          <w:sz w:val="24"/>
        </w:rPr>
        <w:t>corrupción</w:t>
      </w:r>
      <w:r>
        <w:rPr>
          <w:spacing w:val="-11"/>
          <w:sz w:val="24"/>
        </w:rPr>
        <w:t> </w:t>
      </w:r>
      <w:r>
        <w:rPr>
          <w:sz w:val="24"/>
        </w:rPr>
        <w:t>en</w:t>
      </w:r>
      <w:r>
        <w:rPr>
          <w:spacing w:val="-11"/>
          <w:sz w:val="24"/>
        </w:rPr>
        <w:t> </w:t>
      </w:r>
      <w:r>
        <w:rPr>
          <w:sz w:val="24"/>
        </w:rPr>
        <w:t>pequeña</w:t>
      </w:r>
      <w:r>
        <w:rPr>
          <w:spacing w:val="-8"/>
          <w:sz w:val="24"/>
        </w:rPr>
        <w:t> </w:t>
      </w:r>
      <w:r>
        <w:rPr>
          <w:sz w:val="24"/>
        </w:rPr>
        <w:t>y</w:t>
      </w:r>
      <w:r>
        <w:rPr>
          <w:spacing w:val="-12"/>
          <w:sz w:val="24"/>
        </w:rPr>
        <w:t> </w:t>
      </w:r>
      <w:r>
        <w:rPr>
          <w:sz w:val="24"/>
        </w:rPr>
        <w:t>gran</w:t>
      </w:r>
      <w:r>
        <w:rPr>
          <w:spacing w:val="-8"/>
          <w:sz w:val="24"/>
        </w:rPr>
        <w:t> </w:t>
      </w:r>
      <w:r>
        <w:rPr>
          <w:sz w:val="24"/>
        </w:rPr>
        <w:t>escala</w:t>
      </w:r>
      <w:r>
        <w:rPr>
          <w:spacing w:val="-9"/>
          <w:sz w:val="24"/>
        </w:rPr>
        <w:t> </w:t>
      </w:r>
      <w:r>
        <w:rPr>
          <w:sz w:val="24"/>
        </w:rPr>
        <w:t>(y</w:t>
      </w:r>
      <w:r>
        <w:rPr>
          <w:spacing w:val="-12"/>
          <w:sz w:val="24"/>
        </w:rPr>
        <w:t> </w:t>
      </w:r>
      <w:r>
        <w:rPr>
          <w:sz w:val="24"/>
        </w:rPr>
        <w:t>el</w:t>
      </w:r>
      <w:r>
        <w:rPr>
          <w:spacing w:val="-10"/>
          <w:sz w:val="24"/>
        </w:rPr>
        <w:t> </w:t>
      </w:r>
      <w:r>
        <w:rPr>
          <w:sz w:val="24"/>
        </w:rPr>
        <w:t>control del Estado por minorías</w:t>
      </w:r>
      <w:r>
        <w:rPr>
          <w:spacing w:val="-14"/>
          <w:sz w:val="24"/>
        </w:rPr>
        <w:t> </w:t>
      </w:r>
      <w:r>
        <w:rPr>
          <w:sz w:val="24"/>
        </w:rPr>
        <w:t>privilegiadas).</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22" w:right="116" w:firstLine="427"/>
        <w:jc w:val="both"/>
      </w:pPr>
      <w:r>
        <w:rPr/>
        <w:t>El Banco Mundial señala que este proyecto es uno de sus esfuerzos más significativos en el mundo en materia de gobernabilidad y corrupción,</w:t>
      </w:r>
      <w:r>
        <w:rPr>
          <w:position w:val="8"/>
          <w:sz w:val="16"/>
        </w:rPr>
        <w:t>24</w:t>
      </w:r>
      <w:r>
        <w:rPr/>
        <w:t>considera que esto tiene una enorme repercusión tanto en el ámbito académico como en el diseño e implementación de políticas públicas. El Banco Mundial mencionó que, a través de los indicadores, impulsa y agrega valor al debate sobre la gobernabilidad y el desempeño institucional al demostrar que:</w:t>
      </w:r>
    </w:p>
    <w:p>
      <w:pPr>
        <w:pStyle w:val="BodyText"/>
      </w:pPr>
    </w:p>
    <w:p>
      <w:pPr>
        <w:pStyle w:val="ListParagraph"/>
        <w:numPr>
          <w:ilvl w:val="4"/>
          <w:numId w:val="20"/>
        </w:numPr>
        <w:tabs>
          <w:tab w:pos="842" w:val="left" w:leader="none"/>
        </w:tabs>
        <w:spacing w:line="360" w:lineRule="auto" w:before="142" w:after="0"/>
        <w:ind w:left="842" w:right="124" w:hanging="360"/>
        <w:jc w:val="both"/>
        <w:rPr>
          <w:sz w:val="24"/>
        </w:rPr>
      </w:pPr>
      <w:r>
        <w:rPr>
          <w:sz w:val="24"/>
        </w:rPr>
        <w:t>La gobernabilidad puede ser medida con la precisión suficiente para identificar cambios en el tiempo y hacer recomendaciones útiles para la gestión</w:t>
      </w:r>
      <w:r>
        <w:rPr>
          <w:spacing w:val="-5"/>
          <w:sz w:val="24"/>
        </w:rPr>
        <w:t> </w:t>
      </w:r>
      <w:r>
        <w:rPr>
          <w:sz w:val="24"/>
        </w:rPr>
        <w:t>pública.</w:t>
      </w:r>
    </w:p>
    <w:p>
      <w:pPr>
        <w:pStyle w:val="ListParagraph"/>
        <w:numPr>
          <w:ilvl w:val="4"/>
          <w:numId w:val="20"/>
        </w:numPr>
        <w:tabs>
          <w:tab w:pos="842" w:val="left" w:leader="none"/>
        </w:tabs>
        <w:spacing w:line="360" w:lineRule="auto" w:before="2" w:after="0"/>
        <w:ind w:left="842" w:right="119" w:hanging="360"/>
        <w:jc w:val="both"/>
        <w:rPr>
          <w:sz w:val="24"/>
        </w:rPr>
      </w:pPr>
      <w:r>
        <w:rPr>
          <w:sz w:val="24"/>
        </w:rPr>
        <w:t>Mientras</w:t>
      </w:r>
      <w:r>
        <w:rPr>
          <w:spacing w:val="-8"/>
          <w:sz w:val="24"/>
        </w:rPr>
        <w:t> </w:t>
      </w:r>
      <w:r>
        <w:rPr>
          <w:sz w:val="24"/>
        </w:rPr>
        <w:t>los</w:t>
      </w:r>
      <w:r>
        <w:rPr>
          <w:spacing w:val="-7"/>
          <w:sz w:val="24"/>
        </w:rPr>
        <w:t> </w:t>
      </w:r>
      <w:r>
        <w:rPr>
          <w:sz w:val="24"/>
        </w:rPr>
        <w:t>países</w:t>
      </w:r>
      <w:r>
        <w:rPr>
          <w:spacing w:val="-8"/>
          <w:sz w:val="24"/>
        </w:rPr>
        <w:t> </w:t>
      </w:r>
      <w:r>
        <w:rPr>
          <w:sz w:val="24"/>
        </w:rPr>
        <w:t>avanzados</w:t>
      </w:r>
      <w:r>
        <w:rPr>
          <w:spacing w:val="-8"/>
          <w:sz w:val="24"/>
        </w:rPr>
        <w:t> </w:t>
      </w:r>
      <w:r>
        <w:rPr>
          <w:sz w:val="24"/>
        </w:rPr>
        <w:t>presentan</w:t>
      </w:r>
      <w:r>
        <w:rPr>
          <w:spacing w:val="-5"/>
          <w:sz w:val="24"/>
        </w:rPr>
        <w:t> </w:t>
      </w:r>
      <w:r>
        <w:rPr>
          <w:sz w:val="24"/>
        </w:rPr>
        <w:t>mejores</w:t>
      </w:r>
      <w:r>
        <w:rPr>
          <w:spacing w:val="-8"/>
          <w:sz w:val="24"/>
        </w:rPr>
        <w:t> </w:t>
      </w:r>
      <w:r>
        <w:rPr>
          <w:sz w:val="24"/>
        </w:rPr>
        <w:t>resultados</w:t>
      </w:r>
      <w:r>
        <w:rPr>
          <w:spacing w:val="-10"/>
          <w:sz w:val="24"/>
        </w:rPr>
        <w:t> </w:t>
      </w:r>
      <w:r>
        <w:rPr>
          <w:sz w:val="24"/>
        </w:rPr>
        <w:t>en</w:t>
      </w:r>
      <w:r>
        <w:rPr>
          <w:spacing w:val="-7"/>
          <w:sz w:val="24"/>
        </w:rPr>
        <w:t> </w:t>
      </w:r>
      <w:r>
        <w:rPr>
          <w:sz w:val="24"/>
        </w:rPr>
        <w:t>cuanto</w:t>
      </w:r>
      <w:r>
        <w:rPr>
          <w:spacing w:val="-9"/>
          <w:sz w:val="24"/>
        </w:rPr>
        <w:t> </w:t>
      </w:r>
      <w:r>
        <w:rPr>
          <w:sz w:val="24"/>
        </w:rPr>
        <w:t>a</w:t>
      </w:r>
      <w:r>
        <w:rPr>
          <w:spacing w:val="-9"/>
          <w:sz w:val="24"/>
        </w:rPr>
        <w:t> </w:t>
      </w:r>
      <w:r>
        <w:rPr>
          <w:sz w:val="24"/>
        </w:rPr>
        <w:t>su gobernabilidad,</w:t>
      </w:r>
      <w:r>
        <w:rPr>
          <w:spacing w:val="-10"/>
          <w:sz w:val="24"/>
        </w:rPr>
        <w:t> </w:t>
      </w:r>
      <w:r>
        <w:rPr>
          <w:sz w:val="24"/>
        </w:rPr>
        <w:t>los</w:t>
      </w:r>
      <w:r>
        <w:rPr>
          <w:spacing w:val="-12"/>
          <w:sz w:val="24"/>
        </w:rPr>
        <w:t> </w:t>
      </w:r>
      <w:r>
        <w:rPr>
          <w:sz w:val="24"/>
        </w:rPr>
        <w:t>países</w:t>
      </w:r>
      <w:r>
        <w:rPr>
          <w:spacing w:val="-10"/>
          <w:sz w:val="24"/>
        </w:rPr>
        <w:t> </w:t>
      </w:r>
      <w:r>
        <w:rPr>
          <w:sz w:val="24"/>
        </w:rPr>
        <w:t>emergentes</w:t>
      </w:r>
      <w:r>
        <w:rPr>
          <w:spacing w:val="-13"/>
          <w:sz w:val="24"/>
        </w:rPr>
        <w:t> </w:t>
      </w:r>
      <w:r>
        <w:rPr>
          <w:sz w:val="24"/>
        </w:rPr>
        <w:t>presentan</w:t>
      </w:r>
      <w:r>
        <w:rPr>
          <w:spacing w:val="-9"/>
          <w:sz w:val="24"/>
        </w:rPr>
        <w:t> </w:t>
      </w:r>
      <w:r>
        <w:rPr>
          <w:sz w:val="24"/>
        </w:rPr>
        <w:t>realidades</w:t>
      </w:r>
      <w:r>
        <w:rPr>
          <w:spacing w:val="-13"/>
          <w:sz w:val="24"/>
        </w:rPr>
        <w:t> </w:t>
      </w:r>
      <w:r>
        <w:rPr>
          <w:sz w:val="24"/>
        </w:rPr>
        <w:t>muy</w:t>
      </w:r>
      <w:r>
        <w:rPr>
          <w:spacing w:val="-13"/>
          <w:sz w:val="24"/>
        </w:rPr>
        <w:t> </w:t>
      </w:r>
      <w:r>
        <w:rPr>
          <w:sz w:val="24"/>
        </w:rPr>
        <w:t>dinámicas. Asimismo,</w:t>
      </w:r>
      <w:r>
        <w:rPr>
          <w:spacing w:val="-11"/>
          <w:sz w:val="24"/>
        </w:rPr>
        <w:t> </w:t>
      </w:r>
      <w:r>
        <w:rPr>
          <w:sz w:val="24"/>
        </w:rPr>
        <w:t>los</w:t>
      </w:r>
      <w:r>
        <w:rPr>
          <w:spacing w:val="-12"/>
          <w:sz w:val="24"/>
        </w:rPr>
        <w:t> </w:t>
      </w:r>
      <w:r>
        <w:rPr>
          <w:sz w:val="24"/>
        </w:rPr>
        <w:t>países</w:t>
      </w:r>
      <w:r>
        <w:rPr>
          <w:spacing w:val="-13"/>
          <w:sz w:val="24"/>
        </w:rPr>
        <w:t> </w:t>
      </w:r>
      <w:r>
        <w:rPr>
          <w:sz w:val="24"/>
        </w:rPr>
        <w:t>más</w:t>
      </w:r>
      <w:r>
        <w:rPr>
          <w:spacing w:val="-13"/>
          <w:sz w:val="24"/>
        </w:rPr>
        <w:t> </w:t>
      </w:r>
      <w:r>
        <w:rPr>
          <w:sz w:val="24"/>
        </w:rPr>
        <w:t>avanzados</w:t>
      </w:r>
      <w:r>
        <w:rPr>
          <w:spacing w:val="-11"/>
          <w:sz w:val="24"/>
        </w:rPr>
        <w:t> </w:t>
      </w:r>
      <w:r>
        <w:rPr>
          <w:sz w:val="24"/>
        </w:rPr>
        <w:t>también</w:t>
      </w:r>
      <w:r>
        <w:rPr>
          <w:spacing w:val="-10"/>
          <w:sz w:val="24"/>
        </w:rPr>
        <w:t> </w:t>
      </w:r>
      <w:r>
        <w:rPr>
          <w:sz w:val="24"/>
        </w:rPr>
        <w:t>pueden</w:t>
      </w:r>
      <w:r>
        <w:rPr>
          <w:spacing w:val="-12"/>
          <w:sz w:val="24"/>
        </w:rPr>
        <w:t> </w:t>
      </w:r>
      <w:r>
        <w:rPr>
          <w:sz w:val="24"/>
        </w:rPr>
        <w:t>experimentar</w:t>
      </w:r>
      <w:r>
        <w:rPr>
          <w:spacing w:val="-13"/>
          <w:sz w:val="24"/>
        </w:rPr>
        <w:t> </w:t>
      </w:r>
      <w:r>
        <w:rPr>
          <w:sz w:val="24"/>
        </w:rPr>
        <w:t>mejoras y retrocesos en materia de gobernabilidad en función de las políticas que aplican, sobre todo frente a los nuevos y cambiantes desafíos que caracterizan a la sociedad</w:t>
      </w:r>
      <w:r>
        <w:rPr>
          <w:spacing w:val="-12"/>
          <w:sz w:val="24"/>
        </w:rPr>
        <w:t> </w:t>
      </w:r>
      <w:r>
        <w:rPr>
          <w:sz w:val="24"/>
        </w:rPr>
        <w:t>mundial.</w:t>
      </w:r>
    </w:p>
    <w:p>
      <w:pPr>
        <w:pStyle w:val="ListParagraph"/>
        <w:numPr>
          <w:ilvl w:val="4"/>
          <w:numId w:val="20"/>
        </w:numPr>
        <w:tabs>
          <w:tab w:pos="842" w:val="left" w:leader="none"/>
        </w:tabs>
        <w:spacing w:line="360" w:lineRule="auto" w:before="2" w:after="0"/>
        <w:ind w:left="842" w:right="125" w:hanging="360"/>
        <w:jc w:val="both"/>
        <w:rPr>
          <w:sz w:val="24"/>
        </w:rPr>
      </w:pPr>
      <w:r>
        <w:rPr>
          <w:sz w:val="24"/>
        </w:rPr>
        <w:t>El progreso significativo en términos de combate de la corrupción y las mejoras en la gobernabilidad pueden ocurrir en el corto plazo (menos de un año).</w:t>
      </w:r>
    </w:p>
    <w:p>
      <w:pPr>
        <w:pStyle w:val="ListParagraph"/>
        <w:numPr>
          <w:ilvl w:val="4"/>
          <w:numId w:val="20"/>
        </w:numPr>
        <w:tabs>
          <w:tab w:pos="842" w:val="left" w:leader="none"/>
        </w:tabs>
        <w:spacing w:line="360" w:lineRule="auto" w:before="5" w:after="0"/>
        <w:ind w:left="842" w:right="118" w:hanging="360"/>
        <w:jc w:val="both"/>
        <w:rPr>
          <w:sz w:val="24"/>
        </w:rPr>
      </w:pPr>
      <w:r>
        <w:rPr>
          <w:sz w:val="24"/>
        </w:rPr>
        <w:t>Las debilidades comparativas en términos de gobernabilidad pueden coincidir con periodos de crecimiento económico, pero en el largo plazo el desarrollo equitativo y sustentable (desarrollo humano) está altamente correlacionado con las sociedades democráticas estables, con niveles altos de gobernabilidad, el respeto de las libertades y los derechos</w:t>
      </w:r>
      <w:r>
        <w:rPr>
          <w:spacing w:val="-26"/>
          <w:sz w:val="24"/>
        </w:rPr>
        <w:t> </w:t>
      </w:r>
      <w:r>
        <w:rPr>
          <w:sz w:val="24"/>
        </w:rPr>
        <w:t>humanos.</w:t>
      </w:r>
    </w:p>
    <w:p>
      <w:pPr>
        <w:pStyle w:val="BodyText"/>
      </w:pPr>
    </w:p>
    <w:p>
      <w:pPr>
        <w:pStyle w:val="BodyText"/>
        <w:spacing w:line="360" w:lineRule="auto" w:before="142"/>
        <w:ind w:left="122" w:right="124" w:firstLine="427"/>
        <w:jc w:val="both"/>
      </w:pPr>
      <w:r>
        <w:rPr/>
        <w:t>Mediante el proyecto de Indicadores Mundiales de Gobernabilidad, el Banco Mundial también intentó mostrar que en el largo plazo (más de tres años) la alta calidad  institucional  permite  incrementar  el  ingreso  per  cápita  y  promover   el</w:t>
      </w:r>
    </w:p>
    <w:p>
      <w:pPr>
        <w:pStyle w:val="BodyText"/>
        <w:rPr>
          <w:sz w:val="20"/>
        </w:rPr>
      </w:pPr>
    </w:p>
    <w:p>
      <w:pPr>
        <w:pStyle w:val="BodyText"/>
        <w:spacing w:before="9"/>
        <w:rPr>
          <w:sz w:val="21"/>
        </w:rPr>
      </w:pPr>
      <w:r>
        <w:rPr/>
        <w:pict>
          <v:line style="position:absolute;mso-position-horizontal-relative:page;mso-position-vertical-relative:paragraph;z-index:2392;mso-wrap-distance-left:0;mso-wrap-distance-right:0" from="85.103996pt,14.894894pt" to="229.123996pt,14.894894pt" stroked="true" strokeweight=".71997pt" strokecolor="#000000">
            <w10:wrap type="topAndBottom"/>
          </v:line>
        </w:pict>
      </w:r>
    </w:p>
    <w:p>
      <w:pPr>
        <w:spacing w:line="244" w:lineRule="auto" w:before="62"/>
        <w:ind w:left="122" w:right="114" w:firstLine="0"/>
        <w:jc w:val="both"/>
        <w:rPr>
          <w:sz w:val="16"/>
        </w:rPr>
      </w:pPr>
      <w:r>
        <w:rPr>
          <w:rFonts w:ascii="Times New Roman" w:hAnsi="Times New Roman"/>
          <w:position w:val="7"/>
          <w:sz w:val="13"/>
        </w:rPr>
        <w:t>24</w:t>
      </w:r>
      <w:r>
        <w:rPr>
          <w:sz w:val="16"/>
        </w:rPr>
        <w:t>En el documento </w:t>
      </w:r>
      <w:r>
        <w:rPr>
          <w:i/>
          <w:sz w:val="16"/>
        </w:rPr>
        <w:t>Features and Functions of Supreme Audit Institution, </w:t>
      </w:r>
      <w:r>
        <w:rPr>
          <w:sz w:val="16"/>
        </w:rPr>
        <w:t>el Banco Mundial consideró que las instituciones de fiscalización superior pueden contribuir al “buen gobierno” si éstas se orientan a su función básica de combatir con eficiencia la corrupción. Disponible en: </w:t>
      </w:r>
      <w:hyperlink r:id="rId48">
        <w:r>
          <w:rPr>
            <w:color w:val="0000FF"/>
            <w:sz w:val="16"/>
            <w:u w:val="single" w:color="0000FF"/>
          </w:rPr>
          <w:t>http://www1.worldbank.org/prem/PREMNotes/premnote59.pdf </w:t>
        </w:r>
      </w:hyperlink>
      <w:r>
        <w:rPr>
          <w:sz w:val="16"/>
        </w:rPr>
        <w:t>[Fecha de consulta: 22 de mayo, 2015]</w:t>
      </w:r>
    </w:p>
    <w:p>
      <w:pPr>
        <w:spacing w:after="0" w:line="244" w:lineRule="auto"/>
        <w:jc w:val="both"/>
        <w:rPr>
          <w:sz w:val="16"/>
        </w:rPr>
        <w:sectPr>
          <w:footerReference w:type="even" r:id="rId46"/>
          <w:footerReference w:type="default" r:id="rId47"/>
          <w:pgSz w:w="12240" w:h="15840"/>
          <w:pgMar w:footer="1003" w:header="0" w:top="1360" w:bottom="1200" w:left="1580" w:right="1580"/>
        </w:sectPr>
      </w:pPr>
    </w:p>
    <w:p>
      <w:pPr>
        <w:pStyle w:val="BodyText"/>
        <w:spacing w:line="360" w:lineRule="auto" w:before="54"/>
        <w:ind w:left="122" w:right="123"/>
        <w:jc w:val="both"/>
      </w:pPr>
      <w:r>
        <w:rPr/>
        <w:t>crecimiento económico de los países avanzados y emergentes, independientemente de las tradiciones culturales, religiosas y otros factores demográficos y geográficos.</w:t>
      </w:r>
    </w:p>
    <w:p>
      <w:pPr>
        <w:pStyle w:val="BodyText"/>
        <w:spacing w:line="360" w:lineRule="auto" w:before="5"/>
        <w:ind w:left="122" w:right="122" w:firstLine="427"/>
        <w:jc w:val="both"/>
      </w:pPr>
      <w:r>
        <w:rPr/>
        <w:t>El Banco Mundial comentó que los datos cuantitativos, además de comprobar la correlación entre los indicadores, muestran también la relación causal entre un “mejor gobierno” y los indicadores, debido a que la distancia es de sólo una desviación</w:t>
      </w:r>
      <w:r>
        <w:rPr>
          <w:spacing w:val="-8"/>
        </w:rPr>
        <w:t> </w:t>
      </w:r>
      <w:r>
        <w:rPr/>
        <w:t>estándar</w:t>
      </w:r>
      <w:r>
        <w:rPr>
          <w:spacing w:val="-10"/>
        </w:rPr>
        <w:t> </w:t>
      </w:r>
      <w:r>
        <w:rPr/>
        <w:t>entre</w:t>
      </w:r>
      <w:r>
        <w:rPr>
          <w:spacing w:val="-9"/>
        </w:rPr>
        <w:t> </w:t>
      </w:r>
      <w:r>
        <w:rPr/>
        <w:t>ellos,</w:t>
      </w:r>
      <w:r>
        <w:rPr>
          <w:spacing w:val="-9"/>
        </w:rPr>
        <w:t> </w:t>
      </w:r>
      <w:r>
        <w:rPr/>
        <w:t>por</w:t>
      </w:r>
      <w:r>
        <w:rPr>
          <w:spacing w:val="-10"/>
        </w:rPr>
        <w:t> </w:t>
      </w:r>
      <w:r>
        <w:rPr/>
        <w:t>lo</w:t>
      </w:r>
      <w:r>
        <w:rPr>
          <w:spacing w:val="-9"/>
        </w:rPr>
        <w:t> </w:t>
      </w:r>
      <w:r>
        <w:rPr/>
        <w:t>que</w:t>
      </w:r>
      <w:r>
        <w:rPr>
          <w:spacing w:val="-8"/>
        </w:rPr>
        <w:t> </w:t>
      </w:r>
      <w:r>
        <w:rPr/>
        <w:t>su</w:t>
      </w:r>
      <w:r>
        <w:rPr>
          <w:spacing w:val="-11"/>
        </w:rPr>
        <w:t> </w:t>
      </w:r>
      <w:r>
        <w:rPr/>
        <w:t>relación</w:t>
      </w:r>
      <w:r>
        <w:rPr>
          <w:spacing w:val="-8"/>
        </w:rPr>
        <w:t> </w:t>
      </w:r>
      <w:r>
        <w:rPr/>
        <w:t>causal</w:t>
      </w:r>
      <w:r>
        <w:rPr>
          <w:spacing w:val="-10"/>
        </w:rPr>
        <w:t> </w:t>
      </w:r>
      <w:r>
        <w:rPr/>
        <w:t>sería</w:t>
      </w:r>
      <w:r>
        <w:rPr>
          <w:spacing w:val="-8"/>
        </w:rPr>
        <w:t> </w:t>
      </w:r>
      <w:r>
        <w:rPr/>
        <w:t>representada</w:t>
      </w:r>
      <w:r>
        <w:rPr>
          <w:spacing w:val="-8"/>
        </w:rPr>
        <w:t> </w:t>
      </w:r>
      <w:r>
        <w:rPr/>
        <w:t>de 1 a 2 en casos de indicadores relacionados con el desarrollo humano y de 1 a 0.5 en aquellos que reducen la</w:t>
      </w:r>
      <w:r>
        <w:rPr>
          <w:spacing w:val="-15"/>
        </w:rPr>
        <w:t> </w:t>
      </w:r>
      <w:r>
        <w:rPr/>
        <w:t>gobernabilidad.</w:t>
      </w:r>
    </w:p>
    <w:p>
      <w:pPr>
        <w:pStyle w:val="BodyText"/>
        <w:spacing w:line="360" w:lineRule="auto" w:before="5"/>
        <w:ind w:left="122" w:right="117" w:firstLine="427"/>
        <w:jc w:val="both"/>
      </w:pPr>
      <w:r>
        <w:rPr/>
        <w:t>El organismo mencionó que lo anterior le permite emitir recomendaciones de política económica más específicas para los países, y realizar estudios institucionales específicos para estudios más profundos (Kaufmann, 2000).</w:t>
      </w:r>
    </w:p>
    <w:p>
      <w:pPr>
        <w:pStyle w:val="BodyText"/>
      </w:pPr>
    </w:p>
    <w:p>
      <w:pPr>
        <w:pStyle w:val="BodyText"/>
        <w:spacing w:before="7"/>
        <w:rPr>
          <w:sz w:val="29"/>
        </w:rPr>
      </w:pPr>
    </w:p>
    <w:p>
      <w:pPr>
        <w:pStyle w:val="Heading3"/>
        <w:numPr>
          <w:ilvl w:val="2"/>
          <w:numId w:val="20"/>
        </w:numPr>
        <w:tabs>
          <w:tab w:pos="724" w:val="left" w:leader="none"/>
        </w:tabs>
        <w:spacing w:line="360" w:lineRule="auto" w:before="0" w:after="0"/>
        <w:ind w:left="122" w:right="1531" w:firstLine="0"/>
        <w:jc w:val="left"/>
      </w:pPr>
      <w:bookmarkStart w:name="_bookmark15" w:id="22"/>
      <w:bookmarkEnd w:id="22"/>
      <w:r>
        <w:rPr>
          <w:b w:val="0"/>
        </w:rPr>
      </w:r>
      <w:bookmarkStart w:name="_bookmark15" w:id="23"/>
      <w:bookmarkEnd w:id="23"/>
      <w:r>
        <w:rPr/>
        <w:t>La</w:t>
      </w:r>
      <w:r>
        <w:rPr/>
        <w:t> implementación de la gobernanza en el Fondo</w:t>
      </w:r>
      <w:r>
        <w:rPr>
          <w:spacing w:val="-17"/>
        </w:rPr>
        <w:t> </w:t>
      </w:r>
      <w:r>
        <w:rPr/>
        <w:t>Monetario Internacional</w:t>
      </w:r>
    </w:p>
    <w:p>
      <w:pPr>
        <w:pStyle w:val="BodyText"/>
        <w:spacing w:line="360" w:lineRule="auto"/>
        <w:ind w:left="122" w:right="114"/>
        <w:jc w:val="both"/>
      </w:pPr>
      <w:r>
        <w:rPr/>
        <w:t>La Oficina de Evaluación Independiente</w:t>
      </w:r>
      <w:r>
        <w:rPr>
          <w:position w:val="8"/>
          <w:sz w:val="16"/>
        </w:rPr>
        <w:t>25 </w:t>
      </w:r>
      <w:r>
        <w:rPr/>
        <w:t>del Fondo Monetario Internacional (FMI) en su Informe “Evaluación de la gobernanza del FMI”, realizó un estudio de </w:t>
      </w:r>
      <w:r>
        <w:rPr>
          <w:spacing w:val="-3"/>
        </w:rPr>
        <w:t>su </w:t>
      </w:r>
      <w:r>
        <w:rPr/>
        <w:t>gobernanza desde una perspectiva gerencial, incluyendo además las consideraciones de los países estudiados, con la finalidad de recuperar la legitimidad</w:t>
      </w:r>
      <w:r>
        <w:rPr>
          <w:spacing w:val="-6"/>
        </w:rPr>
        <w:t> </w:t>
      </w:r>
      <w:r>
        <w:rPr/>
        <w:t>y</w:t>
      </w:r>
      <w:r>
        <w:rPr>
          <w:spacing w:val="-9"/>
        </w:rPr>
        <w:t> </w:t>
      </w:r>
      <w:r>
        <w:rPr/>
        <w:t>credibilidad</w:t>
      </w:r>
      <w:r>
        <w:rPr>
          <w:spacing w:val="-6"/>
        </w:rPr>
        <w:t> </w:t>
      </w:r>
      <w:r>
        <w:rPr/>
        <w:t>que</w:t>
      </w:r>
      <w:r>
        <w:rPr>
          <w:spacing w:val="-6"/>
        </w:rPr>
        <w:t> </w:t>
      </w:r>
      <w:r>
        <w:rPr/>
        <w:t>estuvo</w:t>
      </w:r>
      <w:r>
        <w:rPr>
          <w:spacing w:val="-6"/>
        </w:rPr>
        <w:t> </w:t>
      </w:r>
      <w:r>
        <w:rPr/>
        <w:t>perdiendo</w:t>
      </w:r>
      <w:r>
        <w:rPr>
          <w:spacing w:val="-6"/>
        </w:rPr>
        <w:t> </w:t>
      </w:r>
      <w:r>
        <w:rPr/>
        <w:t>en</w:t>
      </w:r>
      <w:r>
        <w:rPr>
          <w:spacing w:val="-6"/>
        </w:rPr>
        <w:t> </w:t>
      </w:r>
      <w:r>
        <w:rPr/>
        <w:t>las</w:t>
      </w:r>
      <w:r>
        <w:rPr>
          <w:spacing w:val="-9"/>
        </w:rPr>
        <w:t> </w:t>
      </w:r>
      <w:r>
        <w:rPr/>
        <w:t>décadas</w:t>
      </w:r>
      <w:r>
        <w:rPr>
          <w:spacing w:val="-7"/>
        </w:rPr>
        <w:t> </w:t>
      </w:r>
      <w:r>
        <w:rPr/>
        <w:t>de</w:t>
      </w:r>
      <w:r>
        <w:rPr>
          <w:spacing w:val="-6"/>
        </w:rPr>
        <w:t> </w:t>
      </w:r>
      <w:r>
        <w:rPr/>
        <w:t>los</w:t>
      </w:r>
      <w:r>
        <w:rPr>
          <w:spacing w:val="-7"/>
        </w:rPr>
        <w:t> </w:t>
      </w:r>
      <w:r>
        <w:rPr/>
        <w:t>años</w:t>
      </w:r>
      <w:r>
        <w:rPr>
          <w:spacing w:val="-9"/>
        </w:rPr>
        <w:t> </w:t>
      </w:r>
      <w:r>
        <w:rPr/>
        <w:t>ochenta y</w:t>
      </w:r>
      <w:r>
        <w:rPr>
          <w:spacing w:val="-5"/>
        </w:rPr>
        <w:t> </w:t>
      </w:r>
      <w:r>
        <w:rPr/>
        <w:t>noventa.</w:t>
      </w:r>
    </w:p>
    <w:p>
      <w:pPr>
        <w:pStyle w:val="BodyText"/>
        <w:spacing w:line="360" w:lineRule="auto" w:before="5"/>
        <w:ind w:left="122" w:right="117" w:firstLine="427"/>
        <w:jc w:val="both"/>
      </w:pPr>
      <w:r>
        <w:rPr/>
        <w:t>El</w:t>
      </w:r>
      <w:r>
        <w:rPr>
          <w:spacing w:val="-15"/>
        </w:rPr>
        <w:t> </w:t>
      </w:r>
      <w:r>
        <w:rPr/>
        <w:t>FMI</w:t>
      </w:r>
      <w:r>
        <w:rPr>
          <w:spacing w:val="-14"/>
        </w:rPr>
        <w:t> </w:t>
      </w:r>
      <w:r>
        <w:rPr/>
        <w:t>consideró</w:t>
      </w:r>
      <w:r>
        <w:rPr>
          <w:spacing w:val="-17"/>
        </w:rPr>
        <w:t> </w:t>
      </w:r>
      <w:r>
        <w:rPr/>
        <w:t>a</w:t>
      </w:r>
      <w:r>
        <w:rPr>
          <w:spacing w:val="-16"/>
        </w:rPr>
        <w:t> </w:t>
      </w:r>
      <w:r>
        <w:rPr/>
        <w:t>la</w:t>
      </w:r>
      <w:r>
        <w:rPr>
          <w:spacing w:val="-14"/>
        </w:rPr>
        <w:t> </w:t>
      </w:r>
      <w:r>
        <w:rPr/>
        <w:t>gobernabilidad</w:t>
      </w:r>
      <w:r>
        <w:rPr>
          <w:spacing w:val="-16"/>
        </w:rPr>
        <w:t> </w:t>
      </w:r>
      <w:r>
        <w:rPr/>
        <w:t>(o</w:t>
      </w:r>
      <w:r>
        <w:rPr>
          <w:spacing w:val="-17"/>
        </w:rPr>
        <w:t> </w:t>
      </w:r>
      <w:r>
        <w:rPr/>
        <w:t>gobierno</w:t>
      </w:r>
      <w:r>
        <w:rPr>
          <w:spacing w:val="-14"/>
        </w:rPr>
        <w:t> </w:t>
      </w:r>
      <w:r>
        <w:rPr/>
        <w:t>corporativo)</w:t>
      </w:r>
      <w:r>
        <w:rPr>
          <w:spacing w:val="-11"/>
        </w:rPr>
        <w:t> </w:t>
      </w:r>
      <w:r>
        <w:rPr/>
        <w:t>como</w:t>
      </w:r>
      <w:r>
        <w:rPr>
          <w:spacing w:val="-16"/>
        </w:rPr>
        <w:t> </w:t>
      </w:r>
      <w:r>
        <w:rPr/>
        <w:t>la</w:t>
      </w:r>
      <w:r>
        <w:rPr>
          <w:spacing w:val="-14"/>
        </w:rPr>
        <w:t> </w:t>
      </w:r>
      <w:r>
        <w:rPr/>
        <w:t>estructura institucional y las relaciones formales e informales que rigen las actividades y los procesos de decisión. El FMI mencionó que una buena gobernanza interna es esencial para la legitimidad del FMI como organismo promotor de la estabilidad financiera</w:t>
      </w:r>
      <w:r>
        <w:rPr>
          <w:spacing w:val="-6"/>
        </w:rPr>
        <w:t> </w:t>
      </w:r>
      <w:r>
        <w:rPr/>
        <w:t>mundial.</w:t>
      </w:r>
    </w:p>
    <w:p>
      <w:pPr>
        <w:pStyle w:val="BodyText"/>
        <w:spacing w:line="360" w:lineRule="auto" w:before="2"/>
        <w:ind w:left="122" w:right="115" w:firstLine="427"/>
        <w:jc w:val="both"/>
      </w:pPr>
      <w:r>
        <w:rPr/>
        <w:t>El informe “El gobierno corporativo del FMI: Una evaluación”, del FMI evaluó el grado de eficacia y eficiencia del gobierno corporativo del Fondo y planteó la interrogante si la rendición de cuentas es suficiente, y si las partes interesadas</w:t>
      </w:r>
    </w:p>
    <w:p>
      <w:pPr>
        <w:pStyle w:val="BodyText"/>
        <w:rPr>
          <w:sz w:val="20"/>
        </w:rPr>
      </w:pPr>
    </w:p>
    <w:p>
      <w:pPr>
        <w:pStyle w:val="BodyText"/>
        <w:spacing w:before="7"/>
        <w:rPr>
          <w:sz w:val="16"/>
        </w:rPr>
      </w:pPr>
      <w:r>
        <w:rPr/>
        <w:pict>
          <v:line style="position:absolute;mso-position-horizontal-relative:page;mso-position-vertical-relative:paragraph;z-index:2416;mso-wrap-distance-left:0;mso-wrap-distance-right:0" from="85.103996pt,11.890865pt" to="229.123996pt,11.890865pt" stroked="true" strokeweight=".72003pt" strokecolor="#000000">
            <w10:wrap type="topAndBottom"/>
          </v:line>
        </w:pict>
      </w:r>
    </w:p>
    <w:p>
      <w:pPr>
        <w:spacing w:before="62"/>
        <w:ind w:left="122" w:right="50" w:firstLine="0"/>
        <w:jc w:val="left"/>
        <w:rPr>
          <w:sz w:val="16"/>
        </w:rPr>
      </w:pPr>
      <w:r>
        <w:rPr>
          <w:rFonts w:ascii="Times New Roman"/>
          <w:position w:val="7"/>
          <w:sz w:val="13"/>
        </w:rPr>
        <w:t>25</w:t>
      </w:r>
      <w:r>
        <w:rPr>
          <w:i/>
          <w:sz w:val="16"/>
        </w:rPr>
        <w:t>Independent Evaluation Office of the International Monetary Fund (IMF)</w:t>
      </w:r>
      <w:r>
        <w:rPr>
          <w:sz w:val="16"/>
        </w:rPr>
        <w:t>.</w:t>
      </w:r>
    </w:p>
    <w:p>
      <w:pPr>
        <w:spacing w:after="0"/>
        <w:jc w:val="left"/>
        <w:rPr>
          <w:sz w:val="16"/>
        </w:rPr>
        <w:sectPr>
          <w:pgSz w:w="12240" w:h="15840"/>
          <w:pgMar w:header="0" w:footer="1003" w:top="1360" w:bottom="1200" w:left="1580" w:right="1580"/>
        </w:sectPr>
      </w:pPr>
    </w:p>
    <w:p>
      <w:pPr>
        <w:pStyle w:val="BodyText"/>
        <w:spacing w:line="360" w:lineRule="auto" w:before="54"/>
        <w:ind w:left="122" w:right="116"/>
        <w:jc w:val="both"/>
      </w:pPr>
      <w:r>
        <w:rPr/>
        <w:t>tienen a su disposición canales para que sus opiniones reciban atención. Para</w:t>
      </w:r>
      <w:r>
        <w:rPr>
          <w:spacing w:val="-30"/>
        </w:rPr>
        <w:t> </w:t>
      </w:r>
      <w:r>
        <w:rPr/>
        <w:t>ello, el FMI se orientó a realizar un cambio institucional y a mejorar la calidad de la gobernanza (eficiencia, eficacia, rendición de cuentas y</w:t>
      </w:r>
      <w:r>
        <w:rPr>
          <w:spacing w:val="-22"/>
        </w:rPr>
        <w:t> </w:t>
      </w:r>
      <w:r>
        <w:rPr/>
        <w:t>participación).</w:t>
      </w:r>
    </w:p>
    <w:p>
      <w:pPr>
        <w:pStyle w:val="BodyText"/>
        <w:spacing w:line="360" w:lineRule="auto" w:before="5"/>
        <w:ind w:left="122" w:right="116" w:firstLine="427"/>
        <w:jc w:val="both"/>
      </w:pPr>
      <w:r>
        <w:rPr/>
        <w:t>El</w:t>
      </w:r>
      <w:r>
        <w:rPr>
          <w:spacing w:val="-15"/>
        </w:rPr>
        <w:t> </w:t>
      </w:r>
      <w:r>
        <w:rPr/>
        <w:t>Fondo</w:t>
      </w:r>
      <w:r>
        <w:rPr>
          <w:spacing w:val="-14"/>
        </w:rPr>
        <w:t> </w:t>
      </w:r>
      <w:r>
        <w:rPr/>
        <w:t>identificó</w:t>
      </w:r>
      <w:r>
        <w:rPr>
          <w:spacing w:val="-14"/>
        </w:rPr>
        <w:t> </w:t>
      </w:r>
      <w:r>
        <w:rPr/>
        <w:t>la</w:t>
      </w:r>
      <w:r>
        <w:rPr>
          <w:spacing w:val="-14"/>
        </w:rPr>
        <w:t> </w:t>
      </w:r>
      <w:r>
        <w:rPr/>
        <w:t>calidad</w:t>
      </w:r>
      <w:r>
        <w:rPr>
          <w:spacing w:val="-17"/>
        </w:rPr>
        <w:t> </w:t>
      </w:r>
      <w:r>
        <w:rPr/>
        <w:t>de</w:t>
      </w:r>
      <w:r>
        <w:rPr>
          <w:spacing w:val="-14"/>
        </w:rPr>
        <w:t> </w:t>
      </w:r>
      <w:r>
        <w:rPr/>
        <w:t>la</w:t>
      </w:r>
      <w:r>
        <w:rPr>
          <w:spacing w:val="-14"/>
        </w:rPr>
        <w:t> </w:t>
      </w:r>
      <w:r>
        <w:rPr/>
        <w:t>gobernanza</w:t>
      </w:r>
      <w:r>
        <w:rPr>
          <w:spacing w:val="-14"/>
        </w:rPr>
        <w:t> </w:t>
      </w:r>
      <w:r>
        <w:rPr/>
        <w:t>como</w:t>
      </w:r>
      <w:r>
        <w:rPr>
          <w:spacing w:val="-14"/>
        </w:rPr>
        <w:t> </w:t>
      </w:r>
      <w:r>
        <w:rPr/>
        <w:t>el</w:t>
      </w:r>
      <w:r>
        <w:rPr>
          <w:spacing w:val="-18"/>
        </w:rPr>
        <w:t> </w:t>
      </w:r>
      <w:r>
        <w:rPr/>
        <w:t>elemento</w:t>
      </w:r>
      <w:r>
        <w:rPr>
          <w:spacing w:val="-14"/>
        </w:rPr>
        <w:t> </w:t>
      </w:r>
      <w:r>
        <w:rPr/>
        <w:t>que</w:t>
      </w:r>
      <w:r>
        <w:rPr>
          <w:spacing w:val="-14"/>
        </w:rPr>
        <w:t> </w:t>
      </w:r>
      <w:r>
        <w:rPr/>
        <w:t>constituye el</w:t>
      </w:r>
      <w:r>
        <w:rPr>
          <w:spacing w:val="-7"/>
        </w:rPr>
        <w:t> </w:t>
      </w:r>
      <w:r>
        <w:rPr/>
        <w:t>marco</w:t>
      </w:r>
      <w:r>
        <w:rPr>
          <w:spacing w:val="-8"/>
        </w:rPr>
        <w:t> </w:t>
      </w:r>
      <w:r>
        <w:rPr/>
        <w:t>conceptual</w:t>
      </w:r>
      <w:r>
        <w:rPr>
          <w:spacing w:val="-7"/>
        </w:rPr>
        <w:t> </w:t>
      </w:r>
      <w:r>
        <w:rPr/>
        <w:t>de</w:t>
      </w:r>
      <w:r>
        <w:rPr>
          <w:spacing w:val="-6"/>
        </w:rPr>
        <w:t> </w:t>
      </w:r>
      <w:r>
        <w:rPr/>
        <w:t>la</w:t>
      </w:r>
      <w:r>
        <w:rPr>
          <w:spacing w:val="-6"/>
        </w:rPr>
        <w:t> </w:t>
      </w:r>
      <w:r>
        <w:rPr/>
        <w:t>revisión</w:t>
      </w:r>
      <w:r>
        <w:rPr>
          <w:spacing w:val="-6"/>
        </w:rPr>
        <w:t> </w:t>
      </w:r>
      <w:r>
        <w:rPr/>
        <w:t>del</w:t>
      </w:r>
      <w:r>
        <w:rPr>
          <w:spacing w:val="-7"/>
        </w:rPr>
        <w:t> </w:t>
      </w:r>
      <w:r>
        <w:rPr/>
        <w:t>sistema</w:t>
      </w:r>
      <w:r>
        <w:rPr>
          <w:spacing w:val="-6"/>
        </w:rPr>
        <w:t> </w:t>
      </w:r>
      <w:r>
        <w:rPr/>
        <w:t>de</w:t>
      </w:r>
      <w:r>
        <w:rPr>
          <w:spacing w:val="-6"/>
        </w:rPr>
        <w:t> </w:t>
      </w:r>
      <w:r>
        <w:rPr/>
        <w:t>gobierno</w:t>
      </w:r>
      <w:r>
        <w:rPr>
          <w:spacing w:val="-6"/>
        </w:rPr>
        <w:t> </w:t>
      </w:r>
      <w:r>
        <w:rPr/>
        <w:t>corporativo</w:t>
      </w:r>
      <w:r>
        <w:rPr>
          <w:spacing w:val="-6"/>
        </w:rPr>
        <w:t> </w:t>
      </w:r>
      <w:r>
        <w:rPr/>
        <w:t>del</w:t>
      </w:r>
      <w:r>
        <w:rPr>
          <w:spacing w:val="-7"/>
        </w:rPr>
        <w:t> </w:t>
      </w:r>
      <w:r>
        <w:rPr/>
        <w:t>FMI,</w:t>
      </w:r>
      <w:r>
        <w:rPr>
          <w:spacing w:val="-6"/>
        </w:rPr>
        <w:t> </w:t>
      </w:r>
      <w:r>
        <w:rPr/>
        <w:t>que consiste en trabajar con eficacia y eficiencia, promover la rendición de cuentas y brindarles oportunidad de participación a los países afiliados en la toma de decisiones.</w:t>
      </w:r>
    </w:p>
    <w:p>
      <w:pPr>
        <w:pStyle w:val="BodyText"/>
        <w:spacing w:line="360" w:lineRule="auto" w:before="2"/>
        <w:ind w:left="122" w:right="119" w:firstLine="427"/>
        <w:jc w:val="both"/>
      </w:pPr>
      <w:r>
        <w:rPr/>
        <w:t>El FMI consideró apremiante mantener las fortalezas y atender las debilidades y consideró que la eficacia ha sido el aspecto más fuerte de la gobernanza del Fondo, mientras que la rendición de cuentas y la participación son las más débiles, y diagnosticó que, si no se los corrige, probablemente erosionen la eficacia del organismo en el mediano plazo.</w:t>
      </w:r>
    </w:p>
    <w:p>
      <w:pPr>
        <w:pStyle w:val="BodyText"/>
      </w:pPr>
    </w:p>
    <w:p>
      <w:pPr>
        <w:pStyle w:val="BodyText"/>
        <w:spacing w:line="360" w:lineRule="auto" w:before="142"/>
        <w:ind w:left="122" w:right="117" w:firstLine="427"/>
        <w:jc w:val="both"/>
      </w:pPr>
      <w:r>
        <w:rPr/>
        <w:t>El informe de evaluación sugirió varias formas de atender las áreas con más necesidades de reforma, lo que consideró que permitirá desempeñar un papel</w:t>
      </w:r>
      <w:r>
        <w:rPr>
          <w:spacing w:val="-40"/>
        </w:rPr>
        <w:t> </w:t>
      </w:r>
      <w:r>
        <w:rPr/>
        <w:t>más eficaz</w:t>
      </w:r>
      <w:r>
        <w:rPr>
          <w:spacing w:val="-9"/>
        </w:rPr>
        <w:t> </w:t>
      </w:r>
      <w:r>
        <w:rPr/>
        <w:t>del</w:t>
      </w:r>
      <w:r>
        <w:rPr>
          <w:spacing w:val="-7"/>
        </w:rPr>
        <w:t> </w:t>
      </w:r>
      <w:r>
        <w:rPr/>
        <w:t>Fondo</w:t>
      </w:r>
      <w:r>
        <w:rPr>
          <w:spacing w:val="-8"/>
        </w:rPr>
        <w:t> </w:t>
      </w:r>
      <w:r>
        <w:rPr/>
        <w:t>en</w:t>
      </w:r>
      <w:r>
        <w:rPr>
          <w:spacing w:val="-8"/>
        </w:rPr>
        <w:t> </w:t>
      </w:r>
      <w:r>
        <w:rPr/>
        <w:t>la</w:t>
      </w:r>
      <w:r>
        <w:rPr>
          <w:spacing w:val="-9"/>
        </w:rPr>
        <w:t> </w:t>
      </w:r>
      <w:r>
        <w:rPr/>
        <w:t>formulación</w:t>
      </w:r>
      <w:r>
        <w:rPr>
          <w:spacing w:val="-8"/>
        </w:rPr>
        <w:t> </w:t>
      </w:r>
      <w:r>
        <w:rPr/>
        <w:t>de</w:t>
      </w:r>
      <w:r>
        <w:rPr>
          <w:spacing w:val="-8"/>
        </w:rPr>
        <w:t> </w:t>
      </w:r>
      <w:r>
        <w:rPr/>
        <w:t>estrategias</w:t>
      </w:r>
      <w:r>
        <w:rPr>
          <w:spacing w:val="-6"/>
        </w:rPr>
        <w:t> </w:t>
      </w:r>
      <w:r>
        <w:rPr/>
        <w:t>y</w:t>
      </w:r>
      <w:r>
        <w:rPr>
          <w:spacing w:val="-9"/>
        </w:rPr>
        <w:t> </w:t>
      </w:r>
      <w:r>
        <w:rPr/>
        <w:t>políticas</w:t>
      </w:r>
      <w:r>
        <w:rPr>
          <w:spacing w:val="-7"/>
        </w:rPr>
        <w:t> </w:t>
      </w:r>
      <w:r>
        <w:rPr/>
        <w:t>de</w:t>
      </w:r>
      <w:r>
        <w:rPr>
          <w:spacing w:val="-6"/>
        </w:rPr>
        <w:t> </w:t>
      </w:r>
      <w:r>
        <w:rPr/>
        <w:t>seguimiento,</w:t>
      </w:r>
      <w:r>
        <w:rPr>
          <w:spacing w:val="-9"/>
        </w:rPr>
        <w:t> </w:t>
      </w:r>
      <w:r>
        <w:rPr/>
        <w:t>aplicar medidas</w:t>
      </w:r>
      <w:r>
        <w:rPr>
          <w:spacing w:val="-5"/>
        </w:rPr>
        <w:t> </w:t>
      </w:r>
      <w:r>
        <w:rPr/>
        <w:t>correctivas,</w:t>
      </w:r>
      <w:r>
        <w:rPr>
          <w:spacing w:val="-5"/>
        </w:rPr>
        <w:t> </w:t>
      </w:r>
      <w:r>
        <w:rPr/>
        <w:t>y</w:t>
      </w:r>
      <w:r>
        <w:rPr>
          <w:spacing w:val="-8"/>
        </w:rPr>
        <w:t> </w:t>
      </w:r>
      <w:r>
        <w:rPr/>
        <w:t>el</w:t>
      </w:r>
      <w:r>
        <w:rPr>
          <w:spacing w:val="-6"/>
        </w:rPr>
        <w:t> </w:t>
      </w:r>
      <w:r>
        <w:rPr/>
        <w:t>ejercer</w:t>
      </w:r>
      <w:r>
        <w:rPr>
          <w:spacing w:val="-8"/>
        </w:rPr>
        <w:t> </w:t>
      </w:r>
      <w:r>
        <w:rPr/>
        <w:t>una</w:t>
      </w:r>
      <w:r>
        <w:rPr>
          <w:spacing w:val="-5"/>
        </w:rPr>
        <w:t> </w:t>
      </w:r>
      <w:r>
        <w:rPr/>
        <w:t>supervisión</w:t>
      </w:r>
      <w:r>
        <w:rPr>
          <w:spacing w:val="-5"/>
        </w:rPr>
        <w:t> </w:t>
      </w:r>
      <w:r>
        <w:rPr/>
        <w:t>efectiva</w:t>
      </w:r>
      <w:r>
        <w:rPr>
          <w:spacing w:val="-5"/>
        </w:rPr>
        <w:t> </w:t>
      </w:r>
      <w:r>
        <w:rPr/>
        <w:t>de</w:t>
      </w:r>
      <w:r>
        <w:rPr>
          <w:spacing w:val="-5"/>
        </w:rPr>
        <w:t> </w:t>
      </w:r>
      <w:r>
        <w:rPr/>
        <w:t>gestión.</w:t>
      </w:r>
      <w:r>
        <w:rPr>
          <w:spacing w:val="-2"/>
        </w:rPr>
        <w:t> </w:t>
      </w:r>
      <w:r>
        <w:rPr/>
        <w:t>La</w:t>
      </w:r>
      <w:r>
        <w:rPr>
          <w:spacing w:val="-7"/>
        </w:rPr>
        <w:t> </w:t>
      </w:r>
      <w:r>
        <w:rPr/>
        <w:t>evaluación presentó conclusiones y recomendaciones generales, de las cuales destacan: el evitar duplicidad de funciones; una mayor participación del Consejo de Ministros; y delegar funciones operativas y concentrarse en las</w:t>
      </w:r>
      <w:r>
        <w:rPr>
          <w:spacing w:val="-24"/>
        </w:rPr>
        <w:t> </w:t>
      </w:r>
      <w:r>
        <w:rPr/>
        <w:t>sustantivas.</w:t>
      </w:r>
    </w:p>
    <w:p>
      <w:pPr>
        <w:pStyle w:val="BodyText"/>
      </w:pPr>
    </w:p>
    <w:p>
      <w:pPr>
        <w:pStyle w:val="BodyText"/>
        <w:spacing w:before="7"/>
        <w:rPr>
          <w:sz w:val="29"/>
        </w:rPr>
      </w:pPr>
    </w:p>
    <w:p>
      <w:pPr>
        <w:pStyle w:val="Heading3"/>
        <w:numPr>
          <w:ilvl w:val="2"/>
          <w:numId w:val="20"/>
        </w:numPr>
        <w:tabs>
          <w:tab w:pos="724" w:val="left" w:leader="none"/>
        </w:tabs>
        <w:spacing w:line="360" w:lineRule="auto" w:before="0" w:after="0"/>
        <w:ind w:left="122" w:right="1641" w:firstLine="0"/>
        <w:jc w:val="left"/>
      </w:pPr>
      <w:bookmarkStart w:name="_bookmark16" w:id="24"/>
      <w:bookmarkEnd w:id="24"/>
      <w:r>
        <w:rPr>
          <w:b w:val="0"/>
        </w:rPr>
      </w:r>
      <w:bookmarkStart w:name="_bookmark16" w:id="25"/>
      <w:bookmarkEnd w:id="25"/>
      <w:r>
        <w:rPr/>
        <w:t>Los</w:t>
      </w:r>
      <w:r>
        <w:rPr/>
        <w:t> principios de la gobernanza de la Organización para la Cooperación y Desarrollo</w:t>
      </w:r>
      <w:r>
        <w:rPr>
          <w:spacing w:val="-13"/>
        </w:rPr>
        <w:t> </w:t>
      </w:r>
      <w:r>
        <w:rPr/>
        <w:t>Económicos</w:t>
      </w:r>
    </w:p>
    <w:p>
      <w:pPr>
        <w:pStyle w:val="BodyText"/>
        <w:rPr>
          <w:b/>
        </w:rPr>
      </w:pPr>
    </w:p>
    <w:p>
      <w:pPr>
        <w:pStyle w:val="BodyText"/>
        <w:spacing w:line="360" w:lineRule="auto" w:before="140"/>
        <w:ind w:left="122" w:right="117"/>
        <w:jc w:val="both"/>
      </w:pPr>
      <w:r>
        <w:rPr/>
        <w:t>La</w:t>
      </w:r>
      <w:r>
        <w:rPr>
          <w:spacing w:val="-11"/>
        </w:rPr>
        <w:t> </w:t>
      </w:r>
      <w:r>
        <w:rPr/>
        <w:t>OCDE</w:t>
      </w:r>
      <w:r>
        <w:rPr>
          <w:spacing w:val="-14"/>
        </w:rPr>
        <w:t> </w:t>
      </w:r>
      <w:r>
        <w:rPr/>
        <w:t>publicó</w:t>
      </w:r>
      <w:r>
        <w:rPr>
          <w:spacing w:val="-11"/>
        </w:rPr>
        <w:t> </w:t>
      </w:r>
      <w:r>
        <w:rPr>
          <w:i/>
        </w:rPr>
        <w:t>The</w:t>
      </w:r>
      <w:r>
        <w:rPr>
          <w:i/>
          <w:spacing w:val="-15"/>
        </w:rPr>
        <w:t> </w:t>
      </w:r>
      <w:r>
        <w:rPr>
          <w:i/>
        </w:rPr>
        <w:t>OECD</w:t>
      </w:r>
      <w:r>
        <w:rPr>
          <w:i/>
          <w:spacing w:val="-13"/>
        </w:rPr>
        <w:t> </w:t>
      </w:r>
      <w:r>
        <w:rPr>
          <w:i/>
        </w:rPr>
        <w:t>Principies</w:t>
      </w:r>
      <w:r>
        <w:rPr>
          <w:i/>
          <w:spacing w:val="-14"/>
        </w:rPr>
        <w:t> </w:t>
      </w:r>
      <w:r>
        <w:rPr>
          <w:i/>
        </w:rPr>
        <w:t>of</w:t>
      </w:r>
      <w:r>
        <w:rPr>
          <w:i/>
          <w:spacing w:val="-13"/>
        </w:rPr>
        <w:t> </w:t>
      </w:r>
      <w:r>
        <w:rPr>
          <w:i/>
        </w:rPr>
        <w:t>Corporate</w:t>
      </w:r>
      <w:r>
        <w:rPr>
          <w:i/>
          <w:spacing w:val="-11"/>
        </w:rPr>
        <w:t> </w:t>
      </w:r>
      <w:r>
        <w:rPr>
          <w:i/>
        </w:rPr>
        <w:t>Governance</w:t>
      </w:r>
      <w:r>
        <w:rPr>
          <w:i/>
          <w:spacing w:val="-11"/>
        </w:rPr>
        <w:t> </w:t>
      </w:r>
      <w:r>
        <w:rPr/>
        <w:t>(Los</w:t>
      </w:r>
      <w:r>
        <w:rPr>
          <w:spacing w:val="-12"/>
        </w:rPr>
        <w:t> </w:t>
      </w:r>
      <w:r>
        <w:rPr/>
        <w:t>Principios</w:t>
      </w:r>
      <w:r>
        <w:rPr>
          <w:spacing w:val="-14"/>
        </w:rPr>
        <w:t> </w:t>
      </w:r>
      <w:r>
        <w:rPr/>
        <w:t>de la Gobernanza Corporativa de la OCDE)</w:t>
      </w:r>
      <w:r>
        <w:rPr>
          <w:position w:val="8"/>
          <w:sz w:val="16"/>
        </w:rPr>
        <w:t>26 </w:t>
      </w:r>
      <w:r>
        <w:rPr/>
        <w:t>con la finalidad de servir de guía a los Estados de los países (miembros y no-miembros de la OCDE) en la evaluación y perfeccionamiento de sus marcos legales,  reglamentarios e institucionales, en  </w:t>
      </w:r>
      <w:r>
        <w:rPr>
          <w:spacing w:val="50"/>
        </w:rPr>
        <w:t> </w:t>
      </w:r>
      <w:r>
        <w:rPr/>
        <w:t>el</w:t>
      </w:r>
    </w:p>
    <w:p>
      <w:pPr>
        <w:pStyle w:val="BodyText"/>
        <w:rPr>
          <w:sz w:val="20"/>
        </w:rPr>
      </w:pPr>
    </w:p>
    <w:p>
      <w:pPr>
        <w:pStyle w:val="BodyText"/>
        <w:spacing w:before="7"/>
        <w:rPr>
          <w:sz w:val="16"/>
        </w:rPr>
      </w:pPr>
      <w:r>
        <w:rPr/>
        <w:pict>
          <v:line style="position:absolute;mso-position-horizontal-relative:page;mso-position-vertical-relative:paragraph;z-index:2440;mso-wrap-distance-left:0;mso-wrap-distance-right:0" from="85.103996pt,11.890865pt" to="229.123996pt,11.890865pt" stroked="true" strokeweight=".72003pt" strokecolor="#000000">
            <w10:wrap type="topAndBottom"/>
          </v:line>
        </w:pict>
      </w:r>
    </w:p>
    <w:p>
      <w:pPr>
        <w:spacing w:before="62"/>
        <w:ind w:left="122" w:right="50" w:firstLine="0"/>
        <w:jc w:val="left"/>
        <w:rPr>
          <w:sz w:val="16"/>
        </w:rPr>
      </w:pPr>
      <w:r>
        <w:rPr>
          <w:rFonts w:ascii="Times New Roman"/>
          <w:position w:val="7"/>
          <w:sz w:val="13"/>
        </w:rPr>
        <w:t>26</w:t>
      </w:r>
      <w:r>
        <w:rPr>
          <w:sz w:val="16"/>
        </w:rPr>
        <w:t>Disponible en: </w:t>
      </w:r>
      <w:hyperlink r:id="rId51">
        <w:r>
          <w:rPr>
            <w:sz w:val="16"/>
          </w:rPr>
          <w:t>http://www.oecd.org/dataoecd/32/18/31557724.pdf</w:t>
        </w:r>
      </w:hyperlink>
      <w:r>
        <w:rPr>
          <w:sz w:val="16"/>
        </w:rPr>
        <w:t> [Fecha de consulta: 22 de mayo, 2015]</w:t>
      </w:r>
    </w:p>
    <w:p>
      <w:pPr>
        <w:spacing w:after="0"/>
        <w:jc w:val="left"/>
        <w:rPr>
          <w:sz w:val="16"/>
        </w:rPr>
        <w:sectPr>
          <w:footerReference w:type="even" r:id="rId49"/>
          <w:footerReference w:type="default" r:id="rId50"/>
          <w:pgSz w:w="12240" w:h="15840"/>
          <w:pgMar w:footer="1003" w:header="0" w:top="1360" w:bottom="1200" w:left="1580" w:right="1580"/>
          <w:pgNumType w:start="32"/>
        </w:sectPr>
      </w:pPr>
    </w:p>
    <w:p>
      <w:pPr>
        <w:pStyle w:val="BodyText"/>
        <w:spacing w:line="362" w:lineRule="auto" w:before="54"/>
        <w:ind w:left="142" w:right="465"/>
      </w:pPr>
      <w:r>
        <w:rPr/>
        <w:t>ámbito de la gobernanza, además de incluir temas financieros que conjuntamente, se orientan hacia lograr el “buen gobierno”.</w:t>
      </w:r>
    </w:p>
    <w:p>
      <w:pPr>
        <w:pStyle w:val="BodyText"/>
        <w:spacing w:line="360" w:lineRule="auto"/>
        <w:ind w:left="142" w:right="635" w:firstLine="427"/>
        <w:jc w:val="both"/>
      </w:pPr>
      <w:r>
        <w:rPr/>
        <w:t>Los</w:t>
      </w:r>
      <w:r>
        <w:rPr>
          <w:spacing w:val="-20"/>
        </w:rPr>
        <w:t> </w:t>
      </w:r>
      <w:r>
        <w:rPr/>
        <w:t>principios,</w:t>
      </w:r>
      <w:r>
        <w:rPr>
          <w:spacing w:val="-19"/>
        </w:rPr>
        <w:t> </w:t>
      </w:r>
      <w:r>
        <w:rPr/>
        <w:t>de</w:t>
      </w:r>
      <w:r>
        <w:rPr>
          <w:spacing w:val="-19"/>
        </w:rPr>
        <w:t> </w:t>
      </w:r>
      <w:r>
        <w:rPr/>
        <w:t>acuerdo</w:t>
      </w:r>
      <w:r>
        <w:rPr>
          <w:spacing w:val="-16"/>
        </w:rPr>
        <w:t> </w:t>
      </w:r>
      <w:r>
        <w:rPr/>
        <w:t>con</w:t>
      </w:r>
      <w:r>
        <w:rPr>
          <w:spacing w:val="-17"/>
        </w:rPr>
        <w:t> </w:t>
      </w:r>
      <w:r>
        <w:rPr/>
        <w:t>la</w:t>
      </w:r>
      <w:r>
        <w:rPr>
          <w:spacing w:val="-17"/>
        </w:rPr>
        <w:t> </w:t>
      </w:r>
      <w:r>
        <w:rPr/>
        <w:t>OCDE,</w:t>
      </w:r>
      <w:r>
        <w:rPr>
          <w:spacing w:val="-17"/>
        </w:rPr>
        <w:t> </w:t>
      </w:r>
      <w:r>
        <w:rPr/>
        <w:t>pretenden</w:t>
      </w:r>
      <w:r>
        <w:rPr>
          <w:spacing w:val="-17"/>
        </w:rPr>
        <w:t> </w:t>
      </w:r>
      <w:r>
        <w:rPr/>
        <w:t>ser</w:t>
      </w:r>
      <w:r>
        <w:rPr>
          <w:spacing w:val="-20"/>
        </w:rPr>
        <w:t> </w:t>
      </w:r>
      <w:r>
        <w:rPr/>
        <w:t>concisos,</w:t>
      </w:r>
      <w:r>
        <w:rPr>
          <w:spacing w:val="-17"/>
        </w:rPr>
        <w:t> </w:t>
      </w:r>
      <w:r>
        <w:rPr/>
        <w:t>comprensibles y accesibles a la comunidad internacional; aseguró que su finalidad es considerar que la gobernanza constituye un elemento clave para aumentar la eficacia económica y potenciar el crecimiento, así como para fomentar la confianza de los inversionistas. La gobernanza corporativa proporciona una estructura para el establecimiento de objetivos y determina los medios que pueden utilizarse para alcanzarlos y para supervisar su</w:t>
      </w:r>
      <w:r>
        <w:rPr>
          <w:spacing w:val="-13"/>
        </w:rPr>
        <w:t> </w:t>
      </w:r>
      <w:r>
        <w:rPr/>
        <w:t>cumplimiento.</w:t>
      </w:r>
    </w:p>
    <w:p>
      <w:pPr>
        <w:pStyle w:val="BodyText"/>
        <w:spacing w:line="360" w:lineRule="auto" w:before="5"/>
        <w:ind w:left="142" w:right="641" w:firstLine="427"/>
        <w:jc w:val="both"/>
      </w:pPr>
      <w:r>
        <w:rPr/>
        <w:t>La</w:t>
      </w:r>
      <w:r>
        <w:rPr>
          <w:spacing w:val="-17"/>
        </w:rPr>
        <w:t> </w:t>
      </w:r>
      <w:r>
        <w:rPr/>
        <w:t>OCDE</w:t>
      </w:r>
      <w:r>
        <w:rPr>
          <w:spacing w:val="-19"/>
        </w:rPr>
        <w:t> </w:t>
      </w:r>
      <w:r>
        <w:rPr/>
        <w:t>mencionó</w:t>
      </w:r>
      <w:r>
        <w:rPr>
          <w:spacing w:val="-15"/>
        </w:rPr>
        <w:t> </w:t>
      </w:r>
      <w:r>
        <w:rPr/>
        <w:t>que</w:t>
      </w:r>
      <w:r>
        <w:rPr>
          <w:spacing w:val="-17"/>
        </w:rPr>
        <w:t> </w:t>
      </w:r>
      <w:r>
        <w:rPr/>
        <w:t>un</w:t>
      </w:r>
      <w:r>
        <w:rPr>
          <w:spacing w:val="-19"/>
        </w:rPr>
        <w:t> </w:t>
      </w:r>
      <w:r>
        <w:rPr/>
        <w:t>buen</w:t>
      </w:r>
      <w:r>
        <w:rPr>
          <w:spacing w:val="-17"/>
        </w:rPr>
        <w:t> </w:t>
      </w:r>
      <w:r>
        <w:rPr/>
        <w:t>gobierno</w:t>
      </w:r>
      <w:r>
        <w:rPr>
          <w:spacing w:val="-17"/>
        </w:rPr>
        <w:t> </w:t>
      </w:r>
      <w:r>
        <w:rPr/>
        <w:t>corporativo</w:t>
      </w:r>
      <w:r>
        <w:rPr>
          <w:spacing w:val="-17"/>
        </w:rPr>
        <w:t> </w:t>
      </w:r>
      <w:r>
        <w:rPr/>
        <w:t>deberá</w:t>
      </w:r>
      <w:r>
        <w:rPr>
          <w:spacing w:val="-17"/>
        </w:rPr>
        <w:t> </w:t>
      </w:r>
      <w:r>
        <w:rPr/>
        <w:t>ofrecer</w:t>
      </w:r>
      <w:r>
        <w:rPr>
          <w:spacing w:val="-20"/>
        </w:rPr>
        <w:t> </w:t>
      </w:r>
      <w:r>
        <w:rPr/>
        <w:t>incentivos apropiados</w:t>
      </w:r>
      <w:r>
        <w:rPr>
          <w:spacing w:val="-12"/>
        </w:rPr>
        <w:t> </w:t>
      </w:r>
      <w:r>
        <w:rPr/>
        <w:t>al</w:t>
      </w:r>
      <w:r>
        <w:rPr>
          <w:spacing w:val="-10"/>
        </w:rPr>
        <w:t> </w:t>
      </w:r>
      <w:r>
        <w:rPr/>
        <w:t>cuerpo</w:t>
      </w:r>
      <w:r>
        <w:rPr>
          <w:spacing w:val="-8"/>
        </w:rPr>
        <w:t> </w:t>
      </w:r>
      <w:r>
        <w:rPr/>
        <w:t>directivo</w:t>
      </w:r>
      <w:r>
        <w:rPr>
          <w:spacing w:val="-8"/>
        </w:rPr>
        <w:t> </w:t>
      </w:r>
      <w:r>
        <w:rPr/>
        <w:t>para</w:t>
      </w:r>
      <w:r>
        <w:rPr>
          <w:spacing w:val="-9"/>
        </w:rPr>
        <w:t> </w:t>
      </w:r>
      <w:r>
        <w:rPr/>
        <w:t>el</w:t>
      </w:r>
      <w:r>
        <w:rPr>
          <w:spacing w:val="-10"/>
        </w:rPr>
        <w:t> </w:t>
      </w:r>
      <w:r>
        <w:rPr/>
        <w:t>logro</w:t>
      </w:r>
      <w:r>
        <w:rPr>
          <w:spacing w:val="-9"/>
        </w:rPr>
        <w:t> </w:t>
      </w:r>
      <w:r>
        <w:rPr/>
        <w:t>de</w:t>
      </w:r>
      <w:r>
        <w:rPr>
          <w:spacing w:val="-8"/>
        </w:rPr>
        <w:t> </w:t>
      </w:r>
      <w:r>
        <w:rPr/>
        <w:t>los</w:t>
      </w:r>
      <w:r>
        <w:rPr>
          <w:spacing w:val="-9"/>
        </w:rPr>
        <w:t> </w:t>
      </w:r>
      <w:r>
        <w:rPr/>
        <w:t>objetivos</w:t>
      </w:r>
      <w:r>
        <w:rPr>
          <w:spacing w:val="-9"/>
        </w:rPr>
        <w:t> </w:t>
      </w:r>
      <w:r>
        <w:rPr/>
        <w:t>de</w:t>
      </w:r>
      <w:r>
        <w:rPr>
          <w:spacing w:val="-8"/>
        </w:rPr>
        <w:t> </w:t>
      </w:r>
      <w:r>
        <w:rPr/>
        <w:t>la</w:t>
      </w:r>
      <w:r>
        <w:rPr>
          <w:spacing w:val="-9"/>
        </w:rPr>
        <w:t> </w:t>
      </w:r>
      <w:r>
        <w:rPr/>
        <w:t>sociedad,</w:t>
      </w:r>
      <w:r>
        <w:rPr>
          <w:spacing w:val="-9"/>
        </w:rPr>
        <w:t> </w:t>
      </w:r>
      <w:r>
        <w:rPr/>
        <w:t>además de</w:t>
      </w:r>
      <w:r>
        <w:rPr>
          <w:spacing w:val="-9"/>
        </w:rPr>
        <w:t> </w:t>
      </w:r>
      <w:r>
        <w:rPr/>
        <w:t>que</w:t>
      </w:r>
      <w:r>
        <w:rPr>
          <w:spacing w:val="-11"/>
        </w:rPr>
        <w:t> </w:t>
      </w:r>
      <w:r>
        <w:rPr/>
        <w:t>facilita</w:t>
      </w:r>
      <w:r>
        <w:rPr>
          <w:spacing w:val="-9"/>
        </w:rPr>
        <w:t> </w:t>
      </w:r>
      <w:r>
        <w:rPr/>
        <w:t>la</w:t>
      </w:r>
      <w:r>
        <w:rPr>
          <w:spacing w:val="-10"/>
        </w:rPr>
        <w:t> </w:t>
      </w:r>
      <w:r>
        <w:rPr/>
        <w:t>supervisión</w:t>
      </w:r>
      <w:r>
        <w:rPr>
          <w:spacing w:val="-7"/>
        </w:rPr>
        <w:t> </w:t>
      </w:r>
      <w:r>
        <w:rPr/>
        <w:t>y</w:t>
      </w:r>
      <w:r>
        <w:rPr>
          <w:spacing w:val="-12"/>
        </w:rPr>
        <w:t> </w:t>
      </w:r>
      <w:r>
        <w:rPr/>
        <w:t>contribuye</w:t>
      </w:r>
      <w:r>
        <w:rPr>
          <w:spacing w:val="-9"/>
        </w:rPr>
        <w:t> </w:t>
      </w:r>
      <w:r>
        <w:rPr/>
        <w:t>a</w:t>
      </w:r>
      <w:r>
        <w:rPr>
          <w:spacing w:val="-9"/>
        </w:rPr>
        <w:t> </w:t>
      </w:r>
      <w:r>
        <w:rPr/>
        <w:t>generar</w:t>
      </w:r>
      <w:r>
        <w:rPr>
          <w:spacing w:val="-10"/>
        </w:rPr>
        <w:t> </w:t>
      </w:r>
      <w:r>
        <w:rPr/>
        <w:t>confianza</w:t>
      </w:r>
      <w:r>
        <w:rPr>
          <w:spacing w:val="-9"/>
        </w:rPr>
        <w:t> </w:t>
      </w:r>
      <w:r>
        <w:rPr/>
        <w:t>en</w:t>
      </w:r>
      <w:r>
        <w:rPr>
          <w:spacing w:val="-9"/>
        </w:rPr>
        <w:t> </w:t>
      </w:r>
      <w:r>
        <w:rPr/>
        <w:t>el</w:t>
      </w:r>
      <w:r>
        <w:rPr>
          <w:spacing w:val="-12"/>
        </w:rPr>
        <w:t> </w:t>
      </w:r>
      <w:r>
        <w:rPr/>
        <w:t>mercado.</w:t>
      </w:r>
      <w:r>
        <w:rPr>
          <w:spacing w:val="-10"/>
        </w:rPr>
        <w:t> </w:t>
      </w:r>
      <w:r>
        <w:rPr/>
        <w:t>Como resultado, el costo de capital se reduce y se incentiva a las empresas a utilizar sus recursos de forma más</w:t>
      </w:r>
      <w:r>
        <w:rPr>
          <w:spacing w:val="-12"/>
        </w:rPr>
        <w:t> </w:t>
      </w:r>
      <w:r>
        <w:rPr/>
        <w:t>eficiente.</w:t>
      </w:r>
    </w:p>
    <w:p>
      <w:pPr>
        <w:pStyle w:val="BodyText"/>
      </w:pPr>
    </w:p>
    <w:p>
      <w:pPr>
        <w:pStyle w:val="BodyText"/>
        <w:spacing w:line="360" w:lineRule="auto" w:before="142"/>
        <w:ind w:left="142" w:right="636" w:firstLine="427"/>
        <w:jc w:val="both"/>
      </w:pPr>
      <w:r>
        <w:rPr/>
        <w:t>La organización advirtió que la gobernanza corporativa sólo es una parte del amplio contexto en el que las empresas pueden desarrollarse. El marco para la gobernanza corporativa depende del entorno legal, reglamentario e institucional de cada país, además de otros elementos como la ética empresarial en el medio ambiente y aspectos sociales. Los principios son los siguientes:</w:t>
      </w:r>
    </w:p>
    <w:p>
      <w:pPr>
        <w:spacing w:before="4"/>
        <w:ind w:left="1692" w:right="465" w:firstLine="0"/>
        <w:jc w:val="left"/>
        <w:rPr>
          <w:sz w:val="20"/>
        </w:rPr>
      </w:pPr>
      <w:bookmarkStart w:name="_bookmark17" w:id="26"/>
      <w:bookmarkEnd w:id="26"/>
      <w:r>
        <w:rPr/>
      </w:r>
      <w:r>
        <w:rPr>
          <w:sz w:val="20"/>
        </w:rPr>
        <w:t>Cuadro 1.5. Principios de la gobernanza corporativa de la OCDE</w:t>
      </w:r>
    </w:p>
    <w:p>
      <w:pPr>
        <w:pStyle w:val="BodyText"/>
        <w:spacing w:before="4"/>
        <w:rPr>
          <w:sz w:val="17"/>
        </w:rPr>
      </w:pPr>
    </w:p>
    <w:tbl>
      <w:tblPr>
        <w:tblW w:w="0" w:type="auto"/>
        <w:jc w:val="left"/>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0" w:type="dxa"/>
          <w:left w:w="0" w:type="dxa"/>
          <w:bottom w:w="0" w:type="dxa"/>
          <w:right w:w="0" w:type="dxa"/>
        </w:tblCellMar>
        <w:tblLook w:val="01E0"/>
      </w:tblPr>
      <w:tblGrid>
        <w:gridCol w:w="3121"/>
        <w:gridCol w:w="6239"/>
      </w:tblGrid>
      <w:tr>
        <w:trPr>
          <w:trHeight w:val="228" w:hRule="exact"/>
        </w:trPr>
        <w:tc>
          <w:tcPr>
            <w:tcW w:w="3121" w:type="dxa"/>
          </w:tcPr>
          <w:p>
            <w:pPr>
              <w:pStyle w:val="TableParagraph"/>
              <w:spacing w:line="169" w:lineRule="exact"/>
              <w:ind w:left="1205" w:right="1205"/>
              <w:jc w:val="center"/>
              <w:rPr>
                <w:b/>
                <w:sz w:val="15"/>
              </w:rPr>
            </w:pPr>
            <w:r>
              <w:rPr>
                <w:b/>
                <w:sz w:val="15"/>
              </w:rPr>
              <w:t>Principio</w:t>
            </w:r>
          </w:p>
        </w:tc>
        <w:tc>
          <w:tcPr>
            <w:tcW w:w="6239" w:type="dxa"/>
          </w:tcPr>
          <w:p>
            <w:pPr>
              <w:pStyle w:val="TableParagraph"/>
              <w:spacing w:line="169" w:lineRule="exact"/>
              <w:ind w:left="2480" w:right="2480"/>
              <w:jc w:val="center"/>
              <w:rPr>
                <w:b/>
                <w:sz w:val="15"/>
              </w:rPr>
            </w:pPr>
            <w:r>
              <w:rPr>
                <w:b/>
                <w:sz w:val="15"/>
              </w:rPr>
              <w:t>Consideraciones</w:t>
            </w:r>
          </w:p>
        </w:tc>
      </w:tr>
      <w:tr>
        <w:trPr>
          <w:trHeight w:val="550" w:hRule="exact"/>
        </w:trPr>
        <w:tc>
          <w:tcPr>
            <w:tcW w:w="3121" w:type="dxa"/>
            <w:tcBorders>
              <w:left w:val="single" w:sz="4" w:space="0" w:color="000000"/>
              <w:right w:val="single" w:sz="4" w:space="0" w:color="000000"/>
            </w:tcBorders>
          </w:tcPr>
          <w:p>
            <w:pPr>
              <w:pStyle w:val="TableParagraph"/>
              <w:spacing w:before="85"/>
              <w:ind w:left="419" w:right="287" w:hanging="284"/>
              <w:rPr>
                <w:sz w:val="15"/>
              </w:rPr>
            </w:pPr>
            <w:r>
              <w:rPr>
                <w:sz w:val="15"/>
              </w:rPr>
              <w:t>I. Garantizar la base de un marco efectivo de gobernanza corporativa.</w:t>
            </w:r>
          </w:p>
        </w:tc>
        <w:tc>
          <w:tcPr>
            <w:tcW w:w="6239" w:type="dxa"/>
            <w:tcBorders>
              <w:left w:val="single" w:sz="4" w:space="0" w:color="000000"/>
              <w:right w:val="single" w:sz="4" w:space="0" w:color="000000"/>
            </w:tcBorders>
          </w:tcPr>
          <w:p>
            <w:pPr>
              <w:pStyle w:val="TableParagraph"/>
              <w:ind w:left="103" w:right="100"/>
              <w:jc w:val="both"/>
              <w:rPr>
                <w:sz w:val="15"/>
              </w:rPr>
            </w:pPr>
            <w:r>
              <w:rPr>
                <w:sz w:val="15"/>
              </w:rPr>
              <w:t>El marco debe promover la transparencia y eficacia de los mercados, ser coherente con el Estado</w:t>
            </w:r>
            <w:r>
              <w:rPr>
                <w:spacing w:val="-12"/>
                <w:sz w:val="15"/>
              </w:rPr>
              <w:t> </w:t>
            </w:r>
            <w:r>
              <w:rPr>
                <w:sz w:val="15"/>
              </w:rPr>
              <w:t>de</w:t>
            </w:r>
            <w:r>
              <w:rPr>
                <w:spacing w:val="-10"/>
                <w:sz w:val="15"/>
              </w:rPr>
              <w:t> </w:t>
            </w:r>
            <w:r>
              <w:rPr>
                <w:sz w:val="15"/>
              </w:rPr>
              <w:t>derecho</w:t>
            </w:r>
            <w:r>
              <w:rPr>
                <w:spacing w:val="-10"/>
                <w:sz w:val="15"/>
              </w:rPr>
              <w:t> </w:t>
            </w:r>
            <w:r>
              <w:rPr>
                <w:sz w:val="15"/>
              </w:rPr>
              <w:t>y</w:t>
            </w:r>
            <w:r>
              <w:rPr>
                <w:spacing w:val="-11"/>
                <w:sz w:val="15"/>
              </w:rPr>
              <w:t> </w:t>
            </w:r>
            <w:r>
              <w:rPr>
                <w:sz w:val="15"/>
              </w:rPr>
              <w:t>dividir</w:t>
            </w:r>
            <w:r>
              <w:rPr>
                <w:spacing w:val="-12"/>
                <w:sz w:val="15"/>
              </w:rPr>
              <w:t> </w:t>
            </w:r>
            <w:r>
              <w:rPr>
                <w:sz w:val="15"/>
              </w:rPr>
              <w:t>claramente</w:t>
            </w:r>
            <w:r>
              <w:rPr>
                <w:spacing w:val="-10"/>
                <w:sz w:val="15"/>
              </w:rPr>
              <w:t> </w:t>
            </w:r>
            <w:r>
              <w:rPr>
                <w:sz w:val="15"/>
              </w:rPr>
              <w:t>las</w:t>
            </w:r>
            <w:r>
              <w:rPr>
                <w:spacing w:val="-8"/>
                <w:sz w:val="15"/>
              </w:rPr>
              <w:t> </w:t>
            </w:r>
            <w:r>
              <w:rPr>
                <w:sz w:val="15"/>
              </w:rPr>
              <w:t>responsabilidades</w:t>
            </w:r>
            <w:r>
              <w:rPr>
                <w:spacing w:val="-11"/>
                <w:sz w:val="15"/>
              </w:rPr>
              <w:t> </w:t>
            </w:r>
            <w:r>
              <w:rPr>
                <w:sz w:val="15"/>
              </w:rPr>
              <w:t>entre</w:t>
            </w:r>
            <w:r>
              <w:rPr>
                <w:spacing w:val="-10"/>
                <w:sz w:val="15"/>
              </w:rPr>
              <w:t> </w:t>
            </w:r>
            <w:r>
              <w:rPr>
                <w:sz w:val="15"/>
              </w:rPr>
              <w:t>las</w:t>
            </w:r>
            <w:r>
              <w:rPr>
                <w:spacing w:val="-8"/>
                <w:sz w:val="15"/>
              </w:rPr>
              <w:t> </w:t>
            </w:r>
            <w:r>
              <w:rPr>
                <w:sz w:val="15"/>
              </w:rPr>
              <w:t>distintas</w:t>
            </w:r>
            <w:r>
              <w:rPr>
                <w:spacing w:val="-7"/>
                <w:sz w:val="15"/>
              </w:rPr>
              <w:t> </w:t>
            </w:r>
            <w:r>
              <w:rPr>
                <w:sz w:val="15"/>
              </w:rPr>
              <w:t>autoridades de supervisión, regulación y</w:t>
            </w:r>
            <w:r>
              <w:rPr>
                <w:spacing w:val="-8"/>
                <w:sz w:val="15"/>
              </w:rPr>
              <w:t> </w:t>
            </w:r>
            <w:r>
              <w:rPr>
                <w:sz w:val="15"/>
              </w:rPr>
              <w:t>ejecución.</w:t>
            </w:r>
          </w:p>
        </w:tc>
      </w:tr>
      <w:tr>
        <w:trPr>
          <w:trHeight w:val="439" w:hRule="exact"/>
        </w:trPr>
        <w:tc>
          <w:tcPr>
            <w:tcW w:w="3121" w:type="dxa"/>
            <w:tcBorders>
              <w:left w:val="single" w:sz="4" w:space="0" w:color="000000"/>
              <w:right w:val="single" w:sz="4" w:space="0" w:color="000000"/>
            </w:tcBorders>
          </w:tcPr>
          <w:p>
            <w:pPr>
              <w:pStyle w:val="TableParagraph"/>
              <w:tabs>
                <w:tab w:pos="463" w:val="left" w:leader="none"/>
              </w:tabs>
              <w:spacing w:before="29"/>
              <w:ind w:left="419" w:right="171" w:hanging="284"/>
              <w:rPr>
                <w:sz w:val="15"/>
              </w:rPr>
            </w:pPr>
            <w:r>
              <w:rPr>
                <w:sz w:val="15"/>
              </w:rPr>
              <w:t>II.</w:t>
              <w:tab/>
              <w:tab/>
              <w:t>Los derechos de los accionistas</w:t>
            </w:r>
            <w:r>
              <w:rPr>
                <w:spacing w:val="-7"/>
                <w:sz w:val="15"/>
              </w:rPr>
              <w:t> </w:t>
            </w:r>
            <w:r>
              <w:rPr>
                <w:sz w:val="15"/>
              </w:rPr>
              <w:t>y</w:t>
            </w:r>
            <w:r>
              <w:rPr>
                <w:spacing w:val="-5"/>
                <w:sz w:val="15"/>
              </w:rPr>
              <w:t> </w:t>
            </w:r>
            <w:r>
              <w:rPr>
                <w:sz w:val="15"/>
              </w:rPr>
              <w:t>las</w:t>
            </w:r>
            <w:r>
              <w:rPr>
                <w:w w:val="100"/>
                <w:sz w:val="15"/>
              </w:rPr>
              <w:t> </w:t>
            </w:r>
            <w:r>
              <w:rPr>
                <w:sz w:val="15"/>
              </w:rPr>
              <w:t>funciones sustantivas de la</w:t>
            </w:r>
            <w:r>
              <w:rPr>
                <w:spacing w:val="-8"/>
                <w:sz w:val="15"/>
              </w:rPr>
              <w:t> </w:t>
            </w:r>
            <w:r>
              <w:rPr>
                <w:sz w:val="15"/>
              </w:rPr>
              <w:t>propiedad</w:t>
            </w:r>
          </w:p>
        </w:tc>
        <w:tc>
          <w:tcPr>
            <w:tcW w:w="6239" w:type="dxa"/>
            <w:tcBorders>
              <w:left w:val="single" w:sz="4" w:space="0" w:color="000000"/>
              <w:right w:val="single" w:sz="4" w:space="0" w:color="000000"/>
            </w:tcBorders>
          </w:tcPr>
          <w:p>
            <w:pPr>
              <w:pStyle w:val="TableParagraph"/>
              <w:ind w:left="103"/>
              <w:rPr>
                <w:sz w:val="15"/>
              </w:rPr>
            </w:pPr>
            <w:r>
              <w:rPr>
                <w:sz w:val="15"/>
              </w:rPr>
              <w:t>El marco para la gobernanza corporativa deberá proteger y facilitar la aplicación de los derechos de los accionistas.</w:t>
            </w:r>
          </w:p>
        </w:tc>
      </w:tr>
      <w:tr>
        <w:trPr>
          <w:trHeight w:val="721" w:hRule="exact"/>
        </w:trPr>
        <w:tc>
          <w:tcPr>
            <w:tcW w:w="3121" w:type="dxa"/>
            <w:tcBorders>
              <w:left w:val="single" w:sz="4" w:space="0" w:color="000000"/>
              <w:right w:val="single" w:sz="4" w:space="0" w:color="000000"/>
            </w:tcBorders>
          </w:tcPr>
          <w:p>
            <w:pPr>
              <w:pStyle w:val="TableParagraph"/>
              <w:rPr>
                <w:sz w:val="14"/>
              </w:rPr>
            </w:pPr>
          </w:p>
          <w:p>
            <w:pPr>
              <w:pStyle w:val="TableParagraph"/>
              <w:spacing w:before="97"/>
              <w:ind w:left="136" w:right="287"/>
              <w:rPr>
                <w:sz w:val="15"/>
              </w:rPr>
            </w:pPr>
            <w:r>
              <w:rPr>
                <w:sz w:val="15"/>
              </w:rPr>
              <w:t>III.   El trato equitativo a los accionistas.</w:t>
            </w:r>
          </w:p>
        </w:tc>
        <w:tc>
          <w:tcPr>
            <w:tcW w:w="6239" w:type="dxa"/>
            <w:tcBorders>
              <w:left w:val="single" w:sz="4" w:space="0" w:color="000000"/>
              <w:right w:val="single" w:sz="4" w:space="0" w:color="000000"/>
            </w:tcBorders>
          </w:tcPr>
          <w:p>
            <w:pPr>
              <w:pStyle w:val="TableParagraph"/>
              <w:ind w:left="103"/>
              <w:rPr>
                <w:sz w:val="15"/>
              </w:rPr>
            </w:pPr>
            <w:r>
              <w:rPr>
                <w:sz w:val="15"/>
              </w:rPr>
              <w:t>El marco deberá garantizar la equidad para los accionistas, incluyendo a los minoristas y a los extranjeros.</w:t>
            </w:r>
          </w:p>
          <w:p>
            <w:pPr>
              <w:pStyle w:val="TableParagraph"/>
              <w:spacing w:line="170" w:lineRule="exact" w:before="5"/>
              <w:ind w:left="103"/>
              <w:rPr>
                <w:sz w:val="15"/>
              </w:rPr>
            </w:pPr>
            <w:r>
              <w:rPr>
                <w:sz w:val="15"/>
              </w:rPr>
              <w:t>En</w:t>
            </w:r>
            <w:r>
              <w:rPr>
                <w:spacing w:val="-10"/>
                <w:sz w:val="15"/>
              </w:rPr>
              <w:t> </w:t>
            </w:r>
            <w:r>
              <w:rPr>
                <w:sz w:val="15"/>
              </w:rPr>
              <w:t>el</w:t>
            </w:r>
            <w:r>
              <w:rPr>
                <w:spacing w:val="-12"/>
                <w:sz w:val="15"/>
              </w:rPr>
              <w:t> </w:t>
            </w:r>
            <w:r>
              <w:rPr>
                <w:sz w:val="15"/>
              </w:rPr>
              <w:t>caso</w:t>
            </w:r>
            <w:r>
              <w:rPr>
                <w:spacing w:val="-10"/>
                <w:sz w:val="15"/>
              </w:rPr>
              <w:t> </w:t>
            </w:r>
            <w:r>
              <w:rPr>
                <w:sz w:val="15"/>
              </w:rPr>
              <w:t>de</w:t>
            </w:r>
            <w:r>
              <w:rPr>
                <w:spacing w:val="-12"/>
                <w:sz w:val="15"/>
              </w:rPr>
              <w:t> </w:t>
            </w:r>
            <w:r>
              <w:rPr>
                <w:sz w:val="15"/>
              </w:rPr>
              <w:t>violación</w:t>
            </w:r>
            <w:r>
              <w:rPr>
                <w:spacing w:val="-10"/>
                <w:sz w:val="15"/>
              </w:rPr>
              <w:t> </w:t>
            </w:r>
            <w:r>
              <w:rPr>
                <w:sz w:val="15"/>
              </w:rPr>
              <w:t>de</w:t>
            </w:r>
            <w:r>
              <w:rPr>
                <w:spacing w:val="-10"/>
                <w:sz w:val="15"/>
              </w:rPr>
              <w:t> </w:t>
            </w:r>
            <w:r>
              <w:rPr>
                <w:sz w:val="15"/>
              </w:rPr>
              <w:t>los</w:t>
            </w:r>
            <w:r>
              <w:rPr>
                <w:spacing w:val="-11"/>
                <w:sz w:val="15"/>
              </w:rPr>
              <w:t> </w:t>
            </w:r>
            <w:r>
              <w:rPr>
                <w:sz w:val="15"/>
              </w:rPr>
              <w:t>derechos</w:t>
            </w:r>
            <w:r>
              <w:rPr>
                <w:spacing w:val="-8"/>
                <w:sz w:val="15"/>
              </w:rPr>
              <w:t> </w:t>
            </w:r>
            <w:r>
              <w:rPr>
                <w:sz w:val="15"/>
              </w:rPr>
              <w:t>de</w:t>
            </w:r>
            <w:r>
              <w:rPr>
                <w:spacing w:val="-10"/>
                <w:sz w:val="15"/>
              </w:rPr>
              <w:t> </w:t>
            </w:r>
            <w:r>
              <w:rPr>
                <w:sz w:val="15"/>
              </w:rPr>
              <w:t>los</w:t>
            </w:r>
            <w:r>
              <w:rPr>
                <w:spacing w:val="-8"/>
                <w:sz w:val="15"/>
              </w:rPr>
              <w:t> </w:t>
            </w:r>
            <w:r>
              <w:rPr>
                <w:sz w:val="15"/>
              </w:rPr>
              <w:t>accionistas,</w:t>
            </w:r>
            <w:r>
              <w:rPr>
                <w:spacing w:val="-11"/>
                <w:sz w:val="15"/>
              </w:rPr>
              <w:t> </w:t>
            </w:r>
            <w:r>
              <w:rPr>
                <w:sz w:val="15"/>
              </w:rPr>
              <w:t>todos</w:t>
            </w:r>
            <w:r>
              <w:rPr>
                <w:spacing w:val="-11"/>
                <w:sz w:val="15"/>
              </w:rPr>
              <w:t> </w:t>
            </w:r>
            <w:r>
              <w:rPr>
                <w:sz w:val="15"/>
              </w:rPr>
              <w:t>deben</w:t>
            </w:r>
            <w:r>
              <w:rPr>
                <w:spacing w:val="-12"/>
                <w:sz w:val="15"/>
              </w:rPr>
              <w:t> </w:t>
            </w:r>
            <w:r>
              <w:rPr>
                <w:sz w:val="15"/>
              </w:rPr>
              <w:t>tener</w:t>
            </w:r>
            <w:r>
              <w:rPr>
                <w:spacing w:val="-10"/>
                <w:sz w:val="15"/>
              </w:rPr>
              <w:t> </w:t>
            </w:r>
            <w:r>
              <w:rPr>
                <w:sz w:val="15"/>
              </w:rPr>
              <w:t>la</w:t>
            </w:r>
            <w:r>
              <w:rPr>
                <w:spacing w:val="-10"/>
                <w:sz w:val="15"/>
              </w:rPr>
              <w:t> </w:t>
            </w:r>
            <w:r>
              <w:rPr>
                <w:sz w:val="15"/>
              </w:rPr>
              <w:t>oportunidad de realizar un recurso de</w:t>
            </w:r>
            <w:r>
              <w:rPr>
                <w:spacing w:val="-7"/>
                <w:sz w:val="15"/>
              </w:rPr>
              <w:t> </w:t>
            </w:r>
            <w:r>
              <w:rPr>
                <w:sz w:val="15"/>
              </w:rPr>
              <w:t>reconsideración.</w:t>
            </w:r>
          </w:p>
        </w:tc>
      </w:tr>
      <w:tr>
        <w:trPr>
          <w:trHeight w:val="720" w:hRule="exact"/>
        </w:trPr>
        <w:tc>
          <w:tcPr>
            <w:tcW w:w="3121" w:type="dxa"/>
            <w:tcBorders>
              <w:left w:val="single" w:sz="4" w:space="0" w:color="000000"/>
              <w:right w:val="single" w:sz="4" w:space="0" w:color="000000"/>
            </w:tcBorders>
          </w:tcPr>
          <w:p>
            <w:pPr>
              <w:pStyle w:val="TableParagraph"/>
              <w:rPr>
                <w:sz w:val="14"/>
              </w:rPr>
            </w:pPr>
          </w:p>
          <w:p>
            <w:pPr>
              <w:pStyle w:val="TableParagraph"/>
              <w:spacing w:before="96"/>
              <w:ind w:left="136" w:right="287"/>
              <w:rPr>
                <w:sz w:val="15"/>
              </w:rPr>
            </w:pPr>
            <w:r>
              <w:rPr>
                <w:sz w:val="15"/>
              </w:rPr>
              <w:t>IV.   El papel de las partes interesadas.</w:t>
            </w:r>
          </w:p>
        </w:tc>
        <w:tc>
          <w:tcPr>
            <w:tcW w:w="6239" w:type="dxa"/>
            <w:tcBorders>
              <w:left w:val="single" w:sz="4" w:space="0" w:color="000000"/>
              <w:right w:val="single" w:sz="4" w:space="0" w:color="000000"/>
            </w:tcBorders>
          </w:tcPr>
          <w:p>
            <w:pPr>
              <w:pStyle w:val="TableParagraph"/>
              <w:ind w:left="103" w:right="102"/>
              <w:jc w:val="both"/>
              <w:rPr>
                <w:sz w:val="15"/>
              </w:rPr>
            </w:pPr>
            <w:r>
              <w:rPr>
                <w:sz w:val="15"/>
              </w:rPr>
              <w:t>El marco de la gobernanza corporativa deberá reconocer los derechos de las partes interesadas establecidos por ley o por acuerdo, y fomentar la cooperación activa entre ambas partes, orientados hacia la generación de ingresos, el empleo, y en mantener equilibradas las finanzas corporativas.</w:t>
            </w:r>
          </w:p>
        </w:tc>
      </w:tr>
      <w:tr>
        <w:trPr>
          <w:trHeight w:val="547" w:hRule="exact"/>
        </w:trPr>
        <w:tc>
          <w:tcPr>
            <w:tcW w:w="3121" w:type="dxa"/>
            <w:tcBorders>
              <w:left w:val="single" w:sz="4" w:space="0" w:color="000000"/>
              <w:right w:val="single" w:sz="4" w:space="0" w:color="000000"/>
            </w:tcBorders>
          </w:tcPr>
          <w:p>
            <w:pPr>
              <w:pStyle w:val="TableParagraph"/>
              <w:spacing w:before="10"/>
              <w:rPr>
                <w:sz w:val="14"/>
              </w:rPr>
            </w:pPr>
          </w:p>
          <w:p>
            <w:pPr>
              <w:pStyle w:val="TableParagraph"/>
              <w:ind w:left="136" w:right="287"/>
              <w:rPr>
                <w:sz w:val="15"/>
              </w:rPr>
            </w:pPr>
            <w:r>
              <w:rPr>
                <w:sz w:val="15"/>
              </w:rPr>
              <w:t>V.   Comunicación y Transparencia.</w:t>
            </w:r>
          </w:p>
        </w:tc>
        <w:tc>
          <w:tcPr>
            <w:tcW w:w="6239" w:type="dxa"/>
            <w:tcBorders>
              <w:left w:val="single" w:sz="4" w:space="0" w:color="000000"/>
              <w:right w:val="single" w:sz="4" w:space="0" w:color="000000"/>
            </w:tcBorders>
          </w:tcPr>
          <w:p>
            <w:pPr>
              <w:pStyle w:val="TableParagraph"/>
              <w:spacing w:line="237" w:lineRule="auto"/>
              <w:ind w:left="103" w:right="102"/>
              <w:jc w:val="both"/>
              <w:rPr>
                <w:sz w:val="15"/>
              </w:rPr>
            </w:pPr>
            <w:r>
              <w:rPr>
                <w:sz w:val="15"/>
              </w:rPr>
              <w:t>El marco deberá garantizar la difusión oportuna y precisa de todas las factoras referentes a la sociedad, incluidos los estados financieros, del titular y del órgano de gobierno de la empresa.</w:t>
            </w:r>
          </w:p>
        </w:tc>
      </w:tr>
      <w:tr>
        <w:trPr>
          <w:trHeight w:val="550" w:hRule="exact"/>
        </w:trPr>
        <w:tc>
          <w:tcPr>
            <w:tcW w:w="3121" w:type="dxa"/>
            <w:tcBorders>
              <w:left w:val="single" w:sz="4" w:space="0" w:color="000000"/>
              <w:right w:val="single" w:sz="4" w:space="0" w:color="000000"/>
            </w:tcBorders>
          </w:tcPr>
          <w:p>
            <w:pPr>
              <w:pStyle w:val="TableParagraph"/>
              <w:spacing w:before="85"/>
              <w:ind w:left="419" w:hanging="284"/>
              <w:rPr>
                <w:sz w:val="15"/>
              </w:rPr>
            </w:pPr>
            <w:r>
              <w:rPr>
                <w:sz w:val="15"/>
              </w:rPr>
              <w:t>VI. Las Responsabilidades del órgano de gobierno.</w:t>
            </w:r>
          </w:p>
        </w:tc>
        <w:tc>
          <w:tcPr>
            <w:tcW w:w="6239" w:type="dxa"/>
            <w:tcBorders>
              <w:left w:val="single" w:sz="4" w:space="0" w:color="000000"/>
              <w:right w:val="single" w:sz="4" w:space="0" w:color="000000"/>
            </w:tcBorders>
          </w:tcPr>
          <w:p>
            <w:pPr>
              <w:pStyle w:val="TableParagraph"/>
              <w:ind w:left="103" w:right="102"/>
              <w:jc w:val="both"/>
              <w:rPr>
                <w:sz w:val="15"/>
              </w:rPr>
            </w:pPr>
            <w:r>
              <w:rPr>
                <w:sz w:val="15"/>
              </w:rPr>
              <w:t>El marco deberá garantizar la planeación estratégica de la empresa, los lineamientos de gestión por parte del consejo directivo y su responsabilidad frente a la organización y a los accionistas.</w:t>
            </w:r>
          </w:p>
        </w:tc>
      </w:tr>
    </w:tbl>
    <w:p>
      <w:pPr>
        <w:pStyle w:val="BodyText"/>
        <w:spacing w:before="8"/>
        <w:rPr>
          <w:sz w:val="11"/>
        </w:rPr>
      </w:pPr>
    </w:p>
    <w:p>
      <w:pPr>
        <w:spacing w:before="0"/>
        <w:ind w:left="142" w:right="465" w:firstLine="0"/>
        <w:jc w:val="left"/>
        <w:rPr>
          <w:i/>
          <w:sz w:val="12"/>
        </w:rPr>
      </w:pPr>
      <w:r>
        <w:rPr>
          <w:sz w:val="12"/>
        </w:rPr>
        <w:t>FUENTE:     OECD. (2004: 17-24). </w:t>
      </w:r>
      <w:r>
        <w:rPr>
          <w:i/>
          <w:sz w:val="12"/>
        </w:rPr>
        <w:t>The OECD Principies of Corporate Governance.</w:t>
      </w:r>
    </w:p>
    <w:p>
      <w:pPr>
        <w:spacing w:after="0"/>
        <w:jc w:val="left"/>
        <w:rPr>
          <w:sz w:val="12"/>
        </w:rPr>
        <w:sectPr>
          <w:pgSz w:w="12240" w:h="15840"/>
          <w:pgMar w:header="0" w:footer="1003" w:top="1360" w:bottom="1200" w:left="1560" w:right="1060"/>
        </w:sectPr>
      </w:pPr>
    </w:p>
    <w:p>
      <w:pPr>
        <w:pStyle w:val="BodyText"/>
        <w:spacing w:line="360" w:lineRule="auto" w:before="54"/>
        <w:ind w:left="122" w:right="116" w:firstLine="427"/>
        <w:jc w:val="both"/>
      </w:pPr>
      <w:r>
        <w:rPr/>
        <w:t>La OCDE y el Programa de las Naciones Unidas para el Desarrollo (PNUD) crearon la Alianza para la Gobernanza Democrática (</w:t>
      </w:r>
      <w:r>
        <w:rPr>
          <w:i/>
        </w:rPr>
        <w:t>Partnership for Democratic </w:t>
      </w:r>
      <w:r>
        <w:rPr>
          <w:i/>
        </w:rPr>
        <w:t>Governance</w:t>
      </w:r>
      <w:r>
        <w:rPr/>
        <w:t>), asociación multilateral encargada de asistir a los Estados en situaciones de fragilidad</w:t>
      </w:r>
      <w:r>
        <w:rPr>
          <w:position w:val="8"/>
          <w:sz w:val="16"/>
        </w:rPr>
        <w:t>27 </w:t>
      </w:r>
      <w:r>
        <w:rPr/>
        <w:t>es decir, aquellas que requieren asistencia después de conflictos y a las naciones emergentes, para que desarrollen mejores mecanismos de gobernanza y una mejor atención ciudadana, mediante una “gobernanza en marcha” en sectores clave de los sectores interno y externo.</w:t>
      </w:r>
    </w:p>
    <w:p>
      <w:pPr>
        <w:pStyle w:val="BodyText"/>
      </w:pPr>
    </w:p>
    <w:p>
      <w:pPr>
        <w:pStyle w:val="BodyText"/>
        <w:spacing w:line="357" w:lineRule="auto" w:before="142"/>
        <w:ind w:left="122" w:right="125" w:firstLine="427"/>
        <w:jc w:val="both"/>
        <w:rPr>
          <w:sz w:val="16"/>
        </w:rPr>
      </w:pPr>
      <w:r>
        <w:rPr/>
        <w:t>La OCDE se orienta a hacer más eficiente el desarrollo de aquellos estados frágiles mediante un enfoque flexible, priorizando los mecanismos de rendición de cuentas.</w:t>
      </w:r>
      <w:r>
        <w:rPr>
          <w:position w:val="8"/>
          <w:sz w:val="16"/>
        </w:rPr>
        <w:t>28</w:t>
      </w:r>
    </w:p>
    <w:p>
      <w:pPr>
        <w:pStyle w:val="BodyText"/>
        <w:spacing w:before="2"/>
        <w:rPr>
          <w:sz w:val="36"/>
        </w:rPr>
      </w:pPr>
    </w:p>
    <w:p>
      <w:pPr>
        <w:pStyle w:val="BodyText"/>
        <w:spacing w:line="360" w:lineRule="auto" w:before="1"/>
        <w:ind w:left="122" w:right="114" w:firstLine="427"/>
        <w:jc w:val="both"/>
      </w:pPr>
      <w:r>
        <w:rPr/>
        <w:t>La Alianza para la Gobernanza Democrática estableció sus actividades en el manual </w:t>
      </w:r>
      <w:r>
        <w:rPr>
          <w:i/>
        </w:rPr>
        <w:t>Contractingout Government Functions and Services in Post-Conflict and </w:t>
      </w:r>
      <w:r>
        <w:rPr>
          <w:i/>
        </w:rPr>
        <w:t>Fragile Situations</w:t>
      </w:r>
      <w:r>
        <w:rPr/>
        <w:t>(La Contratación Externa del Gobierno, Funciones y Servicios en Situación Post-Conflicto y en Situación de Fragilidad), y consideró que el apoyo</w:t>
      </w:r>
      <w:r>
        <w:rPr>
          <w:spacing w:val="-27"/>
        </w:rPr>
        <w:t> </w:t>
      </w:r>
      <w:r>
        <w:rPr/>
        <w:t>del sector privado al Estado es una práctica cotidiana en países avanzados y emergentes, pero no en aquellas naciones en donde hay una situación de postguerra (Estados frágiles) y los contratos con el sector privado resultan polémicos.</w:t>
      </w:r>
    </w:p>
    <w:p>
      <w:pPr>
        <w:tabs>
          <w:tab w:pos="2267" w:val="left" w:leader="none"/>
          <w:tab w:pos="4408" w:val="left" w:leader="none"/>
          <w:tab w:pos="6124" w:val="left" w:leader="none"/>
          <w:tab w:pos="7761" w:val="left" w:leader="none"/>
          <w:tab w:pos="8553" w:val="left" w:leader="none"/>
        </w:tabs>
        <w:spacing w:line="360" w:lineRule="auto" w:before="2"/>
        <w:ind w:left="122" w:right="115" w:firstLine="427"/>
        <w:jc w:val="both"/>
        <w:rPr>
          <w:sz w:val="24"/>
        </w:rPr>
      </w:pPr>
      <w:r>
        <w:rPr>
          <w:sz w:val="24"/>
        </w:rPr>
        <w:t>La</w:t>
        <w:tab/>
        <w:t>OCDE</w:t>
        <w:tab/>
        <w:t>en</w:t>
        <w:tab/>
        <w:t>la</w:t>
        <w:tab/>
        <w:t>publicación </w:t>
      </w:r>
      <w:r>
        <w:rPr>
          <w:i/>
          <w:sz w:val="24"/>
        </w:rPr>
        <w:t>Partnershipfordemocraticgovernancecontractingoutgovernmentfunctions</w:t>
        <w:tab/>
        <w:t>and </w:t>
      </w:r>
      <w:r>
        <w:rPr>
          <w:i/>
          <w:sz w:val="24"/>
        </w:rPr>
        <w:t>services,</w:t>
      </w:r>
      <w:r>
        <w:rPr>
          <w:i/>
          <w:spacing w:val="-14"/>
          <w:sz w:val="24"/>
        </w:rPr>
        <w:t> </w:t>
      </w:r>
      <w:r>
        <w:rPr>
          <w:i/>
          <w:sz w:val="24"/>
        </w:rPr>
        <w:t>emerginlessonsfrom</w:t>
      </w:r>
      <w:r>
        <w:rPr>
          <w:i/>
          <w:spacing w:val="-18"/>
          <w:sz w:val="24"/>
        </w:rPr>
        <w:t> </w:t>
      </w:r>
      <w:r>
        <w:rPr>
          <w:i/>
          <w:sz w:val="24"/>
        </w:rPr>
        <w:t>post-conflict</w:t>
      </w:r>
      <w:r>
        <w:rPr>
          <w:i/>
          <w:spacing w:val="-17"/>
          <w:sz w:val="24"/>
        </w:rPr>
        <w:t> </w:t>
      </w:r>
      <w:r>
        <w:rPr>
          <w:i/>
          <w:sz w:val="24"/>
        </w:rPr>
        <w:t>and</w:t>
      </w:r>
      <w:r>
        <w:rPr>
          <w:i/>
          <w:spacing w:val="-14"/>
          <w:sz w:val="24"/>
        </w:rPr>
        <w:t> </w:t>
      </w:r>
      <w:r>
        <w:rPr>
          <w:i/>
          <w:sz w:val="24"/>
        </w:rPr>
        <w:t>fragilesituations</w:t>
      </w:r>
      <w:r>
        <w:rPr>
          <w:i/>
          <w:spacing w:val="-15"/>
          <w:sz w:val="24"/>
        </w:rPr>
        <w:t> </w:t>
      </w:r>
      <w:r>
        <w:rPr>
          <w:sz w:val="24"/>
        </w:rPr>
        <w:t>presentó</w:t>
      </w:r>
      <w:r>
        <w:rPr>
          <w:spacing w:val="-16"/>
          <w:sz w:val="24"/>
        </w:rPr>
        <w:t> </w:t>
      </w:r>
      <w:r>
        <w:rPr>
          <w:sz w:val="24"/>
        </w:rPr>
        <w:t>un</w:t>
      </w:r>
      <w:r>
        <w:rPr>
          <w:spacing w:val="-16"/>
          <w:sz w:val="24"/>
        </w:rPr>
        <w:t> </w:t>
      </w:r>
      <w:r>
        <w:rPr>
          <w:sz w:val="24"/>
        </w:rPr>
        <w:t>análisis sobre la contratación y subcontratación con actores no gubernamentales y proporcionó una orientación para evaluar el momento y las circunstancias, bajo las cuales se pueden realizar la contratación y subcontratación de servicios con el sector privado. Para ello realizó el análisis de los procesos</w:t>
      </w:r>
      <w:r>
        <w:rPr>
          <w:spacing w:val="-18"/>
          <w:sz w:val="24"/>
        </w:rPr>
        <w:t> </w:t>
      </w:r>
      <w:r>
        <w:rPr>
          <w:sz w:val="24"/>
        </w:rPr>
        <w:t>siguientes:</w:t>
      </w: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2464;mso-wrap-distance-left:0;mso-wrap-distance-right:0" from="85.103996pt,12.63585pt" to="229.123996pt,12.63585pt" stroked="true" strokeweight=".72003pt" strokecolor="#000000">
            <w10:wrap type="topAndBottom"/>
          </v:line>
        </w:pict>
      </w:r>
    </w:p>
    <w:p>
      <w:pPr>
        <w:spacing w:line="256" w:lineRule="auto" w:before="62"/>
        <w:ind w:left="122" w:right="50" w:firstLine="0"/>
        <w:jc w:val="left"/>
        <w:rPr>
          <w:sz w:val="16"/>
        </w:rPr>
      </w:pPr>
      <w:r>
        <w:rPr>
          <w:rFonts w:ascii="Times New Roman" w:hAnsi="Times New Roman"/>
          <w:position w:val="7"/>
          <w:sz w:val="13"/>
        </w:rPr>
        <w:t>27</w:t>
      </w:r>
      <w:r>
        <w:rPr>
          <w:sz w:val="16"/>
        </w:rPr>
        <w:t>La</w:t>
      </w:r>
      <w:r>
        <w:rPr>
          <w:spacing w:val="-12"/>
          <w:sz w:val="16"/>
        </w:rPr>
        <w:t> </w:t>
      </w:r>
      <w:r>
        <w:rPr>
          <w:sz w:val="16"/>
        </w:rPr>
        <w:t>OCDE</w:t>
      </w:r>
      <w:r>
        <w:rPr>
          <w:spacing w:val="-11"/>
          <w:sz w:val="16"/>
        </w:rPr>
        <w:t> </w:t>
      </w:r>
      <w:r>
        <w:rPr>
          <w:sz w:val="16"/>
        </w:rPr>
        <w:t>y</w:t>
      </w:r>
      <w:r>
        <w:rPr>
          <w:spacing w:val="-14"/>
          <w:sz w:val="16"/>
        </w:rPr>
        <w:t> </w:t>
      </w:r>
      <w:r>
        <w:rPr>
          <w:sz w:val="16"/>
        </w:rPr>
        <w:t>el</w:t>
      </w:r>
      <w:r>
        <w:rPr>
          <w:spacing w:val="-13"/>
          <w:sz w:val="16"/>
        </w:rPr>
        <w:t> </w:t>
      </w:r>
      <w:r>
        <w:rPr>
          <w:sz w:val="16"/>
        </w:rPr>
        <w:t>PNUD</w:t>
      </w:r>
      <w:r>
        <w:rPr>
          <w:spacing w:val="-14"/>
          <w:sz w:val="16"/>
        </w:rPr>
        <w:t> </w:t>
      </w:r>
      <w:r>
        <w:rPr>
          <w:sz w:val="16"/>
        </w:rPr>
        <w:t>considera</w:t>
      </w:r>
      <w:r>
        <w:rPr>
          <w:spacing w:val="-12"/>
          <w:sz w:val="16"/>
        </w:rPr>
        <w:t> </w:t>
      </w:r>
      <w:r>
        <w:rPr>
          <w:i/>
          <w:sz w:val="16"/>
        </w:rPr>
        <w:t>Estados</w:t>
      </w:r>
      <w:r>
        <w:rPr>
          <w:i/>
          <w:spacing w:val="-11"/>
          <w:sz w:val="16"/>
        </w:rPr>
        <w:t> </w:t>
      </w:r>
      <w:r>
        <w:rPr>
          <w:i/>
          <w:sz w:val="16"/>
        </w:rPr>
        <w:t>frágiles</w:t>
      </w:r>
      <w:r>
        <w:rPr>
          <w:i/>
          <w:spacing w:val="-11"/>
          <w:sz w:val="16"/>
        </w:rPr>
        <w:t> </w:t>
      </w:r>
      <w:r>
        <w:rPr>
          <w:sz w:val="16"/>
        </w:rPr>
        <w:t>a</w:t>
      </w:r>
      <w:r>
        <w:rPr>
          <w:spacing w:val="-12"/>
          <w:sz w:val="16"/>
        </w:rPr>
        <w:t> </w:t>
      </w:r>
      <w:r>
        <w:rPr>
          <w:sz w:val="16"/>
        </w:rPr>
        <w:t>aquellos</w:t>
      </w:r>
      <w:r>
        <w:rPr>
          <w:spacing w:val="-12"/>
          <w:sz w:val="16"/>
        </w:rPr>
        <w:t> </w:t>
      </w:r>
      <w:r>
        <w:rPr>
          <w:sz w:val="16"/>
        </w:rPr>
        <w:t>Estados</w:t>
      </w:r>
      <w:r>
        <w:rPr>
          <w:spacing w:val="-12"/>
          <w:sz w:val="16"/>
        </w:rPr>
        <w:t> </w:t>
      </w:r>
      <w:r>
        <w:rPr>
          <w:sz w:val="16"/>
        </w:rPr>
        <w:t>que</w:t>
      </w:r>
      <w:r>
        <w:rPr>
          <w:spacing w:val="-12"/>
          <w:sz w:val="16"/>
        </w:rPr>
        <w:t> </w:t>
      </w:r>
      <w:r>
        <w:rPr>
          <w:sz w:val="16"/>
        </w:rPr>
        <w:t>se</w:t>
      </w:r>
      <w:r>
        <w:rPr>
          <w:spacing w:val="-14"/>
          <w:sz w:val="16"/>
        </w:rPr>
        <w:t> </w:t>
      </w:r>
      <w:r>
        <w:rPr>
          <w:sz w:val="16"/>
        </w:rPr>
        <w:t>encuentran</w:t>
      </w:r>
      <w:r>
        <w:rPr>
          <w:spacing w:val="-14"/>
          <w:sz w:val="16"/>
        </w:rPr>
        <w:t> </w:t>
      </w:r>
      <w:r>
        <w:rPr>
          <w:sz w:val="16"/>
        </w:rPr>
        <w:t>vulnerables</w:t>
      </w:r>
      <w:r>
        <w:rPr>
          <w:spacing w:val="-11"/>
          <w:sz w:val="16"/>
        </w:rPr>
        <w:t> </w:t>
      </w:r>
      <w:r>
        <w:rPr>
          <w:sz w:val="16"/>
        </w:rPr>
        <w:t>después</w:t>
      </w:r>
      <w:r>
        <w:rPr>
          <w:spacing w:val="-11"/>
          <w:sz w:val="16"/>
        </w:rPr>
        <w:t> </w:t>
      </w:r>
      <w:r>
        <w:rPr>
          <w:sz w:val="16"/>
        </w:rPr>
        <w:t>de</w:t>
      </w:r>
      <w:r>
        <w:rPr>
          <w:spacing w:val="-14"/>
          <w:sz w:val="16"/>
        </w:rPr>
        <w:t> </w:t>
      </w:r>
      <w:r>
        <w:rPr>
          <w:sz w:val="16"/>
        </w:rPr>
        <w:t>una</w:t>
      </w:r>
      <w:r>
        <w:rPr>
          <w:spacing w:val="-14"/>
          <w:sz w:val="16"/>
        </w:rPr>
        <w:t> </w:t>
      </w:r>
      <w:r>
        <w:rPr>
          <w:sz w:val="16"/>
        </w:rPr>
        <w:t>situación de</w:t>
      </w:r>
      <w:r>
        <w:rPr>
          <w:spacing w:val="-5"/>
          <w:sz w:val="16"/>
        </w:rPr>
        <w:t> </w:t>
      </w:r>
      <w:r>
        <w:rPr>
          <w:sz w:val="16"/>
        </w:rPr>
        <w:t>conflicto.</w:t>
      </w:r>
    </w:p>
    <w:p>
      <w:pPr>
        <w:spacing w:line="203" w:lineRule="exact" w:before="0"/>
        <w:ind w:left="122" w:right="50" w:firstLine="0"/>
        <w:jc w:val="left"/>
        <w:rPr>
          <w:sz w:val="16"/>
        </w:rPr>
      </w:pPr>
      <w:r>
        <w:rPr>
          <w:rFonts w:ascii="Times New Roman"/>
          <w:position w:val="7"/>
          <w:sz w:val="13"/>
        </w:rPr>
        <w:t>28</w:t>
      </w:r>
      <w:r>
        <w:rPr>
          <w:sz w:val="16"/>
        </w:rPr>
        <w:t>Disponible en:</w:t>
      </w:r>
    </w:p>
    <w:p>
      <w:pPr>
        <w:spacing w:before="13"/>
        <w:ind w:left="122" w:right="50" w:firstLine="0"/>
        <w:jc w:val="left"/>
        <w:rPr>
          <w:sz w:val="16"/>
        </w:rPr>
      </w:pPr>
      <w:hyperlink r:id="rId52">
        <w:r>
          <w:rPr>
            <w:color w:val="0000FF"/>
            <w:sz w:val="16"/>
            <w:u w:val="single" w:color="0000FF"/>
          </w:rPr>
          <w:t>http://www.oecd.org/document/14/0,3746,en_39406396_39407430_39407310_1_1_1_1,00.html#1 </w:t>
        </w:r>
      </w:hyperlink>
      <w:r>
        <w:rPr>
          <w:sz w:val="16"/>
        </w:rPr>
        <w:t>[Fecha de consulta: 22 de mayo, 2015] y </w:t>
      </w:r>
      <w:hyperlink r:id="rId53">
        <w:r>
          <w:rPr>
            <w:sz w:val="16"/>
          </w:rPr>
          <w:t>http://www.oecd.org/dataoecd/54/19/41665400.pdf[</w:t>
        </w:r>
      </w:hyperlink>
      <w:r>
        <w:rPr>
          <w:sz w:val="16"/>
        </w:rPr>
        <w:t>Fecha de consulta: 22 de mayo, 2015]</w:t>
      </w:r>
    </w:p>
    <w:p>
      <w:pPr>
        <w:spacing w:after="0"/>
        <w:jc w:val="left"/>
        <w:rPr>
          <w:sz w:val="16"/>
        </w:rPr>
        <w:sectPr>
          <w:pgSz w:w="12240" w:h="15840"/>
          <w:pgMar w:header="0" w:footer="1003" w:top="1360" w:bottom="1200" w:left="1580" w:right="1580"/>
        </w:sectPr>
      </w:pPr>
    </w:p>
    <w:p>
      <w:pPr>
        <w:pStyle w:val="ListParagraph"/>
        <w:numPr>
          <w:ilvl w:val="3"/>
          <w:numId w:val="20"/>
        </w:numPr>
        <w:tabs>
          <w:tab w:pos="822" w:val="left" w:leader="none"/>
        </w:tabs>
        <w:spacing w:line="240" w:lineRule="auto" w:before="54" w:after="0"/>
        <w:ind w:left="822" w:right="0" w:hanging="360"/>
        <w:jc w:val="left"/>
        <w:rPr>
          <w:sz w:val="24"/>
        </w:rPr>
      </w:pPr>
      <w:r>
        <w:rPr>
          <w:sz w:val="24"/>
        </w:rPr>
        <w:t>La</w:t>
      </w:r>
      <w:r>
        <w:rPr>
          <w:spacing w:val="-12"/>
          <w:sz w:val="24"/>
        </w:rPr>
        <w:t> </w:t>
      </w:r>
      <w:r>
        <w:rPr>
          <w:sz w:val="24"/>
        </w:rPr>
        <w:t>identificación</w:t>
      </w:r>
      <w:r>
        <w:rPr>
          <w:spacing w:val="-12"/>
          <w:sz w:val="24"/>
        </w:rPr>
        <w:t> </w:t>
      </w:r>
      <w:r>
        <w:rPr>
          <w:sz w:val="24"/>
        </w:rPr>
        <w:t>de</w:t>
      </w:r>
      <w:r>
        <w:rPr>
          <w:spacing w:val="-12"/>
          <w:sz w:val="24"/>
        </w:rPr>
        <w:t> </w:t>
      </w:r>
      <w:r>
        <w:rPr>
          <w:sz w:val="24"/>
        </w:rPr>
        <w:t>las</w:t>
      </w:r>
      <w:r>
        <w:rPr>
          <w:spacing w:val="-13"/>
          <w:sz w:val="24"/>
        </w:rPr>
        <w:t> </w:t>
      </w:r>
      <w:r>
        <w:rPr>
          <w:sz w:val="24"/>
        </w:rPr>
        <w:t>opciones</w:t>
      </w:r>
      <w:r>
        <w:rPr>
          <w:spacing w:val="-12"/>
          <w:sz w:val="24"/>
        </w:rPr>
        <w:t> </w:t>
      </w:r>
      <w:r>
        <w:rPr>
          <w:sz w:val="24"/>
        </w:rPr>
        <w:t>de</w:t>
      </w:r>
      <w:r>
        <w:rPr>
          <w:spacing w:val="-12"/>
          <w:sz w:val="24"/>
        </w:rPr>
        <w:t> </w:t>
      </w:r>
      <w:r>
        <w:rPr>
          <w:sz w:val="24"/>
        </w:rPr>
        <w:t>contratación</w:t>
      </w:r>
      <w:r>
        <w:rPr>
          <w:spacing w:val="-12"/>
          <w:sz w:val="24"/>
        </w:rPr>
        <w:t> </w:t>
      </w:r>
      <w:r>
        <w:rPr>
          <w:sz w:val="24"/>
        </w:rPr>
        <w:t>y</w:t>
      </w:r>
      <w:r>
        <w:rPr>
          <w:spacing w:val="-14"/>
          <w:sz w:val="24"/>
        </w:rPr>
        <w:t> </w:t>
      </w:r>
      <w:r>
        <w:rPr>
          <w:sz w:val="24"/>
        </w:rPr>
        <w:t>los</w:t>
      </w:r>
      <w:r>
        <w:rPr>
          <w:spacing w:val="-12"/>
          <w:sz w:val="24"/>
        </w:rPr>
        <w:t> </w:t>
      </w:r>
      <w:r>
        <w:rPr>
          <w:sz w:val="24"/>
        </w:rPr>
        <w:t>servicios</w:t>
      </w:r>
      <w:r>
        <w:rPr>
          <w:spacing w:val="-12"/>
          <w:sz w:val="24"/>
        </w:rPr>
        <w:t> </w:t>
      </w:r>
      <w:r>
        <w:rPr>
          <w:sz w:val="24"/>
        </w:rPr>
        <w:t>por</w:t>
      </w:r>
      <w:r>
        <w:rPr>
          <w:spacing w:val="-13"/>
          <w:sz w:val="24"/>
        </w:rPr>
        <w:t> </w:t>
      </w:r>
      <w:r>
        <w:rPr>
          <w:sz w:val="24"/>
        </w:rPr>
        <w:t>contratar.</w:t>
      </w:r>
    </w:p>
    <w:p>
      <w:pPr>
        <w:pStyle w:val="ListParagraph"/>
        <w:numPr>
          <w:ilvl w:val="3"/>
          <w:numId w:val="20"/>
        </w:numPr>
        <w:tabs>
          <w:tab w:pos="822" w:val="left" w:leader="none"/>
        </w:tabs>
        <w:spacing w:line="360" w:lineRule="auto" w:before="139" w:after="0"/>
        <w:ind w:left="822" w:right="115" w:hanging="360"/>
        <w:jc w:val="left"/>
        <w:rPr>
          <w:sz w:val="24"/>
        </w:rPr>
      </w:pPr>
      <w:r>
        <w:rPr>
          <w:sz w:val="24"/>
        </w:rPr>
        <w:t>La consideración de los incentivos laborales, las políticas públicas, el diagnóstico y reducción de los riesgos</w:t>
      </w:r>
      <w:r>
        <w:rPr>
          <w:spacing w:val="-16"/>
          <w:sz w:val="24"/>
        </w:rPr>
        <w:t> </w:t>
      </w:r>
      <w:r>
        <w:rPr>
          <w:sz w:val="24"/>
        </w:rPr>
        <w:t>técnicos.</w:t>
      </w:r>
    </w:p>
    <w:p>
      <w:pPr>
        <w:pStyle w:val="ListParagraph"/>
        <w:numPr>
          <w:ilvl w:val="3"/>
          <w:numId w:val="20"/>
        </w:numPr>
        <w:tabs>
          <w:tab w:pos="822" w:val="left" w:leader="none"/>
        </w:tabs>
        <w:spacing w:line="360" w:lineRule="auto" w:before="5" w:after="0"/>
        <w:ind w:left="822" w:right="125" w:hanging="360"/>
        <w:jc w:val="both"/>
        <w:rPr>
          <w:sz w:val="24"/>
        </w:rPr>
      </w:pPr>
      <w:r>
        <w:rPr>
          <w:sz w:val="24"/>
        </w:rPr>
        <w:t>La evaluación de una contratación exitosa, considerando su viabilidad y capacidad para llevar a cabo la contratación y fortalecer el proceso de contratación</w:t>
      </w:r>
      <w:r>
        <w:rPr>
          <w:spacing w:val="-6"/>
          <w:sz w:val="24"/>
        </w:rPr>
        <w:t> </w:t>
      </w:r>
      <w:r>
        <w:rPr>
          <w:sz w:val="24"/>
        </w:rPr>
        <w:t>externa.</w:t>
      </w:r>
    </w:p>
    <w:p>
      <w:pPr>
        <w:pStyle w:val="ListParagraph"/>
        <w:numPr>
          <w:ilvl w:val="3"/>
          <w:numId w:val="20"/>
        </w:numPr>
        <w:tabs>
          <w:tab w:pos="822" w:val="left" w:leader="none"/>
        </w:tabs>
        <w:spacing w:line="360" w:lineRule="auto" w:before="2" w:after="0"/>
        <w:ind w:left="822" w:right="121" w:hanging="360"/>
        <w:jc w:val="left"/>
        <w:rPr>
          <w:sz w:val="24"/>
        </w:rPr>
      </w:pPr>
      <w:r>
        <w:rPr>
          <w:sz w:val="24"/>
        </w:rPr>
        <w:t>La adquisición del servicio externo, la estrategia implementada (proceso de contratación) y la medición del</w:t>
      </w:r>
      <w:r>
        <w:rPr>
          <w:spacing w:val="-14"/>
          <w:sz w:val="24"/>
        </w:rPr>
        <w:t> </w:t>
      </w:r>
      <w:r>
        <w:rPr>
          <w:sz w:val="24"/>
        </w:rPr>
        <w:t>desempeño.</w:t>
      </w:r>
    </w:p>
    <w:p>
      <w:pPr>
        <w:pStyle w:val="ListParagraph"/>
        <w:numPr>
          <w:ilvl w:val="3"/>
          <w:numId w:val="20"/>
        </w:numPr>
        <w:tabs>
          <w:tab w:pos="822" w:val="left" w:leader="none"/>
        </w:tabs>
        <w:spacing w:line="362" w:lineRule="auto" w:before="2" w:after="0"/>
        <w:ind w:left="822" w:right="121" w:hanging="360"/>
        <w:jc w:val="left"/>
        <w:rPr>
          <w:sz w:val="24"/>
        </w:rPr>
      </w:pPr>
      <w:r>
        <w:rPr>
          <w:sz w:val="24"/>
        </w:rPr>
        <w:t>La aplicación de los aspectos jurídicos de la contratación, funciones y servicios del gobierno (negociación, contratos y solución de</w:t>
      </w:r>
      <w:r>
        <w:rPr>
          <w:spacing w:val="-22"/>
          <w:sz w:val="24"/>
        </w:rPr>
        <w:t> </w:t>
      </w:r>
      <w:r>
        <w:rPr>
          <w:sz w:val="24"/>
        </w:rPr>
        <w:t>conflictos).</w:t>
      </w:r>
    </w:p>
    <w:p>
      <w:pPr>
        <w:pStyle w:val="BodyText"/>
        <w:spacing w:line="360" w:lineRule="auto"/>
        <w:ind w:left="102" w:right="115" w:firstLine="427"/>
        <w:jc w:val="both"/>
      </w:pPr>
      <w:r>
        <w:rPr/>
        <w:t>En la publicación </w:t>
      </w:r>
      <w:r>
        <w:rPr>
          <w:i/>
        </w:rPr>
        <w:t>Government at a Glance 2011 </w:t>
      </w:r>
      <w:r>
        <w:rPr/>
        <w:t>(Panorama de las Administraciones Públicas 2011) la OCDE mencionó que las recientes crisis globales han sido causadas principalmente por fallas en la regulación y en la supervisión de las instituciones del Estado, así como por deficiencias administrativas y de la intervención del gobierno en el sector privado. Esto ha llevado al Estado a plantear cambios en la estructura del gobierno y en la redefinición del papel del Estado en el mercado para restaurar la confianza de los ciudadanos.</w:t>
      </w:r>
    </w:p>
    <w:p>
      <w:pPr>
        <w:pStyle w:val="BodyText"/>
        <w:spacing w:line="360" w:lineRule="auto" w:before="2"/>
        <w:ind w:left="102" w:right="121" w:firstLine="427"/>
        <w:jc w:val="both"/>
      </w:pPr>
      <w:r>
        <w:rPr/>
        <w:t>La OCDE examinó los marcos institucionales orientados a promover la transparencia y el acceso a la información de los gobiernos y así mejorar los resultados</w:t>
      </w:r>
      <w:r>
        <w:rPr>
          <w:spacing w:val="-5"/>
        </w:rPr>
        <w:t> </w:t>
      </w:r>
      <w:r>
        <w:rPr/>
        <w:t>de</w:t>
      </w:r>
      <w:r>
        <w:rPr>
          <w:spacing w:val="-5"/>
        </w:rPr>
        <w:t> </w:t>
      </w:r>
      <w:r>
        <w:rPr/>
        <w:t>la</w:t>
      </w:r>
      <w:r>
        <w:rPr>
          <w:spacing w:val="-7"/>
        </w:rPr>
        <w:t> </w:t>
      </w:r>
      <w:r>
        <w:rPr/>
        <w:t>política,</w:t>
      </w:r>
      <w:r>
        <w:rPr>
          <w:spacing w:val="-2"/>
        </w:rPr>
        <w:t> </w:t>
      </w:r>
      <w:r>
        <w:rPr/>
        <w:t>mediante</w:t>
      </w:r>
      <w:r>
        <w:rPr>
          <w:spacing w:val="-3"/>
        </w:rPr>
        <w:t> </w:t>
      </w:r>
      <w:r>
        <w:rPr/>
        <w:t>reducir</w:t>
      </w:r>
      <w:r>
        <w:rPr>
          <w:spacing w:val="-6"/>
        </w:rPr>
        <w:t> </w:t>
      </w:r>
      <w:r>
        <w:rPr/>
        <w:t>al</w:t>
      </w:r>
      <w:r>
        <w:rPr>
          <w:spacing w:val="-6"/>
        </w:rPr>
        <w:t> </w:t>
      </w:r>
      <w:r>
        <w:rPr/>
        <w:t>mínimo</w:t>
      </w:r>
      <w:r>
        <w:rPr>
          <w:spacing w:val="-5"/>
        </w:rPr>
        <w:t> </w:t>
      </w:r>
      <w:r>
        <w:rPr/>
        <w:t>el</w:t>
      </w:r>
      <w:r>
        <w:rPr>
          <w:spacing w:val="-6"/>
        </w:rPr>
        <w:t> </w:t>
      </w:r>
      <w:r>
        <w:rPr/>
        <w:t>riesgo</w:t>
      </w:r>
      <w:r>
        <w:rPr>
          <w:spacing w:val="-5"/>
        </w:rPr>
        <w:t> </w:t>
      </w:r>
      <w:r>
        <w:rPr/>
        <w:t>de</w:t>
      </w:r>
      <w:r>
        <w:rPr>
          <w:spacing w:val="-7"/>
        </w:rPr>
        <w:t> </w:t>
      </w:r>
      <w:r>
        <w:rPr/>
        <w:t>fraude,</w:t>
      </w:r>
      <w:r>
        <w:rPr>
          <w:spacing w:val="-5"/>
        </w:rPr>
        <w:t> </w:t>
      </w:r>
      <w:r>
        <w:rPr/>
        <w:t>corrupción y malversación de fondos públicos. Los marcos institucionales incluyen la revisión de los siguientes</w:t>
      </w:r>
      <w:r>
        <w:rPr>
          <w:spacing w:val="-6"/>
        </w:rPr>
        <w:t> </w:t>
      </w:r>
      <w:r>
        <w:rPr/>
        <w:t>aspectos:</w:t>
      </w:r>
    </w:p>
    <w:p>
      <w:pPr>
        <w:pStyle w:val="BodyText"/>
      </w:pPr>
    </w:p>
    <w:p>
      <w:pPr>
        <w:pStyle w:val="ListParagraph"/>
        <w:numPr>
          <w:ilvl w:val="0"/>
          <w:numId w:val="21"/>
        </w:numPr>
        <w:tabs>
          <w:tab w:pos="822" w:val="left" w:leader="none"/>
        </w:tabs>
        <w:spacing w:line="240" w:lineRule="auto" w:before="142" w:after="0"/>
        <w:ind w:left="822" w:right="0" w:hanging="360"/>
        <w:jc w:val="left"/>
        <w:rPr>
          <w:sz w:val="24"/>
        </w:rPr>
      </w:pPr>
      <w:r>
        <w:rPr>
          <w:sz w:val="24"/>
        </w:rPr>
        <w:t>La legislación sobre el acceso a la información</w:t>
      </w:r>
      <w:r>
        <w:rPr>
          <w:spacing w:val="-20"/>
          <w:sz w:val="24"/>
        </w:rPr>
        <w:t> </w:t>
      </w:r>
      <w:r>
        <w:rPr>
          <w:sz w:val="24"/>
        </w:rPr>
        <w:t>pública.</w:t>
      </w:r>
    </w:p>
    <w:p>
      <w:pPr>
        <w:pStyle w:val="ListParagraph"/>
        <w:numPr>
          <w:ilvl w:val="0"/>
          <w:numId w:val="21"/>
        </w:numPr>
        <w:tabs>
          <w:tab w:pos="822" w:val="left" w:leader="none"/>
        </w:tabs>
        <w:spacing w:line="240" w:lineRule="auto" w:before="140" w:after="0"/>
        <w:ind w:left="822" w:right="0" w:hanging="360"/>
        <w:jc w:val="left"/>
        <w:rPr>
          <w:sz w:val="24"/>
        </w:rPr>
      </w:pPr>
      <w:r>
        <w:rPr>
          <w:sz w:val="24"/>
        </w:rPr>
        <w:t>Las normas que rigen la divulgación de los posibles conflictos de</w:t>
      </w:r>
      <w:r>
        <w:rPr>
          <w:spacing w:val="-25"/>
          <w:sz w:val="24"/>
        </w:rPr>
        <w:t> </w:t>
      </w:r>
      <w:r>
        <w:rPr>
          <w:sz w:val="24"/>
        </w:rPr>
        <w:t>intereses.</w:t>
      </w:r>
    </w:p>
    <w:p>
      <w:pPr>
        <w:pStyle w:val="ListParagraph"/>
        <w:numPr>
          <w:ilvl w:val="0"/>
          <w:numId w:val="21"/>
        </w:numPr>
        <w:tabs>
          <w:tab w:pos="822" w:val="left" w:leader="none"/>
        </w:tabs>
        <w:spacing w:line="360" w:lineRule="auto" w:before="137" w:after="0"/>
        <w:ind w:left="822" w:right="121" w:hanging="360"/>
        <w:jc w:val="left"/>
        <w:rPr>
          <w:sz w:val="24"/>
        </w:rPr>
      </w:pPr>
      <w:r>
        <w:rPr>
          <w:sz w:val="24"/>
        </w:rPr>
        <w:t>Los papeles de los principales organismos públicos encargados de la transparencia y acceso a la</w:t>
      </w:r>
      <w:r>
        <w:rPr>
          <w:spacing w:val="-13"/>
          <w:sz w:val="24"/>
        </w:rPr>
        <w:t> </w:t>
      </w:r>
      <w:r>
        <w:rPr>
          <w:sz w:val="24"/>
        </w:rPr>
        <w:t>Información.</w:t>
      </w:r>
    </w:p>
    <w:p>
      <w:pPr>
        <w:pStyle w:val="BodyText"/>
      </w:pPr>
    </w:p>
    <w:p>
      <w:pPr>
        <w:pStyle w:val="BodyText"/>
        <w:spacing w:line="360" w:lineRule="auto" w:before="139"/>
        <w:ind w:left="102"/>
      </w:pPr>
      <w:r>
        <w:rPr/>
        <w:t>De acuerdo con la OCDE, legislaturas requieren información confiable e imparcial, así como una fuerte capacidad analítica para participar de forma más apropiada en</w:t>
      </w:r>
    </w:p>
    <w:p>
      <w:pPr>
        <w:spacing w:after="0" w:line="360" w:lineRule="auto"/>
        <w:sectPr>
          <w:pgSz w:w="12240" w:h="15840"/>
          <w:pgMar w:header="0" w:footer="1003" w:top="1360" w:bottom="1200" w:left="1600" w:right="1580"/>
        </w:sectPr>
      </w:pPr>
    </w:p>
    <w:p>
      <w:pPr>
        <w:pStyle w:val="BodyText"/>
        <w:spacing w:line="360" w:lineRule="auto" w:before="54"/>
        <w:ind w:left="122" w:right="118"/>
        <w:jc w:val="both"/>
      </w:pPr>
      <w:r>
        <w:rPr/>
        <w:t>el proceso presupuestario. Un aspecto muy importante es que la documentación presupuestaria está disponible para la mayoría de </w:t>
      </w:r>
      <w:r>
        <w:rPr>
          <w:spacing w:val="2"/>
        </w:rPr>
        <w:t>los </w:t>
      </w:r>
      <w:r>
        <w:rPr/>
        <w:t>congresos de los países miembros de la OCDE. La Organización mencionó que existe la tendencia a establecer unidades especializadas de investigación presupuestaria dentro de los congresos, y que éstas varían en términos de tamaño, componentes y funciones básicas, pero todas convergen en simplificar el presupuesto, ayudan a eliminar el monopolio</w:t>
      </w:r>
      <w:r>
        <w:rPr>
          <w:spacing w:val="-5"/>
        </w:rPr>
        <w:t> </w:t>
      </w:r>
      <w:r>
        <w:rPr/>
        <w:t>de</w:t>
      </w:r>
      <w:r>
        <w:rPr>
          <w:spacing w:val="-5"/>
        </w:rPr>
        <w:t> </w:t>
      </w:r>
      <w:r>
        <w:rPr/>
        <w:t>la</w:t>
      </w:r>
      <w:r>
        <w:rPr>
          <w:spacing w:val="-7"/>
        </w:rPr>
        <w:t> </w:t>
      </w:r>
      <w:r>
        <w:rPr/>
        <w:t>información</w:t>
      </w:r>
      <w:r>
        <w:rPr>
          <w:spacing w:val="-7"/>
        </w:rPr>
        <w:t> </w:t>
      </w:r>
      <w:r>
        <w:rPr/>
        <w:t>del</w:t>
      </w:r>
      <w:r>
        <w:rPr>
          <w:spacing w:val="-8"/>
        </w:rPr>
        <w:t> </w:t>
      </w:r>
      <w:r>
        <w:rPr/>
        <w:t>Poder</w:t>
      </w:r>
      <w:r>
        <w:rPr>
          <w:spacing w:val="-6"/>
        </w:rPr>
        <w:t> </w:t>
      </w:r>
      <w:r>
        <w:rPr/>
        <w:t>Ejecutivo</w:t>
      </w:r>
      <w:r>
        <w:rPr>
          <w:spacing w:val="-5"/>
        </w:rPr>
        <w:t> </w:t>
      </w:r>
      <w:r>
        <w:rPr/>
        <w:t>en</w:t>
      </w:r>
      <w:r>
        <w:rPr>
          <w:spacing w:val="-5"/>
        </w:rPr>
        <w:t> </w:t>
      </w:r>
      <w:r>
        <w:rPr/>
        <w:t>el</w:t>
      </w:r>
      <w:r>
        <w:rPr>
          <w:spacing w:val="-2"/>
        </w:rPr>
        <w:t> </w:t>
      </w:r>
      <w:r>
        <w:rPr/>
        <w:t>proceso</w:t>
      </w:r>
      <w:r>
        <w:rPr>
          <w:spacing w:val="-5"/>
        </w:rPr>
        <w:t> </w:t>
      </w:r>
      <w:r>
        <w:rPr/>
        <w:t>presupuestario</w:t>
      </w:r>
      <w:r>
        <w:rPr>
          <w:spacing w:val="-5"/>
        </w:rPr>
        <w:t> </w:t>
      </w:r>
      <w:r>
        <w:rPr/>
        <w:t>y</w:t>
      </w:r>
      <w:r>
        <w:rPr>
          <w:spacing w:val="-8"/>
        </w:rPr>
        <w:t> </w:t>
      </w:r>
      <w:r>
        <w:rPr/>
        <w:t>así mejorar la credibilidad del presupuesto y la rendición de</w:t>
      </w:r>
      <w:r>
        <w:rPr>
          <w:spacing w:val="-23"/>
        </w:rPr>
        <w:t> </w:t>
      </w:r>
      <w:r>
        <w:rPr/>
        <w:t>cuentas.</w:t>
      </w:r>
    </w:p>
    <w:p>
      <w:pPr>
        <w:pStyle w:val="BodyText"/>
        <w:spacing w:before="3"/>
      </w:pPr>
    </w:p>
    <w:p>
      <w:pPr>
        <w:pStyle w:val="Heading2"/>
        <w:numPr>
          <w:ilvl w:val="1"/>
          <w:numId w:val="22"/>
        </w:numPr>
        <w:tabs>
          <w:tab w:pos="554" w:val="left" w:leader="none"/>
        </w:tabs>
        <w:spacing w:line="240" w:lineRule="auto" w:before="1" w:after="0"/>
        <w:ind w:left="553" w:right="0" w:hanging="431"/>
        <w:jc w:val="both"/>
      </w:pPr>
      <w:bookmarkStart w:name="_bookmark18" w:id="27"/>
      <w:bookmarkEnd w:id="27"/>
      <w:r>
        <w:rPr>
          <w:b w:val="0"/>
        </w:rPr>
      </w:r>
      <w:bookmarkStart w:name="_bookmark18" w:id="28"/>
      <w:bookmarkEnd w:id="28"/>
      <w:r>
        <w:rPr/>
        <w:t>Ind</w:t>
      </w:r>
      <w:r>
        <w:rPr/>
        <w:t>icadores de desempeño internacionales para la</w:t>
      </w:r>
      <w:r>
        <w:rPr>
          <w:spacing w:val="-47"/>
        </w:rPr>
        <w:t> </w:t>
      </w:r>
      <w:r>
        <w:rPr/>
        <w:t>gobernanza</w:t>
      </w:r>
    </w:p>
    <w:p>
      <w:pPr>
        <w:pStyle w:val="BodyText"/>
        <w:spacing w:before="3"/>
        <w:rPr>
          <w:b/>
          <w:sz w:val="30"/>
        </w:rPr>
      </w:pPr>
    </w:p>
    <w:p>
      <w:pPr>
        <w:pStyle w:val="BodyText"/>
        <w:spacing w:line="360" w:lineRule="auto"/>
        <w:ind w:left="122" w:right="115"/>
        <w:jc w:val="both"/>
      </w:pPr>
      <w:r>
        <w:rPr/>
        <w:t>La evaluación del desempeño del Estado es un tema central en todos los países. La necesidad de maximizar los beneficios al menor costo posible es el parámetro básico de la evaluación económica del desempeño. La evaluación tiene la</w:t>
      </w:r>
      <w:r>
        <w:rPr>
          <w:spacing w:val="-40"/>
        </w:rPr>
        <w:t> </w:t>
      </w:r>
      <w:r>
        <w:rPr/>
        <w:t>finalidad de conocer en términos generales la forma y el grado de cumplimiento de las políticas y, en cierta medida, presenta la calidad de los bienes y servicios públicos. Los indicadores de desempeño</w:t>
      </w:r>
      <w:r>
        <w:rPr>
          <w:position w:val="8"/>
          <w:sz w:val="16"/>
        </w:rPr>
        <w:t>29 </w:t>
      </w:r>
      <w:r>
        <w:rPr/>
        <w:t>permiten generar una representación simplificada de la realidad y responden a las tres grandes funciones</w:t>
      </w:r>
      <w:r>
        <w:rPr>
          <w:spacing w:val="-19"/>
        </w:rPr>
        <w:t> </w:t>
      </w:r>
      <w:r>
        <w:rPr/>
        <w:t>siguientes:</w:t>
      </w:r>
    </w:p>
    <w:p>
      <w:pPr>
        <w:pStyle w:val="BodyText"/>
      </w:pPr>
    </w:p>
    <w:p>
      <w:pPr>
        <w:pStyle w:val="ListParagraph"/>
        <w:numPr>
          <w:ilvl w:val="2"/>
          <w:numId w:val="22"/>
        </w:numPr>
        <w:tabs>
          <w:tab w:pos="842" w:val="left" w:leader="none"/>
        </w:tabs>
        <w:spacing w:line="360" w:lineRule="auto" w:before="142" w:after="0"/>
        <w:ind w:left="842" w:right="120" w:hanging="360"/>
        <w:jc w:val="both"/>
        <w:rPr>
          <w:sz w:val="24"/>
        </w:rPr>
      </w:pPr>
      <w:r>
        <w:rPr>
          <w:sz w:val="24"/>
        </w:rPr>
        <w:t>Apoyo político: Contribuyen a identificar las prioridades sociales y a evaluar los</w:t>
      </w:r>
      <w:r>
        <w:rPr>
          <w:spacing w:val="-11"/>
          <w:sz w:val="24"/>
        </w:rPr>
        <w:t> </w:t>
      </w:r>
      <w:r>
        <w:rPr>
          <w:sz w:val="24"/>
        </w:rPr>
        <w:t>rendimientos</w:t>
      </w:r>
      <w:r>
        <w:rPr>
          <w:spacing w:val="-14"/>
          <w:sz w:val="24"/>
        </w:rPr>
        <w:t> </w:t>
      </w:r>
      <w:r>
        <w:rPr>
          <w:sz w:val="24"/>
        </w:rPr>
        <w:t>de</w:t>
      </w:r>
      <w:r>
        <w:rPr>
          <w:spacing w:val="-13"/>
          <w:sz w:val="24"/>
        </w:rPr>
        <w:t> </w:t>
      </w:r>
      <w:r>
        <w:rPr>
          <w:sz w:val="24"/>
        </w:rPr>
        <w:t>los</w:t>
      </w:r>
      <w:r>
        <w:rPr>
          <w:spacing w:val="-13"/>
          <w:sz w:val="24"/>
        </w:rPr>
        <w:t> </w:t>
      </w:r>
      <w:r>
        <w:rPr>
          <w:sz w:val="24"/>
        </w:rPr>
        <w:t>actores</w:t>
      </w:r>
      <w:r>
        <w:rPr>
          <w:spacing w:val="-14"/>
          <w:sz w:val="24"/>
        </w:rPr>
        <w:t> </w:t>
      </w:r>
      <w:r>
        <w:rPr>
          <w:sz w:val="24"/>
        </w:rPr>
        <w:t>involucrados</w:t>
      </w:r>
      <w:r>
        <w:rPr>
          <w:spacing w:val="-14"/>
          <w:sz w:val="24"/>
        </w:rPr>
        <w:t> </w:t>
      </w:r>
      <w:r>
        <w:rPr>
          <w:sz w:val="24"/>
        </w:rPr>
        <w:t>en</w:t>
      </w:r>
      <w:r>
        <w:rPr>
          <w:spacing w:val="-11"/>
          <w:sz w:val="24"/>
        </w:rPr>
        <w:t> </w:t>
      </w:r>
      <w:r>
        <w:rPr>
          <w:sz w:val="24"/>
        </w:rPr>
        <w:t>la</w:t>
      </w:r>
      <w:r>
        <w:rPr>
          <w:spacing w:val="-11"/>
          <w:sz w:val="24"/>
        </w:rPr>
        <w:t> </w:t>
      </w:r>
      <w:r>
        <w:rPr>
          <w:sz w:val="24"/>
        </w:rPr>
        <w:t>gobernanza</w:t>
      </w:r>
      <w:r>
        <w:rPr>
          <w:spacing w:val="-11"/>
          <w:sz w:val="24"/>
        </w:rPr>
        <w:t> </w:t>
      </w:r>
      <w:r>
        <w:rPr>
          <w:sz w:val="24"/>
        </w:rPr>
        <w:t>(para</w:t>
      </w:r>
      <w:r>
        <w:rPr>
          <w:spacing w:val="-14"/>
          <w:sz w:val="24"/>
        </w:rPr>
        <w:t> </w:t>
      </w:r>
      <w:r>
        <w:rPr>
          <w:sz w:val="24"/>
        </w:rPr>
        <w:t>elaborar la agenda</w:t>
      </w:r>
      <w:r>
        <w:rPr>
          <w:spacing w:val="-7"/>
          <w:sz w:val="24"/>
        </w:rPr>
        <w:t> </w:t>
      </w:r>
      <w:r>
        <w:rPr>
          <w:sz w:val="24"/>
        </w:rPr>
        <w:t>pública).</w:t>
      </w:r>
    </w:p>
    <w:p>
      <w:pPr>
        <w:pStyle w:val="ListParagraph"/>
        <w:numPr>
          <w:ilvl w:val="2"/>
          <w:numId w:val="22"/>
        </w:numPr>
        <w:tabs>
          <w:tab w:pos="842" w:val="left" w:leader="none"/>
        </w:tabs>
        <w:spacing w:line="360" w:lineRule="auto" w:before="5" w:after="0"/>
        <w:ind w:left="842" w:right="117" w:hanging="360"/>
        <w:jc w:val="both"/>
        <w:rPr>
          <w:sz w:val="24"/>
        </w:rPr>
      </w:pPr>
      <w:r>
        <w:rPr>
          <w:sz w:val="24"/>
        </w:rPr>
        <w:t>Apoyo</w:t>
      </w:r>
      <w:r>
        <w:rPr>
          <w:spacing w:val="-14"/>
          <w:sz w:val="24"/>
        </w:rPr>
        <w:t> </w:t>
      </w:r>
      <w:r>
        <w:rPr>
          <w:sz w:val="24"/>
        </w:rPr>
        <w:t>científico:</w:t>
      </w:r>
      <w:r>
        <w:rPr>
          <w:spacing w:val="-14"/>
          <w:sz w:val="24"/>
        </w:rPr>
        <w:t> </w:t>
      </w:r>
      <w:r>
        <w:rPr>
          <w:sz w:val="24"/>
        </w:rPr>
        <w:t>Describen</w:t>
      </w:r>
      <w:r>
        <w:rPr>
          <w:spacing w:val="-14"/>
          <w:sz w:val="24"/>
        </w:rPr>
        <w:t> </w:t>
      </w:r>
      <w:r>
        <w:rPr>
          <w:sz w:val="24"/>
        </w:rPr>
        <w:t>y</w:t>
      </w:r>
      <w:r>
        <w:rPr>
          <w:spacing w:val="-17"/>
          <w:sz w:val="24"/>
        </w:rPr>
        <w:t> </w:t>
      </w:r>
      <w:r>
        <w:rPr>
          <w:sz w:val="24"/>
        </w:rPr>
        <w:t>explican</w:t>
      </w:r>
      <w:r>
        <w:rPr>
          <w:spacing w:val="-14"/>
          <w:sz w:val="24"/>
        </w:rPr>
        <w:t> </w:t>
      </w:r>
      <w:r>
        <w:rPr>
          <w:spacing w:val="2"/>
          <w:sz w:val="24"/>
        </w:rPr>
        <w:t>el</w:t>
      </w:r>
      <w:r>
        <w:rPr>
          <w:spacing w:val="-15"/>
          <w:sz w:val="24"/>
        </w:rPr>
        <w:t> </w:t>
      </w:r>
      <w:r>
        <w:rPr>
          <w:sz w:val="24"/>
        </w:rPr>
        <w:t>desempeño</w:t>
      </w:r>
      <w:r>
        <w:rPr>
          <w:spacing w:val="-14"/>
          <w:sz w:val="24"/>
        </w:rPr>
        <w:t> </w:t>
      </w:r>
      <w:r>
        <w:rPr>
          <w:sz w:val="24"/>
        </w:rPr>
        <w:t>del</w:t>
      </w:r>
      <w:r>
        <w:rPr>
          <w:spacing w:val="-15"/>
          <w:sz w:val="24"/>
        </w:rPr>
        <w:t> </w:t>
      </w:r>
      <w:r>
        <w:rPr>
          <w:sz w:val="24"/>
        </w:rPr>
        <w:t>Estado</w:t>
      </w:r>
      <w:r>
        <w:rPr>
          <w:spacing w:val="-14"/>
          <w:sz w:val="24"/>
        </w:rPr>
        <w:t> </w:t>
      </w:r>
      <w:r>
        <w:rPr>
          <w:sz w:val="24"/>
        </w:rPr>
        <w:t>(humanidad, reciprocidad,</w:t>
      </w:r>
      <w:r>
        <w:rPr>
          <w:spacing w:val="-14"/>
          <w:sz w:val="24"/>
        </w:rPr>
        <w:t> </w:t>
      </w:r>
      <w:r>
        <w:rPr>
          <w:sz w:val="24"/>
        </w:rPr>
        <w:t>respeto</w:t>
      </w:r>
      <w:r>
        <w:rPr>
          <w:spacing w:val="-14"/>
          <w:sz w:val="24"/>
        </w:rPr>
        <w:t> </w:t>
      </w:r>
      <w:r>
        <w:rPr>
          <w:sz w:val="24"/>
        </w:rPr>
        <w:t>por</w:t>
      </w:r>
      <w:r>
        <w:rPr>
          <w:spacing w:val="-13"/>
          <w:sz w:val="24"/>
        </w:rPr>
        <w:t> </w:t>
      </w:r>
      <w:r>
        <w:rPr>
          <w:sz w:val="24"/>
        </w:rPr>
        <w:t>la</w:t>
      </w:r>
      <w:r>
        <w:rPr>
          <w:spacing w:val="-12"/>
          <w:sz w:val="24"/>
        </w:rPr>
        <w:t> </w:t>
      </w:r>
      <w:r>
        <w:rPr>
          <w:sz w:val="24"/>
        </w:rPr>
        <w:t>vida,</w:t>
      </w:r>
      <w:r>
        <w:rPr>
          <w:spacing w:val="-12"/>
          <w:sz w:val="24"/>
        </w:rPr>
        <w:t> </w:t>
      </w:r>
      <w:r>
        <w:rPr>
          <w:sz w:val="24"/>
        </w:rPr>
        <w:t>rechazo</w:t>
      </w:r>
      <w:r>
        <w:rPr>
          <w:spacing w:val="-12"/>
          <w:sz w:val="24"/>
        </w:rPr>
        <w:t> </w:t>
      </w:r>
      <w:r>
        <w:rPr>
          <w:sz w:val="24"/>
        </w:rPr>
        <w:t>de</w:t>
      </w:r>
      <w:r>
        <w:rPr>
          <w:spacing w:val="-14"/>
          <w:sz w:val="24"/>
        </w:rPr>
        <w:t> </w:t>
      </w:r>
      <w:r>
        <w:rPr>
          <w:sz w:val="24"/>
        </w:rPr>
        <w:t>la</w:t>
      </w:r>
      <w:r>
        <w:rPr>
          <w:spacing w:val="-12"/>
          <w:sz w:val="24"/>
        </w:rPr>
        <w:t> </w:t>
      </w:r>
      <w:r>
        <w:rPr>
          <w:sz w:val="24"/>
        </w:rPr>
        <w:t>violencia,</w:t>
      </w:r>
      <w:r>
        <w:rPr>
          <w:spacing w:val="-12"/>
          <w:sz w:val="24"/>
        </w:rPr>
        <w:t> </w:t>
      </w:r>
      <w:r>
        <w:rPr>
          <w:sz w:val="24"/>
        </w:rPr>
        <w:t>solidaridad,</w:t>
      </w:r>
      <w:r>
        <w:rPr>
          <w:spacing w:val="-12"/>
          <w:sz w:val="24"/>
        </w:rPr>
        <w:t> </w:t>
      </w:r>
      <w:r>
        <w:rPr>
          <w:sz w:val="24"/>
        </w:rPr>
        <w:t>justicia, tolerancia, veracidad, igualdad de derechos y cooperación, entre</w:t>
      </w:r>
      <w:r>
        <w:rPr>
          <w:spacing w:val="-23"/>
          <w:sz w:val="24"/>
        </w:rPr>
        <w:t> </w:t>
      </w:r>
      <w:r>
        <w:rPr>
          <w:sz w:val="24"/>
        </w:rPr>
        <w:t>otros).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2488;mso-wrap-distance-left:0;mso-wrap-distance-right:0" from="85.103996pt,8.168798pt" to="229.123996pt,8.168798pt" stroked="true" strokeweight=".71997pt" strokecolor="#000000">
            <w10:wrap type="topAndBottom"/>
          </v:line>
        </w:pict>
      </w:r>
    </w:p>
    <w:p>
      <w:pPr>
        <w:spacing w:line="271" w:lineRule="auto" w:before="67"/>
        <w:ind w:left="122" w:right="120" w:firstLine="0"/>
        <w:jc w:val="both"/>
        <w:rPr>
          <w:sz w:val="16"/>
        </w:rPr>
      </w:pPr>
      <w:r>
        <w:rPr>
          <w:rFonts w:ascii="Calibri" w:hAnsi="Calibri"/>
          <w:position w:val="8"/>
          <w:sz w:val="14"/>
        </w:rPr>
        <w:t>29</w:t>
      </w:r>
      <w:r>
        <w:rPr>
          <w:sz w:val="16"/>
        </w:rPr>
        <w:t>La</w:t>
      </w:r>
      <w:r>
        <w:rPr>
          <w:spacing w:val="-12"/>
          <w:sz w:val="16"/>
        </w:rPr>
        <w:t> </w:t>
      </w:r>
      <w:r>
        <w:rPr>
          <w:sz w:val="16"/>
        </w:rPr>
        <w:t>OCDE</w:t>
      </w:r>
      <w:r>
        <w:rPr>
          <w:spacing w:val="-15"/>
          <w:sz w:val="16"/>
        </w:rPr>
        <w:t> </w:t>
      </w:r>
      <w:r>
        <w:rPr>
          <w:sz w:val="16"/>
        </w:rPr>
        <w:t>considera</w:t>
      </w:r>
      <w:r>
        <w:rPr>
          <w:spacing w:val="-14"/>
          <w:sz w:val="16"/>
        </w:rPr>
        <w:t> </w:t>
      </w:r>
      <w:r>
        <w:rPr>
          <w:sz w:val="16"/>
        </w:rPr>
        <w:t>que</w:t>
      </w:r>
      <w:r>
        <w:rPr>
          <w:spacing w:val="-12"/>
          <w:sz w:val="16"/>
        </w:rPr>
        <w:t> </w:t>
      </w:r>
      <w:r>
        <w:rPr>
          <w:sz w:val="16"/>
        </w:rPr>
        <w:t>un</w:t>
      </w:r>
      <w:r>
        <w:rPr>
          <w:spacing w:val="-14"/>
          <w:sz w:val="16"/>
        </w:rPr>
        <w:t> </w:t>
      </w:r>
      <w:r>
        <w:rPr>
          <w:sz w:val="16"/>
        </w:rPr>
        <w:t>indicador</w:t>
      </w:r>
      <w:r>
        <w:rPr>
          <w:spacing w:val="-12"/>
          <w:sz w:val="16"/>
        </w:rPr>
        <w:t> </w:t>
      </w:r>
      <w:r>
        <w:rPr>
          <w:sz w:val="16"/>
        </w:rPr>
        <w:t>de</w:t>
      </w:r>
      <w:r>
        <w:rPr>
          <w:spacing w:val="-12"/>
          <w:sz w:val="16"/>
        </w:rPr>
        <w:t> </w:t>
      </w:r>
      <w:r>
        <w:rPr>
          <w:sz w:val="16"/>
        </w:rPr>
        <w:t>desempeño</w:t>
      </w:r>
      <w:r>
        <w:rPr>
          <w:spacing w:val="-14"/>
          <w:sz w:val="16"/>
        </w:rPr>
        <w:t> </w:t>
      </w:r>
      <w:r>
        <w:rPr>
          <w:sz w:val="16"/>
        </w:rPr>
        <w:t>es</w:t>
      </w:r>
      <w:r>
        <w:rPr>
          <w:spacing w:val="-12"/>
          <w:sz w:val="16"/>
        </w:rPr>
        <w:t> </w:t>
      </w:r>
      <w:r>
        <w:rPr>
          <w:sz w:val="16"/>
        </w:rPr>
        <w:t>una</w:t>
      </w:r>
      <w:r>
        <w:rPr>
          <w:spacing w:val="-14"/>
          <w:sz w:val="16"/>
        </w:rPr>
        <w:t> </w:t>
      </w:r>
      <w:r>
        <w:rPr>
          <w:sz w:val="16"/>
        </w:rPr>
        <w:t>“variable</w:t>
      </w:r>
      <w:r>
        <w:rPr>
          <w:spacing w:val="-14"/>
          <w:sz w:val="16"/>
        </w:rPr>
        <w:t> </w:t>
      </w:r>
      <w:r>
        <w:rPr>
          <w:sz w:val="16"/>
        </w:rPr>
        <w:t>que</w:t>
      </w:r>
      <w:r>
        <w:rPr>
          <w:spacing w:val="-12"/>
          <w:sz w:val="16"/>
        </w:rPr>
        <w:t> </w:t>
      </w:r>
      <w:r>
        <w:rPr>
          <w:sz w:val="16"/>
        </w:rPr>
        <w:t>permite</w:t>
      </w:r>
      <w:r>
        <w:rPr>
          <w:spacing w:val="-14"/>
          <w:sz w:val="16"/>
        </w:rPr>
        <w:t> </w:t>
      </w:r>
      <w:r>
        <w:rPr>
          <w:sz w:val="16"/>
        </w:rPr>
        <w:t>verificar</w:t>
      </w:r>
      <w:r>
        <w:rPr>
          <w:spacing w:val="-14"/>
          <w:sz w:val="16"/>
        </w:rPr>
        <w:t> </w:t>
      </w:r>
      <w:r>
        <w:rPr>
          <w:sz w:val="16"/>
        </w:rPr>
        <w:t>cambios</w:t>
      </w:r>
      <w:r>
        <w:rPr>
          <w:spacing w:val="-13"/>
          <w:sz w:val="16"/>
        </w:rPr>
        <w:t> </w:t>
      </w:r>
      <w:r>
        <w:rPr>
          <w:sz w:val="16"/>
        </w:rPr>
        <w:t>debidos</w:t>
      </w:r>
      <w:r>
        <w:rPr>
          <w:spacing w:val="-11"/>
          <w:sz w:val="16"/>
        </w:rPr>
        <w:t> </w:t>
      </w:r>
      <w:r>
        <w:rPr>
          <w:sz w:val="16"/>
        </w:rPr>
        <w:t>a</w:t>
      </w:r>
      <w:r>
        <w:rPr>
          <w:spacing w:val="-14"/>
          <w:sz w:val="16"/>
        </w:rPr>
        <w:t> </w:t>
      </w:r>
      <w:r>
        <w:rPr>
          <w:sz w:val="16"/>
        </w:rPr>
        <w:t>la</w:t>
      </w:r>
      <w:r>
        <w:rPr>
          <w:spacing w:val="-14"/>
          <w:sz w:val="16"/>
        </w:rPr>
        <w:t> </w:t>
      </w:r>
      <w:r>
        <w:rPr>
          <w:sz w:val="16"/>
        </w:rPr>
        <w:t>intervención para el desarrollo o que muestra resultados en relación con lo que se ha</w:t>
      </w:r>
      <w:r>
        <w:rPr>
          <w:spacing w:val="-29"/>
          <w:sz w:val="16"/>
        </w:rPr>
        <w:t> </w:t>
      </w:r>
      <w:r>
        <w:rPr>
          <w:sz w:val="16"/>
        </w:rPr>
        <w:t>planeado”.</w:t>
      </w:r>
    </w:p>
    <w:p>
      <w:pPr>
        <w:spacing w:line="161" w:lineRule="exact" w:before="0"/>
        <w:ind w:left="122" w:right="0" w:firstLine="0"/>
        <w:jc w:val="both"/>
        <w:rPr>
          <w:sz w:val="16"/>
        </w:rPr>
      </w:pPr>
      <w:r>
        <w:rPr>
          <w:sz w:val="16"/>
        </w:rPr>
        <w:t>(OCDE, s.f.) Disponible en: </w:t>
      </w:r>
      <w:hyperlink r:id="rId54">
        <w:r>
          <w:rPr>
            <w:color w:val="0000FF"/>
            <w:sz w:val="16"/>
            <w:u w:val="single" w:color="0000FF"/>
          </w:rPr>
          <w:t>http://www.comminit.com/es/node/209185</w:t>
        </w:r>
      </w:hyperlink>
    </w:p>
    <w:p>
      <w:pPr>
        <w:spacing w:line="183" w:lineRule="exact" w:before="0"/>
        <w:ind w:left="122" w:right="0" w:firstLine="0"/>
        <w:jc w:val="both"/>
        <w:rPr>
          <w:sz w:val="16"/>
        </w:rPr>
      </w:pPr>
      <w:r>
        <w:rPr>
          <w:sz w:val="16"/>
        </w:rPr>
        <w:t>[Fecha de consulta: 23 de mayo, 2015]</w:t>
      </w:r>
    </w:p>
    <w:p>
      <w:pPr>
        <w:spacing w:before="1"/>
        <w:ind w:left="122" w:right="121" w:firstLine="0"/>
        <w:jc w:val="both"/>
        <w:rPr>
          <w:sz w:val="16"/>
        </w:rPr>
      </w:pPr>
      <w:r>
        <w:rPr>
          <w:sz w:val="16"/>
        </w:rPr>
        <w:t>En ese sentido, los indicadores de desempeño se orientan a medir y mejorar la calidad del gasto público mediante la asignación</w:t>
      </w:r>
      <w:r>
        <w:rPr>
          <w:spacing w:val="-8"/>
          <w:sz w:val="16"/>
        </w:rPr>
        <w:t> </w:t>
      </w:r>
      <w:r>
        <w:rPr>
          <w:sz w:val="16"/>
        </w:rPr>
        <w:t>óptima</w:t>
      </w:r>
      <w:r>
        <w:rPr>
          <w:spacing w:val="-8"/>
          <w:sz w:val="16"/>
        </w:rPr>
        <w:t> </w:t>
      </w:r>
      <w:r>
        <w:rPr>
          <w:sz w:val="16"/>
        </w:rPr>
        <w:t>de</w:t>
      </w:r>
      <w:r>
        <w:rPr>
          <w:spacing w:val="-8"/>
          <w:sz w:val="16"/>
        </w:rPr>
        <w:t> </w:t>
      </w:r>
      <w:r>
        <w:rPr>
          <w:sz w:val="16"/>
        </w:rPr>
        <w:t>los</w:t>
      </w:r>
      <w:r>
        <w:rPr>
          <w:spacing w:val="-6"/>
          <w:sz w:val="16"/>
        </w:rPr>
        <w:t> </w:t>
      </w:r>
      <w:r>
        <w:rPr>
          <w:sz w:val="16"/>
        </w:rPr>
        <w:t>recursos</w:t>
      </w:r>
      <w:r>
        <w:rPr>
          <w:spacing w:val="-8"/>
          <w:sz w:val="16"/>
        </w:rPr>
        <w:t> </w:t>
      </w:r>
      <w:r>
        <w:rPr>
          <w:sz w:val="16"/>
        </w:rPr>
        <w:t>escasos</w:t>
      </w:r>
      <w:r>
        <w:rPr>
          <w:spacing w:val="-6"/>
          <w:sz w:val="16"/>
        </w:rPr>
        <w:t> </w:t>
      </w:r>
      <w:r>
        <w:rPr>
          <w:sz w:val="16"/>
        </w:rPr>
        <w:t>(economía),</w:t>
      </w:r>
      <w:r>
        <w:rPr>
          <w:spacing w:val="-6"/>
          <w:sz w:val="16"/>
        </w:rPr>
        <w:t> </w:t>
      </w:r>
      <w:r>
        <w:rPr>
          <w:sz w:val="16"/>
        </w:rPr>
        <w:t>la</w:t>
      </w:r>
      <w:r>
        <w:rPr>
          <w:spacing w:val="-7"/>
          <w:sz w:val="16"/>
        </w:rPr>
        <w:t> </w:t>
      </w:r>
      <w:r>
        <w:rPr>
          <w:sz w:val="16"/>
        </w:rPr>
        <w:t>congruencia</w:t>
      </w:r>
      <w:r>
        <w:rPr>
          <w:spacing w:val="-5"/>
          <w:sz w:val="16"/>
        </w:rPr>
        <w:t> </w:t>
      </w:r>
      <w:r>
        <w:rPr>
          <w:sz w:val="16"/>
        </w:rPr>
        <w:t>de</w:t>
      </w:r>
      <w:r>
        <w:rPr>
          <w:spacing w:val="-8"/>
          <w:sz w:val="16"/>
        </w:rPr>
        <w:t> </w:t>
      </w:r>
      <w:r>
        <w:rPr>
          <w:sz w:val="16"/>
        </w:rPr>
        <w:t>los</w:t>
      </w:r>
      <w:r>
        <w:rPr>
          <w:spacing w:val="-6"/>
          <w:sz w:val="16"/>
        </w:rPr>
        <w:t> </w:t>
      </w:r>
      <w:r>
        <w:rPr>
          <w:sz w:val="16"/>
        </w:rPr>
        <w:t>resultados</w:t>
      </w:r>
      <w:r>
        <w:rPr>
          <w:spacing w:val="-6"/>
          <w:sz w:val="16"/>
        </w:rPr>
        <w:t> </w:t>
      </w:r>
      <w:r>
        <w:rPr>
          <w:sz w:val="16"/>
        </w:rPr>
        <w:t>con</w:t>
      </w:r>
      <w:r>
        <w:rPr>
          <w:spacing w:val="-8"/>
          <w:sz w:val="16"/>
        </w:rPr>
        <w:t> </w:t>
      </w:r>
      <w:r>
        <w:rPr>
          <w:sz w:val="16"/>
        </w:rPr>
        <w:t>los</w:t>
      </w:r>
      <w:r>
        <w:rPr>
          <w:spacing w:val="-4"/>
          <w:sz w:val="16"/>
        </w:rPr>
        <w:t> </w:t>
      </w:r>
      <w:r>
        <w:rPr>
          <w:sz w:val="16"/>
        </w:rPr>
        <w:t>objetivos</w:t>
      </w:r>
      <w:r>
        <w:rPr>
          <w:spacing w:val="-4"/>
          <w:sz w:val="16"/>
        </w:rPr>
        <w:t> </w:t>
      </w:r>
      <w:r>
        <w:rPr>
          <w:sz w:val="16"/>
        </w:rPr>
        <w:t>políticos</w:t>
      </w:r>
      <w:r>
        <w:rPr>
          <w:spacing w:val="-6"/>
          <w:sz w:val="16"/>
        </w:rPr>
        <w:t> </w:t>
      </w:r>
      <w:r>
        <w:rPr>
          <w:sz w:val="16"/>
        </w:rPr>
        <w:t>y</w:t>
      </w:r>
      <w:r>
        <w:rPr>
          <w:spacing w:val="-8"/>
          <w:sz w:val="16"/>
        </w:rPr>
        <w:t> </w:t>
      </w:r>
      <w:r>
        <w:rPr>
          <w:sz w:val="16"/>
        </w:rPr>
        <w:t>sociales (eficacia) y mejorar la eficiencia de los recursos públicos. Un objetivo secundario de los indicadores de desempeño es el presentar información a los políticos en la toma de</w:t>
      </w:r>
      <w:r>
        <w:rPr>
          <w:spacing w:val="-26"/>
          <w:sz w:val="16"/>
        </w:rPr>
        <w:t> </w:t>
      </w:r>
      <w:r>
        <w:rPr>
          <w:sz w:val="16"/>
        </w:rPr>
        <w:t>decisiones.</w:t>
      </w:r>
    </w:p>
    <w:p>
      <w:pPr>
        <w:spacing w:after="0"/>
        <w:jc w:val="both"/>
        <w:rPr>
          <w:sz w:val="16"/>
        </w:rPr>
        <w:sectPr>
          <w:pgSz w:w="12240" w:h="15840"/>
          <w:pgMar w:header="0" w:footer="1003" w:top="1360" w:bottom="1200" w:left="1580" w:right="1580"/>
        </w:sectPr>
      </w:pPr>
    </w:p>
    <w:p>
      <w:pPr>
        <w:pStyle w:val="ListParagraph"/>
        <w:numPr>
          <w:ilvl w:val="2"/>
          <w:numId w:val="22"/>
        </w:numPr>
        <w:tabs>
          <w:tab w:pos="842" w:val="left" w:leader="none"/>
        </w:tabs>
        <w:spacing w:line="360" w:lineRule="auto" w:before="54" w:after="0"/>
        <w:ind w:left="842" w:right="115" w:hanging="360"/>
        <w:jc w:val="both"/>
        <w:rPr>
          <w:sz w:val="24"/>
        </w:rPr>
      </w:pPr>
      <w:r>
        <w:rPr>
          <w:sz w:val="24"/>
        </w:rPr>
        <w:t>Social: Impacto de las políticas públicas en la sociedad (mediante las auditorías realizadas por las instituciones de rendición de cuentas y su seguimiento).</w:t>
      </w:r>
    </w:p>
    <w:p>
      <w:pPr>
        <w:pStyle w:val="BodyText"/>
      </w:pPr>
    </w:p>
    <w:p>
      <w:pPr>
        <w:pStyle w:val="BodyText"/>
        <w:spacing w:line="357" w:lineRule="auto" w:before="142"/>
        <w:ind w:left="122" w:right="115"/>
        <w:jc w:val="both"/>
        <w:rPr>
          <w:sz w:val="16"/>
        </w:rPr>
      </w:pPr>
      <w:r>
        <w:rPr/>
        <w:t>Una mejor vida de la población debe ser objetivo principal de las políticas públicas, y éstas pueden ofrecer mejores resultados si su análisis se basa en herramientas razonablemente diseñadas para medir el desempeño del Estado.</w:t>
      </w:r>
      <w:r>
        <w:rPr>
          <w:position w:val="8"/>
          <w:sz w:val="16"/>
        </w:rPr>
        <w:t>30</w:t>
      </w:r>
    </w:p>
    <w:p>
      <w:pPr>
        <w:pStyle w:val="BodyText"/>
        <w:spacing w:before="2"/>
        <w:rPr>
          <w:sz w:val="36"/>
        </w:rPr>
      </w:pPr>
    </w:p>
    <w:p>
      <w:pPr>
        <w:pStyle w:val="BodyText"/>
        <w:spacing w:line="360" w:lineRule="auto" w:before="1"/>
        <w:ind w:left="122" w:right="119"/>
        <w:jc w:val="both"/>
      </w:pPr>
      <w:r>
        <w:rPr/>
        <w:t>Los indicadores no constituyen ciencia, sólo son un apoyo para analizar los resultados de las políticas públicas y son herramientas de apoyo de la conducción política. Toda sociedad democrática actual exige dos grandes funciones: la evaluación del Estado (presentado caso mediante los indicadores) y el debate público sobre la calidad de la política.</w:t>
      </w:r>
    </w:p>
    <w:p>
      <w:pPr>
        <w:pStyle w:val="BodyText"/>
        <w:spacing w:line="360" w:lineRule="auto" w:before="5"/>
        <w:ind w:left="122" w:right="116" w:firstLine="427"/>
        <w:jc w:val="both"/>
      </w:pPr>
      <w:r>
        <w:rPr/>
        <w:t>Varios de los indicadores presentados son altamente integrales debido a las variables</w:t>
      </w:r>
      <w:r>
        <w:rPr>
          <w:spacing w:val="-9"/>
        </w:rPr>
        <w:t> </w:t>
      </w:r>
      <w:r>
        <w:rPr/>
        <w:t>múltiples</w:t>
      </w:r>
      <w:r>
        <w:rPr>
          <w:spacing w:val="-9"/>
        </w:rPr>
        <w:t> </w:t>
      </w:r>
      <w:r>
        <w:rPr/>
        <w:t>que</w:t>
      </w:r>
      <w:r>
        <w:rPr>
          <w:spacing w:val="-11"/>
        </w:rPr>
        <w:t> </w:t>
      </w:r>
      <w:r>
        <w:rPr/>
        <w:t>los</w:t>
      </w:r>
      <w:r>
        <w:rPr>
          <w:spacing w:val="-8"/>
        </w:rPr>
        <w:t> </w:t>
      </w:r>
      <w:r>
        <w:rPr/>
        <w:t>componen</w:t>
      </w:r>
      <w:r>
        <w:rPr>
          <w:spacing w:val="-7"/>
        </w:rPr>
        <w:t> </w:t>
      </w:r>
      <w:r>
        <w:rPr/>
        <w:t>(indicadores</w:t>
      </w:r>
      <w:r>
        <w:rPr>
          <w:spacing w:val="-9"/>
        </w:rPr>
        <w:t> </w:t>
      </w:r>
      <w:r>
        <w:rPr/>
        <w:t>sintéticos)</w:t>
      </w:r>
      <w:r>
        <w:rPr>
          <w:spacing w:val="-10"/>
        </w:rPr>
        <w:t> </w:t>
      </w:r>
      <w:r>
        <w:rPr/>
        <w:t>debido</w:t>
      </w:r>
      <w:r>
        <w:rPr>
          <w:spacing w:val="-10"/>
        </w:rPr>
        <w:t> </w:t>
      </w:r>
      <w:r>
        <w:rPr/>
        <w:t>a</w:t>
      </w:r>
      <w:r>
        <w:rPr>
          <w:spacing w:val="-8"/>
        </w:rPr>
        <w:t> </w:t>
      </w:r>
      <w:r>
        <w:rPr/>
        <w:t>los</w:t>
      </w:r>
      <w:r>
        <w:rPr>
          <w:spacing w:val="-9"/>
        </w:rPr>
        <w:t> </w:t>
      </w:r>
      <w:r>
        <w:rPr/>
        <w:t>objetivos de medición y la rigurosidad metodológica que los embiste. Aunque las</w:t>
      </w:r>
      <w:r>
        <w:rPr>
          <w:spacing w:val="-33"/>
        </w:rPr>
        <w:t> </w:t>
      </w:r>
      <w:r>
        <w:rPr/>
        <w:t>mediciones siempre son perfectibles, la simplificación de los fenómenos que se presenta mediante los índices e indicadores</w:t>
      </w:r>
      <w:r>
        <w:rPr>
          <w:position w:val="8"/>
          <w:sz w:val="16"/>
        </w:rPr>
        <w:t>31</w:t>
      </w:r>
      <w:r>
        <w:rPr/>
        <w:t>pueden ser útiles para diagnosticar y orientar las políticas</w:t>
      </w:r>
      <w:r>
        <w:rPr>
          <w:spacing w:val="-6"/>
        </w:rPr>
        <w:t> </w:t>
      </w:r>
      <w:r>
        <w:rPr/>
        <w:t>públicas.</w:t>
      </w:r>
    </w:p>
    <w:p>
      <w:pPr>
        <w:pStyle w:val="BodyText"/>
        <w:spacing w:line="360" w:lineRule="auto" w:before="5"/>
        <w:ind w:left="122" w:right="115" w:firstLine="427"/>
        <w:jc w:val="both"/>
      </w:pPr>
      <w:r>
        <w:rPr/>
        <w:t>En la actualidad las economías han implementado el uso </w:t>
      </w:r>
      <w:r>
        <w:rPr>
          <w:spacing w:val="3"/>
        </w:rPr>
        <w:t>de </w:t>
      </w:r>
      <w:r>
        <w:rPr/>
        <w:t>indicadores, instrumentos de medición que les permiten situarse en el espacio (comparando los rendimientos de un país con respecto a otros) y en el tiempo (trazando su propia evolución). Más allá de la información que brindan los indicadores, no se pretende lograr</w:t>
      </w:r>
      <w:r>
        <w:rPr>
          <w:spacing w:val="-11"/>
        </w:rPr>
        <w:t> </w:t>
      </w:r>
      <w:r>
        <w:rPr/>
        <w:t>una</w:t>
      </w:r>
      <w:r>
        <w:rPr>
          <w:spacing w:val="-9"/>
        </w:rPr>
        <w:t> </w:t>
      </w:r>
      <w:r>
        <w:rPr/>
        <w:t>descripción</w:t>
      </w:r>
      <w:r>
        <w:rPr>
          <w:spacing w:val="-14"/>
        </w:rPr>
        <w:t> </w:t>
      </w:r>
      <w:r>
        <w:rPr/>
        <w:t>exhaustiva</w:t>
      </w:r>
      <w:r>
        <w:rPr>
          <w:spacing w:val="-8"/>
        </w:rPr>
        <w:t> </w:t>
      </w:r>
      <w:r>
        <w:rPr/>
        <w:t>del</w:t>
      </w:r>
      <w:r>
        <w:rPr>
          <w:spacing w:val="-11"/>
        </w:rPr>
        <w:t> </w:t>
      </w:r>
      <w:r>
        <w:rPr/>
        <w:t>desempeño</w:t>
      </w:r>
      <w:r>
        <w:rPr>
          <w:spacing w:val="-12"/>
        </w:rPr>
        <w:t> </w:t>
      </w:r>
      <w:r>
        <w:rPr/>
        <w:t>de</w:t>
      </w:r>
      <w:r>
        <w:rPr>
          <w:spacing w:val="-9"/>
        </w:rPr>
        <w:t> </w:t>
      </w:r>
      <w:r>
        <w:rPr/>
        <w:t>los</w:t>
      </w:r>
      <w:r>
        <w:rPr>
          <w:spacing w:val="-10"/>
        </w:rPr>
        <w:t> </w:t>
      </w:r>
      <w:r>
        <w:rPr/>
        <w:t>Estados,</w:t>
      </w:r>
      <w:r>
        <w:rPr>
          <w:spacing w:val="-10"/>
        </w:rPr>
        <w:t> </w:t>
      </w:r>
      <w:r>
        <w:rPr/>
        <w:t>sino</w:t>
      </w:r>
      <w:r>
        <w:rPr>
          <w:spacing w:val="-9"/>
        </w:rPr>
        <w:t> </w:t>
      </w:r>
      <w:r>
        <w:rPr/>
        <w:t>proporcionar algunos indicios a los actores sobre la política. El análisis comparativo de las variables entre países, sirve para identificar fortalezas y</w:t>
      </w:r>
      <w:r>
        <w:rPr>
          <w:spacing w:val="-26"/>
        </w:rPr>
        <w:t> </w:t>
      </w:r>
      <w:r>
        <w:rPr/>
        <w:t>debilidades.</w:t>
      </w:r>
    </w:p>
    <w:p>
      <w:pPr>
        <w:pStyle w:val="BodyText"/>
        <w:spacing w:line="360" w:lineRule="auto" w:before="2"/>
        <w:ind w:left="122" w:right="125" w:firstLine="427"/>
        <w:jc w:val="both"/>
      </w:pPr>
      <w:r>
        <w:rPr/>
        <w:t>Si bien se presentan las posiciones de los países, muchas organizaciones advierten que esto no siempre significa una mejor o peor situación, sino un  mayor</w:t>
      </w:r>
    </w:p>
    <w:p>
      <w:pPr>
        <w:pStyle w:val="BodyText"/>
        <w:rPr>
          <w:sz w:val="20"/>
        </w:rPr>
      </w:pPr>
    </w:p>
    <w:p>
      <w:pPr>
        <w:pStyle w:val="BodyText"/>
        <w:spacing w:before="10"/>
        <w:rPr>
          <w:sz w:val="17"/>
        </w:rPr>
      </w:pPr>
      <w:r>
        <w:rPr/>
        <w:pict>
          <v:line style="position:absolute;mso-position-horizontal-relative:page;mso-position-vertical-relative:paragraph;z-index:2512;mso-wrap-distance-left:0;mso-wrap-distance-right:0" from="85.103996pt,12.614863pt" to="229.123996pt,12.614863pt" stroked="true" strokeweight=".72003pt" strokecolor="#000000">
            <w10:wrap type="topAndBottom"/>
          </v:line>
        </w:pict>
      </w:r>
    </w:p>
    <w:p>
      <w:pPr>
        <w:spacing w:line="254" w:lineRule="auto" w:before="62"/>
        <w:ind w:left="122" w:right="856" w:firstLine="0"/>
        <w:jc w:val="left"/>
        <w:rPr>
          <w:sz w:val="16"/>
        </w:rPr>
      </w:pPr>
      <w:r>
        <w:rPr>
          <w:rFonts w:ascii="Times New Roman"/>
          <w:position w:val="7"/>
          <w:sz w:val="13"/>
        </w:rPr>
        <w:t>30</w:t>
      </w:r>
      <w:r>
        <w:rPr>
          <w:i/>
          <w:sz w:val="16"/>
        </w:rPr>
        <w:t>New Economics Fundation, The Happy Planet Index: 2012 report. A global index of sustaintable well-being</w:t>
      </w:r>
      <w:r>
        <w:rPr>
          <w:sz w:val="16"/>
        </w:rPr>
        <w:t>, p. 4. Disponible en: </w:t>
      </w:r>
      <w:hyperlink r:id="rId55">
        <w:r>
          <w:rPr>
            <w:sz w:val="16"/>
          </w:rPr>
          <w:t>http://www.happyplanetindex.org/assets/happy-planet-index-report.pdf</w:t>
        </w:r>
      </w:hyperlink>
    </w:p>
    <w:p>
      <w:pPr>
        <w:spacing w:line="196" w:lineRule="exact" w:before="17"/>
        <w:ind w:left="122" w:right="50" w:firstLine="0"/>
        <w:jc w:val="left"/>
        <w:rPr>
          <w:sz w:val="16"/>
        </w:rPr>
      </w:pPr>
      <w:r>
        <w:rPr>
          <w:rFonts w:ascii="Times New Roman" w:hAnsi="Times New Roman"/>
          <w:position w:val="7"/>
          <w:sz w:val="13"/>
        </w:rPr>
        <w:t>31 </w:t>
      </w:r>
      <w:r>
        <w:rPr>
          <w:sz w:val="16"/>
        </w:rPr>
        <w:t>En expresión matemática, los índices se presentan en una escala de 0 a 1, mientras que los indicadores de 0 a 100, sin embargo, las escalas de medición corresponden a la metodología e información presentada por cada institución.</w:t>
      </w:r>
    </w:p>
    <w:p>
      <w:pPr>
        <w:spacing w:after="0" w:line="196" w:lineRule="exact"/>
        <w:jc w:val="left"/>
        <w:rPr>
          <w:sz w:val="16"/>
        </w:rPr>
        <w:sectPr>
          <w:pgSz w:w="12240" w:h="15840"/>
          <w:pgMar w:header="0" w:footer="1003" w:top="1360" w:bottom="1200" w:left="1580" w:right="1580"/>
        </w:sectPr>
      </w:pPr>
    </w:p>
    <w:p>
      <w:pPr>
        <w:pStyle w:val="BodyText"/>
        <w:spacing w:line="360" w:lineRule="auto" w:before="54"/>
        <w:ind w:left="102" w:right="119"/>
        <w:jc w:val="both"/>
      </w:pPr>
      <w:r>
        <w:rPr/>
        <w:t>avance o percepción. En los siguientes índices e indicadores se presentan las posiciones de Alemania, España, Estados Unidos, México y Reino Unido (en aquellos casos en los que existe la información) y los tres países que se sitúan en los primeros lugares, para contar con un panorama más completo. Más que una clasificación, lo que se plantea con el análisis de los indicadores son las posibles fortalezas y debilidades los Estado-Nación hacia el logro de un mejor gobierno.</w:t>
      </w:r>
    </w:p>
    <w:p>
      <w:pPr>
        <w:pStyle w:val="BodyText"/>
        <w:spacing w:line="360" w:lineRule="auto" w:before="2"/>
        <w:ind w:left="102" w:right="117" w:firstLine="427"/>
        <w:jc w:val="both"/>
      </w:pPr>
      <w:r>
        <w:rPr/>
        <w:t>Para el análisis conjunto de las tres variables de estudio (política, el Estado y rendición de cuentas) se presentan los indicadores internacionales, regionales y nacionales,</w:t>
      </w:r>
      <w:r>
        <w:rPr>
          <w:spacing w:val="-11"/>
        </w:rPr>
        <w:t> </w:t>
      </w:r>
      <w:r>
        <w:rPr/>
        <w:t>que</w:t>
      </w:r>
      <w:r>
        <w:rPr>
          <w:spacing w:val="-13"/>
        </w:rPr>
        <w:t> </w:t>
      </w:r>
      <w:r>
        <w:rPr/>
        <w:t>están</w:t>
      </w:r>
      <w:r>
        <w:rPr>
          <w:spacing w:val="-11"/>
        </w:rPr>
        <w:t> </w:t>
      </w:r>
      <w:r>
        <w:rPr/>
        <w:t>relacionadas</w:t>
      </w:r>
      <w:r>
        <w:rPr>
          <w:spacing w:val="-12"/>
        </w:rPr>
        <w:t> </w:t>
      </w:r>
      <w:r>
        <w:rPr/>
        <w:t>con</w:t>
      </w:r>
      <w:r>
        <w:rPr>
          <w:spacing w:val="-13"/>
        </w:rPr>
        <w:t> </w:t>
      </w:r>
      <w:r>
        <w:rPr/>
        <w:t>el</w:t>
      </w:r>
      <w:r>
        <w:rPr>
          <w:spacing w:val="-14"/>
        </w:rPr>
        <w:t> </w:t>
      </w:r>
      <w:r>
        <w:rPr/>
        <w:t>fin</w:t>
      </w:r>
      <w:r>
        <w:rPr>
          <w:spacing w:val="-13"/>
        </w:rPr>
        <w:t> </w:t>
      </w:r>
      <w:r>
        <w:rPr/>
        <w:t>último</w:t>
      </w:r>
      <w:r>
        <w:rPr>
          <w:spacing w:val="-13"/>
        </w:rPr>
        <w:t> </w:t>
      </w:r>
      <w:r>
        <w:rPr/>
        <w:t>de</w:t>
      </w:r>
      <w:r>
        <w:rPr>
          <w:spacing w:val="-11"/>
        </w:rPr>
        <w:t> </w:t>
      </w:r>
      <w:r>
        <w:rPr/>
        <w:t>cuantificar</w:t>
      </w:r>
      <w:r>
        <w:rPr>
          <w:spacing w:val="-12"/>
        </w:rPr>
        <w:t> </w:t>
      </w:r>
      <w:r>
        <w:rPr/>
        <w:t>el</w:t>
      </w:r>
      <w:r>
        <w:rPr>
          <w:spacing w:val="-14"/>
        </w:rPr>
        <w:t> </w:t>
      </w:r>
      <w:r>
        <w:rPr/>
        <w:t>desempeño</w:t>
      </w:r>
      <w:r>
        <w:rPr>
          <w:spacing w:val="-13"/>
        </w:rPr>
        <w:t> </w:t>
      </w:r>
      <w:r>
        <w:rPr/>
        <w:t>del Estado.</w:t>
      </w:r>
    </w:p>
    <w:p>
      <w:pPr>
        <w:pStyle w:val="BodyText"/>
      </w:pPr>
    </w:p>
    <w:p>
      <w:pPr>
        <w:pStyle w:val="BodyText"/>
      </w:pPr>
    </w:p>
    <w:p>
      <w:pPr>
        <w:pStyle w:val="BodyText"/>
      </w:pPr>
    </w:p>
    <w:p>
      <w:pPr>
        <w:pStyle w:val="BodyText"/>
      </w:pPr>
    </w:p>
    <w:p>
      <w:pPr>
        <w:pStyle w:val="BodyText"/>
      </w:pPr>
    </w:p>
    <w:p>
      <w:pPr>
        <w:pStyle w:val="BodyText"/>
        <w:spacing w:before="2"/>
      </w:pPr>
    </w:p>
    <w:p>
      <w:pPr>
        <w:pStyle w:val="ListParagraph"/>
        <w:numPr>
          <w:ilvl w:val="0"/>
          <w:numId w:val="23"/>
        </w:numPr>
        <w:tabs>
          <w:tab w:pos="1182" w:val="left" w:leader="none"/>
        </w:tabs>
        <w:spacing w:line="240" w:lineRule="auto" w:before="1" w:after="0"/>
        <w:ind w:left="1182" w:right="0" w:hanging="360"/>
        <w:jc w:val="left"/>
        <w:rPr>
          <w:sz w:val="24"/>
        </w:rPr>
      </w:pPr>
      <w:r>
        <w:rPr>
          <w:sz w:val="24"/>
        </w:rPr>
        <w:t>Variable dependiente: Desempeño del Estado</w:t>
      </w:r>
      <w:r>
        <w:rPr>
          <w:spacing w:val="-20"/>
          <w:sz w:val="24"/>
        </w:rPr>
        <w:t> </w:t>
      </w:r>
      <w:r>
        <w:rPr>
          <w:sz w:val="24"/>
        </w:rPr>
        <w:t>(DE)</w:t>
      </w:r>
    </w:p>
    <w:p>
      <w:pPr>
        <w:pStyle w:val="ListParagraph"/>
        <w:numPr>
          <w:ilvl w:val="0"/>
          <w:numId w:val="23"/>
        </w:numPr>
        <w:tabs>
          <w:tab w:pos="1182" w:val="left" w:leader="none"/>
        </w:tabs>
        <w:spacing w:line="360" w:lineRule="auto" w:before="139" w:after="0"/>
        <w:ind w:left="1182" w:right="120" w:hanging="360"/>
        <w:jc w:val="both"/>
        <w:rPr>
          <w:sz w:val="24"/>
        </w:rPr>
      </w:pPr>
      <w:r>
        <w:rPr>
          <w:sz w:val="24"/>
        </w:rPr>
        <w:t>Variables independientes: Corrupción (C), Transparencia (T), Fiscalización (F), Calidad institucional (CI), Buen Gobierno (BG) y Rendición de Cuentas</w:t>
      </w:r>
      <w:r>
        <w:rPr>
          <w:spacing w:val="-11"/>
          <w:sz w:val="24"/>
        </w:rPr>
        <w:t> </w:t>
      </w:r>
      <w:r>
        <w:rPr>
          <w:sz w:val="24"/>
        </w:rPr>
        <w:t>(RC)</w:t>
      </w:r>
    </w:p>
    <w:p>
      <w:pPr>
        <w:pStyle w:val="BodyText"/>
      </w:pPr>
    </w:p>
    <w:p>
      <w:pPr>
        <w:pStyle w:val="BodyText"/>
        <w:spacing w:line="360" w:lineRule="auto" w:before="142"/>
        <w:ind w:left="102" w:right="122" w:firstLine="427"/>
        <w:jc w:val="both"/>
      </w:pPr>
      <w:r>
        <w:rPr/>
        <w:t>La siguiente expresión establece la relación positiva o negativa (subíndices)</w:t>
      </w:r>
      <w:r>
        <w:rPr>
          <w:spacing w:val="-31"/>
        </w:rPr>
        <w:t> </w:t>
      </w:r>
      <w:r>
        <w:rPr/>
        <w:t>de cada variable independiente con la</w:t>
      </w:r>
      <w:r>
        <w:rPr>
          <w:spacing w:val="-22"/>
        </w:rPr>
        <w:t> </w:t>
      </w:r>
      <w:r>
        <w:rPr/>
        <w:t>dependiente:</w:t>
      </w:r>
    </w:p>
    <w:p>
      <w:pPr>
        <w:spacing w:before="204"/>
        <w:ind w:left="2687" w:right="0" w:firstLine="0"/>
        <w:jc w:val="left"/>
        <w:rPr>
          <w:sz w:val="16"/>
        </w:rPr>
      </w:pPr>
      <w:r>
        <w:rPr>
          <w:position w:val="1"/>
          <w:sz w:val="24"/>
        </w:rPr>
        <w:t>DE: C</w:t>
      </w:r>
      <w:r>
        <w:rPr>
          <w:sz w:val="16"/>
        </w:rPr>
        <w:t>-  </w:t>
      </w:r>
      <w:r>
        <w:rPr>
          <w:position w:val="1"/>
          <w:sz w:val="24"/>
        </w:rPr>
        <w:t>+ T</w:t>
      </w:r>
      <w:r>
        <w:rPr>
          <w:sz w:val="16"/>
        </w:rPr>
        <w:t>+ </w:t>
      </w:r>
      <w:r>
        <w:rPr>
          <w:position w:val="1"/>
          <w:sz w:val="24"/>
        </w:rPr>
        <w:t>+ F</w:t>
      </w:r>
      <w:r>
        <w:rPr>
          <w:sz w:val="16"/>
        </w:rPr>
        <w:t>+ </w:t>
      </w:r>
      <w:r>
        <w:rPr>
          <w:position w:val="1"/>
          <w:sz w:val="24"/>
        </w:rPr>
        <w:t>+ CI</w:t>
      </w:r>
      <w:r>
        <w:rPr>
          <w:sz w:val="16"/>
        </w:rPr>
        <w:t>+ </w:t>
      </w:r>
      <w:r>
        <w:rPr>
          <w:position w:val="1"/>
          <w:sz w:val="24"/>
        </w:rPr>
        <w:t>+ BG</w:t>
      </w:r>
      <w:r>
        <w:rPr>
          <w:sz w:val="16"/>
        </w:rPr>
        <w:t>+ </w:t>
      </w:r>
      <w:r>
        <w:rPr>
          <w:position w:val="1"/>
          <w:sz w:val="24"/>
        </w:rPr>
        <w:t>+ RC</w:t>
      </w:r>
      <w:r>
        <w:rPr>
          <w:sz w:val="16"/>
        </w:rPr>
        <w:t>+</w:t>
      </w:r>
    </w:p>
    <w:p>
      <w:pPr>
        <w:pStyle w:val="BodyText"/>
        <w:spacing w:before="5"/>
        <w:rPr>
          <w:sz w:val="29"/>
        </w:rPr>
      </w:pPr>
    </w:p>
    <w:p>
      <w:pPr>
        <w:pStyle w:val="BodyText"/>
        <w:spacing w:line="360" w:lineRule="auto"/>
        <w:ind w:left="102" w:right="122" w:firstLine="427"/>
        <w:jc w:val="both"/>
      </w:pPr>
      <w:r>
        <w:rPr/>
        <w:t>Como primera aproximación, se presenta en análisis de los indicadores internacionales DE, C, T, CI, BG y RC; posteriormente se analizan indicadores regionales y nacionales de las variables T (y RC), C, F y CI.</w:t>
      </w:r>
    </w:p>
    <w:p>
      <w:pPr>
        <w:pStyle w:val="BodyText"/>
      </w:pPr>
    </w:p>
    <w:p>
      <w:pPr>
        <w:pStyle w:val="BodyText"/>
      </w:pPr>
    </w:p>
    <w:p>
      <w:pPr>
        <w:pStyle w:val="BodyText"/>
      </w:pPr>
    </w:p>
    <w:p>
      <w:pPr>
        <w:pStyle w:val="Heading3"/>
        <w:numPr>
          <w:ilvl w:val="2"/>
          <w:numId w:val="24"/>
        </w:numPr>
        <w:tabs>
          <w:tab w:pos="706" w:val="left" w:leader="none"/>
        </w:tabs>
        <w:spacing w:line="240" w:lineRule="auto" w:before="175" w:after="0"/>
        <w:ind w:left="705" w:right="0" w:hanging="603"/>
        <w:jc w:val="both"/>
      </w:pPr>
      <w:bookmarkStart w:name="_bookmark19" w:id="29"/>
      <w:bookmarkEnd w:id="29"/>
      <w:r>
        <w:rPr>
          <w:b w:val="0"/>
        </w:rPr>
      </w:r>
      <w:bookmarkStart w:name="_bookmark19" w:id="30"/>
      <w:bookmarkEnd w:id="30"/>
      <w:r>
        <w:rPr/>
        <w:t>A</w:t>
      </w:r>
      <w:r>
        <w:rPr/>
        <w:t>nálisis de indicadores</w:t>
      </w:r>
      <w:r>
        <w:rPr>
          <w:spacing w:val="-18"/>
        </w:rPr>
        <w:t> </w:t>
      </w:r>
      <w:r>
        <w:rPr/>
        <w:t>internacionales</w:t>
      </w:r>
    </w:p>
    <w:p>
      <w:pPr>
        <w:spacing w:after="0" w:line="240" w:lineRule="auto"/>
        <w:jc w:val="both"/>
        <w:sectPr>
          <w:pgSz w:w="12240" w:h="15840"/>
          <w:pgMar w:header="0" w:footer="1003" w:top="1360" w:bottom="1200" w:left="1600" w:right="1580"/>
        </w:sectPr>
      </w:pPr>
    </w:p>
    <w:p>
      <w:pPr>
        <w:pStyle w:val="BodyText"/>
        <w:spacing w:line="360" w:lineRule="auto" w:before="54"/>
        <w:ind w:left="102" w:right="115"/>
        <w:jc w:val="both"/>
      </w:pPr>
      <w:r>
        <w:rPr/>
        <w:t>Para este análisis internacional se realizó una discriminación de indicadores y se consideran como indicadores líderes a tres que integran el mayor número de variables:</w:t>
      </w:r>
      <w:r>
        <w:rPr>
          <w:spacing w:val="-6"/>
        </w:rPr>
        <w:t> </w:t>
      </w:r>
      <w:r>
        <w:rPr/>
        <w:t>el</w:t>
      </w:r>
      <w:r>
        <w:rPr>
          <w:spacing w:val="-7"/>
        </w:rPr>
        <w:t> </w:t>
      </w:r>
      <w:r>
        <w:rPr/>
        <w:t>índice</w:t>
      </w:r>
      <w:r>
        <w:rPr>
          <w:spacing w:val="-6"/>
        </w:rPr>
        <w:t> </w:t>
      </w:r>
      <w:r>
        <w:rPr/>
        <w:t>de</w:t>
      </w:r>
      <w:r>
        <w:rPr>
          <w:spacing w:val="-11"/>
        </w:rPr>
        <w:t> </w:t>
      </w:r>
      <w:r>
        <w:rPr/>
        <w:t>gobernanza</w:t>
      </w:r>
      <w:r>
        <w:rPr>
          <w:spacing w:val="-8"/>
        </w:rPr>
        <w:t> </w:t>
      </w:r>
      <w:r>
        <w:rPr/>
        <w:t>mundial,</w:t>
      </w:r>
      <w:r>
        <w:rPr>
          <w:spacing w:val="-6"/>
        </w:rPr>
        <w:t> </w:t>
      </w:r>
      <w:r>
        <w:rPr/>
        <w:t>publicado</w:t>
      </w:r>
      <w:r>
        <w:rPr>
          <w:spacing w:val="-8"/>
        </w:rPr>
        <w:t> </w:t>
      </w:r>
      <w:r>
        <w:rPr/>
        <w:t>por</w:t>
      </w:r>
      <w:r>
        <w:rPr>
          <w:spacing w:val="-10"/>
        </w:rPr>
        <w:t> </w:t>
      </w:r>
      <w:r>
        <w:rPr/>
        <w:t>el</w:t>
      </w:r>
      <w:r>
        <w:rPr>
          <w:spacing w:val="-5"/>
        </w:rPr>
        <w:t> </w:t>
      </w:r>
      <w:r>
        <w:rPr>
          <w:i/>
        </w:rPr>
        <w:t>Forum</w:t>
      </w:r>
      <w:r>
        <w:rPr>
          <w:i/>
          <w:spacing w:val="-9"/>
        </w:rPr>
        <w:t> </w:t>
      </w:r>
      <w:r>
        <w:rPr>
          <w:i/>
        </w:rPr>
        <w:t>for</w:t>
      </w:r>
      <w:r>
        <w:rPr>
          <w:i/>
          <w:spacing w:val="-7"/>
        </w:rPr>
        <w:t> </w:t>
      </w:r>
      <w:r>
        <w:rPr>
          <w:i/>
        </w:rPr>
        <w:t>a</w:t>
      </w:r>
      <w:r>
        <w:rPr>
          <w:i/>
          <w:spacing w:val="-6"/>
        </w:rPr>
        <w:t> </w:t>
      </w:r>
      <w:r>
        <w:rPr>
          <w:i/>
        </w:rPr>
        <w:t>new</w:t>
      </w:r>
      <w:r>
        <w:rPr>
          <w:i/>
          <w:spacing w:val="-7"/>
        </w:rPr>
        <w:t> </w:t>
      </w:r>
      <w:r>
        <w:rPr>
          <w:i/>
        </w:rPr>
        <w:t>World </w:t>
      </w:r>
      <w:r>
        <w:rPr>
          <w:i/>
        </w:rPr>
        <w:t>Governance </w:t>
      </w:r>
      <w:r>
        <w:rPr/>
        <w:t>(Foro por una nueva Gobernanza Mundial), los indicadores mundiales de gobernabilidad del </w:t>
      </w:r>
      <w:r>
        <w:rPr>
          <w:i/>
        </w:rPr>
        <w:t>World Bank </w:t>
      </w:r>
      <w:r>
        <w:rPr/>
        <w:t>(Banco Mundial) y el índice de Estados fallidos, de </w:t>
      </w:r>
      <w:r>
        <w:rPr>
          <w:i/>
        </w:rPr>
        <w:t>Fund for Peace </w:t>
      </w:r>
      <w:r>
        <w:rPr/>
        <w:t>(Fundación para la</w:t>
      </w:r>
      <w:r>
        <w:rPr>
          <w:spacing w:val="-14"/>
        </w:rPr>
        <w:t> </w:t>
      </w:r>
      <w:r>
        <w:rPr/>
        <w:t>Paz).</w:t>
      </w:r>
    </w:p>
    <w:p>
      <w:pPr>
        <w:pStyle w:val="BodyText"/>
        <w:spacing w:line="360" w:lineRule="auto" w:before="5"/>
        <w:ind w:left="102" w:right="116" w:firstLine="427"/>
        <w:jc w:val="both"/>
      </w:pPr>
      <w:r>
        <w:rPr/>
        <w:t>Se considera el estudio histórico de aquellos indicadores que presentan la misma metodología en el tiempo, y en los casos de un cambio metodológico en los cuales la institución advierte que los datos no son comparables con sus estudios anteriores, sólo se muestra la información más reciente.</w:t>
      </w:r>
    </w:p>
    <w:p>
      <w:pPr>
        <w:pStyle w:val="BodyText"/>
        <w:spacing w:line="360" w:lineRule="auto" w:before="2"/>
        <w:ind w:left="102" w:right="120" w:firstLine="427"/>
        <w:jc w:val="both"/>
      </w:pPr>
      <w:r>
        <w:rPr/>
        <w:t>En el esquema siguiente se muestra la relación (positiva o negativa) entre las variables de los indicadores y subindicadores, y en los dos cuadros posteriores se precisan</w:t>
      </w:r>
      <w:r>
        <w:rPr>
          <w:spacing w:val="-7"/>
        </w:rPr>
        <w:t> </w:t>
      </w:r>
      <w:r>
        <w:rPr/>
        <w:t>aquellos</w:t>
      </w:r>
      <w:r>
        <w:rPr>
          <w:spacing w:val="-8"/>
        </w:rPr>
        <w:t> </w:t>
      </w:r>
      <w:r>
        <w:rPr/>
        <w:t>indicadores</w:t>
      </w:r>
      <w:r>
        <w:rPr>
          <w:spacing w:val="-8"/>
        </w:rPr>
        <w:t> </w:t>
      </w:r>
      <w:r>
        <w:rPr/>
        <w:t>que</w:t>
      </w:r>
      <w:r>
        <w:rPr>
          <w:spacing w:val="-7"/>
        </w:rPr>
        <w:t> </w:t>
      </w:r>
      <w:r>
        <w:rPr/>
        <w:t>contienen</w:t>
      </w:r>
      <w:r>
        <w:rPr>
          <w:spacing w:val="-9"/>
        </w:rPr>
        <w:t> </w:t>
      </w:r>
      <w:r>
        <w:rPr/>
        <w:t>subindicadores,</w:t>
      </w:r>
      <w:r>
        <w:rPr>
          <w:spacing w:val="-7"/>
        </w:rPr>
        <w:t> </w:t>
      </w:r>
      <w:r>
        <w:rPr/>
        <w:t>los</w:t>
      </w:r>
      <w:r>
        <w:rPr>
          <w:spacing w:val="-7"/>
        </w:rPr>
        <w:t> </w:t>
      </w:r>
      <w:r>
        <w:rPr/>
        <w:t>cuales</w:t>
      </w:r>
      <w:r>
        <w:rPr>
          <w:spacing w:val="-7"/>
        </w:rPr>
        <w:t> </w:t>
      </w:r>
      <w:r>
        <w:rPr/>
        <w:t>sirven</w:t>
      </w:r>
      <w:r>
        <w:rPr>
          <w:spacing w:val="-7"/>
        </w:rPr>
        <w:t> </w:t>
      </w:r>
      <w:r>
        <w:rPr/>
        <w:t>para precisar el</w:t>
      </w:r>
      <w:r>
        <w:rPr>
          <w:spacing w:val="-4"/>
        </w:rPr>
        <w:t> </w:t>
      </w:r>
      <w:r>
        <w:rPr/>
        <w:t>estatus.</w:t>
      </w:r>
    </w:p>
    <w:p>
      <w:pPr>
        <w:pStyle w:val="BodyText"/>
        <w:spacing w:before="4"/>
        <w:rPr>
          <w:sz w:val="30"/>
        </w:rPr>
      </w:pPr>
    </w:p>
    <w:p>
      <w:pPr>
        <w:spacing w:before="1"/>
        <w:ind w:left="466" w:right="0" w:firstLine="0"/>
        <w:jc w:val="left"/>
        <w:rPr>
          <w:sz w:val="20"/>
        </w:rPr>
      </w:pPr>
      <w:bookmarkStart w:name="_bookmark20" w:id="31"/>
      <w:bookmarkEnd w:id="31"/>
      <w:r>
        <w:rPr/>
      </w:r>
      <w:r>
        <w:rPr>
          <w:sz w:val="20"/>
        </w:rPr>
        <w:t>Esquema 1.2. Relación de índices e indicadores internacionales del desempeño del Estado</w:t>
      </w:r>
    </w:p>
    <w:p>
      <w:pPr>
        <w:pStyle w:val="BodyText"/>
        <w:spacing w:before="6"/>
        <w:rPr>
          <w:sz w:val="28"/>
        </w:rPr>
      </w:pPr>
      <w:r>
        <w:rPr/>
        <w:pict>
          <v:shape style="position:absolute;margin-left:99.505287pt;margin-top:18.936853pt;width:414.1pt;height:16pt;mso-position-horizontal-relative:page;mso-position-vertical-relative:paragraph;z-index:2536;mso-wrap-distance-left:0;mso-wrap-distance-right:0" type="#_x0000_t202" filled="false" stroked="true" strokeweight="1.074227pt" strokecolor="#000000">
            <v:textbox inset="0,0,0,0">
              <w:txbxContent>
                <w:p>
                  <w:pPr>
                    <w:spacing w:before="77"/>
                    <w:ind w:left="3017" w:right="2993" w:firstLine="0"/>
                    <w:jc w:val="center"/>
                    <w:rPr>
                      <w:b/>
                      <w:sz w:val="9"/>
                    </w:rPr>
                  </w:pPr>
                  <w:r>
                    <w:rPr>
                      <w:b/>
                      <w:w w:val="110"/>
                      <w:position w:val="2"/>
                      <w:sz w:val="13"/>
                    </w:rPr>
                    <w:t>DE: C</w:t>
                  </w:r>
                  <w:r>
                    <w:rPr>
                      <w:b/>
                      <w:w w:val="110"/>
                      <w:sz w:val="9"/>
                    </w:rPr>
                    <w:t>-  </w:t>
                  </w:r>
                  <w:r>
                    <w:rPr>
                      <w:b/>
                      <w:w w:val="110"/>
                      <w:position w:val="2"/>
                      <w:sz w:val="13"/>
                    </w:rPr>
                    <w:t>+ T</w:t>
                  </w:r>
                  <w:r>
                    <w:rPr>
                      <w:b/>
                      <w:w w:val="110"/>
                      <w:sz w:val="9"/>
                    </w:rPr>
                    <w:t>+ </w:t>
                  </w:r>
                  <w:r>
                    <w:rPr>
                      <w:b/>
                      <w:w w:val="110"/>
                      <w:position w:val="2"/>
                      <w:sz w:val="13"/>
                    </w:rPr>
                    <w:t>+ </w:t>
                  </w:r>
                  <w:r>
                    <w:rPr>
                      <w:b/>
                      <w:color w:val="C00000"/>
                      <w:w w:val="110"/>
                      <w:position w:val="2"/>
                      <w:sz w:val="13"/>
                    </w:rPr>
                    <w:t>F</w:t>
                  </w:r>
                  <w:r>
                    <w:rPr>
                      <w:b/>
                      <w:color w:val="C00000"/>
                      <w:w w:val="110"/>
                      <w:sz w:val="9"/>
                    </w:rPr>
                    <w:t>+ </w:t>
                  </w:r>
                  <w:r>
                    <w:rPr>
                      <w:b/>
                      <w:w w:val="110"/>
                      <w:position w:val="2"/>
                      <w:sz w:val="13"/>
                    </w:rPr>
                    <w:t>+ CI</w:t>
                  </w:r>
                  <w:r>
                    <w:rPr>
                      <w:b/>
                      <w:w w:val="110"/>
                      <w:sz w:val="9"/>
                    </w:rPr>
                    <w:t>+ </w:t>
                  </w:r>
                  <w:r>
                    <w:rPr>
                      <w:b/>
                      <w:w w:val="110"/>
                      <w:position w:val="2"/>
                      <w:sz w:val="13"/>
                    </w:rPr>
                    <w:t>+ BG</w:t>
                  </w:r>
                  <w:r>
                    <w:rPr>
                      <w:b/>
                      <w:w w:val="110"/>
                      <w:sz w:val="9"/>
                    </w:rPr>
                    <w:t>+ </w:t>
                  </w:r>
                  <w:r>
                    <w:rPr>
                      <w:b/>
                      <w:w w:val="110"/>
                      <w:position w:val="2"/>
                      <w:sz w:val="13"/>
                    </w:rPr>
                    <w:t>+ RC</w:t>
                  </w:r>
                  <w:r>
                    <w:rPr>
                      <w:b/>
                      <w:w w:val="110"/>
                      <w:sz w:val="9"/>
                    </w:rPr>
                    <w:t>+</w:t>
                  </w:r>
                </w:p>
              </w:txbxContent>
            </v:textbox>
            <w10:wrap type="topAndBottom"/>
          </v:shape>
        </w:pict>
      </w:r>
    </w:p>
    <w:p>
      <w:pPr>
        <w:pStyle w:val="BodyText"/>
        <w:spacing w:before="2"/>
        <w:rPr>
          <w:sz w:val="8"/>
        </w:rPr>
      </w:pPr>
    </w:p>
    <w:p>
      <w:pPr>
        <w:spacing w:before="83" w:after="3"/>
        <w:ind w:left="4210" w:right="102" w:firstLine="0"/>
        <w:jc w:val="center"/>
        <w:rPr>
          <w:b/>
          <w:sz w:val="13"/>
        </w:rPr>
      </w:pPr>
      <w:r>
        <w:rPr/>
        <w:pict>
          <v:shape style="position:absolute;margin-left:289.356995pt;margin-top:6.923642pt;width:12.4pt;height:183.95pt;mso-position-horizontal-relative:page;mso-position-vertical-relative:paragraph;z-index:2920" coordorigin="5787,138" coordsize="248,3679" path="m6034,3817l5947,3812,5911,1997,5901,1990,5874,1983,5835,1979,5787,1978,5835,1976,5874,1972,5901,1966,5911,1959,5911,157,5920,150,5947,144,5986,140,6034,138e" filled="false" stroked="true" strokeweight="2.6847pt" strokecolor="#000000">
            <v:path arrowok="t"/>
            <w10:wrap type="none"/>
          </v:shape>
        </w:pict>
      </w:r>
      <w:r>
        <w:rPr>
          <w:b/>
          <w:w w:val="110"/>
          <w:sz w:val="13"/>
        </w:rPr>
        <w:t>Corrupción</w:t>
      </w:r>
    </w:p>
    <w:p>
      <w:pPr>
        <w:pStyle w:val="BodyText"/>
        <w:ind w:left="4487"/>
        <w:rPr>
          <w:sz w:val="20"/>
        </w:rPr>
      </w:pPr>
      <w:r>
        <w:rPr>
          <w:sz w:val="20"/>
        </w:rPr>
        <w:pict>
          <v:group style="width:210pt;height:28.25pt;mso-position-horizontal-relative:char;mso-position-vertical-relative:line" coordorigin="0,0" coordsize="4200,565">
            <v:line style="position:absolute" from="349,5" to="4189,5" stroked="true" strokeweight=".49849pt" strokecolor="#000000"/>
            <v:line style="position:absolute" from="344,5" to="4195,5" stroked="true" strokeweight=".498496pt" strokecolor="#000000"/>
            <v:line style="position:absolute" from="349,215" to="4189,215" stroked="true" strokeweight=".49849pt" strokecolor="#000000"/>
            <v:line style="position:absolute" from="344,215" to="4195,215" stroked="true" strokeweight=".498496pt" strokecolor="#000000"/>
            <v:line style="position:absolute" from="349,385" to="4189,385" stroked="true" strokeweight=".49849pt" strokecolor="#000000"/>
            <v:line style="position:absolute" from="344,385" to="4195,385" stroked="true" strokeweight=".498496pt" strokecolor="#000000"/>
            <v:line style="position:absolute" from="349,554" to="4189,554" stroked="true" strokeweight=".49849pt" strokecolor="#000000"/>
            <v:line style="position:absolute" from="344,554" to="4195,554" stroked="true" strokeweight=".498496pt" strokecolor="#000000"/>
            <v:line style="position:absolute" from="4189,15" to="4189,554" stroked="true" strokeweight=".537113pt" strokecolor="#000000"/>
            <v:line style="position:absolute" from="4190,10" to="4190,559" stroked="true" strokeweight=".537114pt" strokecolor="#000000"/>
            <v:shape style="position:absolute;left:339;top:0;width:3861;height:565" type="#_x0000_t202" filled="false" stroked="false">
              <v:textbox inset="0,0,0,0">
                <w:txbxContent>
                  <w:p>
                    <w:pPr>
                      <w:spacing w:before="58"/>
                      <w:ind w:left="26" w:right="0" w:firstLine="0"/>
                      <w:jc w:val="left"/>
                      <w:rPr>
                        <w:sz w:val="13"/>
                      </w:rPr>
                    </w:pPr>
                    <w:r>
                      <w:rPr>
                        <w:w w:val="110"/>
                        <w:sz w:val="13"/>
                      </w:rPr>
                      <w:t>Índice de Opacidad, 2009</w:t>
                    </w:r>
                  </w:p>
                  <w:p>
                    <w:pPr>
                      <w:spacing w:line="273" w:lineRule="auto" w:before="20"/>
                      <w:ind w:left="26" w:right="0" w:firstLine="0"/>
                      <w:jc w:val="left"/>
                      <w:rPr>
                        <w:sz w:val="13"/>
                      </w:rPr>
                    </w:pPr>
                    <w:r>
                      <w:rPr>
                        <w:w w:val="110"/>
                        <w:sz w:val="13"/>
                      </w:rPr>
                      <w:t>Índice Inernacional de Percepción de la Corrupción, 2012 Barómetro Global de la Corrupción, 2012</w:t>
                    </w:r>
                  </w:p>
                </w:txbxContent>
              </v:textbox>
              <w10:wrap type="none"/>
            </v:shape>
            <v:shape style="position:absolute;left:0;top:0;width:345;height:560" type="#_x0000_t202" filled="true" fillcolor="#000000" stroked="false">
              <v:textbox inset="0,0,0,0">
                <w:txbxContent>
                  <w:p>
                    <w:pPr>
                      <w:spacing w:line="240" w:lineRule="auto" w:before="2"/>
                      <w:rPr>
                        <w:b/>
                        <w:sz w:val="17"/>
                      </w:rPr>
                    </w:pPr>
                  </w:p>
                  <w:p>
                    <w:pPr>
                      <w:spacing w:before="0"/>
                      <w:ind w:left="107" w:right="0" w:firstLine="0"/>
                      <w:jc w:val="left"/>
                      <w:rPr>
                        <w:b/>
                        <w:sz w:val="9"/>
                      </w:rPr>
                    </w:pPr>
                    <w:r>
                      <w:rPr>
                        <w:b/>
                        <w:color w:val="FFFFFF"/>
                        <w:w w:val="110"/>
                        <w:position w:val="2"/>
                        <w:sz w:val="13"/>
                      </w:rPr>
                      <w:t>C</w:t>
                    </w:r>
                    <w:r>
                      <w:rPr>
                        <w:b/>
                        <w:color w:val="FFFFFF"/>
                        <w:w w:val="110"/>
                        <w:sz w:val="9"/>
                      </w:rPr>
                      <w:t>-</w:t>
                    </w:r>
                  </w:p>
                </w:txbxContent>
              </v:textbox>
              <v:fill type="solid"/>
              <w10:wrap type="none"/>
            </v:shape>
          </v:group>
        </w:pict>
      </w:r>
      <w:r>
        <w:rPr>
          <w:sz w:val="20"/>
        </w:rPr>
      </w:r>
    </w:p>
    <w:p>
      <w:pPr>
        <w:pStyle w:val="BodyText"/>
        <w:rPr>
          <w:b/>
          <w:sz w:val="15"/>
        </w:rPr>
      </w:pPr>
    </w:p>
    <w:p>
      <w:pPr>
        <w:spacing w:before="0" w:after="3"/>
        <w:ind w:left="0" w:right="1987" w:firstLine="0"/>
        <w:jc w:val="right"/>
        <w:rPr>
          <w:b/>
          <w:sz w:val="13"/>
        </w:rPr>
      </w:pPr>
      <w:r>
        <w:rPr>
          <w:b/>
          <w:w w:val="105"/>
          <w:sz w:val="13"/>
        </w:rPr>
        <w:t>Transparencia</w:t>
      </w:r>
    </w:p>
    <w:p>
      <w:pPr>
        <w:pStyle w:val="BodyText"/>
        <w:ind w:left="4487"/>
        <w:rPr>
          <w:sz w:val="20"/>
        </w:rPr>
      </w:pPr>
      <w:r>
        <w:rPr>
          <w:sz w:val="20"/>
        </w:rPr>
        <w:pict>
          <v:group style="width:210pt;height:20.25pt;mso-position-horizontal-relative:char;mso-position-vertical-relative:line" coordorigin="0,0" coordsize="4200,405">
            <v:line style="position:absolute" from="349,5" to="4189,5" stroked="true" strokeweight=".49849pt" strokecolor="#000000"/>
            <v:line style="position:absolute" from="344,5" to="4195,5" stroked="true" strokeweight=".498496pt" strokecolor="#000000"/>
            <v:line style="position:absolute" from="349,225" to="4189,225" stroked="true" strokeweight=".49849pt" strokecolor="#000000"/>
            <v:line style="position:absolute" from="344,225" to="4195,225" stroked="true" strokeweight=".498496pt" strokecolor="#000000"/>
            <v:line style="position:absolute" from="349,395" to="4189,395" stroked="true" strokeweight=".49849pt" strokecolor="#000000"/>
            <v:line style="position:absolute" from="344,394" to="4195,394" stroked="true" strokeweight=".498496pt" strokecolor="#000000"/>
            <v:line style="position:absolute" from="4189,15" to="4189,395" stroked="true" strokeweight=".537113pt" strokecolor="#000000"/>
            <v:line style="position:absolute" from="4190,10" to="4190,399" stroked="true" strokeweight=".537114pt" strokecolor="#000000"/>
            <v:shape style="position:absolute;left:339;top:0;width:3861;height:405" type="#_x0000_t202" filled="false" stroked="false">
              <v:textbox inset="0,0,0,0">
                <w:txbxContent>
                  <w:p>
                    <w:pPr>
                      <w:spacing w:line="273" w:lineRule="auto" w:before="68"/>
                      <w:ind w:left="26" w:right="788" w:firstLine="0"/>
                      <w:jc w:val="left"/>
                      <w:rPr>
                        <w:sz w:val="13"/>
                      </w:rPr>
                    </w:pPr>
                    <w:r>
                      <w:rPr>
                        <w:w w:val="110"/>
                        <w:sz w:val="13"/>
                      </w:rPr>
                      <w:t>Indicador</w:t>
                    </w:r>
                    <w:r>
                      <w:rPr>
                        <w:spacing w:val="-26"/>
                        <w:w w:val="110"/>
                        <w:sz w:val="13"/>
                      </w:rPr>
                      <w:t> </w:t>
                    </w:r>
                    <w:r>
                      <w:rPr>
                        <w:w w:val="110"/>
                        <w:sz w:val="13"/>
                      </w:rPr>
                      <w:t>de</w:t>
                    </w:r>
                    <w:r>
                      <w:rPr>
                        <w:spacing w:val="-26"/>
                        <w:w w:val="110"/>
                        <w:sz w:val="13"/>
                      </w:rPr>
                      <w:t> </w:t>
                    </w:r>
                    <w:r>
                      <w:rPr>
                        <w:w w:val="110"/>
                        <w:sz w:val="13"/>
                      </w:rPr>
                      <w:t>Transparencia</w:t>
                    </w:r>
                    <w:r>
                      <w:rPr>
                        <w:spacing w:val="-26"/>
                        <w:w w:val="110"/>
                        <w:sz w:val="13"/>
                      </w:rPr>
                      <w:t> </w:t>
                    </w:r>
                    <w:r>
                      <w:rPr>
                        <w:w w:val="110"/>
                        <w:sz w:val="13"/>
                      </w:rPr>
                      <w:t>Presupuestaria,</w:t>
                    </w:r>
                    <w:r>
                      <w:rPr>
                        <w:spacing w:val="-24"/>
                        <w:w w:val="110"/>
                        <w:sz w:val="13"/>
                      </w:rPr>
                      <w:t> </w:t>
                    </w:r>
                    <w:r>
                      <w:rPr>
                        <w:spacing w:val="-3"/>
                        <w:w w:val="110"/>
                        <w:sz w:val="13"/>
                      </w:rPr>
                      <w:t>2011 </w:t>
                    </w:r>
                    <w:r>
                      <w:rPr>
                        <w:w w:val="110"/>
                        <w:sz w:val="13"/>
                      </w:rPr>
                      <w:t>Índice</w:t>
                    </w:r>
                    <w:r>
                      <w:rPr>
                        <w:spacing w:val="-12"/>
                        <w:w w:val="110"/>
                        <w:sz w:val="13"/>
                      </w:rPr>
                      <w:t> </w:t>
                    </w:r>
                    <w:r>
                      <w:rPr>
                        <w:w w:val="110"/>
                        <w:sz w:val="13"/>
                      </w:rPr>
                      <w:t>de</w:t>
                    </w:r>
                    <w:r>
                      <w:rPr>
                        <w:spacing w:val="-12"/>
                        <w:w w:val="110"/>
                        <w:sz w:val="13"/>
                      </w:rPr>
                      <w:t> </w:t>
                    </w:r>
                    <w:r>
                      <w:rPr>
                        <w:w w:val="110"/>
                        <w:sz w:val="13"/>
                      </w:rPr>
                      <w:t>Presupuesto</w:t>
                    </w:r>
                    <w:r>
                      <w:rPr>
                        <w:spacing w:val="-12"/>
                        <w:w w:val="110"/>
                        <w:sz w:val="13"/>
                      </w:rPr>
                      <w:t> </w:t>
                    </w:r>
                    <w:r>
                      <w:rPr>
                        <w:w w:val="110"/>
                        <w:sz w:val="13"/>
                      </w:rPr>
                      <w:t>Abierto,</w:t>
                    </w:r>
                    <w:r>
                      <w:rPr>
                        <w:spacing w:val="-8"/>
                        <w:w w:val="110"/>
                        <w:sz w:val="13"/>
                      </w:rPr>
                      <w:t> </w:t>
                    </w:r>
                    <w:r>
                      <w:rPr>
                        <w:spacing w:val="-3"/>
                        <w:w w:val="110"/>
                        <w:sz w:val="13"/>
                      </w:rPr>
                      <w:t>2012</w:t>
                    </w:r>
                  </w:p>
                </w:txbxContent>
              </v:textbox>
              <w10:wrap type="none"/>
            </v:shape>
            <v:shape style="position:absolute;left:0;top:0;width:345;height:400" type="#_x0000_t202" filled="true" fillcolor="#000000" stroked="false">
              <v:textbox inset="0,0,0,0">
                <w:txbxContent>
                  <w:p>
                    <w:pPr>
                      <w:spacing w:before="117"/>
                      <w:ind w:left="97" w:right="0" w:firstLine="0"/>
                      <w:jc w:val="left"/>
                      <w:rPr>
                        <w:b/>
                        <w:sz w:val="9"/>
                      </w:rPr>
                    </w:pPr>
                    <w:r>
                      <w:rPr>
                        <w:b/>
                        <w:color w:val="FFFFFF"/>
                        <w:w w:val="110"/>
                        <w:position w:val="2"/>
                        <w:sz w:val="13"/>
                      </w:rPr>
                      <w:t>T</w:t>
                    </w:r>
                    <w:r>
                      <w:rPr>
                        <w:b/>
                        <w:color w:val="FFFFFF"/>
                        <w:w w:val="110"/>
                        <w:sz w:val="9"/>
                      </w:rPr>
                      <w:t>+</w:t>
                    </w:r>
                  </w:p>
                </w:txbxContent>
              </v:textbox>
              <v:fill type="solid"/>
              <w10:wrap type="none"/>
            </v:shape>
          </v:group>
        </w:pict>
      </w:r>
      <w:r>
        <w:rPr>
          <w:sz w:val="20"/>
        </w:rPr>
      </w:r>
    </w:p>
    <w:p>
      <w:pPr>
        <w:spacing w:before="8"/>
        <w:ind w:left="1487" w:right="0" w:firstLine="0"/>
        <w:jc w:val="left"/>
        <w:rPr>
          <w:b/>
          <w:sz w:val="13"/>
        </w:rPr>
      </w:pPr>
      <w:r>
        <w:rPr/>
        <w:pict>
          <v:shape style="position:absolute;margin-left:99.505287pt;margin-top:8.007340pt;width:192.3pt;height:27.5pt;mso-position-horizontal-relative:page;mso-position-vertical-relative:paragraph;z-index:29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
                    <w:gridCol w:w="3469"/>
                  </w:tblGrid>
                  <w:tr>
                    <w:trPr>
                      <w:trHeight w:val="200" w:hRule="exact"/>
                    </w:trPr>
                    <w:tc>
                      <w:tcPr>
                        <w:tcW w:w="323" w:type="dxa"/>
                        <w:vMerge w:val="restart"/>
                        <w:shd w:val="clear" w:color="auto" w:fill="000000"/>
                      </w:tcPr>
                      <w:p>
                        <w:pPr>
                          <w:pStyle w:val="TableParagraph"/>
                          <w:spacing w:before="8"/>
                          <w:rPr>
                            <w:sz w:val="16"/>
                          </w:rPr>
                        </w:pPr>
                      </w:p>
                      <w:p>
                        <w:pPr>
                          <w:pStyle w:val="TableParagraph"/>
                          <w:ind w:left="75"/>
                          <w:rPr>
                            <w:b/>
                            <w:sz w:val="13"/>
                          </w:rPr>
                        </w:pPr>
                        <w:r>
                          <w:rPr>
                            <w:b/>
                            <w:color w:val="FFFFFF"/>
                            <w:w w:val="110"/>
                            <w:sz w:val="13"/>
                          </w:rPr>
                          <w:t>DE</w:t>
                        </w:r>
                      </w:p>
                    </w:tc>
                    <w:tc>
                      <w:tcPr>
                        <w:tcW w:w="3469" w:type="dxa"/>
                        <w:tcBorders>
                          <w:top w:val="single" w:sz="4" w:space="0" w:color="000000"/>
                          <w:bottom w:val="single" w:sz="4" w:space="0" w:color="000000"/>
                          <w:right w:val="single" w:sz="21" w:space="0" w:color="000000"/>
                        </w:tcBorders>
                      </w:tcPr>
                      <w:p>
                        <w:pPr>
                          <w:pStyle w:val="TableParagraph"/>
                          <w:spacing w:before="38"/>
                          <w:ind w:left="21"/>
                          <w:rPr>
                            <w:sz w:val="13"/>
                          </w:rPr>
                        </w:pPr>
                        <w:r>
                          <w:rPr>
                            <w:w w:val="110"/>
                            <w:sz w:val="13"/>
                          </w:rPr>
                          <w:t>Índice de Gobernanza Mundial, 2011</w:t>
                        </w:r>
                      </w:p>
                    </w:tc>
                  </w:tr>
                  <w:tr>
                    <w:trPr>
                      <w:trHeight w:val="170" w:hRule="exact"/>
                    </w:trPr>
                    <w:tc>
                      <w:tcPr>
                        <w:tcW w:w="323" w:type="dxa"/>
                        <w:vMerge/>
                        <w:shd w:val="clear" w:color="auto" w:fill="000000"/>
                      </w:tcPr>
                      <w:p>
                        <w:pPr/>
                      </w:p>
                    </w:tc>
                    <w:tc>
                      <w:tcPr>
                        <w:tcW w:w="3469" w:type="dxa"/>
                        <w:tcBorders>
                          <w:top w:val="single" w:sz="4" w:space="0" w:color="000000"/>
                          <w:bottom w:val="single" w:sz="4" w:space="0" w:color="000000"/>
                          <w:right w:val="single" w:sz="21" w:space="0" w:color="000000"/>
                        </w:tcBorders>
                      </w:tcPr>
                      <w:p>
                        <w:pPr>
                          <w:pStyle w:val="TableParagraph"/>
                          <w:spacing w:before="8"/>
                          <w:ind w:left="21"/>
                          <w:rPr>
                            <w:sz w:val="13"/>
                          </w:rPr>
                        </w:pPr>
                        <w:r>
                          <w:rPr>
                            <w:w w:val="110"/>
                            <w:sz w:val="13"/>
                          </w:rPr>
                          <w:t>Indicadores Mundiales de Gobernabilidad, 2012</w:t>
                        </w:r>
                      </w:p>
                    </w:tc>
                  </w:tr>
                  <w:tr>
                    <w:trPr>
                      <w:trHeight w:val="170" w:hRule="exact"/>
                    </w:trPr>
                    <w:tc>
                      <w:tcPr>
                        <w:tcW w:w="323" w:type="dxa"/>
                        <w:vMerge/>
                        <w:shd w:val="clear" w:color="auto" w:fill="000000"/>
                      </w:tcPr>
                      <w:p>
                        <w:pPr/>
                      </w:p>
                    </w:tc>
                    <w:tc>
                      <w:tcPr>
                        <w:tcW w:w="3469" w:type="dxa"/>
                        <w:tcBorders>
                          <w:top w:val="single" w:sz="4" w:space="0" w:color="000000"/>
                          <w:bottom w:val="single" w:sz="4" w:space="0" w:color="000000"/>
                          <w:right w:val="single" w:sz="21" w:space="0" w:color="000000"/>
                        </w:tcBorders>
                      </w:tcPr>
                      <w:p>
                        <w:pPr>
                          <w:pStyle w:val="TableParagraph"/>
                          <w:spacing w:before="8"/>
                          <w:ind w:left="21"/>
                          <w:rPr>
                            <w:sz w:val="13"/>
                          </w:rPr>
                        </w:pPr>
                        <w:r>
                          <w:rPr>
                            <w:w w:val="110"/>
                            <w:sz w:val="13"/>
                          </w:rPr>
                          <w:t>Índice de Estados Fallidos, 2012</w:t>
                        </w:r>
                      </w:p>
                    </w:tc>
                  </w:tr>
                </w:tbl>
                <w:p>
                  <w:pPr>
                    <w:pStyle w:val="BodyText"/>
                  </w:pPr>
                </w:p>
              </w:txbxContent>
            </v:textbox>
            <w10:wrap type="none"/>
          </v:shape>
        </w:pict>
      </w:r>
      <w:r>
        <w:rPr>
          <w:b/>
          <w:w w:val="110"/>
          <w:sz w:val="13"/>
        </w:rPr>
        <w:t>Desempeño del Estado</w:t>
      </w:r>
    </w:p>
    <w:p>
      <w:pPr>
        <w:spacing w:before="50" w:after="2"/>
        <w:ind w:left="5886" w:right="0" w:firstLine="0"/>
        <w:jc w:val="left"/>
        <w:rPr>
          <w:b/>
          <w:sz w:val="13"/>
        </w:rPr>
      </w:pPr>
      <w:r>
        <w:rPr>
          <w:b/>
          <w:w w:val="105"/>
          <w:sz w:val="13"/>
        </w:rPr>
        <w:t>Calidad Institucional</w:t>
      </w:r>
    </w:p>
    <w:p>
      <w:pPr>
        <w:pStyle w:val="BodyText"/>
        <w:ind w:left="4487"/>
        <w:rPr>
          <w:sz w:val="20"/>
        </w:rPr>
      </w:pPr>
      <w:r>
        <w:rPr>
          <w:sz w:val="20"/>
        </w:rPr>
        <w:pict>
          <v:group style="width:210pt;height:17.8pt;mso-position-horizontal-relative:char;mso-position-vertical-relative:line" coordorigin="0,0" coordsize="4200,356">
            <v:line style="position:absolute" from="349,5" to="4189,5" stroked="true" strokeweight=".49849pt" strokecolor="#000000"/>
            <v:line style="position:absolute" from="344,5" to="4195,5" stroked="true" strokeweight=".498496pt" strokecolor="#000000"/>
            <v:line style="position:absolute" from="349,175" to="4189,175" stroked="true" strokeweight=".49849pt" strokecolor="#000000"/>
            <v:line style="position:absolute" from="344,175" to="4195,175" stroked="true" strokeweight=".498496pt" strokecolor="#000000"/>
            <v:line style="position:absolute" from="349,345" to="4189,345" stroked="true" strokeweight=".49849pt" strokecolor="#000000"/>
            <v:line style="position:absolute" from="344,345" to="4195,345" stroked="true" strokeweight=".498496pt" strokecolor="#000000"/>
            <v:line style="position:absolute" from="4189,15" to="4189,345" stroked="true" strokeweight=".537113pt" strokecolor="#000000"/>
            <v:line style="position:absolute" from="4190,10" to="4190,350" stroked="true" strokeweight=".537114pt" strokecolor="#000000"/>
            <v:shape style="position:absolute;left:339;top:0;width:3861;height:356" type="#_x0000_t202" filled="false" stroked="false">
              <v:textbox inset="0,0,0,0">
                <w:txbxContent>
                  <w:p>
                    <w:pPr>
                      <w:spacing w:before="18"/>
                      <w:ind w:left="26" w:right="0" w:firstLine="0"/>
                      <w:jc w:val="left"/>
                      <w:rPr>
                        <w:sz w:val="13"/>
                      </w:rPr>
                    </w:pPr>
                    <w:r>
                      <w:rPr>
                        <w:w w:val="110"/>
                        <w:sz w:val="13"/>
                      </w:rPr>
                      <w:t>Índice de Calidad Institucional, 2012</w:t>
                    </w:r>
                  </w:p>
                  <w:p>
                    <w:pPr>
                      <w:spacing w:before="20"/>
                      <w:ind w:left="26" w:right="0" w:firstLine="0"/>
                      <w:jc w:val="left"/>
                      <w:rPr>
                        <w:sz w:val="13"/>
                      </w:rPr>
                    </w:pPr>
                    <w:r>
                      <w:rPr>
                        <w:w w:val="110"/>
                        <w:sz w:val="13"/>
                      </w:rPr>
                      <w:t>Índice de Competitividad Internacional, 2011</w:t>
                    </w:r>
                  </w:p>
                </w:txbxContent>
              </v:textbox>
              <w10:wrap type="none"/>
            </v:shape>
            <v:shape style="position:absolute;left:0;top:0;width:345;height:350" type="#_x0000_t202" filled="true" fillcolor="#000000" stroked="false">
              <v:textbox inset="0,0,0,0">
                <w:txbxContent>
                  <w:p>
                    <w:pPr>
                      <w:spacing w:before="97"/>
                      <w:ind w:left="75" w:right="0" w:firstLine="0"/>
                      <w:jc w:val="left"/>
                      <w:rPr>
                        <w:sz w:val="9"/>
                      </w:rPr>
                    </w:pPr>
                    <w:r>
                      <w:rPr>
                        <w:color w:val="FFFFFF"/>
                        <w:w w:val="110"/>
                        <w:position w:val="2"/>
                        <w:sz w:val="13"/>
                      </w:rPr>
                      <w:t>CI</w:t>
                    </w:r>
                    <w:r>
                      <w:rPr>
                        <w:color w:val="FFFFFF"/>
                        <w:w w:val="110"/>
                        <w:sz w:val="9"/>
                      </w:rPr>
                      <w:t>+</w:t>
                    </w:r>
                  </w:p>
                </w:txbxContent>
              </v:textbox>
              <v:fill type="solid"/>
              <w10:wrap type="none"/>
            </v:shape>
          </v:group>
        </w:pict>
      </w:r>
      <w:r>
        <w:rPr>
          <w:sz w:val="20"/>
        </w:rPr>
      </w:r>
    </w:p>
    <w:p>
      <w:pPr>
        <w:pStyle w:val="BodyText"/>
        <w:spacing w:before="9"/>
        <w:rPr>
          <w:b/>
          <w:sz w:val="7"/>
        </w:rPr>
      </w:pPr>
    </w:p>
    <w:p>
      <w:pPr>
        <w:spacing w:before="83"/>
        <w:ind w:left="0" w:right="1958" w:firstLine="0"/>
        <w:jc w:val="right"/>
        <w:rPr>
          <w:b/>
          <w:sz w:val="13"/>
        </w:rPr>
      </w:pPr>
      <w:r>
        <w:rPr>
          <w:b/>
          <w:w w:val="110"/>
          <w:sz w:val="13"/>
        </w:rPr>
        <w:t>Buen Gobierno</w:t>
      </w:r>
    </w:p>
    <w:p>
      <w:pPr>
        <w:pStyle w:val="BodyText"/>
        <w:ind w:left="4487"/>
        <w:rPr>
          <w:sz w:val="20"/>
        </w:rPr>
      </w:pPr>
      <w:r>
        <w:rPr>
          <w:sz w:val="20"/>
        </w:rPr>
        <w:pict>
          <v:group style="width:210.05pt;height:27.8pt;mso-position-horizontal-relative:char;mso-position-vertical-relative:line" coordorigin="0,0" coordsize="4201,556">
            <v:line style="position:absolute" from="349,5" to="4189,5" stroked="true" strokeweight=".49849pt" strokecolor="#000000"/>
            <v:line style="position:absolute" from="344,6" to="4195,6" stroked="true" strokeweight=".515106pt" strokecolor="#000000"/>
            <v:line style="position:absolute" from="349,205" to="4189,205" stroked="true" strokeweight=".49849pt" strokecolor="#000000"/>
            <v:line style="position:absolute" from="344,205" to="4195,205" stroked="true" strokeweight=".498496pt" strokecolor="#000000"/>
            <v:line style="position:absolute" from="349,375" to="4189,375" stroked="true" strokeweight=".49849pt" strokecolor="#000000"/>
            <v:line style="position:absolute" from="344,375" to="4195,375" stroked="true" strokeweight=".498496pt" strokecolor="#000000"/>
            <v:line style="position:absolute" from="349,545" to="4189,545" stroked="true" strokeweight=".49849pt" strokecolor="#000000"/>
            <v:line style="position:absolute" from="344,545" to="4195,545" stroked="true" strokeweight=".498496pt" strokecolor="#000000"/>
            <v:line style="position:absolute" from="4189,16" to="4189,545" stroked="true" strokeweight=".537113pt" strokecolor="#000000"/>
            <v:line style="position:absolute" from="4190,11" to="4190,550" stroked="true" strokeweight=".537114pt" strokecolor="#000000"/>
            <v:shape style="position:absolute;left:339;top:0;width:3862;height:556" type="#_x0000_t202" filled="false" stroked="false">
              <v:textbox inset="0,0,0,0">
                <w:txbxContent>
                  <w:p>
                    <w:pPr>
                      <w:spacing w:line="273" w:lineRule="auto" w:before="48"/>
                      <w:ind w:left="26" w:right="1328" w:firstLine="0"/>
                      <w:jc w:val="left"/>
                      <w:rPr>
                        <w:sz w:val="13"/>
                      </w:rPr>
                    </w:pPr>
                    <w:r>
                      <w:rPr>
                        <w:w w:val="110"/>
                        <w:sz w:val="13"/>
                      </w:rPr>
                      <w:t>Participación en Elecciones, 2011 Índice de Mejor vida, 2013</w:t>
                    </w:r>
                  </w:p>
                  <w:p>
                    <w:pPr>
                      <w:spacing w:before="0"/>
                      <w:ind w:left="26" w:right="1328" w:firstLine="0"/>
                      <w:jc w:val="left"/>
                      <w:rPr>
                        <w:sz w:val="13"/>
                      </w:rPr>
                    </w:pPr>
                    <w:r>
                      <w:rPr>
                        <w:w w:val="110"/>
                        <w:sz w:val="13"/>
                      </w:rPr>
                      <w:t>Índice de Planeta Feliz, 2012</w:t>
                    </w:r>
                  </w:p>
                </w:txbxContent>
              </v:textbox>
              <w10:wrap type="none"/>
            </v:shape>
            <v:shape style="position:absolute;left:0;top:0;width:345;height:550" type="#_x0000_t202" filled="true" fillcolor="#000000" stroked="false">
              <v:textbox inset="0,0,0,0">
                <w:txbxContent>
                  <w:p>
                    <w:pPr>
                      <w:spacing w:line="240" w:lineRule="auto" w:before="2"/>
                      <w:rPr>
                        <w:b/>
                        <w:sz w:val="17"/>
                      </w:rPr>
                    </w:pPr>
                  </w:p>
                  <w:p>
                    <w:pPr>
                      <w:spacing w:before="0"/>
                      <w:ind w:left="42" w:right="0" w:firstLine="0"/>
                      <w:jc w:val="left"/>
                      <w:rPr>
                        <w:sz w:val="9"/>
                      </w:rPr>
                    </w:pPr>
                    <w:r>
                      <w:rPr>
                        <w:color w:val="FFFFFF"/>
                        <w:w w:val="110"/>
                        <w:position w:val="2"/>
                        <w:sz w:val="13"/>
                      </w:rPr>
                      <w:t>BG</w:t>
                    </w:r>
                    <w:r>
                      <w:rPr>
                        <w:color w:val="FFFFFF"/>
                        <w:w w:val="110"/>
                        <w:sz w:val="9"/>
                      </w:rPr>
                      <w:t>+</w:t>
                    </w:r>
                  </w:p>
                </w:txbxContent>
              </v:textbox>
              <v:fill type="solid"/>
              <w10:wrap type="none"/>
            </v:shape>
          </v:group>
        </w:pict>
      </w:r>
      <w:r>
        <w:rPr>
          <w:sz w:val="20"/>
        </w:rPr>
      </w:r>
    </w:p>
    <w:p>
      <w:pPr>
        <w:pStyle w:val="BodyText"/>
        <w:spacing w:before="11"/>
        <w:rPr>
          <w:b/>
          <w:sz w:val="6"/>
        </w:rPr>
      </w:pPr>
    </w:p>
    <w:p>
      <w:pPr>
        <w:spacing w:before="83" w:after="2"/>
        <w:ind w:left="5843" w:right="0" w:firstLine="0"/>
        <w:jc w:val="left"/>
        <w:rPr>
          <w:b/>
          <w:sz w:val="13"/>
        </w:rPr>
      </w:pPr>
      <w:r>
        <w:rPr>
          <w:b/>
          <w:w w:val="110"/>
          <w:sz w:val="13"/>
        </w:rPr>
        <w:t>Rendición de Cuentas</w:t>
      </w:r>
    </w:p>
    <w:p>
      <w:pPr>
        <w:pStyle w:val="BodyText"/>
        <w:spacing w:line="205" w:lineRule="exact"/>
        <w:ind w:left="4487"/>
        <w:rPr>
          <w:sz w:val="20"/>
        </w:rPr>
      </w:pPr>
      <w:r>
        <w:rPr>
          <w:position w:val="-3"/>
          <w:sz w:val="20"/>
        </w:rPr>
        <w:pict>
          <v:group style="width:210pt;height:10.3pt;mso-position-horizontal-relative:char;mso-position-vertical-relative:line" coordorigin="0,0" coordsize="4200,206">
            <v:line style="position:absolute" from="349,5" to="4189,5" stroked="true" strokeweight=".49849pt" strokecolor="#000000"/>
            <v:line style="position:absolute" from="344,5" to="4195,5" stroked="true" strokeweight=".498496pt" strokecolor="#000000"/>
            <v:line style="position:absolute" from="349,195" to="4189,195" stroked="true" strokeweight=".49849pt" strokecolor="#000000"/>
            <v:line style="position:absolute" from="344,195" to="4195,195" stroked="true" strokeweight=".498496pt" strokecolor="#000000"/>
            <v:line style="position:absolute" from="4189,15" to="4189,195" stroked="true" strokeweight=".537113pt" strokecolor="#000000"/>
            <v:line style="position:absolute" from="4190,10" to="4190,200" stroked="true" strokeweight=".537114pt" strokecolor="#000000"/>
            <v:shape style="position:absolute;left:339;top:0;width:3861;height:206" type="#_x0000_t202" filled="false" stroked="false">
              <v:textbox inset="0,0,0,0">
                <w:txbxContent>
                  <w:p>
                    <w:pPr>
                      <w:spacing w:before="28"/>
                      <w:ind w:left="26" w:right="0" w:firstLine="0"/>
                      <w:jc w:val="left"/>
                      <w:rPr>
                        <w:sz w:val="13"/>
                      </w:rPr>
                    </w:pPr>
                    <w:r>
                      <w:rPr>
                        <w:w w:val="110"/>
                        <w:sz w:val="13"/>
                      </w:rPr>
                      <w:t>Índice de Integridad Pública, 2012</w:t>
                    </w:r>
                  </w:p>
                </w:txbxContent>
              </v:textbox>
              <w10:wrap type="none"/>
            </v:shape>
            <v:shape style="position:absolute;left:0;top:0;width:345;height:201" type="#_x0000_t202" filled="true" fillcolor="#000000" stroked="false">
              <v:textbox inset="0,0,0,0">
                <w:txbxContent>
                  <w:p>
                    <w:pPr>
                      <w:spacing w:before="28"/>
                      <w:ind w:left="32" w:right="0" w:firstLine="0"/>
                      <w:jc w:val="left"/>
                      <w:rPr>
                        <w:b/>
                        <w:sz w:val="9"/>
                      </w:rPr>
                    </w:pPr>
                    <w:r>
                      <w:rPr>
                        <w:b/>
                        <w:color w:val="FFFFFF"/>
                        <w:w w:val="110"/>
                        <w:sz w:val="13"/>
                      </w:rPr>
                      <w:t>RC</w:t>
                    </w:r>
                    <w:r>
                      <w:rPr>
                        <w:b/>
                        <w:color w:val="FFFFFF"/>
                        <w:w w:val="110"/>
                        <w:position w:val="-1"/>
                        <w:sz w:val="9"/>
                      </w:rPr>
                      <w:t>+</w:t>
                    </w:r>
                  </w:p>
                </w:txbxContent>
              </v:textbox>
              <v:fill type="solid"/>
              <w10:wrap type="none"/>
            </v:shape>
          </v:group>
        </w:pict>
      </w:r>
      <w:r>
        <w:rPr>
          <w:position w:val="-3"/>
          <w:sz w:val="20"/>
        </w:rPr>
      </w:r>
    </w:p>
    <w:p>
      <w:pPr>
        <w:pStyle w:val="BodyText"/>
        <w:spacing w:before="7"/>
        <w:rPr>
          <w:b/>
          <w:sz w:val="15"/>
        </w:rPr>
      </w:pPr>
    </w:p>
    <w:p>
      <w:pPr>
        <w:spacing w:before="84"/>
        <w:ind w:left="810" w:right="0" w:firstLine="0"/>
        <w:jc w:val="left"/>
        <w:rPr>
          <w:sz w:val="12"/>
        </w:rPr>
      </w:pPr>
      <w:r>
        <w:rPr>
          <w:sz w:val="12"/>
        </w:rPr>
        <w:t>FUENTE: Elaboración propia con base en ASF. (2005).</w:t>
      </w:r>
    </w:p>
    <w:p>
      <w:pPr>
        <w:spacing w:after="0"/>
        <w:jc w:val="left"/>
        <w:rPr>
          <w:sz w:val="12"/>
        </w:rPr>
        <w:sectPr>
          <w:pgSz w:w="12240" w:h="15840"/>
          <w:pgMar w:header="0" w:footer="1003" w:top="1360" w:bottom="1200" w:left="1600" w:right="1580"/>
        </w:sectPr>
      </w:pPr>
    </w:p>
    <w:p>
      <w:pPr>
        <w:spacing w:before="55"/>
        <w:ind w:left="1204" w:right="0" w:firstLine="0"/>
        <w:jc w:val="left"/>
        <w:rPr>
          <w:sz w:val="20"/>
        </w:rPr>
      </w:pPr>
      <w:bookmarkStart w:name="_bookmark21" w:id="32"/>
      <w:bookmarkEnd w:id="32"/>
      <w:r>
        <w:rPr/>
      </w:r>
      <w:r>
        <w:rPr>
          <w:sz w:val="20"/>
        </w:rPr>
        <w:t>Cuadro 1.6. Clasificación de indicadores internacionales por sub-indicadores</w:t>
      </w:r>
    </w:p>
    <w:p>
      <w:pPr>
        <w:pStyle w:val="BodyText"/>
        <w:spacing w:before="9"/>
        <w:rPr>
          <w:sz w:val="16"/>
        </w:rPr>
      </w:pPr>
    </w:p>
    <w:tbl>
      <w:tblPr>
        <w:tblW w:w="0" w:type="auto"/>
        <w:jc w:val="left"/>
        <w:tblInd w:w="110" w:type="dxa"/>
        <w:tblBorders>
          <w:top w:val="single" w:sz="17" w:space="0" w:color="BEBEBE"/>
          <w:left w:val="single" w:sz="17" w:space="0" w:color="BEBEBE"/>
          <w:bottom w:val="single" w:sz="17" w:space="0" w:color="BEBEBE"/>
          <w:right w:val="single" w:sz="17" w:space="0" w:color="BEBEBE"/>
          <w:insideH w:val="single" w:sz="17" w:space="0" w:color="BEBEBE"/>
          <w:insideV w:val="single" w:sz="17" w:space="0" w:color="BEBEBE"/>
        </w:tblBorders>
        <w:tblLayout w:type="fixed"/>
        <w:tblCellMar>
          <w:top w:w="0" w:type="dxa"/>
          <w:left w:w="0" w:type="dxa"/>
          <w:bottom w:w="0" w:type="dxa"/>
          <w:right w:w="0" w:type="dxa"/>
        </w:tblCellMar>
        <w:tblLook w:val="01E0"/>
      </w:tblPr>
      <w:tblGrid>
        <w:gridCol w:w="1699"/>
        <w:gridCol w:w="502"/>
        <w:gridCol w:w="3222"/>
        <w:gridCol w:w="3526"/>
      </w:tblGrid>
      <w:tr>
        <w:trPr>
          <w:trHeight w:val="689" w:hRule="exact"/>
        </w:trPr>
        <w:tc>
          <w:tcPr>
            <w:tcW w:w="1699"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spacing w:before="5"/>
              <w:rPr>
                <w:sz w:val="14"/>
              </w:rPr>
            </w:pPr>
          </w:p>
          <w:p>
            <w:pPr>
              <w:pStyle w:val="TableParagraph"/>
              <w:ind w:left="541" w:right="543"/>
              <w:jc w:val="center"/>
              <w:rPr>
                <w:b/>
                <w:sz w:val="14"/>
              </w:rPr>
            </w:pPr>
            <w:r>
              <w:rPr>
                <w:b/>
                <w:sz w:val="14"/>
              </w:rPr>
              <w:t>Variable</w:t>
            </w:r>
          </w:p>
        </w:tc>
        <w:tc>
          <w:tcPr>
            <w:tcW w:w="502" w:type="dxa"/>
            <w:tcBorders>
              <w:top w:val="single" w:sz="4" w:space="0" w:color="000000"/>
              <w:left w:val="single" w:sz="12" w:space="0" w:color="BEBEBE"/>
              <w:right w:val="single" w:sz="4" w:space="0" w:color="000000"/>
            </w:tcBorders>
          </w:tcPr>
          <w:p>
            <w:pPr/>
          </w:p>
        </w:tc>
        <w:tc>
          <w:tcPr>
            <w:tcW w:w="3222" w:type="dxa"/>
            <w:tcBorders>
              <w:top w:val="single" w:sz="4" w:space="0" w:color="000000"/>
              <w:left w:val="single" w:sz="4" w:space="0" w:color="000000"/>
              <w:right w:val="single" w:sz="4" w:space="0" w:color="000000"/>
            </w:tcBorders>
          </w:tcPr>
          <w:p>
            <w:pPr>
              <w:pStyle w:val="TableParagraph"/>
              <w:spacing w:before="3"/>
              <w:rPr>
                <w:sz w:val="15"/>
              </w:rPr>
            </w:pPr>
          </w:p>
          <w:p>
            <w:pPr>
              <w:pStyle w:val="TableParagraph"/>
              <w:ind w:left="672" w:right="653" w:firstLine="259"/>
              <w:rPr>
                <w:b/>
                <w:sz w:val="14"/>
              </w:rPr>
            </w:pPr>
            <w:r>
              <w:rPr>
                <w:b/>
                <w:sz w:val="14"/>
              </w:rPr>
              <w:t>Con subindicadores (indicadores desagregados)</w:t>
            </w:r>
          </w:p>
        </w:tc>
        <w:tc>
          <w:tcPr>
            <w:tcW w:w="3526" w:type="dxa"/>
            <w:tcBorders>
              <w:top w:val="single" w:sz="4" w:space="0" w:color="000000"/>
              <w:left w:val="single" w:sz="4" w:space="0" w:color="000000"/>
              <w:right w:val="single" w:sz="4" w:space="0" w:color="000000"/>
            </w:tcBorders>
          </w:tcPr>
          <w:p>
            <w:pPr>
              <w:pStyle w:val="TableParagraph"/>
              <w:spacing w:before="3"/>
              <w:rPr>
                <w:sz w:val="15"/>
              </w:rPr>
            </w:pPr>
          </w:p>
          <w:p>
            <w:pPr>
              <w:pStyle w:val="TableParagraph"/>
              <w:ind w:left="943" w:right="927" w:firstLine="168"/>
              <w:rPr>
                <w:b/>
                <w:sz w:val="14"/>
              </w:rPr>
            </w:pPr>
            <w:r>
              <w:rPr>
                <w:b/>
                <w:sz w:val="14"/>
              </w:rPr>
              <w:t>Sin subindicadores (indicadores agregados)</w:t>
            </w:r>
          </w:p>
        </w:tc>
      </w:tr>
      <w:tr>
        <w:trPr>
          <w:trHeight w:val="214" w:hRule="exact"/>
        </w:trPr>
        <w:tc>
          <w:tcPr>
            <w:tcW w:w="1699" w:type="dxa"/>
            <w:vMerge w:val="restart"/>
            <w:tcBorders>
              <w:top w:val="single" w:sz="12" w:space="0" w:color="BEBEBE"/>
            </w:tcBorders>
          </w:tcPr>
          <w:p>
            <w:pPr>
              <w:pStyle w:val="TableParagraph"/>
              <w:spacing w:before="7"/>
              <w:rPr>
                <w:sz w:val="18"/>
              </w:rPr>
            </w:pPr>
          </w:p>
          <w:p>
            <w:pPr>
              <w:pStyle w:val="TableParagraph"/>
              <w:ind w:left="100"/>
              <w:rPr>
                <w:sz w:val="14"/>
              </w:rPr>
            </w:pPr>
            <w:r>
              <w:rPr>
                <w:sz w:val="14"/>
              </w:rPr>
              <w:t>Desempeño del Estado</w:t>
            </w:r>
          </w:p>
        </w:tc>
        <w:tc>
          <w:tcPr>
            <w:tcW w:w="502" w:type="dxa"/>
            <w:tcBorders>
              <w:bottom w:val="nil"/>
            </w:tcBorders>
          </w:tcPr>
          <w:p>
            <w:pPr>
              <w:pStyle w:val="TableParagraph"/>
              <w:ind w:left="86"/>
              <w:rPr>
                <w:sz w:val="14"/>
              </w:rPr>
            </w:pPr>
            <w:r>
              <w:rPr>
                <w:sz w:val="14"/>
              </w:rPr>
              <w:t>(1)</w:t>
            </w:r>
          </w:p>
        </w:tc>
        <w:tc>
          <w:tcPr>
            <w:tcW w:w="3222" w:type="dxa"/>
            <w:tcBorders>
              <w:bottom w:val="nil"/>
            </w:tcBorders>
          </w:tcPr>
          <w:p>
            <w:pPr>
              <w:pStyle w:val="TableParagraph"/>
              <w:ind w:left="87"/>
              <w:rPr>
                <w:sz w:val="14"/>
              </w:rPr>
            </w:pPr>
            <w:r>
              <w:rPr>
                <w:sz w:val="14"/>
              </w:rPr>
              <w:t>Índice de Gobernanza Mundial, 2011</w:t>
            </w:r>
          </w:p>
        </w:tc>
        <w:tc>
          <w:tcPr>
            <w:tcW w:w="3526" w:type="dxa"/>
            <w:vMerge w:val="restart"/>
          </w:tcPr>
          <w:p>
            <w:pPr/>
          </w:p>
        </w:tc>
      </w:tr>
      <w:tr>
        <w:trPr>
          <w:trHeight w:val="206" w:hRule="exact"/>
        </w:trPr>
        <w:tc>
          <w:tcPr>
            <w:tcW w:w="1699" w:type="dxa"/>
            <w:vMerge/>
          </w:tcPr>
          <w:p>
            <w:pPr/>
          </w:p>
        </w:tc>
        <w:tc>
          <w:tcPr>
            <w:tcW w:w="502" w:type="dxa"/>
            <w:tcBorders>
              <w:top w:val="nil"/>
              <w:bottom w:val="nil"/>
            </w:tcBorders>
          </w:tcPr>
          <w:p>
            <w:pPr>
              <w:pStyle w:val="TableParagraph"/>
              <w:spacing w:before="15"/>
              <w:ind w:left="86"/>
              <w:rPr>
                <w:sz w:val="14"/>
              </w:rPr>
            </w:pPr>
            <w:r>
              <w:rPr>
                <w:sz w:val="14"/>
              </w:rPr>
              <w:t>(2)</w:t>
            </w:r>
          </w:p>
        </w:tc>
        <w:tc>
          <w:tcPr>
            <w:tcW w:w="3222" w:type="dxa"/>
            <w:tcBorders>
              <w:top w:val="nil"/>
              <w:bottom w:val="nil"/>
            </w:tcBorders>
          </w:tcPr>
          <w:p>
            <w:pPr>
              <w:pStyle w:val="TableParagraph"/>
              <w:spacing w:before="15"/>
              <w:ind w:left="87"/>
              <w:rPr>
                <w:sz w:val="14"/>
              </w:rPr>
            </w:pPr>
            <w:r>
              <w:rPr>
                <w:sz w:val="14"/>
              </w:rPr>
              <w:t>Indicadores Mundiales de Gobernabilidad, 2012</w:t>
            </w:r>
          </w:p>
        </w:tc>
        <w:tc>
          <w:tcPr>
            <w:tcW w:w="3526" w:type="dxa"/>
            <w:vMerge/>
          </w:tcPr>
          <w:p>
            <w:pPr/>
          </w:p>
        </w:tc>
      </w:tr>
      <w:tr>
        <w:trPr>
          <w:trHeight w:val="199" w:hRule="exact"/>
        </w:trPr>
        <w:tc>
          <w:tcPr>
            <w:tcW w:w="1699" w:type="dxa"/>
            <w:vMerge/>
          </w:tcPr>
          <w:p>
            <w:pPr/>
          </w:p>
        </w:tc>
        <w:tc>
          <w:tcPr>
            <w:tcW w:w="502" w:type="dxa"/>
            <w:tcBorders>
              <w:top w:val="nil"/>
            </w:tcBorders>
          </w:tcPr>
          <w:p>
            <w:pPr>
              <w:pStyle w:val="TableParagraph"/>
              <w:spacing w:before="15"/>
              <w:ind w:left="86"/>
              <w:rPr>
                <w:sz w:val="14"/>
              </w:rPr>
            </w:pPr>
            <w:r>
              <w:rPr>
                <w:sz w:val="14"/>
              </w:rPr>
              <w:t>(3)</w:t>
            </w:r>
          </w:p>
        </w:tc>
        <w:tc>
          <w:tcPr>
            <w:tcW w:w="3222" w:type="dxa"/>
            <w:tcBorders>
              <w:top w:val="nil"/>
            </w:tcBorders>
          </w:tcPr>
          <w:p>
            <w:pPr>
              <w:pStyle w:val="TableParagraph"/>
              <w:spacing w:before="15"/>
              <w:ind w:left="87"/>
              <w:rPr>
                <w:sz w:val="14"/>
              </w:rPr>
            </w:pPr>
            <w:r>
              <w:rPr>
                <w:sz w:val="14"/>
              </w:rPr>
              <w:t>Índice de Estados Fallidos, 2012</w:t>
            </w:r>
          </w:p>
        </w:tc>
        <w:tc>
          <w:tcPr>
            <w:tcW w:w="3526" w:type="dxa"/>
            <w:vMerge/>
          </w:tcPr>
          <w:p>
            <w:pPr/>
          </w:p>
        </w:tc>
      </w:tr>
      <w:tr>
        <w:trPr>
          <w:trHeight w:val="212" w:hRule="exact"/>
        </w:trPr>
        <w:tc>
          <w:tcPr>
            <w:tcW w:w="1699" w:type="dxa"/>
            <w:vMerge w:val="restart"/>
          </w:tcPr>
          <w:p>
            <w:pPr>
              <w:pStyle w:val="TableParagraph"/>
              <w:rPr>
                <w:sz w:val="14"/>
              </w:rPr>
            </w:pPr>
          </w:p>
          <w:p>
            <w:pPr>
              <w:pStyle w:val="TableParagraph"/>
              <w:spacing w:before="125"/>
              <w:ind w:left="484"/>
              <w:rPr>
                <w:sz w:val="14"/>
              </w:rPr>
            </w:pPr>
            <w:r>
              <w:rPr>
                <w:sz w:val="14"/>
              </w:rPr>
              <w:t>Corrupción</w:t>
            </w:r>
          </w:p>
        </w:tc>
        <w:tc>
          <w:tcPr>
            <w:tcW w:w="502" w:type="dxa"/>
            <w:tcBorders>
              <w:bottom w:val="nil"/>
            </w:tcBorders>
          </w:tcPr>
          <w:p>
            <w:pPr>
              <w:pStyle w:val="TableParagraph"/>
              <w:ind w:left="86"/>
              <w:rPr>
                <w:sz w:val="14"/>
              </w:rPr>
            </w:pPr>
            <w:r>
              <w:rPr>
                <w:sz w:val="14"/>
              </w:rPr>
              <w:t>(4)</w:t>
            </w:r>
          </w:p>
        </w:tc>
        <w:tc>
          <w:tcPr>
            <w:tcW w:w="3222" w:type="dxa"/>
            <w:vMerge w:val="restart"/>
          </w:tcPr>
          <w:p>
            <w:pPr>
              <w:pStyle w:val="TableParagraph"/>
              <w:rPr>
                <w:sz w:val="14"/>
              </w:rPr>
            </w:pPr>
          </w:p>
          <w:p>
            <w:pPr>
              <w:pStyle w:val="TableParagraph"/>
              <w:rPr>
                <w:sz w:val="14"/>
              </w:rPr>
            </w:pPr>
          </w:p>
          <w:p>
            <w:pPr>
              <w:pStyle w:val="TableParagraph"/>
              <w:rPr>
                <w:sz w:val="14"/>
              </w:rPr>
            </w:pPr>
          </w:p>
          <w:p>
            <w:pPr>
              <w:pStyle w:val="TableParagraph"/>
              <w:spacing w:before="89"/>
              <w:ind w:left="87"/>
              <w:rPr>
                <w:sz w:val="14"/>
              </w:rPr>
            </w:pPr>
            <w:r>
              <w:rPr>
                <w:sz w:val="14"/>
              </w:rPr>
              <w:t>Barómetro Global de la Corrupción, 2010</w:t>
            </w:r>
          </w:p>
        </w:tc>
        <w:tc>
          <w:tcPr>
            <w:tcW w:w="3526" w:type="dxa"/>
            <w:tcBorders>
              <w:bottom w:val="nil"/>
            </w:tcBorders>
          </w:tcPr>
          <w:p>
            <w:pPr>
              <w:pStyle w:val="TableParagraph"/>
              <w:ind w:left="83"/>
              <w:rPr>
                <w:sz w:val="14"/>
              </w:rPr>
            </w:pPr>
            <w:r>
              <w:rPr>
                <w:sz w:val="14"/>
              </w:rPr>
              <w:t>Índice de Opacidad, 2009</w:t>
            </w:r>
          </w:p>
        </w:tc>
      </w:tr>
      <w:tr>
        <w:trPr>
          <w:trHeight w:val="286" w:hRule="exact"/>
        </w:trPr>
        <w:tc>
          <w:tcPr>
            <w:tcW w:w="1699" w:type="dxa"/>
            <w:vMerge/>
          </w:tcPr>
          <w:p>
            <w:pPr/>
          </w:p>
        </w:tc>
        <w:tc>
          <w:tcPr>
            <w:tcW w:w="502" w:type="dxa"/>
            <w:tcBorders>
              <w:top w:val="nil"/>
              <w:bottom w:val="nil"/>
            </w:tcBorders>
          </w:tcPr>
          <w:p>
            <w:pPr>
              <w:pStyle w:val="TableParagraph"/>
              <w:spacing w:before="14"/>
              <w:ind w:left="86"/>
              <w:rPr>
                <w:sz w:val="14"/>
              </w:rPr>
            </w:pPr>
            <w:r>
              <w:rPr>
                <w:sz w:val="14"/>
              </w:rPr>
              <w:t>(5)</w:t>
            </w:r>
          </w:p>
        </w:tc>
        <w:tc>
          <w:tcPr>
            <w:tcW w:w="3222" w:type="dxa"/>
            <w:vMerge/>
          </w:tcPr>
          <w:p>
            <w:pPr/>
          </w:p>
        </w:tc>
        <w:tc>
          <w:tcPr>
            <w:tcW w:w="3526" w:type="dxa"/>
            <w:tcBorders>
              <w:top w:val="nil"/>
              <w:bottom w:val="nil"/>
            </w:tcBorders>
          </w:tcPr>
          <w:p>
            <w:pPr>
              <w:pStyle w:val="TableParagraph"/>
              <w:spacing w:line="242" w:lineRule="auto" w:before="14"/>
              <w:ind w:left="83"/>
              <w:rPr>
                <w:sz w:val="14"/>
              </w:rPr>
            </w:pPr>
            <w:r>
              <w:rPr>
                <w:sz w:val="14"/>
              </w:rPr>
              <w:t>Índice Internacional de Percepción de la Corrupción, 2012</w:t>
            </w:r>
          </w:p>
        </w:tc>
      </w:tr>
      <w:tr>
        <w:trPr>
          <w:trHeight w:val="280" w:hRule="exact"/>
        </w:trPr>
        <w:tc>
          <w:tcPr>
            <w:tcW w:w="1699" w:type="dxa"/>
            <w:vMerge/>
          </w:tcPr>
          <w:p>
            <w:pPr/>
          </w:p>
        </w:tc>
        <w:tc>
          <w:tcPr>
            <w:tcW w:w="502" w:type="dxa"/>
            <w:tcBorders>
              <w:top w:val="nil"/>
            </w:tcBorders>
          </w:tcPr>
          <w:p>
            <w:pPr>
              <w:pStyle w:val="TableParagraph"/>
              <w:spacing w:before="95"/>
              <w:ind w:left="86"/>
              <w:rPr>
                <w:sz w:val="14"/>
              </w:rPr>
            </w:pPr>
            <w:r>
              <w:rPr>
                <w:sz w:val="14"/>
              </w:rPr>
              <w:t>(6)</w:t>
            </w:r>
          </w:p>
        </w:tc>
        <w:tc>
          <w:tcPr>
            <w:tcW w:w="3222" w:type="dxa"/>
            <w:vMerge/>
          </w:tcPr>
          <w:p>
            <w:pPr/>
          </w:p>
        </w:tc>
        <w:tc>
          <w:tcPr>
            <w:tcW w:w="3526" w:type="dxa"/>
            <w:tcBorders>
              <w:top w:val="nil"/>
            </w:tcBorders>
          </w:tcPr>
          <w:p>
            <w:pPr/>
          </w:p>
        </w:tc>
      </w:tr>
      <w:tr>
        <w:trPr>
          <w:trHeight w:val="196" w:hRule="exact"/>
        </w:trPr>
        <w:tc>
          <w:tcPr>
            <w:tcW w:w="1699" w:type="dxa"/>
            <w:vMerge w:val="restart"/>
          </w:tcPr>
          <w:p>
            <w:pPr>
              <w:pStyle w:val="TableParagraph"/>
              <w:spacing w:before="87"/>
              <w:ind w:left="379"/>
              <w:rPr>
                <w:sz w:val="14"/>
              </w:rPr>
            </w:pPr>
            <w:r>
              <w:rPr>
                <w:sz w:val="14"/>
              </w:rPr>
              <w:t>Transparencia</w:t>
            </w:r>
          </w:p>
        </w:tc>
        <w:tc>
          <w:tcPr>
            <w:tcW w:w="502" w:type="dxa"/>
            <w:tcBorders>
              <w:bottom w:val="nil"/>
            </w:tcBorders>
          </w:tcPr>
          <w:p>
            <w:pPr>
              <w:pStyle w:val="TableParagraph"/>
              <w:ind w:left="86"/>
              <w:rPr>
                <w:sz w:val="14"/>
              </w:rPr>
            </w:pPr>
            <w:r>
              <w:rPr>
                <w:sz w:val="14"/>
              </w:rPr>
              <w:t>(7)</w:t>
            </w:r>
          </w:p>
        </w:tc>
        <w:tc>
          <w:tcPr>
            <w:tcW w:w="3222" w:type="dxa"/>
            <w:vMerge w:val="restart"/>
          </w:tcPr>
          <w:p>
            <w:pPr/>
          </w:p>
        </w:tc>
        <w:tc>
          <w:tcPr>
            <w:tcW w:w="3526" w:type="dxa"/>
            <w:tcBorders>
              <w:bottom w:val="nil"/>
            </w:tcBorders>
          </w:tcPr>
          <w:p>
            <w:pPr>
              <w:pStyle w:val="TableParagraph"/>
              <w:ind w:left="83"/>
              <w:rPr>
                <w:sz w:val="14"/>
              </w:rPr>
            </w:pPr>
            <w:r>
              <w:rPr>
                <w:sz w:val="14"/>
              </w:rPr>
              <w:t>Indicador de Transparencia Presupuestaria, 2011</w:t>
            </w:r>
          </w:p>
        </w:tc>
      </w:tr>
      <w:tr>
        <w:trPr>
          <w:trHeight w:val="184" w:hRule="exact"/>
        </w:trPr>
        <w:tc>
          <w:tcPr>
            <w:tcW w:w="1699" w:type="dxa"/>
            <w:vMerge/>
          </w:tcPr>
          <w:p>
            <w:pPr/>
          </w:p>
        </w:tc>
        <w:tc>
          <w:tcPr>
            <w:tcW w:w="502" w:type="dxa"/>
            <w:tcBorders>
              <w:top w:val="nil"/>
            </w:tcBorders>
          </w:tcPr>
          <w:p>
            <w:pPr>
              <w:pStyle w:val="TableParagraph"/>
              <w:spacing w:line="158" w:lineRule="exact"/>
              <w:ind w:left="86"/>
              <w:rPr>
                <w:sz w:val="14"/>
              </w:rPr>
            </w:pPr>
            <w:r>
              <w:rPr>
                <w:sz w:val="14"/>
              </w:rPr>
              <w:t>(8)</w:t>
            </w:r>
          </w:p>
        </w:tc>
        <w:tc>
          <w:tcPr>
            <w:tcW w:w="3222" w:type="dxa"/>
            <w:vMerge/>
          </w:tcPr>
          <w:p>
            <w:pPr/>
          </w:p>
        </w:tc>
        <w:tc>
          <w:tcPr>
            <w:tcW w:w="3526" w:type="dxa"/>
            <w:tcBorders>
              <w:top w:val="nil"/>
            </w:tcBorders>
          </w:tcPr>
          <w:p>
            <w:pPr>
              <w:pStyle w:val="TableParagraph"/>
              <w:spacing w:line="158" w:lineRule="exact"/>
              <w:ind w:left="83"/>
              <w:rPr>
                <w:sz w:val="14"/>
              </w:rPr>
            </w:pPr>
            <w:r>
              <w:rPr>
                <w:sz w:val="14"/>
              </w:rPr>
              <w:t>Índice de Presupuesto Abierto, 2012</w:t>
            </w:r>
          </w:p>
        </w:tc>
      </w:tr>
      <w:tr>
        <w:trPr>
          <w:trHeight w:val="193" w:hRule="exact"/>
        </w:trPr>
        <w:tc>
          <w:tcPr>
            <w:tcW w:w="1699" w:type="dxa"/>
            <w:vMerge w:val="restart"/>
          </w:tcPr>
          <w:p>
            <w:pPr>
              <w:pStyle w:val="TableParagraph"/>
              <w:spacing w:before="84"/>
              <w:ind w:left="204"/>
              <w:rPr>
                <w:sz w:val="14"/>
              </w:rPr>
            </w:pPr>
            <w:r>
              <w:rPr>
                <w:sz w:val="14"/>
              </w:rPr>
              <w:t>Calidad institucional</w:t>
            </w:r>
          </w:p>
        </w:tc>
        <w:tc>
          <w:tcPr>
            <w:tcW w:w="502" w:type="dxa"/>
            <w:tcBorders>
              <w:bottom w:val="nil"/>
            </w:tcBorders>
          </w:tcPr>
          <w:p>
            <w:pPr>
              <w:pStyle w:val="TableParagraph"/>
              <w:spacing w:line="159" w:lineRule="exact"/>
              <w:ind w:left="86"/>
              <w:rPr>
                <w:sz w:val="14"/>
              </w:rPr>
            </w:pPr>
            <w:r>
              <w:rPr>
                <w:sz w:val="14"/>
              </w:rPr>
              <w:t>(9)</w:t>
            </w:r>
          </w:p>
        </w:tc>
        <w:tc>
          <w:tcPr>
            <w:tcW w:w="3222" w:type="dxa"/>
            <w:vMerge w:val="restart"/>
          </w:tcPr>
          <w:p>
            <w:pPr/>
          </w:p>
        </w:tc>
        <w:tc>
          <w:tcPr>
            <w:tcW w:w="3526" w:type="dxa"/>
            <w:tcBorders>
              <w:bottom w:val="nil"/>
            </w:tcBorders>
          </w:tcPr>
          <w:p>
            <w:pPr>
              <w:pStyle w:val="TableParagraph"/>
              <w:spacing w:line="159" w:lineRule="exact"/>
              <w:ind w:left="83"/>
              <w:rPr>
                <w:sz w:val="14"/>
              </w:rPr>
            </w:pPr>
            <w:r>
              <w:rPr>
                <w:sz w:val="14"/>
              </w:rPr>
              <w:t>Índice de Calidad Institucional, 2012</w:t>
            </w:r>
          </w:p>
        </w:tc>
      </w:tr>
      <w:tr>
        <w:trPr>
          <w:trHeight w:val="184" w:hRule="exact"/>
        </w:trPr>
        <w:tc>
          <w:tcPr>
            <w:tcW w:w="1699" w:type="dxa"/>
            <w:vMerge/>
          </w:tcPr>
          <w:p>
            <w:pPr/>
          </w:p>
        </w:tc>
        <w:tc>
          <w:tcPr>
            <w:tcW w:w="502" w:type="dxa"/>
            <w:tcBorders>
              <w:top w:val="nil"/>
            </w:tcBorders>
          </w:tcPr>
          <w:p>
            <w:pPr>
              <w:pStyle w:val="TableParagraph"/>
              <w:spacing w:line="158" w:lineRule="exact"/>
              <w:ind w:left="86"/>
              <w:rPr>
                <w:sz w:val="14"/>
              </w:rPr>
            </w:pPr>
            <w:r>
              <w:rPr>
                <w:sz w:val="14"/>
              </w:rPr>
              <w:t>(10)</w:t>
            </w:r>
          </w:p>
        </w:tc>
        <w:tc>
          <w:tcPr>
            <w:tcW w:w="3222" w:type="dxa"/>
            <w:vMerge/>
          </w:tcPr>
          <w:p>
            <w:pPr/>
          </w:p>
        </w:tc>
        <w:tc>
          <w:tcPr>
            <w:tcW w:w="3526" w:type="dxa"/>
            <w:tcBorders>
              <w:top w:val="nil"/>
            </w:tcBorders>
          </w:tcPr>
          <w:p>
            <w:pPr>
              <w:pStyle w:val="TableParagraph"/>
              <w:spacing w:line="158" w:lineRule="exact"/>
              <w:ind w:left="83"/>
              <w:rPr>
                <w:sz w:val="14"/>
              </w:rPr>
            </w:pPr>
            <w:r>
              <w:rPr>
                <w:sz w:val="14"/>
              </w:rPr>
              <w:t>Índice de Competitividad Internacional, 2011</w:t>
            </w:r>
          </w:p>
        </w:tc>
      </w:tr>
      <w:tr>
        <w:trPr>
          <w:trHeight w:val="212" w:hRule="exact"/>
        </w:trPr>
        <w:tc>
          <w:tcPr>
            <w:tcW w:w="1699" w:type="dxa"/>
            <w:tcBorders>
              <w:bottom w:val="nil"/>
              <w:right w:val="nil"/>
            </w:tcBorders>
          </w:tcPr>
          <w:p>
            <w:pPr/>
          </w:p>
        </w:tc>
        <w:tc>
          <w:tcPr>
            <w:tcW w:w="502" w:type="dxa"/>
            <w:tcBorders>
              <w:left w:val="nil"/>
              <w:bottom w:val="nil"/>
            </w:tcBorders>
          </w:tcPr>
          <w:p>
            <w:pPr>
              <w:pStyle w:val="TableParagraph"/>
              <w:spacing w:line="159" w:lineRule="exact"/>
              <w:ind w:left="107"/>
              <w:rPr>
                <w:sz w:val="14"/>
              </w:rPr>
            </w:pPr>
            <w:r>
              <w:rPr>
                <w:sz w:val="14"/>
              </w:rPr>
              <w:t>(11)</w:t>
            </w:r>
          </w:p>
        </w:tc>
        <w:tc>
          <w:tcPr>
            <w:tcW w:w="3222" w:type="dxa"/>
            <w:tcBorders>
              <w:bottom w:val="nil"/>
            </w:tcBorders>
          </w:tcPr>
          <w:p>
            <w:pPr/>
          </w:p>
        </w:tc>
        <w:tc>
          <w:tcPr>
            <w:tcW w:w="3526" w:type="dxa"/>
            <w:vMerge w:val="restart"/>
          </w:tcPr>
          <w:p>
            <w:pPr>
              <w:pStyle w:val="TableParagraph"/>
              <w:spacing w:line="159" w:lineRule="exact"/>
              <w:ind w:left="83"/>
              <w:rPr>
                <w:sz w:val="14"/>
              </w:rPr>
            </w:pPr>
            <w:r>
              <w:rPr>
                <w:sz w:val="14"/>
              </w:rPr>
              <w:t>Participación en Elecciones, 2011</w:t>
            </w:r>
          </w:p>
        </w:tc>
      </w:tr>
      <w:tr>
        <w:trPr>
          <w:trHeight w:val="207" w:hRule="exact"/>
        </w:trPr>
        <w:tc>
          <w:tcPr>
            <w:tcW w:w="1699" w:type="dxa"/>
            <w:tcBorders>
              <w:top w:val="nil"/>
              <w:bottom w:val="nil"/>
              <w:right w:val="nil"/>
            </w:tcBorders>
          </w:tcPr>
          <w:p>
            <w:pPr>
              <w:pStyle w:val="TableParagraph"/>
              <w:spacing w:before="15"/>
              <w:ind w:left="337" w:right="358"/>
              <w:jc w:val="center"/>
              <w:rPr>
                <w:sz w:val="14"/>
              </w:rPr>
            </w:pPr>
            <w:r>
              <w:rPr>
                <w:sz w:val="14"/>
              </w:rPr>
              <w:t>Buen Gobierno</w:t>
            </w:r>
          </w:p>
        </w:tc>
        <w:tc>
          <w:tcPr>
            <w:tcW w:w="502" w:type="dxa"/>
            <w:tcBorders>
              <w:top w:val="nil"/>
              <w:left w:val="nil"/>
              <w:bottom w:val="nil"/>
            </w:tcBorders>
          </w:tcPr>
          <w:p>
            <w:pPr>
              <w:pStyle w:val="TableParagraph"/>
              <w:spacing w:before="15"/>
              <w:ind w:left="107"/>
              <w:rPr>
                <w:sz w:val="14"/>
              </w:rPr>
            </w:pPr>
            <w:r>
              <w:rPr>
                <w:sz w:val="14"/>
              </w:rPr>
              <w:t>(12)</w:t>
            </w:r>
          </w:p>
        </w:tc>
        <w:tc>
          <w:tcPr>
            <w:tcW w:w="3222" w:type="dxa"/>
            <w:tcBorders>
              <w:top w:val="nil"/>
              <w:bottom w:val="nil"/>
            </w:tcBorders>
          </w:tcPr>
          <w:p>
            <w:pPr>
              <w:pStyle w:val="TableParagraph"/>
              <w:spacing w:before="15"/>
              <w:ind w:left="87"/>
              <w:rPr>
                <w:sz w:val="14"/>
              </w:rPr>
            </w:pPr>
            <w:r>
              <w:rPr>
                <w:sz w:val="14"/>
              </w:rPr>
              <w:t>Índice de Mejor Vida, 2013</w:t>
            </w:r>
          </w:p>
        </w:tc>
        <w:tc>
          <w:tcPr>
            <w:tcW w:w="3526" w:type="dxa"/>
            <w:vMerge/>
          </w:tcPr>
          <w:p>
            <w:pPr/>
          </w:p>
        </w:tc>
      </w:tr>
      <w:tr>
        <w:trPr>
          <w:trHeight w:val="199" w:hRule="exact"/>
        </w:trPr>
        <w:tc>
          <w:tcPr>
            <w:tcW w:w="1699" w:type="dxa"/>
            <w:tcBorders>
              <w:top w:val="nil"/>
              <w:right w:val="nil"/>
            </w:tcBorders>
          </w:tcPr>
          <w:p>
            <w:pPr/>
          </w:p>
        </w:tc>
        <w:tc>
          <w:tcPr>
            <w:tcW w:w="502" w:type="dxa"/>
            <w:tcBorders>
              <w:top w:val="nil"/>
              <w:left w:val="nil"/>
            </w:tcBorders>
          </w:tcPr>
          <w:p>
            <w:pPr>
              <w:pStyle w:val="TableParagraph"/>
              <w:spacing w:before="15"/>
              <w:ind w:left="107"/>
              <w:rPr>
                <w:sz w:val="14"/>
              </w:rPr>
            </w:pPr>
            <w:r>
              <w:rPr>
                <w:sz w:val="14"/>
              </w:rPr>
              <w:t>(13)</w:t>
            </w:r>
          </w:p>
        </w:tc>
        <w:tc>
          <w:tcPr>
            <w:tcW w:w="3222" w:type="dxa"/>
            <w:tcBorders>
              <w:top w:val="nil"/>
            </w:tcBorders>
          </w:tcPr>
          <w:p>
            <w:pPr>
              <w:pStyle w:val="TableParagraph"/>
              <w:spacing w:before="15"/>
              <w:ind w:left="87"/>
              <w:rPr>
                <w:sz w:val="14"/>
              </w:rPr>
            </w:pPr>
            <w:r>
              <w:rPr>
                <w:sz w:val="14"/>
              </w:rPr>
              <w:t>Índice de Planeta Feliz, 2012</w:t>
            </w:r>
          </w:p>
        </w:tc>
        <w:tc>
          <w:tcPr>
            <w:tcW w:w="3526" w:type="dxa"/>
            <w:vMerge/>
          </w:tcPr>
          <w:p>
            <w:pPr/>
          </w:p>
        </w:tc>
      </w:tr>
      <w:tr>
        <w:trPr>
          <w:trHeight w:val="209" w:hRule="exact"/>
        </w:trPr>
        <w:tc>
          <w:tcPr>
            <w:tcW w:w="1699" w:type="dxa"/>
          </w:tcPr>
          <w:p>
            <w:pPr>
              <w:pStyle w:val="TableParagraph"/>
              <w:ind w:left="119" w:right="119"/>
              <w:jc w:val="center"/>
              <w:rPr>
                <w:sz w:val="14"/>
              </w:rPr>
            </w:pPr>
            <w:r>
              <w:rPr>
                <w:sz w:val="14"/>
              </w:rPr>
              <w:t>Rendición de Cuentas</w:t>
            </w:r>
          </w:p>
        </w:tc>
        <w:tc>
          <w:tcPr>
            <w:tcW w:w="502" w:type="dxa"/>
          </w:tcPr>
          <w:p>
            <w:pPr>
              <w:pStyle w:val="TableParagraph"/>
              <w:ind w:left="86"/>
              <w:rPr>
                <w:sz w:val="14"/>
              </w:rPr>
            </w:pPr>
            <w:r>
              <w:rPr>
                <w:sz w:val="14"/>
              </w:rPr>
              <w:t>(14)</w:t>
            </w:r>
          </w:p>
        </w:tc>
        <w:tc>
          <w:tcPr>
            <w:tcW w:w="3222" w:type="dxa"/>
          </w:tcPr>
          <w:p>
            <w:pPr>
              <w:pStyle w:val="TableParagraph"/>
              <w:ind w:left="87"/>
              <w:rPr>
                <w:sz w:val="14"/>
              </w:rPr>
            </w:pPr>
            <w:r>
              <w:rPr>
                <w:sz w:val="14"/>
              </w:rPr>
              <w:t>Índice de Integridad Pública, 2012</w:t>
            </w:r>
          </w:p>
        </w:tc>
        <w:tc>
          <w:tcPr>
            <w:tcW w:w="3526" w:type="dxa"/>
          </w:tcPr>
          <w:p>
            <w:pPr/>
          </w:p>
        </w:tc>
      </w:tr>
    </w:tbl>
    <w:p>
      <w:pPr>
        <w:spacing w:line="136" w:lineRule="exact" w:before="0"/>
        <w:ind w:left="890" w:right="0" w:firstLine="0"/>
        <w:jc w:val="left"/>
        <w:rPr>
          <w:sz w:val="12"/>
        </w:rPr>
      </w:pPr>
      <w:r>
        <w:rPr>
          <w:sz w:val="12"/>
        </w:rPr>
        <w:t>FUENTE: Elaboración propia con base en ASF. (2005).</w:t>
      </w:r>
    </w:p>
    <w:p>
      <w:pPr>
        <w:spacing w:after="0" w:line="136" w:lineRule="exact"/>
        <w:jc w:val="left"/>
        <w:rPr>
          <w:sz w:val="12"/>
        </w:rPr>
        <w:sectPr>
          <w:footerReference w:type="even" r:id="rId56"/>
          <w:pgSz w:w="12240" w:h="15840"/>
          <w:pgMar w:footer="1003" w:header="0" w:top="1360" w:bottom="1200" w:left="1520" w:right="1480"/>
        </w:sectPr>
      </w:pPr>
    </w:p>
    <w:p>
      <w:pPr>
        <w:spacing w:before="105"/>
        <w:ind w:left="3350" w:right="0" w:firstLine="0"/>
        <w:jc w:val="left"/>
        <w:rPr>
          <w:sz w:val="20"/>
        </w:rPr>
      </w:pPr>
      <w:bookmarkStart w:name="_bookmark22" w:id="33"/>
      <w:bookmarkEnd w:id="33"/>
      <w:r>
        <w:rPr/>
      </w:r>
      <w:r>
        <w:rPr>
          <w:sz w:val="20"/>
        </w:rPr>
        <w:t>Cuadro 1.7. Detalle de indicadores líderes, indicadores y sub-indicadores</w:t>
      </w:r>
    </w:p>
    <w:p>
      <w:pPr>
        <w:pStyle w:val="BodyText"/>
        <w:spacing w:before="1"/>
        <w:rPr>
          <w:sz w:val="20"/>
        </w:rPr>
      </w:pPr>
    </w:p>
    <w:p>
      <w:pPr>
        <w:spacing w:before="89"/>
        <w:ind w:left="5019" w:right="5066" w:firstLine="0"/>
        <w:jc w:val="center"/>
        <w:rPr>
          <w:b/>
          <w:sz w:val="12"/>
        </w:rPr>
      </w:pPr>
      <w:r>
        <w:rPr/>
        <w:pict>
          <v:group style="position:absolute;margin-left:71.482162pt;margin-top:-.902845pt;width:609.9pt;height:424.6pt;mso-position-horizontal-relative:page;mso-position-vertical-relative:paragraph;z-index:-352936" coordorigin="1430,-18" coordsize="12198,8492">
            <v:rect style="position:absolute;left:1430;top:-18;width:12197;height:8491" filled="true" fillcolor="#000000" stroked="false">
              <v:fill type="solid"/>
            </v:rect>
            <v:rect style="position:absolute;left:6239;top:6108;width:3425;height:2289" filled="true" fillcolor="#ffffff" stroked="false">
              <v:fill type="solid"/>
            </v:rect>
            <v:rect style="position:absolute;left:6239;top:6108;width:3425;height:2289" filled="false" stroked="true" strokeweight=".690859pt" strokecolor="#000000"/>
            <v:rect style="position:absolute;left:6225;top:30;width:3438;height:2442" filled="true" fillcolor="#ffffff" stroked="false">
              <v:fill type="solid"/>
            </v:rect>
            <v:rect style="position:absolute;left:6225;top:30;width:3438;height:2442" filled="false" stroked="true" strokeweight=".690553pt" strokecolor="#000000"/>
            <v:rect style="position:absolute;left:6198;top:2500;width:3452;height:832" filled="true" fillcolor="#ffffff" stroked="false">
              <v:fill type="solid"/>
            </v:rect>
            <v:shape style="position:absolute;left:5258;top:4075;width:3825;height:3165" coordorigin="5258,4075" coordsize="3825,3165" path="m6198,3333l9650,3333,9650,2500,6198,2500,6198,3333xm6212,5428l9677,5428,9677,3388,6212,3388,6212,5428xe" filled="false" stroked="true" strokeweight=".688646pt" strokecolor="#000000">
              <v:path arrowok="t"/>
            </v:shape>
            <v:rect style="position:absolute;left:1627;top:336;width:4366;height:7964" filled="true" fillcolor="#f1f1f1" stroked="false">
              <v:fill type="solid"/>
            </v:rect>
            <v:line style="position:absolute" from="1580,8319" to="6041,8319" stroked="true" strokeweight="2.924382pt" strokecolor="#000000"/>
            <v:line style="position:absolute" from="1608,346" to="1608,8290" stroked="true" strokeweight="2.865136pt" strokecolor="#000000"/>
            <v:line style="position:absolute" from="1580,317" to="6041,317" stroked="true" strokeweight="2.924382pt" strokecolor="#000000"/>
            <v:line style="position:absolute" from="6012,345" to="6012,8290" stroked="true" strokeweight="2.865136pt" strokecolor="#000000"/>
            <v:rect style="position:absolute;left:6239;top:5497;width:3438;height:569" filled="true" fillcolor="#ffffff" stroked="false">
              <v:fill type="solid"/>
            </v:rect>
            <v:shape style="position:absolute;left:5303;top:2020;width:7905;height:5910" coordorigin="5303,2020" coordsize="7905,5910" path="m6239,6066l9677,6066,9677,5497,6239,5497,6239,6066xm9936,3458l13429,3458,13429,599,9936,599,9936,3458xe" filled="false" stroked="true" strokeweight=".688646pt" strokecolor="#000000">
              <v:path arrowok="t"/>
            </v:shape>
            <v:rect style="position:absolute;left:9936;top:3513;width:3465;height:694" filled="true" fillcolor="#ffffff" stroked="false">
              <v:fill type="solid"/>
            </v:rect>
            <v:shape style="position:absolute;left:9368;top:1600;width:3840;height:8881" coordorigin="9368,1600" coordsize="3840,8881" path="m9936,4207l13402,4207,13402,3513,9936,3513,9936,4207xm9950,8425l13402,8425,13402,4262,9950,4262,9950,8425xm9936,474l13429,474,13429,211,9936,211,9936,474xe" filled="false" stroked="true" strokeweight=".688646pt" strokecolor="#000000">
              <v:path arrowok="t"/>
            </v:shape>
            <w10:wrap type="none"/>
          </v:group>
        </w:pict>
      </w:r>
      <w:r>
        <w:rPr/>
        <w:pict>
          <v:shape style="position:absolute;margin-left:496.821991pt;margin-top:10.540435pt;width:174.65pt;height:13.2pt;mso-position-horizontal-relative:page;mso-position-vertical-relative:paragraph;z-index:3112" type="#_x0000_t202" filled="true" fillcolor="#ffffff" stroked="false">
            <v:textbox inset="0,0,0,0">
              <w:txbxContent>
                <w:p>
                  <w:pPr>
                    <w:spacing w:before="58"/>
                    <w:ind w:left="133" w:right="0" w:firstLine="0"/>
                    <w:jc w:val="left"/>
                    <w:rPr>
                      <w:b/>
                      <w:sz w:val="12"/>
                    </w:rPr>
                  </w:pPr>
                  <w:r>
                    <w:rPr>
                      <w:b/>
                      <w:sz w:val="12"/>
                    </w:rPr>
                    <w:t>(11) Participación en Elecciones</w:t>
                  </w:r>
                </w:p>
              </w:txbxContent>
            </v:textbox>
            <v:fill type="solid"/>
            <w10:wrap type="none"/>
          </v:shape>
        </w:pict>
      </w:r>
      <w:r>
        <w:rPr>
          <w:b/>
          <w:w w:val="105"/>
          <w:sz w:val="12"/>
        </w:rPr>
        <w:t>(3) Índice de Estados Fallidos</w:t>
      </w:r>
    </w:p>
    <w:p>
      <w:pPr>
        <w:spacing w:before="0"/>
        <w:ind w:left="4401" w:right="5767" w:firstLine="0"/>
        <w:jc w:val="center"/>
        <w:rPr>
          <w:i/>
          <w:sz w:val="12"/>
        </w:rPr>
      </w:pPr>
      <w:r>
        <w:rPr>
          <w:i/>
          <w:sz w:val="12"/>
        </w:rPr>
        <w:t>Indicadores sociales y económicos</w:t>
      </w:r>
    </w:p>
    <w:p>
      <w:pPr>
        <w:pStyle w:val="ListParagraph"/>
        <w:numPr>
          <w:ilvl w:val="3"/>
          <w:numId w:val="24"/>
        </w:numPr>
        <w:tabs>
          <w:tab w:pos="5172" w:val="left" w:leader="none"/>
        </w:tabs>
        <w:spacing w:line="240" w:lineRule="auto" w:before="1" w:after="0"/>
        <w:ind w:left="5171" w:right="0" w:hanging="137"/>
        <w:jc w:val="left"/>
        <w:rPr>
          <w:sz w:val="12"/>
        </w:rPr>
      </w:pPr>
      <w:r>
        <w:rPr/>
        <w:pict>
          <v:shape style="position:absolute;margin-left:83.283775pt;margin-top:.398473pt;width:214.5pt;height:394.35pt;mso-position-horizontal-relative:page;mso-position-vertical-relative:paragraph;z-index:3088" type="#_x0000_t202" filled="true" fillcolor="#f1f1f1" stroked="true" strokeweight=".955049pt" strokecolor="#000000">
            <v:textbox inset="0,0,0,0">
              <w:txbxContent>
                <w:p>
                  <w:pPr>
                    <w:spacing w:before="17"/>
                    <w:ind w:left="1149" w:right="1168" w:firstLine="0"/>
                    <w:jc w:val="center"/>
                    <w:rPr>
                      <w:b/>
                      <w:sz w:val="12"/>
                    </w:rPr>
                  </w:pPr>
                  <w:r>
                    <w:rPr>
                      <w:b/>
                      <w:sz w:val="12"/>
                    </w:rPr>
                    <w:t>INDICADORES  LÍDERES</w:t>
                  </w:r>
                </w:p>
                <w:p>
                  <w:pPr>
                    <w:pStyle w:val="BodyText"/>
                    <w:rPr>
                      <w:rFonts w:ascii="Calibri"/>
                      <w:sz w:val="12"/>
                    </w:rPr>
                  </w:pPr>
                </w:p>
                <w:p>
                  <w:pPr>
                    <w:pStyle w:val="BodyText"/>
                    <w:rPr>
                      <w:rFonts w:ascii="Calibri"/>
                      <w:sz w:val="12"/>
                    </w:rPr>
                  </w:pPr>
                </w:p>
                <w:p>
                  <w:pPr>
                    <w:pStyle w:val="BodyText"/>
                    <w:spacing w:before="2"/>
                    <w:rPr>
                      <w:rFonts w:ascii="Calibri"/>
                      <w:sz w:val="10"/>
                    </w:rPr>
                  </w:pPr>
                </w:p>
                <w:p>
                  <w:pPr>
                    <w:spacing w:before="1"/>
                    <w:ind w:left="1168" w:right="1168" w:firstLine="0"/>
                    <w:jc w:val="center"/>
                    <w:rPr>
                      <w:b/>
                      <w:sz w:val="12"/>
                    </w:rPr>
                  </w:pPr>
                  <w:r>
                    <w:rPr>
                      <w:b/>
                      <w:sz w:val="12"/>
                    </w:rPr>
                    <w:t>(1) Índice de Gobernanza Mundial</w:t>
                  </w:r>
                </w:p>
                <w:p>
                  <w:pPr>
                    <w:pStyle w:val="BodyText"/>
                    <w:spacing w:before="5"/>
                    <w:rPr>
                      <w:rFonts w:ascii="Calibri"/>
                      <w:sz w:val="11"/>
                    </w:rPr>
                  </w:pPr>
                </w:p>
                <w:p>
                  <w:pPr>
                    <w:spacing w:before="0"/>
                    <w:ind w:left="76" w:right="0" w:firstLine="0"/>
                    <w:jc w:val="left"/>
                    <w:rPr>
                      <w:i/>
                      <w:sz w:val="12"/>
                    </w:rPr>
                  </w:pPr>
                  <w:r>
                    <w:rPr>
                      <w:i/>
                      <w:sz w:val="12"/>
                    </w:rPr>
                    <w:t>Paz y seguridad</w:t>
                  </w:r>
                </w:p>
                <w:p>
                  <w:pPr>
                    <w:pStyle w:val="ListParagraph"/>
                    <w:numPr>
                      <w:ilvl w:val="0"/>
                      <w:numId w:val="25"/>
                    </w:numPr>
                    <w:tabs>
                      <w:tab w:pos="188" w:val="left" w:leader="none"/>
                    </w:tabs>
                    <w:spacing w:line="240" w:lineRule="auto" w:before="1" w:after="0"/>
                    <w:ind w:left="76" w:right="0" w:firstLine="0"/>
                    <w:jc w:val="left"/>
                    <w:rPr>
                      <w:sz w:val="12"/>
                    </w:rPr>
                  </w:pPr>
                  <w:r>
                    <w:rPr>
                      <w:sz w:val="12"/>
                    </w:rPr>
                    <w:t>Seguridad</w:t>
                  </w:r>
                  <w:r>
                    <w:rPr>
                      <w:spacing w:val="-1"/>
                      <w:sz w:val="12"/>
                    </w:rPr>
                    <w:t> </w:t>
                  </w:r>
                  <w:r>
                    <w:rPr>
                      <w:sz w:val="12"/>
                    </w:rPr>
                    <w:t>nacional:</w:t>
                  </w:r>
                  <w:r>
                    <w:rPr>
                      <w:spacing w:val="-10"/>
                      <w:sz w:val="12"/>
                    </w:rPr>
                    <w:t> </w:t>
                  </w:r>
                  <w:r>
                    <w:rPr>
                      <w:sz w:val="12"/>
                    </w:rPr>
                    <w:t>Conflictos,</w:t>
                  </w:r>
                  <w:r>
                    <w:rPr>
                      <w:spacing w:val="-10"/>
                      <w:sz w:val="12"/>
                    </w:rPr>
                    <w:t> </w:t>
                  </w:r>
                  <w:r>
                    <w:rPr>
                      <w:sz w:val="12"/>
                    </w:rPr>
                    <w:t>Refugiados</w:t>
                  </w:r>
                  <w:r>
                    <w:rPr>
                      <w:spacing w:val="-10"/>
                      <w:sz w:val="12"/>
                    </w:rPr>
                    <w:t> </w:t>
                  </w:r>
                  <w:r>
                    <w:rPr>
                      <w:sz w:val="12"/>
                    </w:rPr>
                    <w:t>y</w:t>
                  </w:r>
                  <w:r>
                    <w:rPr>
                      <w:spacing w:val="7"/>
                      <w:sz w:val="12"/>
                    </w:rPr>
                    <w:t> </w:t>
                  </w:r>
                  <w:r>
                    <w:rPr>
                      <w:sz w:val="12"/>
                    </w:rPr>
                    <w:t>solicitantes</w:t>
                  </w:r>
                  <w:r>
                    <w:rPr>
                      <w:spacing w:val="-10"/>
                      <w:sz w:val="12"/>
                    </w:rPr>
                    <w:t> </w:t>
                  </w:r>
                  <w:r>
                    <w:rPr>
                      <w:sz w:val="12"/>
                    </w:rPr>
                    <w:t>de</w:t>
                  </w:r>
                  <w:r>
                    <w:rPr>
                      <w:spacing w:val="-1"/>
                      <w:sz w:val="12"/>
                    </w:rPr>
                    <w:t> </w:t>
                  </w:r>
                  <w:r>
                    <w:rPr>
                      <w:sz w:val="12"/>
                    </w:rPr>
                    <w:t>asilo,</w:t>
                  </w:r>
                  <w:r>
                    <w:rPr>
                      <w:spacing w:val="-10"/>
                      <w:sz w:val="12"/>
                    </w:rPr>
                    <w:t> </w:t>
                  </w:r>
                  <w:r>
                    <w:rPr>
                      <w:sz w:val="12"/>
                    </w:rPr>
                    <w:t>y</w:t>
                  </w:r>
                </w:p>
                <w:p>
                  <w:pPr>
                    <w:spacing w:before="0"/>
                    <w:ind w:left="76" w:right="0" w:firstLine="0"/>
                    <w:jc w:val="left"/>
                    <w:rPr>
                      <w:sz w:val="12"/>
                    </w:rPr>
                  </w:pPr>
                  <w:r>
                    <w:rPr>
                      <w:sz w:val="12"/>
                    </w:rPr>
                    <w:t>Personas desplazadas.</w:t>
                  </w:r>
                </w:p>
                <w:p>
                  <w:pPr>
                    <w:pStyle w:val="ListParagraph"/>
                    <w:numPr>
                      <w:ilvl w:val="0"/>
                      <w:numId w:val="25"/>
                    </w:numPr>
                    <w:tabs>
                      <w:tab w:pos="188" w:val="left" w:leader="none"/>
                    </w:tabs>
                    <w:spacing w:line="240" w:lineRule="auto" w:before="1" w:after="0"/>
                    <w:ind w:left="187" w:right="0" w:hanging="111"/>
                    <w:jc w:val="left"/>
                    <w:rPr>
                      <w:sz w:val="12"/>
                    </w:rPr>
                  </w:pPr>
                  <w:r>
                    <w:rPr>
                      <w:w w:val="105"/>
                      <w:sz w:val="12"/>
                    </w:rPr>
                    <w:t>Seguridad</w:t>
                  </w:r>
                  <w:r>
                    <w:rPr>
                      <w:spacing w:val="-21"/>
                      <w:w w:val="105"/>
                      <w:sz w:val="12"/>
                    </w:rPr>
                    <w:t> </w:t>
                  </w:r>
                  <w:r>
                    <w:rPr>
                      <w:w w:val="105"/>
                      <w:sz w:val="12"/>
                    </w:rPr>
                    <w:t>pública:</w:t>
                  </w:r>
                  <w:r>
                    <w:rPr>
                      <w:spacing w:val="-25"/>
                      <w:w w:val="105"/>
                      <w:sz w:val="12"/>
                    </w:rPr>
                    <w:t> </w:t>
                  </w:r>
                  <w:r>
                    <w:rPr>
                      <w:w w:val="105"/>
                      <w:sz w:val="12"/>
                    </w:rPr>
                    <w:t>Clima</w:t>
                  </w:r>
                  <w:r>
                    <w:rPr>
                      <w:spacing w:val="-21"/>
                      <w:w w:val="105"/>
                      <w:sz w:val="12"/>
                    </w:rPr>
                    <w:t> </w:t>
                  </w:r>
                  <w:r>
                    <w:rPr>
                      <w:w w:val="105"/>
                      <w:sz w:val="12"/>
                    </w:rPr>
                    <w:t>político,</w:t>
                  </w:r>
                  <w:r>
                    <w:rPr>
                      <w:spacing w:val="-25"/>
                      <w:w w:val="105"/>
                      <w:sz w:val="12"/>
                    </w:rPr>
                    <w:t> </w:t>
                  </w:r>
                  <w:r>
                    <w:rPr>
                      <w:w w:val="105"/>
                      <w:sz w:val="12"/>
                    </w:rPr>
                    <w:t>Grado</w:t>
                  </w:r>
                  <w:r>
                    <w:rPr>
                      <w:spacing w:val="-21"/>
                      <w:w w:val="105"/>
                      <w:sz w:val="12"/>
                    </w:rPr>
                    <w:t> </w:t>
                  </w:r>
                  <w:r>
                    <w:rPr>
                      <w:w w:val="105"/>
                      <w:sz w:val="12"/>
                    </w:rPr>
                    <w:t>de</w:t>
                  </w:r>
                  <w:r>
                    <w:rPr>
                      <w:spacing w:val="-21"/>
                      <w:w w:val="105"/>
                      <w:sz w:val="12"/>
                    </w:rPr>
                    <w:t> </w:t>
                  </w:r>
                  <w:r>
                    <w:rPr>
                      <w:spacing w:val="-3"/>
                      <w:w w:val="105"/>
                      <w:sz w:val="12"/>
                    </w:rPr>
                    <w:t>confianza</w:t>
                  </w:r>
                  <w:r>
                    <w:rPr>
                      <w:spacing w:val="-21"/>
                      <w:w w:val="105"/>
                      <w:sz w:val="12"/>
                    </w:rPr>
                    <w:t> </w:t>
                  </w:r>
                  <w:r>
                    <w:rPr>
                      <w:w w:val="105"/>
                      <w:sz w:val="12"/>
                    </w:rPr>
                    <w:t>entre</w:t>
                  </w:r>
                  <w:r>
                    <w:rPr>
                      <w:spacing w:val="-21"/>
                      <w:w w:val="105"/>
                      <w:sz w:val="12"/>
                    </w:rPr>
                    <w:t> </w:t>
                  </w:r>
                  <w:r>
                    <w:rPr>
                      <w:w w:val="105"/>
                      <w:sz w:val="12"/>
                    </w:rPr>
                    <w:t>los</w:t>
                  </w:r>
                  <w:r>
                    <w:rPr>
                      <w:spacing w:val="-25"/>
                      <w:w w:val="105"/>
                      <w:sz w:val="12"/>
                    </w:rPr>
                    <w:t> </w:t>
                  </w:r>
                  <w:r>
                    <w:rPr>
                      <w:spacing w:val="-3"/>
                      <w:w w:val="105"/>
                      <w:sz w:val="12"/>
                    </w:rPr>
                    <w:t>ciudadanos,</w:t>
                  </w:r>
                </w:p>
                <w:p>
                  <w:pPr>
                    <w:spacing w:before="0"/>
                    <w:ind w:left="76" w:right="0" w:firstLine="0"/>
                    <w:jc w:val="left"/>
                    <w:rPr>
                      <w:sz w:val="12"/>
                    </w:rPr>
                  </w:pPr>
                  <w:r>
                    <w:rPr>
                      <w:sz w:val="12"/>
                    </w:rPr>
                    <w:t>Crimen v iolento, y Homicidios por cada 100,000 habitantes.</w:t>
                  </w:r>
                </w:p>
                <w:p>
                  <w:pPr>
                    <w:spacing w:before="0"/>
                    <w:ind w:left="76" w:right="0" w:firstLine="0"/>
                    <w:jc w:val="left"/>
                    <w:rPr>
                      <w:i/>
                      <w:sz w:val="12"/>
                    </w:rPr>
                  </w:pPr>
                  <w:r>
                    <w:rPr>
                      <w:i/>
                      <w:sz w:val="12"/>
                    </w:rPr>
                    <w:t>Estado de derecho</w:t>
                  </w:r>
                </w:p>
                <w:p>
                  <w:pPr>
                    <w:pStyle w:val="ListParagraph"/>
                    <w:numPr>
                      <w:ilvl w:val="0"/>
                      <w:numId w:val="25"/>
                    </w:numPr>
                    <w:tabs>
                      <w:tab w:pos="187" w:val="left" w:leader="none"/>
                    </w:tabs>
                    <w:spacing w:line="240" w:lineRule="auto" w:before="1" w:after="0"/>
                    <w:ind w:left="76" w:right="230" w:firstLine="0"/>
                    <w:jc w:val="left"/>
                    <w:rPr>
                      <w:sz w:val="12"/>
                    </w:rPr>
                  </w:pPr>
                  <w:r>
                    <w:rPr>
                      <w:sz w:val="12"/>
                    </w:rPr>
                    <w:t>Cuerpo de ley </w:t>
                  </w:r>
                  <w:r>
                    <w:rPr>
                      <w:spacing w:val="-3"/>
                      <w:sz w:val="12"/>
                    </w:rPr>
                    <w:t>es: </w:t>
                  </w:r>
                  <w:r>
                    <w:rPr>
                      <w:sz w:val="12"/>
                    </w:rPr>
                    <w:t>Ratificación de tratados y Derechos de propiedad. </w:t>
                  </w:r>
                  <w:r>
                    <w:rPr>
                      <w:spacing w:val="2"/>
                      <w:sz w:val="12"/>
                    </w:rPr>
                    <w:t>a.Sistema </w:t>
                  </w:r>
                  <w:r>
                    <w:rPr>
                      <w:spacing w:val="-3"/>
                      <w:sz w:val="12"/>
                    </w:rPr>
                    <w:t>judicial: Independencia, Efectividad, </w:t>
                  </w:r>
                  <w:r>
                    <w:rPr>
                      <w:sz w:val="12"/>
                    </w:rPr>
                    <w:t>y Solución de controversias contractuales</w:t>
                  </w:r>
                </w:p>
                <w:p>
                  <w:pPr>
                    <w:spacing w:before="0"/>
                    <w:ind w:left="76" w:right="0" w:firstLine="0"/>
                    <w:jc w:val="left"/>
                    <w:rPr>
                      <w:sz w:val="12"/>
                    </w:rPr>
                  </w:pPr>
                  <w:r>
                    <w:rPr>
                      <w:sz w:val="12"/>
                    </w:rPr>
                    <w:t>b.Corrupción: Índice de percepción de la corrupción</w:t>
                  </w:r>
                </w:p>
                <w:p>
                  <w:pPr>
                    <w:spacing w:before="1"/>
                    <w:ind w:left="76" w:right="0" w:firstLine="0"/>
                    <w:jc w:val="left"/>
                    <w:rPr>
                      <w:i/>
                      <w:sz w:val="12"/>
                    </w:rPr>
                  </w:pPr>
                  <w:r>
                    <w:rPr>
                      <w:i/>
                      <w:w w:val="105"/>
                      <w:sz w:val="12"/>
                    </w:rPr>
                    <w:t>Derechos humanos y participación</w:t>
                  </w:r>
                </w:p>
                <w:p>
                  <w:pPr>
                    <w:pStyle w:val="ListParagraph"/>
                    <w:numPr>
                      <w:ilvl w:val="0"/>
                      <w:numId w:val="26"/>
                    </w:numPr>
                    <w:tabs>
                      <w:tab w:pos="214" w:val="left" w:leader="none"/>
                    </w:tabs>
                    <w:spacing w:line="240" w:lineRule="auto" w:before="0" w:after="0"/>
                    <w:ind w:left="76" w:right="126" w:firstLine="0"/>
                    <w:jc w:val="left"/>
                    <w:rPr>
                      <w:sz w:val="12"/>
                    </w:rPr>
                  </w:pPr>
                  <w:r>
                    <w:rPr>
                      <w:sz w:val="12"/>
                    </w:rPr>
                    <w:t>Derechos humanos y participación: Respeto a los derechos civiles, </w:t>
                  </w:r>
                  <w:r>
                    <w:rPr>
                      <w:spacing w:val="2"/>
                      <w:sz w:val="12"/>
                    </w:rPr>
                    <w:t>Respecto</w:t>
                  </w:r>
                  <w:r>
                    <w:rPr>
                      <w:spacing w:val="-3"/>
                      <w:sz w:val="12"/>
                    </w:rPr>
                    <w:t> </w:t>
                  </w:r>
                  <w:r>
                    <w:rPr>
                      <w:sz w:val="12"/>
                    </w:rPr>
                    <w:t>a</w:t>
                  </w:r>
                  <w:r>
                    <w:rPr>
                      <w:spacing w:val="-3"/>
                      <w:sz w:val="12"/>
                    </w:rPr>
                    <w:t> </w:t>
                  </w:r>
                  <w:r>
                    <w:rPr>
                      <w:sz w:val="12"/>
                    </w:rPr>
                    <w:t>los</w:t>
                  </w:r>
                  <w:r>
                    <w:rPr>
                      <w:spacing w:val="-11"/>
                      <w:sz w:val="12"/>
                    </w:rPr>
                    <w:t> </w:t>
                  </w:r>
                  <w:r>
                    <w:rPr>
                      <w:sz w:val="12"/>
                    </w:rPr>
                    <w:t>derechos</w:t>
                  </w:r>
                  <w:r>
                    <w:rPr>
                      <w:spacing w:val="-11"/>
                      <w:sz w:val="12"/>
                    </w:rPr>
                    <w:t> </w:t>
                  </w:r>
                  <w:r>
                    <w:rPr>
                      <w:sz w:val="12"/>
                    </w:rPr>
                    <w:t>de</w:t>
                  </w:r>
                  <w:r>
                    <w:rPr>
                      <w:spacing w:val="-3"/>
                      <w:sz w:val="12"/>
                    </w:rPr>
                    <w:t> </w:t>
                  </w:r>
                  <w:r>
                    <w:rPr>
                      <w:sz w:val="12"/>
                    </w:rPr>
                    <w:t>integridad</w:t>
                  </w:r>
                  <w:r>
                    <w:rPr>
                      <w:spacing w:val="-3"/>
                      <w:sz w:val="12"/>
                    </w:rPr>
                    <w:t> </w:t>
                  </w:r>
                  <w:r>
                    <w:rPr>
                      <w:sz w:val="12"/>
                    </w:rPr>
                    <w:t>física,</w:t>
                  </w:r>
                  <w:r>
                    <w:rPr>
                      <w:spacing w:val="-11"/>
                      <w:sz w:val="12"/>
                    </w:rPr>
                    <w:t> </w:t>
                  </w:r>
                  <w:r>
                    <w:rPr>
                      <w:sz w:val="12"/>
                    </w:rPr>
                    <w:t>Libertad</w:t>
                  </w:r>
                  <w:r>
                    <w:rPr>
                      <w:spacing w:val="-3"/>
                      <w:sz w:val="12"/>
                    </w:rPr>
                    <w:t> </w:t>
                  </w:r>
                  <w:r>
                    <w:rPr>
                      <w:sz w:val="12"/>
                    </w:rPr>
                    <w:t>de</w:t>
                  </w:r>
                  <w:r>
                    <w:rPr>
                      <w:spacing w:val="-3"/>
                      <w:sz w:val="12"/>
                    </w:rPr>
                    <w:t> </w:t>
                  </w:r>
                  <w:r>
                    <w:rPr>
                      <w:sz w:val="12"/>
                    </w:rPr>
                    <w:t>prensa,</w:t>
                  </w:r>
                  <w:r>
                    <w:rPr>
                      <w:spacing w:val="-11"/>
                      <w:sz w:val="12"/>
                    </w:rPr>
                    <w:t> </w:t>
                  </w:r>
                  <w:r>
                    <w:rPr>
                      <w:sz w:val="12"/>
                    </w:rPr>
                    <w:t>y</w:t>
                  </w:r>
                  <w:r>
                    <w:rPr>
                      <w:spacing w:val="5"/>
                      <w:sz w:val="12"/>
                    </w:rPr>
                    <w:t> </w:t>
                  </w:r>
                  <w:r>
                    <w:rPr>
                      <w:sz w:val="12"/>
                    </w:rPr>
                    <w:t>Violencia contra la</w:t>
                  </w:r>
                  <w:r>
                    <w:rPr>
                      <w:spacing w:val="23"/>
                      <w:sz w:val="12"/>
                    </w:rPr>
                    <w:t> </w:t>
                  </w:r>
                  <w:r>
                    <w:rPr>
                      <w:sz w:val="12"/>
                    </w:rPr>
                    <w:t>prensa.</w:t>
                  </w:r>
                </w:p>
                <w:p>
                  <w:pPr>
                    <w:pStyle w:val="ListParagraph"/>
                    <w:numPr>
                      <w:ilvl w:val="0"/>
                      <w:numId w:val="26"/>
                    </w:numPr>
                    <w:tabs>
                      <w:tab w:pos="188" w:val="left" w:leader="none"/>
                    </w:tabs>
                    <w:spacing w:line="125" w:lineRule="exact" w:before="0" w:after="0"/>
                    <w:ind w:left="187" w:right="0" w:hanging="111"/>
                    <w:jc w:val="left"/>
                    <w:rPr>
                      <w:sz w:val="12"/>
                    </w:rPr>
                  </w:pPr>
                  <w:r>
                    <w:rPr>
                      <w:w w:val="105"/>
                      <w:sz w:val="12"/>
                    </w:rPr>
                    <w:t>Participación:</w:t>
                  </w:r>
                  <w:r>
                    <w:rPr>
                      <w:spacing w:val="-12"/>
                      <w:w w:val="105"/>
                      <w:sz w:val="12"/>
                    </w:rPr>
                    <w:t> </w:t>
                  </w:r>
                  <w:r>
                    <w:rPr>
                      <w:spacing w:val="-3"/>
                      <w:w w:val="105"/>
                      <w:sz w:val="12"/>
                    </w:rPr>
                    <w:t>Participación</w:t>
                  </w:r>
                  <w:r>
                    <w:rPr>
                      <w:spacing w:val="-17"/>
                      <w:w w:val="105"/>
                      <w:sz w:val="12"/>
                    </w:rPr>
                    <w:t> </w:t>
                  </w:r>
                  <w:r>
                    <w:rPr>
                      <w:w w:val="105"/>
                      <w:sz w:val="12"/>
                    </w:rPr>
                    <w:t>en</w:t>
                  </w:r>
                  <w:r>
                    <w:rPr>
                      <w:spacing w:val="-17"/>
                      <w:w w:val="105"/>
                      <w:sz w:val="12"/>
                    </w:rPr>
                    <w:t> </w:t>
                  </w:r>
                  <w:r>
                    <w:rPr>
                      <w:w w:val="105"/>
                      <w:sz w:val="12"/>
                    </w:rPr>
                    <w:t>la</w:t>
                  </w:r>
                  <w:r>
                    <w:rPr>
                      <w:spacing w:val="-17"/>
                      <w:w w:val="105"/>
                      <w:sz w:val="12"/>
                    </w:rPr>
                    <w:t> </w:t>
                  </w:r>
                  <w:r>
                    <w:rPr>
                      <w:spacing w:val="-3"/>
                      <w:w w:val="105"/>
                      <w:sz w:val="12"/>
                    </w:rPr>
                    <w:t>vida</w:t>
                  </w:r>
                  <w:r>
                    <w:rPr>
                      <w:spacing w:val="-17"/>
                      <w:w w:val="105"/>
                      <w:sz w:val="12"/>
                    </w:rPr>
                    <w:t> </w:t>
                  </w:r>
                  <w:r>
                    <w:rPr>
                      <w:w w:val="105"/>
                      <w:sz w:val="12"/>
                    </w:rPr>
                    <w:t>política,</w:t>
                  </w:r>
                  <w:r>
                    <w:rPr>
                      <w:spacing w:val="-12"/>
                      <w:w w:val="105"/>
                      <w:sz w:val="12"/>
                    </w:rPr>
                    <w:t> </w:t>
                  </w:r>
                  <w:r>
                    <w:rPr>
                      <w:spacing w:val="-3"/>
                      <w:w w:val="105"/>
                      <w:sz w:val="12"/>
                    </w:rPr>
                    <w:t>Proceso</w:t>
                  </w:r>
                  <w:r>
                    <w:rPr>
                      <w:spacing w:val="-17"/>
                      <w:w w:val="105"/>
                      <w:sz w:val="12"/>
                    </w:rPr>
                    <w:t> </w:t>
                  </w:r>
                  <w:r>
                    <w:rPr>
                      <w:spacing w:val="-2"/>
                      <w:w w:val="105"/>
                      <w:sz w:val="12"/>
                    </w:rPr>
                    <w:t>electoral</w:t>
                  </w:r>
                  <w:r>
                    <w:rPr>
                      <w:spacing w:val="-17"/>
                      <w:w w:val="105"/>
                      <w:sz w:val="12"/>
                    </w:rPr>
                    <w:t> </w:t>
                  </w:r>
                  <w:r>
                    <w:rPr>
                      <w:w w:val="105"/>
                      <w:sz w:val="12"/>
                    </w:rPr>
                    <w:t>y</w:t>
                  </w:r>
                </w:p>
                <w:p>
                  <w:pPr>
                    <w:spacing w:before="0"/>
                    <w:ind w:left="76" w:right="0" w:firstLine="0"/>
                    <w:jc w:val="left"/>
                    <w:rPr>
                      <w:sz w:val="12"/>
                    </w:rPr>
                  </w:pPr>
                  <w:r>
                    <w:rPr>
                      <w:sz w:val="12"/>
                    </w:rPr>
                    <w:t>pluralismo, y Cultura política.</w:t>
                  </w:r>
                </w:p>
                <w:p>
                  <w:pPr>
                    <w:pStyle w:val="ListParagraph"/>
                    <w:numPr>
                      <w:ilvl w:val="0"/>
                      <w:numId w:val="26"/>
                    </w:numPr>
                    <w:tabs>
                      <w:tab w:pos="188" w:val="left" w:leader="none"/>
                    </w:tabs>
                    <w:spacing w:line="240" w:lineRule="auto" w:before="1" w:after="0"/>
                    <w:ind w:left="76" w:right="127" w:firstLine="0"/>
                    <w:jc w:val="left"/>
                    <w:rPr>
                      <w:sz w:val="12"/>
                    </w:rPr>
                  </w:pPr>
                  <w:r>
                    <w:rPr>
                      <w:w w:val="105"/>
                      <w:sz w:val="12"/>
                    </w:rPr>
                    <w:t>Discriminación de género/equidad: </w:t>
                  </w:r>
                  <w:r>
                    <w:rPr>
                      <w:spacing w:val="-3"/>
                      <w:w w:val="105"/>
                      <w:sz w:val="12"/>
                    </w:rPr>
                    <w:t>Derechos </w:t>
                  </w:r>
                  <w:r>
                    <w:rPr>
                      <w:w w:val="105"/>
                      <w:sz w:val="12"/>
                    </w:rPr>
                    <w:t>políticos de la mujer, Derechos</w:t>
                  </w:r>
                  <w:r>
                    <w:rPr>
                      <w:spacing w:val="-12"/>
                      <w:w w:val="105"/>
                      <w:sz w:val="12"/>
                    </w:rPr>
                    <w:t> </w:t>
                  </w:r>
                  <w:r>
                    <w:rPr>
                      <w:w w:val="105"/>
                      <w:sz w:val="12"/>
                    </w:rPr>
                    <w:t>sociales</w:t>
                  </w:r>
                  <w:r>
                    <w:rPr>
                      <w:spacing w:val="-12"/>
                      <w:w w:val="105"/>
                      <w:sz w:val="12"/>
                    </w:rPr>
                    <w:t> </w:t>
                  </w:r>
                  <w:r>
                    <w:rPr>
                      <w:w w:val="105"/>
                      <w:sz w:val="12"/>
                    </w:rPr>
                    <w:t>de</w:t>
                  </w:r>
                  <w:r>
                    <w:rPr>
                      <w:spacing w:val="-17"/>
                      <w:w w:val="105"/>
                      <w:sz w:val="12"/>
                    </w:rPr>
                    <w:t> </w:t>
                  </w:r>
                  <w:r>
                    <w:rPr>
                      <w:w w:val="105"/>
                      <w:sz w:val="12"/>
                    </w:rPr>
                    <w:t>la</w:t>
                  </w:r>
                  <w:r>
                    <w:rPr>
                      <w:spacing w:val="-17"/>
                      <w:w w:val="105"/>
                      <w:sz w:val="12"/>
                    </w:rPr>
                    <w:t> </w:t>
                  </w:r>
                  <w:r>
                    <w:rPr>
                      <w:w w:val="105"/>
                      <w:sz w:val="12"/>
                    </w:rPr>
                    <w:t>mujer,</w:t>
                  </w:r>
                  <w:r>
                    <w:rPr>
                      <w:spacing w:val="-21"/>
                      <w:w w:val="105"/>
                      <w:sz w:val="12"/>
                    </w:rPr>
                    <w:t> </w:t>
                  </w:r>
                  <w:r>
                    <w:rPr>
                      <w:w w:val="105"/>
                      <w:sz w:val="12"/>
                    </w:rPr>
                    <w:t>Derechos</w:t>
                  </w:r>
                  <w:r>
                    <w:rPr>
                      <w:spacing w:val="-21"/>
                      <w:w w:val="105"/>
                      <w:sz w:val="12"/>
                    </w:rPr>
                    <w:t> </w:t>
                  </w:r>
                  <w:r>
                    <w:rPr>
                      <w:spacing w:val="-3"/>
                      <w:w w:val="105"/>
                      <w:sz w:val="12"/>
                    </w:rPr>
                    <w:t>económicos</w:t>
                  </w:r>
                  <w:r>
                    <w:rPr>
                      <w:spacing w:val="-12"/>
                      <w:w w:val="105"/>
                      <w:sz w:val="12"/>
                    </w:rPr>
                    <w:t> </w:t>
                  </w:r>
                  <w:r>
                    <w:rPr>
                      <w:w w:val="105"/>
                      <w:sz w:val="12"/>
                    </w:rPr>
                    <w:t>de</w:t>
                  </w:r>
                  <w:r>
                    <w:rPr>
                      <w:spacing w:val="-17"/>
                      <w:w w:val="105"/>
                      <w:sz w:val="12"/>
                    </w:rPr>
                    <w:t> </w:t>
                  </w:r>
                  <w:r>
                    <w:rPr>
                      <w:w w:val="105"/>
                      <w:sz w:val="12"/>
                    </w:rPr>
                    <w:t>la</w:t>
                  </w:r>
                  <w:r>
                    <w:rPr>
                      <w:spacing w:val="-17"/>
                      <w:w w:val="105"/>
                      <w:sz w:val="12"/>
                    </w:rPr>
                    <w:t> </w:t>
                  </w:r>
                  <w:r>
                    <w:rPr>
                      <w:w w:val="105"/>
                      <w:sz w:val="12"/>
                    </w:rPr>
                    <w:t>mujer,</w:t>
                  </w:r>
                  <w:r>
                    <w:rPr>
                      <w:spacing w:val="-21"/>
                      <w:w w:val="105"/>
                      <w:sz w:val="12"/>
                    </w:rPr>
                    <w:t> </w:t>
                  </w:r>
                  <w:r>
                    <w:rPr>
                      <w:w w:val="105"/>
                      <w:sz w:val="12"/>
                    </w:rPr>
                    <w:t>y</w:t>
                  </w:r>
                  <w:r>
                    <w:rPr>
                      <w:spacing w:val="-12"/>
                      <w:w w:val="105"/>
                      <w:sz w:val="12"/>
                    </w:rPr>
                    <w:t> </w:t>
                  </w:r>
                  <w:r>
                    <w:rPr>
                      <w:w w:val="105"/>
                      <w:sz w:val="12"/>
                    </w:rPr>
                    <w:t>Tasa</w:t>
                  </w:r>
                  <w:r>
                    <w:rPr>
                      <w:spacing w:val="-17"/>
                      <w:w w:val="105"/>
                      <w:sz w:val="12"/>
                    </w:rPr>
                    <w:t> </w:t>
                  </w:r>
                  <w:r>
                    <w:rPr>
                      <w:w w:val="105"/>
                      <w:sz w:val="12"/>
                    </w:rPr>
                    <w:t>de representación</w:t>
                  </w:r>
                  <w:r>
                    <w:rPr>
                      <w:spacing w:val="-30"/>
                      <w:w w:val="105"/>
                      <w:sz w:val="12"/>
                    </w:rPr>
                    <w:t> </w:t>
                  </w:r>
                  <w:r>
                    <w:rPr>
                      <w:w w:val="105"/>
                      <w:sz w:val="12"/>
                    </w:rPr>
                    <w:t>en</w:t>
                  </w:r>
                  <w:r>
                    <w:rPr>
                      <w:spacing w:val="-24"/>
                      <w:w w:val="105"/>
                      <w:sz w:val="12"/>
                    </w:rPr>
                    <w:t> </w:t>
                  </w:r>
                  <w:r>
                    <w:rPr>
                      <w:w w:val="105"/>
                      <w:sz w:val="12"/>
                    </w:rPr>
                    <w:t>los</w:t>
                  </w:r>
                  <w:r>
                    <w:rPr>
                      <w:spacing w:val="-20"/>
                      <w:w w:val="105"/>
                      <w:sz w:val="12"/>
                    </w:rPr>
                    <w:t> </w:t>
                  </w:r>
                  <w:r>
                    <w:rPr>
                      <w:w w:val="105"/>
                      <w:sz w:val="12"/>
                    </w:rPr>
                    <w:t>congresos</w:t>
                  </w:r>
                  <w:r>
                    <w:rPr>
                      <w:spacing w:val="-27"/>
                      <w:w w:val="105"/>
                      <w:sz w:val="12"/>
                    </w:rPr>
                    <w:t> </w:t>
                  </w:r>
                  <w:r>
                    <w:rPr>
                      <w:w w:val="105"/>
                      <w:sz w:val="12"/>
                    </w:rPr>
                    <w:t>o</w:t>
                  </w:r>
                  <w:r>
                    <w:rPr>
                      <w:spacing w:val="-24"/>
                      <w:w w:val="105"/>
                      <w:sz w:val="12"/>
                    </w:rPr>
                    <w:t> </w:t>
                  </w:r>
                  <w:r>
                    <w:rPr>
                      <w:w w:val="105"/>
                      <w:sz w:val="12"/>
                    </w:rPr>
                    <w:t>parlamentos</w:t>
                  </w:r>
                  <w:r>
                    <w:rPr>
                      <w:spacing w:val="-20"/>
                      <w:w w:val="105"/>
                      <w:sz w:val="12"/>
                    </w:rPr>
                    <w:t> </w:t>
                  </w:r>
                  <w:r>
                    <w:rPr>
                      <w:spacing w:val="-4"/>
                      <w:w w:val="105"/>
                      <w:sz w:val="12"/>
                    </w:rPr>
                    <w:t>nacionales.</w:t>
                  </w:r>
                </w:p>
                <w:p>
                  <w:pPr>
                    <w:spacing w:before="0"/>
                    <w:ind w:left="76" w:right="0" w:firstLine="0"/>
                    <w:jc w:val="left"/>
                    <w:rPr>
                      <w:i/>
                      <w:sz w:val="12"/>
                    </w:rPr>
                  </w:pPr>
                  <w:r>
                    <w:rPr>
                      <w:i/>
                      <w:sz w:val="12"/>
                    </w:rPr>
                    <w:t>Desarrollo sustentable</w:t>
                  </w:r>
                </w:p>
                <w:p>
                  <w:pPr>
                    <w:pStyle w:val="ListParagraph"/>
                    <w:numPr>
                      <w:ilvl w:val="0"/>
                      <w:numId w:val="26"/>
                    </w:numPr>
                    <w:tabs>
                      <w:tab w:pos="188" w:val="left" w:leader="none"/>
                    </w:tabs>
                    <w:spacing w:line="240" w:lineRule="auto" w:before="1" w:after="0"/>
                    <w:ind w:left="76" w:right="283" w:firstLine="0"/>
                    <w:jc w:val="left"/>
                    <w:rPr>
                      <w:sz w:val="12"/>
                    </w:rPr>
                  </w:pPr>
                  <w:r>
                    <w:rPr>
                      <w:w w:val="105"/>
                      <w:sz w:val="12"/>
                    </w:rPr>
                    <w:t>Sector económico: Producto </w:t>
                  </w:r>
                  <w:r>
                    <w:rPr>
                      <w:spacing w:val="-3"/>
                      <w:w w:val="105"/>
                      <w:sz w:val="12"/>
                    </w:rPr>
                    <w:t>Interno </w:t>
                  </w:r>
                  <w:r>
                    <w:rPr>
                      <w:w w:val="105"/>
                      <w:sz w:val="12"/>
                    </w:rPr>
                    <w:t>Bruto (PIB) per cápita, Tasa de crecimiento</w:t>
                  </w:r>
                  <w:r>
                    <w:rPr>
                      <w:spacing w:val="-20"/>
                      <w:w w:val="105"/>
                      <w:sz w:val="12"/>
                    </w:rPr>
                    <w:t> </w:t>
                  </w:r>
                  <w:r>
                    <w:rPr>
                      <w:w w:val="105"/>
                      <w:sz w:val="12"/>
                    </w:rPr>
                    <w:t>del</w:t>
                  </w:r>
                  <w:r>
                    <w:rPr>
                      <w:spacing w:val="-20"/>
                      <w:w w:val="105"/>
                      <w:sz w:val="12"/>
                    </w:rPr>
                    <w:t> </w:t>
                  </w:r>
                  <w:r>
                    <w:rPr>
                      <w:w w:val="105"/>
                      <w:sz w:val="12"/>
                    </w:rPr>
                    <w:t>PIB,</w:t>
                  </w:r>
                  <w:r>
                    <w:rPr>
                      <w:spacing w:val="-23"/>
                      <w:w w:val="105"/>
                      <w:sz w:val="12"/>
                    </w:rPr>
                    <w:t> </w:t>
                  </w:r>
                  <w:r>
                    <w:rPr>
                      <w:w w:val="105"/>
                      <w:sz w:val="12"/>
                    </w:rPr>
                    <w:t>Grado/nivel</w:t>
                  </w:r>
                  <w:r>
                    <w:rPr>
                      <w:spacing w:val="-20"/>
                      <w:w w:val="105"/>
                      <w:sz w:val="12"/>
                    </w:rPr>
                    <w:t> </w:t>
                  </w:r>
                  <w:r>
                    <w:rPr>
                      <w:w w:val="105"/>
                      <w:sz w:val="12"/>
                    </w:rPr>
                    <w:t>de</w:t>
                  </w:r>
                  <w:r>
                    <w:rPr>
                      <w:spacing w:val="-20"/>
                      <w:w w:val="105"/>
                      <w:sz w:val="12"/>
                    </w:rPr>
                    <w:t> </w:t>
                  </w:r>
                  <w:r>
                    <w:rPr>
                      <w:w w:val="105"/>
                      <w:sz w:val="12"/>
                    </w:rPr>
                    <w:t>apertura</w:t>
                  </w:r>
                  <w:r>
                    <w:rPr>
                      <w:spacing w:val="-20"/>
                      <w:w w:val="105"/>
                      <w:sz w:val="12"/>
                    </w:rPr>
                    <w:t> </w:t>
                  </w:r>
                  <w:r>
                    <w:rPr>
                      <w:spacing w:val="-3"/>
                      <w:w w:val="105"/>
                      <w:sz w:val="12"/>
                    </w:rPr>
                    <w:t>económica,</w:t>
                  </w:r>
                  <w:r>
                    <w:rPr>
                      <w:spacing w:val="-23"/>
                      <w:w w:val="105"/>
                      <w:sz w:val="12"/>
                    </w:rPr>
                    <w:t> </w:t>
                  </w:r>
                  <w:r>
                    <w:rPr>
                      <w:w w:val="105"/>
                      <w:sz w:val="12"/>
                    </w:rPr>
                    <w:t>Tasas</w:t>
                  </w:r>
                  <w:r>
                    <w:rPr>
                      <w:spacing w:val="-23"/>
                      <w:w w:val="105"/>
                      <w:sz w:val="12"/>
                    </w:rPr>
                    <w:t> </w:t>
                  </w:r>
                  <w:r>
                    <w:rPr>
                      <w:w w:val="105"/>
                      <w:sz w:val="12"/>
                    </w:rPr>
                    <w:t>de</w:t>
                  </w:r>
                  <w:r>
                    <w:rPr>
                      <w:spacing w:val="-20"/>
                      <w:w w:val="105"/>
                      <w:sz w:val="12"/>
                    </w:rPr>
                    <w:t> </w:t>
                  </w:r>
                  <w:r>
                    <w:rPr>
                      <w:w w:val="105"/>
                      <w:sz w:val="12"/>
                    </w:rPr>
                    <w:t>interés internacionales (</w:t>
                  </w:r>
                  <w:r>
                    <w:rPr>
                      <w:i/>
                      <w:w w:val="105"/>
                      <w:sz w:val="12"/>
                    </w:rPr>
                    <w:t>cover rate</w:t>
                  </w:r>
                  <w:r>
                    <w:rPr>
                      <w:w w:val="105"/>
                      <w:sz w:val="12"/>
                    </w:rPr>
                    <w:t>), Tasa inflacionaria y Facilidad para hacer negocios</w:t>
                  </w:r>
                </w:p>
                <w:p>
                  <w:pPr>
                    <w:pStyle w:val="ListParagraph"/>
                    <w:numPr>
                      <w:ilvl w:val="0"/>
                      <w:numId w:val="26"/>
                    </w:numPr>
                    <w:tabs>
                      <w:tab w:pos="188" w:val="left" w:leader="none"/>
                    </w:tabs>
                    <w:spacing w:line="240" w:lineRule="auto" w:before="1" w:after="0"/>
                    <w:ind w:left="76" w:right="385" w:firstLine="0"/>
                    <w:jc w:val="left"/>
                    <w:rPr>
                      <w:sz w:val="12"/>
                    </w:rPr>
                  </w:pPr>
                  <w:r>
                    <w:rPr>
                      <w:w w:val="105"/>
                      <w:sz w:val="12"/>
                    </w:rPr>
                    <w:t>Dimensión</w:t>
                  </w:r>
                  <w:r>
                    <w:rPr>
                      <w:spacing w:val="-18"/>
                      <w:w w:val="105"/>
                      <w:sz w:val="12"/>
                    </w:rPr>
                    <w:t> </w:t>
                  </w:r>
                  <w:r>
                    <w:rPr>
                      <w:spacing w:val="-3"/>
                      <w:w w:val="105"/>
                      <w:sz w:val="12"/>
                    </w:rPr>
                    <w:t>social:</w:t>
                  </w:r>
                  <w:r>
                    <w:rPr>
                      <w:spacing w:val="-14"/>
                      <w:w w:val="105"/>
                      <w:sz w:val="12"/>
                    </w:rPr>
                    <w:t> </w:t>
                  </w:r>
                  <w:r>
                    <w:rPr>
                      <w:w w:val="105"/>
                      <w:sz w:val="12"/>
                    </w:rPr>
                    <w:t>Coeficiente</w:t>
                  </w:r>
                  <w:r>
                    <w:rPr>
                      <w:spacing w:val="-27"/>
                      <w:w w:val="105"/>
                      <w:sz w:val="12"/>
                    </w:rPr>
                    <w:t> </w:t>
                  </w:r>
                  <w:r>
                    <w:rPr>
                      <w:w w:val="105"/>
                      <w:sz w:val="12"/>
                    </w:rPr>
                    <w:t>de</w:t>
                  </w:r>
                  <w:r>
                    <w:rPr>
                      <w:spacing w:val="-18"/>
                      <w:w w:val="105"/>
                      <w:sz w:val="12"/>
                    </w:rPr>
                    <w:t> </w:t>
                  </w:r>
                  <w:r>
                    <w:rPr>
                      <w:w w:val="105"/>
                      <w:sz w:val="12"/>
                    </w:rPr>
                    <w:t>GINI</w:t>
                  </w:r>
                  <w:r>
                    <w:rPr>
                      <w:spacing w:val="-14"/>
                      <w:w w:val="105"/>
                      <w:sz w:val="12"/>
                    </w:rPr>
                    <w:t> </w:t>
                  </w:r>
                  <w:r>
                    <w:rPr>
                      <w:spacing w:val="-4"/>
                      <w:w w:val="105"/>
                      <w:sz w:val="12"/>
                    </w:rPr>
                    <w:t>(pobreza</w:t>
                  </w:r>
                  <w:r>
                    <w:rPr>
                      <w:spacing w:val="-18"/>
                      <w:w w:val="105"/>
                      <w:sz w:val="12"/>
                    </w:rPr>
                    <w:t> </w:t>
                  </w:r>
                  <w:r>
                    <w:rPr>
                      <w:w w:val="105"/>
                      <w:sz w:val="12"/>
                    </w:rPr>
                    <w:t>e</w:t>
                  </w:r>
                  <w:r>
                    <w:rPr>
                      <w:spacing w:val="-18"/>
                      <w:w w:val="105"/>
                      <w:sz w:val="12"/>
                    </w:rPr>
                    <w:t> </w:t>
                  </w:r>
                  <w:r>
                    <w:rPr>
                      <w:w w:val="105"/>
                      <w:sz w:val="12"/>
                    </w:rPr>
                    <w:t>inequidad),</w:t>
                  </w:r>
                  <w:r>
                    <w:rPr>
                      <w:spacing w:val="-14"/>
                      <w:w w:val="105"/>
                      <w:sz w:val="12"/>
                    </w:rPr>
                    <w:t> </w:t>
                  </w:r>
                  <w:r>
                    <w:rPr>
                      <w:w w:val="105"/>
                      <w:sz w:val="12"/>
                    </w:rPr>
                    <w:t>Tasa</w:t>
                  </w:r>
                  <w:r>
                    <w:rPr>
                      <w:spacing w:val="-27"/>
                      <w:w w:val="105"/>
                      <w:sz w:val="12"/>
                    </w:rPr>
                    <w:t> </w:t>
                  </w:r>
                  <w:r>
                    <w:rPr>
                      <w:w w:val="105"/>
                      <w:sz w:val="12"/>
                    </w:rPr>
                    <w:t>de desempleo,</w:t>
                  </w:r>
                  <w:r>
                    <w:rPr>
                      <w:spacing w:val="-12"/>
                      <w:w w:val="105"/>
                      <w:sz w:val="12"/>
                    </w:rPr>
                    <w:t> </w:t>
                  </w:r>
                  <w:r>
                    <w:rPr>
                      <w:w w:val="105"/>
                      <w:sz w:val="12"/>
                    </w:rPr>
                    <w:t>y</w:t>
                  </w:r>
                  <w:r>
                    <w:rPr>
                      <w:spacing w:val="-12"/>
                      <w:w w:val="105"/>
                      <w:sz w:val="12"/>
                    </w:rPr>
                    <w:t> </w:t>
                  </w:r>
                  <w:r>
                    <w:rPr>
                      <w:w w:val="105"/>
                      <w:sz w:val="12"/>
                    </w:rPr>
                    <w:t>Ratificación</w:t>
                  </w:r>
                  <w:r>
                    <w:rPr>
                      <w:spacing w:val="-17"/>
                      <w:w w:val="105"/>
                      <w:sz w:val="12"/>
                    </w:rPr>
                    <w:t> </w:t>
                  </w:r>
                  <w:r>
                    <w:rPr>
                      <w:spacing w:val="-3"/>
                      <w:w w:val="105"/>
                      <w:sz w:val="12"/>
                    </w:rPr>
                    <w:t>internacional</w:t>
                  </w:r>
                  <w:r>
                    <w:rPr>
                      <w:spacing w:val="-17"/>
                      <w:w w:val="105"/>
                      <w:sz w:val="12"/>
                    </w:rPr>
                    <w:t> </w:t>
                  </w:r>
                  <w:r>
                    <w:rPr>
                      <w:w w:val="105"/>
                      <w:sz w:val="12"/>
                    </w:rPr>
                    <w:t>de</w:t>
                  </w:r>
                  <w:r>
                    <w:rPr>
                      <w:spacing w:val="-17"/>
                      <w:w w:val="105"/>
                      <w:sz w:val="12"/>
                    </w:rPr>
                    <w:t> </w:t>
                  </w:r>
                  <w:r>
                    <w:rPr>
                      <w:w w:val="105"/>
                      <w:sz w:val="12"/>
                    </w:rPr>
                    <w:t>los</w:t>
                  </w:r>
                  <w:r>
                    <w:rPr>
                      <w:spacing w:val="-12"/>
                      <w:w w:val="105"/>
                      <w:sz w:val="12"/>
                    </w:rPr>
                    <w:t> </w:t>
                  </w:r>
                  <w:r>
                    <w:rPr>
                      <w:spacing w:val="-3"/>
                      <w:w w:val="105"/>
                      <w:sz w:val="12"/>
                    </w:rPr>
                    <w:t>documentos</w:t>
                  </w:r>
                  <w:r>
                    <w:rPr>
                      <w:spacing w:val="-21"/>
                      <w:w w:val="105"/>
                      <w:sz w:val="12"/>
                    </w:rPr>
                    <w:t> </w:t>
                  </w:r>
                  <w:r>
                    <w:rPr>
                      <w:w w:val="105"/>
                      <w:sz w:val="12"/>
                    </w:rPr>
                    <w:t>de</w:t>
                  </w:r>
                  <w:r>
                    <w:rPr>
                      <w:spacing w:val="-17"/>
                      <w:w w:val="105"/>
                      <w:sz w:val="12"/>
                    </w:rPr>
                    <w:t> </w:t>
                  </w:r>
                  <w:r>
                    <w:rPr>
                      <w:w w:val="105"/>
                      <w:sz w:val="12"/>
                    </w:rPr>
                    <w:t>derecho laboral.</w:t>
                  </w:r>
                </w:p>
                <w:p>
                  <w:pPr>
                    <w:pStyle w:val="ListParagraph"/>
                    <w:numPr>
                      <w:ilvl w:val="0"/>
                      <w:numId w:val="26"/>
                    </w:numPr>
                    <w:tabs>
                      <w:tab w:pos="187" w:val="left" w:leader="none"/>
                    </w:tabs>
                    <w:spacing w:line="240" w:lineRule="auto" w:before="0" w:after="0"/>
                    <w:ind w:left="187" w:right="0" w:hanging="111"/>
                    <w:jc w:val="left"/>
                    <w:rPr>
                      <w:sz w:val="12"/>
                    </w:rPr>
                  </w:pPr>
                  <w:r>
                    <w:rPr>
                      <w:sz w:val="12"/>
                    </w:rPr>
                    <w:t>Dimensión ambiental: Huella ecológica y </w:t>
                  </w:r>
                  <w:r>
                    <w:rPr>
                      <w:spacing w:val="-3"/>
                      <w:sz w:val="12"/>
                    </w:rPr>
                    <w:t>biocapacidad,</w:t>
                  </w:r>
                  <w:r>
                    <w:rPr>
                      <w:spacing w:val="18"/>
                      <w:sz w:val="12"/>
                    </w:rPr>
                    <w:t> </w:t>
                  </w:r>
                  <w:r>
                    <w:rPr>
                      <w:sz w:val="12"/>
                    </w:rPr>
                    <w:t>Sustentabilidad</w:t>
                  </w:r>
                </w:p>
                <w:p>
                  <w:pPr>
                    <w:spacing w:before="1"/>
                    <w:ind w:left="76" w:right="0" w:firstLine="0"/>
                    <w:jc w:val="left"/>
                    <w:rPr>
                      <w:sz w:val="12"/>
                    </w:rPr>
                  </w:pPr>
                  <w:r>
                    <w:rPr>
                      <w:w w:val="105"/>
                      <w:sz w:val="12"/>
                    </w:rPr>
                    <w:t>ecológica, Tasa per cápita de emisión de CO2 y Desempeño ambiental.</w:t>
                  </w:r>
                </w:p>
                <w:p>
                  <w:pPr>
                    <w:spacing w:before="0"/>
                    <w:ind w:left="76" w:right="487" w:firstLine="0"/>
                    <w:jc w:val="left"/>
                    <w:rPr>
                      <w:sz w:val="12"/>
                    </w:rPr>
                  </w:pPr>
                  <w:r>
                    <w:rPr>
                      <w:i/>
                      <w:sz w:val="12"/>
                    </w:rPr>
                    <w:t>Desarrollo </w:t>
                  </w:r>
                  <w:r>
                    <w:rPr>
                      <w:i/>
                      <w:spacing w:val="-3"/>
                      <w:sz w:val="12"/>
                    </w:rPr>
                    <w:t>humano:  </w:t>
                  </w:r>
                  <w:r>
                    <w:rPr>
                      <w:sz w:val="12"/>
                    </w:rPr>
                    <w:t>Bienestar y felicidad </w:t>
                  </w:r>
                  <w:r>
                    <w:rPr>
                      <w:spacing w:val="-3"/>
                      <w:sz w:val="12"/>
                    </w:rPr>
                    <w:t>(Calidad </w:t>
                  </w:r>
                  <w:r>
                    <w:rPr>
                      <w:sz w:val="12"/>
                    </w:rPr>
                    <w:t>de vida, Bienestar y f elicidad).</w:t>
                  </w:r>
                </w:p>
                <w:p>
                  <w:pPr>
                    <w:pStyle w:val="BodyText"/>
                    <w:rPr>
                      <w:rFonts w:ascii="Calibri"/>
                      <w:sz w:val="12"/>
                    </w:rPr>
                  </w:pPr>
                </w:p>
                <w:p>
                  <w:pPr>
                    <w:pStyle w:val="BodyText"/>
                    <w:rPr>
                      <w:rFonts w:ascii="Calibri"/>
                      <w:sz w:val="12"/>
                    </w:rPr>
                  </w:pPr>
                </w:p>
                <w:p>
                  <w:pPr>
                    <w:pStyle w:val="BodyText"/>
                    <w:spacing w:before="2"/>
                    <w:rPr>
                      <w:rFonts w:ascii="Calibri"/>
                      <w:sz w:val="10"/>
                    </w:rPr>
                  </w:pPr>
                </w:p>
                <w:p>
                  <w:pPr>
                    <w:spacing w:before="1"/>
                    <w:ind w:left="841" w:right="0" w:firstLine="0"/>
                    <w:jc w:val="left"/>
                    <w:rPr>
                      <w:b/>
                      <w:sz w:val="12"/>
                    </w:rPr>
                  </w:pPr>
                  <w:r>
                    <w:rPr>
                      <w:b/>
                      <w:sz w:val="12"/>
                    </w:rPr>
                    <w:t>(2) Indicadores Mundialesde Gobernabilidad</w:t>
                  </w:r>
                </w:p>
                <w:p>
                  <w:pPr>
                    <w:pStyle w:val="BodyText"/>
                    <w:spacing w:before="5"/>
                    <w:rPr>
                      <w:rFonts w:ascii="Calibri"/>
                      <w:sz w:val="11"/>
                    </w:rPr>
                  </w:pPr>
                </w:p>
                <w:p>
                  <w:pPr>
                    <w:pStyle w:val="ListParagraph"/>
                    <w:numPr>
                      <w:ilvl w:val="0"/>
                      <w:numId w:val="27"/>
                    </w:numPr>
                    <w:tabs>
                      <w:tab w:pos="214" w:val="left" w:leader="none"/>
                    </w:tabs>
                    <w:spacing w:line="240" w:lineRule="auto" w:before="0" w:after="0"/>
                    <w:ind w:left="76" w:right="0" w:firstLine="0"/>
                    <w:jc w:val="left"/>
                    <w:rPr>
                      <w:sz w:val="12"/>
                    </w:rPr>
                  </w:pPr>
                  <w:r>
                    <w:rPr>
                      <w:sz w:val="12"/>
                    </w:rPr>
                    <w:t>Voz y  Rendición de </w:t>
                  </w:r>
                  <w:r>
                    <w:rPr>
                      <w:spacing w:val="-3"/>
                      <w:sz w:val="12"/>
                    </w:rPr>
                    <w:t>Cuentas: </w:t>
                  </w:r>
                  <w:r>
                    <w:rPr>
                      <w:sz w:val="12"/>
                    </w:rPr>
                    <w:t>derechos políticos, </w:t>
                  </w:r>
                  <w:r>
                    <w:rPr>
                      <w:spacing w:val="-3"/>
                      <w:sz w:val="12"/>
                    </w:rPr>
                    <w:t>civiles </w:t>
                  </w:r>
                  <w:r>
                    <w:rPr>
                      <w:sz w:val="12"/>
                    </w:rPr>
                    <w:t>y humanos,</w:t>
                  </w:r>
                  <w:r>
                    <w:rPr>
                      <w:spacing w:val="9"/>
                      <w:sz w:val="12"/>
                    </w:rPr>
                    <w:t> </w:t>
                  </w:r>
                  <w:r>
                    <w:rPr>
                      <w:spacing w:val="-7"/>
                      <w:sz w:val="12"/>
                    </w:rPr>
                    <w:t>libertad</w:t>
                  </w:r>
                </w:p>
                <w:p>
                  <w:pPr>
                    <w:spacing w:before="1"/>
                    <w:ind w:left="76" w:right="0" w:firstLine="0"/>
                    <w:jc w:val="left"/>
                    <w:rPr>
                      <w:sz w:val="12"/>
                    </w:rPr>
                  </w:pPr>
                  <w:r>
                    <w:rPr>
                      <w:w w:val="105"/>
                      <w:sz w:val="12"/>
                    </w:rPr>
                    <w:t>de expresión, de asociación y de prensa.</w:t>
                  </w:r>
                </w:p>
                <w:p>
                  <w:pPr>
                    <w:pStyle w:val="ListParagraph"/>
                    <w:numPr>
                      <w:ilvl w:val="0"/>
                      <w:numId w:val="27"/>
                    </w:numPr>
                    <w:tabs>
                      <w:tab w:pos="187" w:val="left" w:leader="none"/>
                    </w:tabs>
                    <w:spacing w:line="240" w:lineRule="auto" w:before="0" w:after="0"/>
                    <w:ind w:left="187" w:right="0" w:hanging="111"/>
                    <w:jc w:val="left"/>
                    <w:rPr>
                      <w:sz w:val="12"/>
                    </w:rPr>
                  </w:pPr>
                  <w:r>
                    <w:rPr>
                      <w:sz w:val="12"/>
                    </w:rPr>
                    <w:t>Estabilidad Política y ausencia de </w:t>
                  </w:r>
                  <w:r>
                    <w:rPr>
                      <w:spacing w:val="-3"/>
                      <w:sz w:val="12"/>
                    </w:rPr>
                    <w:t>violencia/terrorismo:  </w:t>
                  </w:r>
                  <w:r>
                    <w:rPr>
                      <w:sz w:val="12"/>
                    </w:rPr>
                    <w:t>gobierno esté</w:t>
                  </w:r>
                  <w:r>
                    <w:rPr>
                      <w:spacing w:val="14"/>
                      <w:sz w:val="12"/>
                    </w:rPr>
                    <w:t> </w:t>
                  </w:r>
                  <w:r>
                    <w:rPr>
                      <w:spacing w:val="-3"/>
                      <w:sz w:val="12"/>
                    </w:rPr>
                    <w:t>sujeto</w:t>
                  </w:r>
                </w:p>
                <w:p>
                  <w:pPr>
                    <w:spacing w:before="1"/>
                    <w:ind w:left="76" w:right="0" w:firstLine="0"/>
                    <w:jc w:val="left"/>
                    <w:rPr>
                      <w:sz w:val="12"/>
                    </w:rPr>
                  </w:pPr>
                  <w:r>
                    <w:rPr>
                      <w:w w:val="105"/>
                      <w:sz w:val="12"/>
                    </w:rPr>
                    <w:t>a amenazas v iolentas o cambios, incluidos actos de terrorismo.</w:t>
                  </w:r>
                </w:p>
                <w:p>
                  <w:pPr>
                    <w:pStyle w:val="ListParagraph"/>
                    <w:numPr>
                      <w:ilvl w:val="0"/>
                      <w:numId w:val="27"/>
                    </w:numPr>
                    <w:tabs>
                      <w:tab w:pos="187" w:val="left" w:leader="none"/>
                    </w:tabs>
                    <w:spacing w:line="240" w:lineRule="auto" w:before="0" w:after="0"/>
                    <w:ind w:left="187" w:right="0" w:hanging="111"/>
                    <w:jc w:val="left"/>
                    <w:rPr>
                      <w:sz w:val="12"/>
                    </w:rPr>
                  </w:pPr>
                  <w:r>
                    <w:rPr>
                      <w:sz w:val="12"/>
                    </w:rPr>
                    <w:t>Ef</w:t>
                  </w:r>
                  <w:r>
                    <w:rPr>
                      <w:spacing w:val="-13"/>
                      <w:sz w:val="12"/>
                    </w:rPr>
                    <w:t> </w:t>
                  </w:r>
                  <w:r>
                    <w:rPr>
                      <w:sz w:val="12"/>
                    </w:rPr>
                    <w:t>ectividad</w:t>
                  </w:r>
                  <w:r>
                    <w:rPr>
                      <w:spacing w:val="-6"/>
                      <w:sz w:val="12"/>
                    </w:rPr>
                    <w:t> </w:t>
                  </w:r>
                  <w:r>
                    <w:rPr>
                      <w:sz w:val="12"/>
                    </w:rPr>
                    <w:t>Gubernamental:</w:t>
                  </w:r>
                  <w:r>
                    <w:rPr>
                      <w:spacing w:val="1"/>
                      <w:sz w:val="12"/>
                    </w:rPr>
                    <w:t> </w:t>
                  </w:r>
                  <w:r>
                    <w:rPr>
                      <w:spacing w:val="-3"/>
                      <w:sz w:val="12"/>
                    </w:rPr>
                    <w:t>grado</w:t>
                  </w:r>
                  <w:r>
                    <w:rPr>
                      <w:spacing w:val="-6"/>
                      <w:sz w:val="12"/>
                    </w:rPr>
                    <w:t> </w:t>
                  </w:r>
                  <w:r>
                    <w:rPr>
                      <w:sz w:val="12"/>
                    </w:rPr>
                    <w:t>de</w:t>
                  </w:r>
                  <w:r>
                    <w:rPr>
                      <w:spacing w:val="-6"/>
                      <w:sz w:val="12"/>
                    </w:rPr>
                    <w:t> </w:t>
                  </w:r>
                  <w:r>
                    <w:rPr>
                      <w:sz w:val="12"/>
                    </w:rPr>
                    <w:t>competencia</w:t>
                  </w:r>
                  <w:r>
                    <w:rPr>
                      <w:spacing w:val="-6"/>
                      <w:sz w:val="12"/>
                    </w:rPr>
                    <w:t> </w:t>
                  </w:r>
                  <w:r>
                    <w:rPr>
                      <w:sz w:val="12"/>
                    </w:rPr>
                    <w:t>de</w:t>
                  </w:r>
                  <w:r>
                    <w:rPr>
                      <w:spacing w:val="-6"/>
                      <w:sz w:val="12"/>
                    </w:rPr>
                    <w:t> </w:t>
                  </w:r>
                  <w:r>
                    <w:rPr>
                      <w:sz w:val="12"/>
                    </w:rPr>
                    <w:t>la</w:t>
                  </w:r>
                  <w:r>
                    <w:rPr>
                      <w:spacing w:val="-6"/>
                      <w:sz w:val="12"/>
                    </w:rPr>
                    <w:t> </w:t>
                  </w:r>
                  <w:r>
                    <w:rPr>
                      <w:sz w:val="12"/>
                    </w:rPr>
                    <w:t>burocracia</w:t>
                  </w:r>
                  <w:r>
                    <w:rPr>
                      <w:spacing w:val="-6"/>
                      <w:sz w:val="12"/>
                    </w:rPr>
                    <w:t> </w:t>
                  </w:r>
                  <w:r>
                    <w:rPr>
                      <w:sz w:val="12"/>
                    </w:rPr>
                    <w:t>y</w:t>
                  </w:r>
                  <w:r>
                    <w:rPr>
                      <w:spacing w:val="1"/>
                      <w:sz w:val="12"/>
                    </w:rPr>
                    <w:t> </w:t>
                  </w:r>
                  <w:r>
                    <w:rPr>
                      <w:sz w:val="12"/>
                    </w:rPr>
                    <w:t>la</w:t>
                  </w:r>
                </w:p>
                <w:p>
                  <w:pPr>
                    <w:spacing w:before="1"/>
                    <w:ind w:left="76" w:right="0" w:firstLine="0"/>
                    <w:jc w:val="left"/>
                    <w:rPr>
                      <w:sz w:val="12"/>
                    </w:rPr>
                  </w:pPr>
                  <w:r>
                    <w:rPr>
                      <w:w w:val="105"/>
                      <w:sz w:val="12"/>
                    </w:rPr>
                    <w:t>calidad de la prestación de servicios públicos.</w:t>
                  </w:r>
                </w:p>
                <w:p>
                  <w:pPr>
                    <w:pStyle w:val="ListParagraph"/>
                    <w:numPr>
                      <w:ilvl w:val="0"/>
                      <w:numId w:val="27"/>
                    </w:numPr>
                    <w:tabs>
                      <w:tab w:pos="187" w:val="left" w:leader="none"/>
                    </w:tabs>
                    <w:spacing w:line="230" w:lineRule="auto" w:before="5" w:after="0"/>
                    <w:ind w:left="76" w:right="310" w:firstLine="0"/>
                    <w:jc w:val="left"/>
                    <w:rPr>
                      <w:sz w:val="12"/>
                    </w:rPr>
                  </w:pPr>
                  <w:r>
                    <w:rPr>
                      <w:sz w:val="12"/>
                    </w:rPr>
                    <w:t>Calidad Regulatoria: capacidad del gobierno para establecer políticas y reglamentaciones acertadas que </w:t>
                  </w:r>
                  <w:r>
                    <w:rPr>
                      <w:spacing w:val="-3"/>
                      <w:sz w:val="12"/>
                    </w:rPr>
                    <w:t>permitan </w:t>
                  </w:r>
                  <w:r>
                    <w:rPr>
                      <w:sz w:val="12"/>
                    </w:rPr>
                    <w:t>y promuevan el desarrollo del </w:t>
                  </w:r>
                  <w:r>
                    <w:rPr>
                      <w:spacing w:val="3"/>
                      <w:sz w:val="12"/>
                    </w:rPr>
                    <w:t>sector</w:t>
                  </w:r>
                  <w:r>
                    <w:rPr>
                      <w:spacing w:val="2"/>
                      <w:sz w:val="12"/>
                    </w:rPr>
                    <w:t> </w:t>
                  </w:r>
                  <w:r>
                    <w:rPr>
                      <w:sz w:val="12"/>
                    </w:rPr>
                    <w:t>privado.</w:t>
                  </w:r>
                </w:p>
                <w:p>
                  <w:pPr>
                    <w:pStyle w:val="ListParagraph"/>
                    <w:numPr>
                      <w:ilvl w:val="0"/>
                      <w:numId w:val="27"/>
                    </w:numPr>
                    <w:tabs>
                      <w:tab w:pos="188" w:val="left" w:leader="none"/>
                    </w:tabs>
                    <w:spacing w:line="240" w:lineRule="auto" w:before="2" w:after="0"/>
                    <w:ind w:left="76" w:right="283" w:firstLine="0"/>
                    <w:jc w:val="both"/>
                    <w:rPr>
                      <w:sz w:val="12"/>
                    </w:rPr>
                  </w:pPr>
                  <w:r>
                    <w:rPr>
                      <w:w w:val="105"/>
                      <w:sz w:val="12"/>
                    </w:rPr>
                    <w:t>Estado</w:t>
                  </w:r>
                  <w:r>
                    <w:rPr>
                      <w:spacing w:val="-17"/>
                      <w:w w:val="105"/>
                      <w:sz w:val="12"/>
                    </w:rPr>
                    <w:t> </w:t>
                  </w:r>
                  <w:r>
                    <w:rPr>
                      <w:w w:val="105"/>
                      <w:sz w:val="12"/>
                    </w:rPr>
                    <w:t>de</w:t>
                  </w:r>
                  <w:r>
                    <w:rPr>
                      <w:spacing w:val="-17"/>
                      <w:w w:val="105"/>
                      <w:sz w:val="12"/>
                    </w:rPr>
                    <w:t> </w:t>
                  </w:r>
                  <w:r>
                    <w:rPr>
                      <w:w w:val="105"/>
                      <w:sz w:val="12"/>
                    </w:rPr>
                    <w:t>Derecho:</w:t>
                  </w:r>
                  <w:r>
                    <w:rPr>
                      <w:spacing w:val="-22"/>
                      <w:w w:val="105"/>
                      <w:sz w:val="12"/>
                    </w:rPr>
                    <w:t> </w:t>
                  </w:r>
                  <w:r>
                    <w:rPr>
                      <w:w w:val="105"/>
                      <w:sz w:val="12"/>
                    </w:rPr>
                    <w:t>calidad</w:t>
                  </w:r>
                  <w:r>
                    <w:rPr>
                      <w:spacing w:val="-17"/>
                      <w:w w:val="105"/>
                      <w:sz w:val="12"/>
                    </w:rPr>
                    <w:t> </w:t>
                  </w:r>
                  <w:r>
                    <w:rPr>
                      <w:w w:val="105"/>
                      <w:sz w:val="12"/>
                    </w:rPr>
                    <w:t>de</w:t>
                  </w:r>
                  <w:r>
                    <w:rPr>
                      <w:spacing w:val="-17"/>
                      <w:w w:val="105"/>
                      <w:sz w:val="12"/>
                    </w:rPr>
                    <w:t> </w:t>
                  </w:r>
                  <w:r>
                    <w:rPr>
                      <w:w w:val="105"/>
                      <w:sz w:val="12"/>
                    </w:rPr>
                    <w:t>la</w:t>
                  </w:r>
                  <w:r>
                    <w:rPr>
                      <w:spacing w:val="-17"/>
                      <w:w w:val="105"/>
                      <w:sz w:val="12"/>
                    </w:rPr>
                    <w:t> </w:t>
                  </w:r>
                  <w:r>
                    <w:rPr>
                      <w:w w:val="105"/>
                      <w:sz w:val="12"/>
                    </w:rPr>
                    <w:t>ejecución</w:t>
                  </w:r>
                  <w:r>
                    <w:rPr>
                      <w:spacing w:val="-27"/>
                      <w:w w:val="105"/>
                      <w:sz w:val="12"/>
                    </w:rPr>
                    <w:t> </w:t>
                  </w:r>
                  <w:r>
                    <w:rPr>
                      <w:w w:val="105"/>
                      <w:sz w:val="12"/>
                    </w:rPr>
                    <w:t>de</w:t>
                  </w:r>
                  <w:r>
                    <w:rPr>
                      <w:spacing w:val="-17"/>
                      <w:w w:val="105"/>
                      <w:sz w:val="12"/>
                    </w:rPr>
                    <w:t> </w:t>
                  </w:r>
                  <w:r>
                    <w:rPr>
                      <w:w w:val="105"/>
                      <w:sz w:val="12"/>
                    </w:rPr>
                    <w:t>contratos,</w:t>
                  </w:r>
                  <w:r>
                    <w:rPr>
                      <w:spacing w:val="-22"/>
                      <w:w w:val="105"/>
                      <w:sz w:val="12"/>
                    </w:rPr>
                    <w:t> </w:t>
                  </w:r>
                  <w:r>
                    <w:rPr>
                      <w:w w:val="105"/>
                      <w:sz w:val="12"/>
                    </w:rPr>
                    <w:t>la</w:t>
                  </w:r>
                  <w:r>
                    <w:rPr>
                      <w:spacing w:val="-17"/>
                      <w:w w:val="105"/>
                      <w:sz w:val="12"/>
                    </w:rPr>
                    <w:t> </w:t>
                  </w:r>
                  <w:r>
                    <w:rPr>
                      <w:w w:val="105"/>
                      <w:sz w:val="12"/>
                    </w:rPr>
                    <w:t>policía</w:t>
                  </w:r>
                  <w:r>
                    <w:rPr>
                      <w:spacing w:val="-17"/>
                      <w:w w:val="105"/>
                      <w:sz w:val="12"/>
                    </w:rPr>
                    <w:t> </w:t>
                  </w:r>
                  <w:r>
                    <w:rPr>
                      <w:w w:val="105"/>
                      <w:sz w:val="12"/>
                    </w:rPr>
                    <w:t>y</w:t>
                  </w:r>
                  <w:r>
                    <w:rPr>
                      <w:spacing w:val="-22"/>
                      <w:w w:val="105"/>
                      <w:sz w:val="12"/>
                    </w:rPr>
                    <w:t> </w:t>
                  </w:r>
                  <w:r>
                    <w:rPr>
                      <w:w w:val="105"/>
                      <w:sz w:val="12"/>
                    </w:rPr>
                    <w:t>los tribunales</w:t>
                  </w:r>
                  <w:r>
                    <w:rPr>
                      <w:spacing w:val="-17"/>
                      <w:w w:val="105"/>
                      <w:sz w:val="12"/>
                    </w:rPr>
                    <w:t> </w:t>
                  </w:r>
                  <w:r>
                    <w:rPr>
                      <w:w w:val="105"/>
                      <w:sz w:val="12"/>
                    </w:rPr>
                    <w:t>(Control</w:t>
                  </w:r>
                  <w:r>
                    <w:rPr>
                      <w:spacing w:val="-21"/>
                      <w:w w:val="105"/>
                      <w:sz w:val="12"/>
                    </w:rPr>
                    <w:t> </w:t>
                  </w:r>
                  <w:r>
                    <w:rPr>
                      <w:w w:val="105"/>
                      <w:sz w:val="12"/>
                    </w:rPr>
                    <w:t>de</w:t>
                  </w:r>
                  <w:r>
                    <w:rPr>
                      <w:spacing w:val="-21"/>
                      <w:w w:val="105"/>
                      <w:sz w:val="12"/>
                    </w:rPr>
                    <w:t> </w:t>
                  </w:r>
                  <w:r>
                    <w:rPr>
                      <w:w w:val="105"/>
                      <w:sz w:val="12"/>
                    </w:rPr>
                    <w:t>la</w:t>
                  </w:r>
                  <w:r>
                    <w:rPr>
                      <w:spacing w:val="-21"/>
                      <w:w w:val="105"/>
                      <w:sz w:val="12"/>
                    </w:rPr>
                    <w:t> </w:t>
                  </w:r>
                  <w:r>
                    <w:rPr>
                      <w:w w:val="105"/>
                      <w:sz w:val="12"/>
                    </w:rPr>
                    <w:t>Corrupción:</w:t>
                  </w:r>
                  <w:r>
                    <w:rPr>
                      <w:spacing w:val="-24"/>
                      <w:w w:val="105"/>
                      <w:sz w:val="12"/>
                    </w:rPr>
                    <w:t> </w:t>
                  </w:r>
                  <w:r>
                    <w:rPr>
                      <w:w w:val="105"/>
                      <w:sz w:val="12"/>
                    </w:rPr>
                    <w:t>abuso</w:t>
                  </w:r>
                  <w:r>
                    <w:rPr>
                      <w:spacing w:val="-21"/>
                      <w:w w:val="105"/>
                      <w:sz w:val="12"/>
                    </w:rPr>
                    <w:t> </w:t>
                  </w:r>
                  <w:r>
                    <w:rPr>
                      <w:w w:val="105"/>
                      <w:sz w:val="12"/>
                    </w:rPr>
                    <w:t>del</w:t>
                  </w:r>
                  <w:r>
                    <w:rPr>
                      <w:spacing w:val="-21"/>
                      <w:w w:val="105"/>
                      <w:sz w:val="12"/>
                    </w:rPr>
                    <w:t> </w:t>
                  </w:r>
                  <w:r>
                    <w:rPr>
                      <w:w w:val="105"/>
                      <w:sz w:val="12"/>
                    </w:rPr>
                    <w:t>poder</w:t>
                  </w:r>
                  <w:r>
                    <w:rPr>
                      <w:spacing w:val="-21"/>
                      <w:w w:val="105"/>
                      <w:sz w:val="12"/>
                    </w:rPr>
                    <w:t> </w:t>
                  </w:r>
                  <w:r>
                    <w:rPr>
                      <w:w w:val="105"/>
                      <w:sz w:val="12"/>
                    </w:rPr>
                    <w:t>público</w:t>
                  </w:r>
                  <w:r>
                    <w:rPr>
                      <w:spacing w:val="-21"/>
                      <w:w w:val="105"/>
                      <w:sz w:val="12"/>
                    </w:rPr>
                    <w:t> </w:t>
                  </w:r>
                  <w:r>
                    <w:rPr>
                      <w:w w:val="105"/>
                      <w:sz w:val="12"/>
                    </w:rPr>
                    <w:t>en</w:t>
                  </w:r>
                  <w:r>
                    <w:rPr>
                      <w:spacing w:val="-21"/>
                      <w:w w:val="105"/>
                      <w:sz w:val="12"/>
                    </w:rPr>
                    <w:t> </w:t>
                  </w:r>
                  <w:r>
                    <w:rPr>
                      <w:w w:val="105"/>
                      <w:sz w:val="12"/>
                    </w:rPr>
                    <w:t>beneficio priv</w:t>
                  </w:r>
                  <w:r>
                    <w:rPr>
                      <w:spacing w:val="-28"/>
                      <w:w w:val="105"/>
                      <w:sz w:val="12"/>
                    </w:rPr>
                    <w:t> </w:t>
                  </w:r>
                  <w:r>
                    <w:rPr>
                      <w:w w:val="105"/>
                      <w:sz w:val="12"/>
                    </w:rPr>
                    <w:t>ado.</w:t>
                  </w:r>
                </w:p>
                <w:p>
                  <w:pPr>
                    <w:pStyle w:val="ListParagraph"/>
                    <w:numPr>
                      <w:ilvl w:val="0"/>
                      <w:numId w:val="27"/>
                    </w:numPr>
                    <w:tabs>
                      <w:tab w:pos="214" w:val="left" w:leader="none"/>
                    </w:tabs>
                    <w:spacing w:line="240" w:lineRule="auto" w:before="0" w:after="0"/>
                    <w:ind w:left="213" w:right="0" w:hanging="137"/>
                    <w:jc w:val="left"/>
                    <w:rPr>
                      <w:sz w:val="12"/>
                    </w:rPr>
                  </w:pPr>
                  <w:r>
                    <w:rPr>
                      <w:sz w:val="12"/>
                    </w:rPr>
                    <w:t>Control de la corrupción: corrupción en pequeña y gran</w:t>
                  </w:r>
                  <w:r>
                    <w:rPr>
                      <w:spacing w:val="-11"/>
                      <w:sz w:val="12"/>
                    </w:rPr>
                    <w:t> </w:t>
                  </w:r>
                  <w:r>
                    <w:rPr>
                      <w:sz w:val="12"/>
                    </w:rPr>
                    <w:t>escala</w:t>
                  </w:r>
                </w:p>
              </w:txbxContent>
            </v:textbox>
            <v:fill type="solid"/>
            <w10:wrap type="none"/>
          </v:shape>
        </w:pict>
      </w:r>
      <w:r>
        <w:rPr>
          <w:sz w:val="12"/>
        </w:rPr>
        <w:t>Crecientes presiones</w:t>
      </w:r>
      <w:r>
        <w:rPr>
          <w:spacing w:val="30"/>
          <w:sz w:val="12"/>
        </w:rPr>
        <w:t> </w:t>
      </w:r>
      <w:r>
        <w:rPr>
          <w:spacing w:val="-3"/>
          <w:sz w:val="12"/>
        </w:rPr>
        <w:t>demográficas.</w:t>
      </w:r>
    </w:p>
    <w:p>
      <w:pPr>
        <w:pStyle w:val="ListParagraph"/>
        <w:numPr>
          <w:ilvl w:val="3"/>
          <w:numId w:val="24"/>
        </w:numPr>
        <w:tabs>
          <w:tab w:pos="5172" w:val="left" w:leader="none"/>
        </w:tabs>
        <w:spacing w:line="240" w:lineRule="auto" w:before="0" w:after="0"/>
        <w:ind w:left="5171" w:right="670" w:hanging="137"/>
        <w:jc w:val="center"/>
        <w:rPr>
          <w:sz w:val="12"/>
        </w:rPr>
      </w:pPr>
      <w:r>
        <w:rPr/>
        <w:pict>
          <v:shape style="position:absolute;margin-left:496.821991pt;margin-top:4.675182pt;width:174.65pt;height:142.950pt;mso-position-horizontal-relative:page;mso-position-vertical-relative:paragraph;z-index:3136" type="#_x0000_t202" filled="true" fillcolor="#ffffff" stroked="false">
            <v:textbox inset="0,0,0,0">
              <w:txbxContent>
                <w:p>
                  <w:pPr>
                    <w:spacing w:before="63"/>
                    <w:ind w:left="133" w:right="0" w:firstLine="0"/>
                    <w:jc w:val="left"/>
                    <w:rPr>
                      <w:b/>
                      <w:sz w:val="12"/>
                    </w:rPr>
                  </w:pPr>
                  <w:r>
                    <w:rPr>
                      <w:b/>
                      <w:sz w:val="12"/>
                    </w:rPr>
                    <w:t>(12) Índice de Mejor vida</w:t>
                  </w:r>
                </w:p>
                <w:p>
                  <w:pPr>
                    <w:pStyle w:val="ListParagraph"/>
                    <w:numPr>
                      <w:ilvl w:val="0"/>
                      <w:numId w:val="28"/>
                    </w:numPr>
                    <w:tabs>
                      <w:tab w:pos="243" w:val="left" w:leader="none"/>
                    </w:tabs>
                    <w:spacing w:line="240" w:lineRule="auto" w:before="0" w:after="0"/>
                    <w:ind w:left="133" w:right="0" w:firstLine="0"/>
                    <w:jc w:val="left"/>
                    <w:rPr>
                      <w:sz w:val="12"/>
                    </w:rPr>
                  </w:pPr>
                  <w:r>
                    <w:rPr>
                      <w:sz w:val="12"/>
                    </w:rPr>
                    <w:t>Viv </w:t>
                  </w:r>
                  <w:r>
                    <w:rPr>
                      <w:spacing w:val="-3"/>
                      <w:sz w:val="12"/>
                    </w:rPr>
                    <w:t>iendas con </w:t>
                  </w:r>
                  <w:r>
                    <w:rPr>
                      <w:sz w:val="12"/>
                    </w:rPr>
                    <w:t>servicios</w:t>
                  </w:r>
                  <w:r>
                    <w:rPr>
                      <w:spacing w:val="4"/>
                      <w:sz w:val="12"/>
                    </w:rPr>
                    <w:t> </w:t>
                  </w:r>
                  <w:r>
                    <w:rPr>
                      <w:sz w:val="12"/>
                    </w:rPr>
                    <w:t>básicos</w:t>
                  </w:r>
                </w:p>
                <w:p>
                  <w:pPr>
                    <w:pStyle w:val="ListParagraph"/>
                    <w:numPr>
                      <w:ilvl w:val="0"/>
                      <w:numId w:val="28"/>
                    </w:numPr>
                    <w:tabs>
                      <w:tab w:pos="243" w:val="left" w:leader="none"/>
                    </w:tabs>
                    <w:spacing w:line="240" w:lineRule="auto" w:before="1" w:after="0"/>
                    <w:ind w:left="133" w:right="131" w:firstLine="0"/>
                    <w:jc w:val="left"/>
                    <w:rPr>
                      <w:sz w:val="12"/>
                    </w:rPr>
                  </w:pPr>
                  <w:r>
                    <w:rPr>
                      <w:sz w:val="12"/>
                    </w:rPr>
                    <w:t>Hogares con ingresos disponibles y</w:t>
                  </w:r>
                  <w:r>
                    <w:rPr>
                      <w:spacing w:val="7"/>
                      <w:sz w:val="12"/>
                    </w:rPr>
                    <w:t> </w:t>
                  </w:r>
                  <w:r>
                    <w:rPr>
                      <w:sz w:val="12"/>
                    </w:rPr>
                    <w:t>num. de habitaciones. 3.Hogares con abundancia</w:t>
                  </w:r>
                  <w:r>
                    <w:rPr>
                      <w:spacing w:val="13"/>
                      <w:sz w:val="12"/>
                    </w:rPr>
                    <w:t> </w:t>
                  </w:r>
                  <w:r>
                    <w:rPr>
                      <w:sz w:val="12"/>
                    </w:rPr>
                    <w:t>financiera.</w:t>
                  </w:r>
                </w:p>
                <w:p>
                  <w:pPr>
                    <w:pStyle w:val="ListParagraph"/>
                    <w:numPr>
                      <w:ilvl w:val="0"/>
                      <w:numId w:val="29"/>
                    </w:numPr>
                    <w:tabs>
                      <w:tab w:pos="243" w:val="left" w:leader="none"/>
                    </w:tabs>
                    <w:spacing w:line="240" w:lineRule="auto" w:before="1" w:after="0"/>
                    <w:ind w:left="133" w:right="0" w:firstLine="0"/>
                    <w:jc w:val="left"/>
                    <w:rPr>
                      <w:sz w:val="12"/>
                    </w:rPr>
                  </w:pPr>
                  <w:r>
                    <w:rPr>
                      <w:w w:val="105"/>
                      <w:sz w:val="12"/>
                    </w:rPr>
                    <w:t>Tasa</w:t>
                  </w:r>
                  <w:r>
                    <w:rPr>
                      <w:spacing w:val="-18"/>
                      <w:w w:val="105"/>
                      <w:sz w:val="12"/>
                    </w:rPr>
                    <w:t> </w:t>
                  </w:r>
                  <w:r>
                    <w:rPr>
                      <w:w w:val="105"/>
                      <w:sz w:val="12"/>
                    </w:rPr>
                    <w:t>de</w:t>
                  </w:r>
                  <w:r>
                    <w:rPr>
                      <w:spacing w:val="-18"/>
                      <w:w w:val="105"/>
                      <w:sz w:val="12"/>
                    </w:rPr>
                    <w:t> </w:t>
                  </w:r>
                  <w:r>
                    <w:rPr>
                      <w:w w:val="105"/>
                      <w:sz w:val="12"/>
                    </w:rPr>
                    <w:t>empleo.</w:t>
                  </w:r>
                </w:p>
                <w:p>
                  <w:pPr>
                    <w:pStyle w:val="ListParagraph"/>
                    <w:numPr>
                      <w:ilvl w:val="0"/>
                      <w:numId w:val="29"/>
                    </w:numPr>
                    <w:tabs>
                      <w:tab w:pos="243" w:val="left" w:leader="none"/>
                    </w:tabs>
                    <w:spacing w:line="240" w:lineRule="auto" w:before="0" w:after="0"/>
                    <w:ind w:left="242" w:right="0" w:hanging="109"/>
                    <w:jc w:val="left"/>
                    <w:rPr>
                      <w:sz w:val="12"/>
                    </w:rPr>
                  </w:pPr>
                  <w:r>
                    <w:rPr>
                      <w:sz w:val="12"/>
                    </w:rPr>
                    <w:t>Tasa de desempleo a largo</w:t>
                  </w:r>
                  <w:r>
                    <w:rPr>
                      <w:spacing w:val="-7"/>
                      <w:sz w:val="12"/>
                    </w:rPr>
                    <w:t> </w:t>
                  </w:r>
                  <w:r>
                    <w:rPr>
                      <w:sz w:val="12"/>
                    </w:rPr>
                    <w:t>plazo.</w:t>
                  </w:r>
                </w:p>
                <w:p>
                  <w:pPr>
                    <w:pStyle w:val="ListParagraph"/>
                    <w:numPr>
                      <w:ilvl w:val="0"/>
                      <w:numId w:val="29"/>
                    </w:numPr>
                    <w:tabs>
                      <w:tab w:pos="243" w:val="left" w:leader="none"/>
                    </w:tabs>
                    <w:spacing w:line="240" w:lineRule="auto" w:before="1" w:after="0"/>
                    <w:ind w:left="242" w:right="0" w:hanging="109"/>
                    <w:jc w:val="left"/>
                    <w:rPr>
                      <w:sz w:val="12"/>
                    </w:rPr>
                  </w:pPr>
                  <w:r>
                    <w:rPr>
                      <w:w w:val="105"/>
                      <w:sz w:val="12"/>
                    </w:rPr>
                    <w:t>Calidad</w:t>
                  </w:r>
                  <w:r>
                    <w:rPr>
                      <w:spacing w:val="-14"/>
                      <w:w w:val="105"/>
                      <w:sz w:val="12"/>
                    </w:rPr>
                    <w:t> </w:t>
                  </w:r>
                  <w:r>
                    <w:rPr>
                      <w:w w:val="105"/>
                      <w:sz w:val="12"/>
                    </w:rPr>
                    <w:t>de</w:t>
                  </w:r>
                  <w:r>
                    <w:rPr>
                      <w:spacing w:val="-14"/>
                      <w:w w:val="105"/>
                      <w:sz w:val="12"/>
                    </w:rPr>
                    <w:t> </w:t>
                  </w:r>
                  <w:r>
                    <w:rPr>
                      <w:w w:val="105"/>
                      <w:sz w:val="12"/>
                    </w:rPr>
                    <w:t>la</w:t>
                  </w:r>
                  <w:r>
                    <w:rPr>
                      <w:spacing w:val="-14"/>
                      <w:w w:val="105"/>
                      <w:sz w:val="12"/>
                    </w:rPr>
                    <w:t> </w:t>
                  </w:r>
                  <w:r>
                    <w:rPr>
                      <w:w w:val="105"/>
                      <w:sz w:val="12"/>
                    </w:rPr>
                    <w:t>red</w:t>
                  </w:r>
                  <w:r>
                    <w:rPr>
                      <w:spacing w:val="-14"/>
                      <w:w w:val="105"/>
                      <w:sz w:val="12"/>
                    </w:rPr>
                    <w:t> </w:t>
                  </w:r>
                  <w:r>
                    <w:rPr>
                      <w:w w:val="105"/>
                      <w:sz w:val="12"/>
                    </w:rPr>
                    <w:t>de</w:t>
                  </w:r>
                  <w:r>
                    <w:rPr>
                      <w:spacing w:val="-14"/>
                      <w:w w:val="105"/>
                      <w:sz w:val="12"/>
                    </w:rPr>
                    <w:t> </w:t>
                  </w:r>
                  <w:r>
                    <w:rPr>
                      <w:w w:val="105"/>
                      <w:sz w:val="12"/>
                    </w:rPr>
                    <w:t>apoyo.</w:t>
                  </w:r>
                </w:p>
                <w:p>
                  <w:pPr>
                    <w:pStyle w:val="ListParagraph"/>
                    <w:numPr>
                      <w:ilvl w:val="0"/>
                      <w:numId w:val="29"/>
                    </w:numPr>
                    <w:tabs>
                      <w:tab w:pos="243" w:val="left" w:leader="none"/>
                    </w:tabs>
                    <w:spacing w:line="240" w:lineRule="auto" w:before="0" w:after="0"/>
                    <w:ind w:left="242" w:right="0" w:hanging="109"/>
                    <w:jc w:val="left"/>
                    <w:rPr>
                      <w:sz w:val="12"/>
                    </w:rPr>
                  </w:pPr>
                  <w:r>
                    <w:rPr>
                      <w:sz w:val="12"/>
                    </w:rPr>
                    <w:t>Niv el</w:t>
                  </w:r>
                  <w:r>
                    <w:rPr>
                      <w:spacing w:val="-18"/>
                      <w:sz w:val="12"/>
                    </w:rPr>
                    <w:t> </w:t>
                  </w:r>
                  <w:r>
                    <w:rPr>
                      <w:sz w:val="12"/>
                    </w:rPr>
                    <w:t>educativo.</w:t>
                  </w:r>
                </w:p>
                <w:p>
                  <w:pPr>
                    <w:pStyle w:val="ListParagraph"/>
                    <w:numPr>
                      <w:ilvl w:val="0"/>
                      <w:numId w:val="29"/>
                    </w:numPr>
                    <w:tabs>
                      <w:tab w:pos="243" w:val="left" w:leader="none"/>
                    </w:tabs>
                    <w:spacing w:line="240" w:lineRule="auto" w:before="1" w:after="0"/>
                    <w:ind w:left="242" w:right="0" w:hanging="109"/>
                    <w:jc w:val="left"/>
                    <w:rPr>
                      <w:sz w:val="12"/>
                    </w:rPr>
                  </w:pPr>
                  <w:r>
                    <w:rPr>
                      <w:w w:val="105"/>
                      <w:sz w:val="12"/>
                    </w:rPr>
                    <w:t>Estudiantes</w:t>
                  </w:r>
                  <w:r>
                    <w:rPr>
                      <w:spacing w:val="-22"/>
                      <w:w w:val="105"/>
                      <w:sz w:val="12"/>
                    </w:rPr>
                    <w:t> </w:t>
                  </w:r>
                  <w:r>
                    <w:rPr>
                      <w:spacing w:val="-3"/>
                      <w:w w:val="105"/>
                      <w:sz w:val="12"/>
                    </w:rPr>
                    <w:t>con</w:t>
                  </w:r>
                  <w:r>
                    <w:rPr>
                      <w:spacing w:val="-25"/>
                      <w:w w:val="105"/>
                      <w:sz w:val="12"/>
                    </w:rPr>
                    <w:t> </w:t>
                  </w:r>
                  <w:r>
                    <w:rPr>
                      <w:w w:val="105"/>
                      <w:sz w:val="12"/>
                    </w:rPr>
                    <w:t>habilidades</w:t>
                  </w:r>
                  <w:r>
                    <w:rPr>
                      <w:spacing w:val="-28"/>
                      <w:w w:val="105"/>
                      <w:sz w:val="12"/>
                    </w:rPr>
                    <w:t> </w:t>
                  </w:r>
                  <w:r>
                    <w:rPr>
                      <w:w w:val="105"/>
                      <w:sz w:val="12"/>
                    </w:rPr>
                    <w:t>en</w:t>
                  </w:r>
                  <w:r>
                    <w:rPr>
                      <w:spacing w:val="-25"/>
                      <w:w w:val="105"/>
                      <w:sz w:val="12"/>
                    </w:rPr>
                    <w:t> </w:t>
                  </w:r>
                  <w:r>
                    <w:rPr>
                      <w:w w:val="105"/>
                      <w:sz w:val="12"/>
                    </w:rPr>
                    <w:t>lectura.</w:t>
                  </w:r>
                </w:p>
                <w:p>
                  <w:pPr>
                    <w:pStyle w:val="ListParagraph"/>
                    <w:numPr>
                      <w:ilvl w:val="0"/>
                      <w:numId w:val="29"/>
                    </w:numPr>
                    <w:tabs>
                      <w:tab w:pos="243" w:val="left" w:leader="none"/>
                    </w:tabs>
                    <w:spacing w:line="240" w:lineRule="auto" w:before="0" w:after="0"/>
                    <w:ind w:left="242" w:right="0" w:hanging="109"/>
                    <w:jc w:val="left"/>
                    <w:rPr>
                      <w:sz w:val="12"/>
                    </w:rPr>
                  </w:pPr>
                  <w:r>
                    <w:rPr>
                      <w:sz w:val="12"/>
                    </w:rPr>
                    <w:t>Contaminación del</w:t>
                  </w:r>
                  <w:r>
                    <w:rPr>
                      <w:spacing w:val="10"/>
                      <w:sz w:val="12"/>
                    </w:rPr>
                    <w:t> </w:t>
                  </w:r>
                  <w:r>
                    <w:rPr>
                      <w:sz w:val="12"/>
                    </w:rPr>
                    <w:t>aire.</w:t>
                  </w:r>
                </w:p>
                <w:p>
                  <w:pPr>
                    <w:pStyle w:val="ListParagraph"/>
                    <w:numPr>
                      <w:ilvl w:val="0"/>
                      <w:numId w:val="29"/>
                    </w:numPr>
                    <w:tabs>
                      <w:tab w:pos="311" w:val="left" w:leader="none"/>
                    </w:tabs>
                    <w:spacing w:line="240" w:lineRule="auto" w:before="1" w:after="0"/>
                    <w:ind w:left="310" w:right="0" w:hanging="177"/>
                    <w:jc w:val="left"/>
                    <w:rPr>
                      <w:sz w:val="12"/>
                    </w:rPr>
                  </w:pPr>
                  <w:r>
                    <w:rPr>
                      <w:w w:val="105"/>
                      <w:sz w:val="12"/>
                    </w:rPr>
                    <w:t>Consulta</w:t>
                  </w:r>
                  <w:r>
                    <w:rPr>
                      <w:spacing w:val="-23"/>
                      <w:w w:val="105"/>
                      <w:sz w:val="12"/>
                    </w:rPr>
                    <w:t> </w:t>
                  </w:r>
                  <w:r>
                    <w:rPr>
                      <w:w w:val="105"/>
                      <w:sz w:val="12"/>
                    </w:rPr>
                    <w:t>sobre</w:t>
                  </w:r>
                  <w:r>
                    <w:rPr>
                      <w:spacing w:val="-29"/>
                      <w:w w:val="105"/>
                      <w:sz w:val="12"/>
                    </w:rPr>
                    <w:t> </w:t>
                  </w:r>
                  <w:r>
                    <w:rPr>
                      <w:w w:val="105"/>
                      <w:sz w:val="12"/>
                    </w:rPr>
                    <w:t>elaboración</w:t>
                  </w:r>
                  <w:r>
                    <w:rPr>
                      <w:spacing w:val="-23"/>
                      <w:w w:val="105"/>
                      <w:sz w:val="12"/>
                    </w:rPr>
                    <w:t> </w:t>
                  </w:r>
                  <w:r>
                    <w:rPr>
                      <w:w w:val="105"/>
                      <w:sz w:val="12"/>
                    </w:rPr>
                    <w:t>de</w:t>
                  </w:r>
                  <w:r>
                    <w:rPr>
                      <w:spacing w:val="-23"/>
                      <w:w w:val="105"/>
                      <w:sz w:val="12"/>
                    </w:rPr>
                    <w:t> </w:t>
                  </w:r>
                  <w:r>
                    <w:rPr>
                      <w:spacing w:val="-3"/>
                      <w:w w:val="105"/>
                      <w:sz w:val="12"/>
                    </w:rPr>
                    <w:t>normas.</w:t>
                  </w:r>
                </w:p>
                <w:p>
                  <w:pPr>
                    <w:pStyle w:val="ListParagraph"/>
                    <w:numPr>
                      <w:ilvl w:val="0"/>
                      <w:numId w:val="29"/>
                    </w:numPr>
                    <w:tabs>
                      <w:tab w:pos="311" w:val="left" w:leader="none"/>
                    </w:tabs>
                    <w:spacing w:line="240" w:lineRule="auto" w:before="0" w:after="0"/>
                    <w:ind w:left="310" w:right="0" w:hanging="177"/>
                    <w:jc w:val="left"/>
                    <w:rPr>
                      <w:sz w:val="12"/>
                    </w:rPr>
                  </w:pPr>
                  <w:r>
                    <w:rPr>
                      <w:sz w:val="12"/>
                    </w:rPr>
                    <w:t>Participación</w:t>
                  </w:r>
                  <w:r>
                    <w:rPr>
                      <w:spacing w:val="11"/>
                      <w:sz w:val="12"/>
                    </w:rPr>
                    <w:t> </w:t>
                  </w:r>
                  <w:r>
                    <w:rPr>
                      <w:sz w:val="12"/>
                    </w:rPr>
                    <w:t>electoral.</w:t>
                  </w:r>
                </w:p>
                <w:p>
                  <w:pPr>
                    <w:pStyle w:val="ListParagraph"/>
                    <w:numPr>
                      <w:ilvl w:val="0"/>
                      <w:numId w:val="29"/>
                    </w:numPr>
                    <w:tabs>
                      <w:tab w:pos="311" w:val="left" w:leader="none"/>
                    </w:tabs>
                    <w:spacing w:line="240" w:lineRule="auto" w:before="1" w:after="0"/>
                    <w:ind w:left="133" w:right="1918" w:firstLine="0"/>
                    <w:jc w:val="left"/>
                    <w:rPr>
                      <w:sz w:val="12"/>
                    </w:rPr>
                  </w:pPr>
                  <w:r>
                    <w:rPr>
                      <w:w w:val="105"/>
                      <w:sz w:val="12"/>
                    </w:rPr>
                    <w:t>Esperanza de vida. 13.Comunicados</w:t>
                  </w:r>
                  <w:r>
                    <w:rPr>
                      <w:spacing w:val="-28"/>
                      <w:w w:val="105"/>
                      <w:sz w:val="12"/>
                    </w:rPr>
                    <w:t> </w:t>
                  </w:r>
                  <w:r>
                    <w:rPr>
                      <w:w w:val="105"/>
                      <w:sz w:val="12"/>
                    </w:rPr>
                    <w:t>de</w:t>
                  </w:r>
                  <w:r>
                    <w:rPr>
                      <w:spacing w:val="-26"/>
                      <w:w w:val="105"/>
                      <w:sz w:val="12"/>
                    </w:rPr>
                    <w:t> </w:t>
                  </w:r>
                  <w:r>
                    <w:rPr>
                      <w:w w:val="105"/>
                      <w:sz w:val="12"/>
                    </w:rPr>
                    <w:t>salud. 14.Satisfacción</w:t>
                  </w:r>
                  <w:r>
                    <w:rPr>
                      <w:spacing w:val="-25"/>
                      <w:w w:val="105"/>
                      <w:sz w:val="12"/>
                    </w:rPr>
                    <w:t> </w:t>
                  </w:r>
                  <w:r>
                    <w:rPr>
                      <w:w w:val="105"/>
                      <w:sz w:val="12"/>
                    </w:rPr>
                    <w:t>de</w:t>
                  </w:r>
                  <w:r>
                    <w:rPr>
                      <w:spacing w:val="-25"/>
                      <w:w w:val="105"/>
                      <w:sz w:val="12"/>
                    </w:rPr>
                    <w:t> </w:t>
                  </w:r>
                  <w:r>
                    <w:rPr>
                      <w:w w:val="105"/>
                      <w:sz w:val="12"/>
                    </w:rPr>
                    <w:t>vida.</w:t>
                  </w:r>
                </w:p>
                <w:p>
                  <w:pPr>
                    <w:pStyle w:val="ListParagraph"/>
                    <w:numPr>
                      <w:ilvl w:val="0"/>
                      <w:numId w:val="30"/>
                    </w:numPr>
                    <w:tabs>
                      <w:tab w:pos="311" w:val="left" w:leader="none"/>
                    </w:tabs>
                    <w:spacing w:line="240" w:lineRule="auto" w:before="0" w:after="0"/>
                    <w:ind w:left="133" w:right="0" w:firstLine="0"/>
                    <w:jc w:val="left"/>
                    <w:rPr>
                      <w:sz w:val="12"/>
                    </w:rPr>
                  </w:pPr>
                  <w:r>
                    <w:rPr>
                      <w:sz w:val="12"/>
                    </w:rPr>
                    <w:t>Tasa de</w:t>
                  </w:r>
                  <w:r>
                    <w:rPr>
                      <w:spacing w:val="12"/>
                      <w:sz w:val="12"/>
                    </w:rPr>
                    <w:t> </w:t>
                  </w:r>
                  <w:r>
                    <w:rPr>
                      <w:sz w:val="12"/>
                    </w:rPr>
                    <w:t>homicidios.</w:t>
                  </w:r>
                </w:p>
                <w:p>
                  <w:pPr>
                    <w:pStyle w:val="ListParagraph"/>
                    <w:numPr>
                      <w:ilvl w:val="0"/>
                      <w:numId w:val="30"/>
                    </w:numPr>
                    <w:tabs>
                      <w:tab w:pos="311" w:val="left" w:leader="none"/>
                    </w:tabs>
                    <w:spacing w:line="240" w:lineRule="auto" w:before="1" w:after="0"/>
                    <w:ind w:left="133" w:right="1058" w:firstLine="0"/>
                    <w:jc w:val="left"/>
                    <w:rPr>
                      <w:sz w:val="12"/>
                    </w:rPr>
                  </w:pPr>
                  <w:r>
                    <w:rPr>
                      <w:w w:val="105"/>
                      <w:sz w:val="12"/>
                    </w:rPr>
                    <w:t>Tasa de agresión y/o </w:t>
                  </w:r>
                  <w:r>
                    <w:rPr>
                      <w:spacing w:val="-3"/>
                      <w:w w:val="105"/>
                      <w:sz w:val="12"/>
                    </w:rPr>
                    <w:t>ataques. </w:t>
                  </w:r>
                  <w:r>
                    <w:rPr>
                      <w:w w:val="105"/>
                      <w:sz w:val="12"/>
                    </w:rPr>
                    <w:t>17.Empleados</w:t>
                  </w:r>
                  <w:r>
                    <w:rPr>
                      <w:spacing w:val="-22"/>
                      <w:w w:val="105"/>
                      <w:sz w:val="12"/>
                    </w:rPr>
                    <w:t> </w:t>
                  </w:r>
                  <w:r>
                    <w:rPr>
                      <w:w w:val="105"/>
                      <w:sz w:val="12"/>
                    </w:rPr>
                    <w:t>con</w:t>
                  </w:r>
                  <w:r>
                    <w:rPr>
                      <w:spacing w:val="-18"/>
                      <w:w w:val="105"/>
                      <w:sz w:val="12"/>
                    </w:rPr>
                    <w:t> </w:t>
                  </w:r>
                  <w:r>
                    <w:rPr>
                      <w:spacing w:val="-3"/>
                      <w:w w:val="105"/>
                      <w:sz w:val="12"/>
                    </w:rPr>
                    <w:t>largas</w:t>
                  </w:r>
                  <w:r>
                    <w:rPr>
                      <w:spacing w:val="-13"/>
                      <w:w w:val="105"/>
                      <w:sz w:val="12"/>
                    </w:rPr>
                    <w:t> </w:t>
                  </w:r>
                  <w:r>
                    <w:rPr>
                      <w:w w:val="105"/>
                      <w:sz w:val="12"/>
                    </w:rPr>
                    <w:t>horas</w:t>
                  </w:r>
                  <w:r>
                    <w:rPr>
                      <w:spacing w:val="-22"/>
                      <w:w w:val="105"/>
                      <w:sz w:val="12"/>
                    </w:rPr>
                    <w:t> </w:t>
                  </w:r>
                  <w:r>
                    <w:rPr>
                      <w:w w:val="105"/>
                      <w:sz w:val="12"/>
                    </w:rPr>
                    <w:t>de</w:t>
                  </w:r>
                  <w:r>
                    <w:rPr>
                      <w:spacing w:val="-18"/>
                      <w:w w:val="105"/>
                      <w:sz w:val="12"/>
                    </w:rPr>
                    <w:t> </w:t>
                  </w:r>
                  <w:r>
                    <w:rPr>
                      <w:w w:val="105"/>
                      <w:sz w:val="12"/>
                    </w:rPr>
                    <w:t>trabajo. 18.Tasa</w:t>
                  </w:r>
                  <w:r>
                    <w:rPr>
                      <w:spacing w:val="-18"/>
                      <w:w w:val="105"/>
                      <w:sz w:val="12"/>
                    </w:rPr>
                    <w:t> </w:t>
                  </w:r>
                  <w:r>
                    <w:rPr>
                      <w:w w:val="105"/>
                      <w:sz w:val="12"/>
                    </w:rPr>
                    <w:t>de</w:t>
                  </w:r>
                  <w:r>
                    <w:rPr>
                      <w:spacing w:val="-18"/>
                      <w:w w:val="105"/>
                      <w:sz w:val="12"/>
                    </w:rPr>
                    <w:t> </w:t>
                  </w:r>
                  <w:r>
                    <w:rPr>
                      <w:w w:val="105"/>
                      <w:sz w:val="12"/>
                    </w:rPr>
                    <w:t>empleo</w:t>
                  </w:r>
                  <w:r>
                    <w:rPr>
                      <w:spacing w:val="-18"/>
                      <w:w w:val="105"/>
                      <w:sz w:val="12"/>
                    </w:rPr>
                    <w:t> </w:t>
                  </w:r>
                  <w:r>
                    <w:rPr>
                      <w:w w:val="105"/>
                      <w:sz w:val="12"/>
                    </w:rPr>
                    <w:t>de</w:t>
                  </w:r>
                  <w:r>
                    <w:rPr>
                      <w:spacing w:val="-18"/>
                      <w:w w:val="105"/>
                      <w:sz w:val="12"/>
                    </w:rPr>
                    <w:t> </w:t>
                  </w:r>
                  <w:r>
                    <w:rPr>
                      <w:w w:val="105"/>
                      <w:sz w:val="12"/>
                    </w:rPr>
                    <w:t>mujeres</w:t>
                  </w:r>
                  <w:r>
                    <w:rPr>
                      <w:spacing w:val="-23"/>
                      <w:w w:val="105"/>
                      <w:sz w:val="12"/>
                    </w:rPr>
                    <w:t> </w:t>
                  </w:r>
                  <w:r>
                    <w:rPr>
                      <w:w w:val="105"/>
                      <w:sz w:val="12"/>
                    </w:rPr>
                    <w:t>con</w:t>
                  </w:r>
                  <w:r>
                    <w:rPr>
                      <w:spacing w:val="-18"/>
                      <w:w w:val="105"/>
                      <w:sz w:val="12"/>
                    </w:rPr>
                    <w:t> </w:t>
                  </w:r>
                  <w:r>
                    <w:rPr>
                      <w:w w:val="105"/>
                      <w:sz w:val="12"/>
                    </w:rPr>
                    <w:t>hijos.</w:t>
                  </w:r>
                </w:p>
                <w:p>
                  <w:pPr>
                    <w:spacing w:before="0"/>
                    <w:ind w:left="133" w:right="0" w:firstLine="0"/>
                    <w:jc w:val="left"/>
                    <w:rPr>
                      <w:sz w:val="12"/>
                    </w:rPr>
                  </w:pPr>
                  <w:r>
                    <w:rPr>
                      <w:sz w:val="12"/>
                    </w:rPr>
                    <w:t>19.Tiempo dedicado al ocio y al cuidado personal.</w:t>
                  </w:r>
                </w:p>
              </w:txbxContent>
            </v:textbox>
            <v:fill type="solid"/>
            <w10:wrap type="none"/>
          </v:shape>
        </w:pict>
      </w:r>
      <w:r>
        <w:rPr>
          <w:spacing w:val="-3"/>
          <w:sz w:val="12"/>
        </w:rPr>
        <w:t>Mov </w:t>
      </w:r>
      <w:r>
        <w:rPr>
          <w:sz w:val="12"/>
        </w:rPr>
        <w:t>imiento masivo de </w:t>
      </w:r>
      <w:r>
        <w:rPr>
          <w:spacing w:val="-3"/>
          <w:sz w:val="12"/>
        </w:rPr>
        <w:t>refugiados </w:t>
      </w:r>
      <w:r>
        <w:rPr>
          <w:sz w:val="12"/>
        </w:rPr>
        <w:t>o</w:t>
      </w:r>
      <w:r>
        <w:rPr>
          <w:spacing w:val="8"/>
          <w:sz w:val="12"/>
        </w:rPr>
        <w:t> </w:t>
      </w:r>
      <w:r>
        <w:rPr>
          <w:sz w:val="12"/>
        </w:rPr>
        <w:t>personas</w:t>
      </w:r>
    </w:p>
    <w:p>
      <w:pPr>
        <w:spacing w:before="1"/>
        <w:ind w:left="4006" w:right="5767" w:firstLine="0"/>
        <w:jc w:val="center"/>
        <w:rPr>
          <w:sz w:val="12"/>
        </w:rPr>
      </w:pPr>
      <w:r>
        <w:rPr>
          <w:sz w:val="12"/>
        </w:rPr>
        <w:t>desplazadas internamente.</w:t>
      </w:r>
    </w:p>
    <w:p>
      <w:pPr>
        <w:pStyle w:val="ListParagraph"/>
        <w:numPr>
          <w:ilvl w:val="3"/>
          <w:numId w:val="24"/>
        </w:numPr>
        <w:tabs>
          <w:tab w:pos="5172" w:val="left" w:leader="none"/>
        </w:tabs>
        <w:spacing w:line="240" w:lineRule="auto" w:before="0" w:after="0"/>
        <w:ind w:left="5171" w:right="1407" w:hanging="137"/>
        <w:jc w:val="center"/>
        <w:rPr>
          <w:sz w:val="12"/>
        </w:rPr>
      </w:pPr>
      <w:r>
        <w:rPr>
          <w:sz w:val="12"/>
        </w:rPr>
        <w:t>Desarrollo económico</w:t>
      </w:r>
      <w:r>
        <w:rPr>
          <w:spacing w:val="5"/>
          <w:sz w:val="12"/>
        </w:rPr>
        <w:t> </w:t>
      </w:r>
      <w:r>
        <w:rPr>
          <w:sz w:val="12"/>
        </w:rPr>
        <w:t>desigual.</w:t>
      </w:r>
    </w:p>
    <w:p>
      <w:pPr>
        <w:spacing w:before="1"/>
        <w:ind w:left="5034" w:right="0" w:firstLine="0"/>
        <w:jc w:val="left"/>
        <w:rPr>
          <w:sz w:val="12"/>
        </w:rPr>
      </w:pPr>
      <w:r>
        <w:rPr>
          <w:w w:val="105"/>
          <w:sz w:val="12"/>
        </w:rPr>
        <w:t>Grupo de quejas.</w:t>
      </w:r>
    </w:p>
    <w:p>
      <w:pPr>
        <w:pStyle w:val="ListParagraph"/>
        <w:numPr>
          <w:ilvl w:val="3"/>
          <w:numId w:val="24"/>
        </w:numPr>
        <w:tabs>
          <w:tab w:pos="5172" w:val="left" w:leader="none"/>
        </w:tabs>
        <w:spacing w:line="240" w:lineRule="auto" w:before="0" w:after="0"/>
        <w:ind w:left="5171" w:right="0" w:hanging="137"/>
        <w:jc w:val="left"/>
        <w:rPr>
          <w:sz w:val="12"/>
        </w:rPr>
      </w:pPr>
      <w:r>
        <w:rPr>
          <w:sz w:val="12"/>
        </w:rPr>
        <w:t>Migración y fuga de</w:t>
      </w:r>
      <w:r>
        <w:rPr>
          <w:spacing w:val="2"/>
          <w:sz w:val="12"/>
        </w:rPr>
        <w:t> </w:t>
      </w:r>
      <w:r>
        <w:rPr>
          <w:sz w:val="12"/>
        </w:rPr>
        <w:t>cerebros.</w:t>
      </w:r>
    </w:p>
    <w:p>
      <w:pPr>
        <w:pStyle w:val="ListParagraph"/>
        <w:numPr>
          <w:ilvl w:val="3"/>
          <w:numId w:val="24"/>
        </w:numPr>
        <w:tabs>
          <w:tab w:pos="5172" w:val="left" w:leader="none"/>
        </w:tabs>
        <w:spacing w:line="240" w:lineRule="auto" w:before="1" w:after="0"/>
        <w:ind w:left="5171" w:right="0" w:hanging="137"/>
        <w:jc w:val="left"/>
        <w:rPr>
          <w:sz w:val="12"/>
        </w:rPr>
      </w:pPr>
      <w:r>
        <w:rPr>
          <w:sz w:val="12"/>
        </w:rPr>
        <w:t>Pobreza y  deterioro</w:t>
      </w:r>
      <w:r>
        <w:rPr>
          <w:spacing w:val="-24"/>
          <w:sz w:val="12"/>
        </w:rPr>
        <w:t> </w:t>
      </w:r>
      <w:r>
        <w:rPr>
          <w:sz w:val="12"/>
        </w:rPr>
        <w:t>económico</w:t>
      </w:r>
    </w:p>
    <w:p>
      <w:pPr>
        <w:pStyle w:val="ListParagraph"/>
        <w:numPr>
          <w:ilvl w:val="3"/>
          <w:numId w:val="24"/>
        </w:numPr>
        <w:tabs>
          <w:tab w:pos="5172" w:val="left" w:leader="none"/>
        </w:tabs>
        <w:spacing w:line="240" w:lineRule="auto" w:before="0" w:after="0"/>
        <w:ind w:left="5171" w:right="534" w:hanging="137"/>
        <w:jc w:val="center"/>
        <w:rPr>
          <w:sz w:val="12"/>
        </w:rPr>
      </w:pPr>
      <w:r>
        <w:rPr>
          <w:sz w:val="12"/>
        </w:rPr>
        <w:t>Pobreza </w:t>
      </w:r>
      <w:r>
        <w:rPr>
          <w:spacing w:val="2"/>
          <w:sz w:val="12"/>
        </w:rPr>
        <w:t>extrema </w:t>
      </w:r>
      <w:r>
        <w:rPr>
          <w:sz w:val="12"/>
        </w:rPr>
        <w:t>y/o decline económico</w:t>
      </w:r>
      <w:r>
        <w:rPr>
          <w:spacing w:val="-10"/>
          <w:sz w:val="12"/>
        </w:rPr>
        <w:t> </w:t>
      </w:r>
      <w:r>
        <w:rPr>
          <w:spacing w:val="-3"/>
          <w:sz w:val="12"/>
        </w:rPr>
        <w:t>severo.</w:t>
      </w:r>
    </w:p>
    <w:p>
      <w:pPr>
        <w:spacing w:before="1"/>
        <w:ind w:left="5034" w:right="0" w:firstLine="0"/>
        <w:jc w:val="left"/>
        <w:rPr>
          <w:i/>
          <w:sz w:val="12"/>
        </w:rPr>
      </w:pPr>
      <w:r>
        <w:rPr>
          <w:i/>
          <w:w w:val="105"/>
          <w:sz w:val="12"/>
        </w:rPr>
        <w:t>Indicadores políticos/militares</w:t>
      </w:r>
    </w:p>
    <w:p>
      <w:pPr>
        <w:pStyle w:val="ListParagraph"/>
        <w:numPr>
          <w:ilvl w:val="3"/>
          <w:numId w:val="24"/>
        </w:numPr>
        <w:tabs>
          <w:tab w:pos="5172" w:val="left" w:leader="none"/>
        </w:tabs>
        <w:spacing w:line="240" w:lineRule="auto" w:before="0" w:after="0"/>
        <w:ind w:left="5171" w:right="0" w:hanging="137"/>
        <w:jc w:val="left"/>
        <w:rPr>
          <w:sz w:val="12"/>
        </w:rPr>
      </w:pPr>
      <w:r>
        <w:rPr>
          <w:sz w:val="12"/>
        </w:rPr>
        <w:t>Legitimidad del</w:t>
      </w:r>
      <w:r>
        <w:rPr>
          <w:spacing w:val="31"/>
          <w:sz w:val="12"/>
        </w:rPr>
        <w:t> </w:t>
      </w:r>
      <w:r>
        <w:rPr>
          <w:spacing w:val="-3"/>
          <w:sz w:val="12"/>
        </w:rPr>
        <w:t>Estado.</w:t>
      </w:r>
    </w:p>
    <w:p>
      <w:pPr>
        <w:pStyle w:val="ListParagraph"/>
        <w:numPr>
          <w:ilvl w:val="0"/>
          <w:numId w:val="31"/>
        </w:numPr>
        <w:tabs>
          <w:tab w:pos="5131" w:val="left" w:leader="none"/>
        </w:tabs>
        <w:spacing w:line="240" w:lineRule="auto" w:before="1" w:after="0"/>
        <w:ind w:left="5130" w:right="670" w:hanging="96"/>
        <w:jc w:val="center"/>
        <w:rPr>
          <w:sz w:val="12"/>
        </w:rPr>
      </w:pPr>
      <w:r>
        <w:rPr>
          <w:w w:val="105"/>
          <w:sz w:val="12"/>
        </w:rPr>
        <w:t>Deterioro</w:t>
      </w:r>
      <w:r>
        <w:rPr>
          <w:spacing w:val="-24"/>
          <w:w w:val="105"/>
          <w:sz w:val="12"/>
        </w:rPr>
        <w:t> </w:t>
      </w:r>
      <w:r>
        <w:rPr>
          <w:w w:val="105"/>
          <w:sz w:val="12"/>
        </w:rPr>
        <w:t>progresivo</w:t>
      </w:r>
      <w:r>
        <w:rPr>
          <w:spacing w:val="-24"/>
          <w:w w:val="105"/>
          <w:sz w:val="12"/>
        </w:rPr>
        <w:t> </w:t>
      </w:r>
      <w:r>
        <w:rPr>
          <w:w w:val="105"/>
          <w:sz w:val="12"/>
        </w:rPr>
        <w:t>de</w:t>
      </w:r>
      <w:r>
        <w:rPr>
          <w:spacing w:val="-24"/>
          <w:w w:val="105"/>
          <w:sz w:val="12"/>
        </w:rPr>
        <w:t> </w:t>
      </w:r>
      <w:r>
        <w:rPr>
          <w:w w:val="105"/>
          <w:sz w:val="12"/>
        </w:rPr>
        <w:t>los</w:t>
      </w:r>
      <w:r>
        <w:rPr>
          <w:spacing w:val="-27"/>
          <w:w w:val="105"/>
          <w:sz w:val="12"/>
        </w:rPr>
        <w:t> </w:t>
      </w:r>
      <w:r>
        <w:rPr>
          <w:w w:val="105"/>
          <w:sz w:val="12"/>
        </w:rPr>
        <w:t>servicios</w:t>
      </w:r>
      <w:r>
        <w:rPr>
          <w:spacing w:val="-27"/>
          <w:w w:val="105"/>
          <w:sz w:val="12"/>
        </w:rPr>
        <w:t> </w:t>
      </w:r>
      <w:r>
        <w:rPr>
          <w:w w:val="105"/>
          <w:sz w:val="12"/>
        </w:rPr>
        <w:t>públicos.</w:t>
      </w:r>
    </w:p>
    <w:p>
      <w:pPr>
        <w:pStyle w:val="ListParagraph"/>
        <w:numPr>
          <w:ilvl w:val="0"/>
          <w:numId w:val="31"/>
        </w:numPr>
        <w:tabs>
          <w:tab w:pos="5131" w:val="left" w:leader="none"/>
        </w:tabs>
        <w:spacing w:line="240" w:lineRule="auto" w:before="0" w:after="0"/>
        <w:ind w:left="5130" w:right="0" w:hanging="96"/>
        <w:jc w:val="left"/>
        <w:rPr>
          <w:sz w:val="12"/>
        </w:rPr>
      </w:pPr>
      <w:r>
        <w:rPr>
          <w:sz w:val="12"/>
        </w:rPr>
        <w:t>Violación de los Derechos Humanos y </w:t>
      </w:r>
      <w:r>
        <w:rPr>
          <w:spacing w:val="-3"/>
          <w:sz w:val="12"/>
        </w:rPr>
        <w:t>Estado </w:t>
      </w:r>
      <w:r>
        <w:rPr>
          <w:sz w:val="12"/>
        </w:rPr>
        <w:t>de</w:t>
      </w:r>
      <w:r>
        <w:rPr>
          <w:spacing w:val="25"/>
          <w:sz w:val="12"/>
        </w:rPr>
        <w:t> </w:t>
      </w:r>
      <w:r>
        <w:rPr>
          <w:spacing w:val="-6"/>
          <w:sz w:val="12"/>
        </w:rPr>
        <w:t>Derecho.</w:t>
      </w:r>
    </w:p>
    <w:p>
      <w:pPr>
        <w:pStyle w:val="ListParagraph"/>
        <w:numPr>
          <w:ilvl w:val="0"/>
          <w:numId w:val="31"/>
        </w:numPr>
        <w:tabs>
          <w:tab w:pos="5199" w:val="left" w:leader="none"/>
        </w:tabs>
        <w:spacing w:line="240" w:lineRule="auto" w:before="1" w:after="0"/>
        <w:ind w:left="5198" w:right="0" w:hanging="164"/>
        <w:jc w:val="left"/>
        <w:rPr>
          <w:sz w:val="12"/>
        </w:rPr>
      </w:pPr>
      <w:r>
        <w:rPr>
          <w:w w:val="105"/>
          <w:sz w:val="12"/>
        </w:rPr>
        <w:t>Aparato</w:t>
      </w:r>
      <w:r>
        <w:rPr>
          <w:spacing w:val="-22"/>
          <w:w w:val="105"/>
          <w:sz w:val="12"/>
        </w:rPr>
        <w:t> </w:t>
      </w:r>
      <w:r>
        <w:rPr>
          <w:w w:val="105"/>
          <w:sz w:val="12"/>
        </w:rPr>
        <w:t>de</w:t>
      </w:r>
      <w:r>
        <w:rPr>
          <w:spacing w:val="-22"/>
          <w:w w:val="105"/>
          <w:sz w:val="12"/>
        </w:rPr>
        <w:t> </w:t>
      </w:r>
      <w:r>
        <w:rPr>
          <w:w w:val="105"/>
          <w:sz w:val="12"/>
        </w:rPr>
        <w:t>Seguridad.</w:t>
      </w:r>
    </w:p>
    <w:p>
      <w:pPr>
        <w:pStyle w:val="ListParagraph"/>
        <w:numPr>
          <w:ilvl w:val="0"/>
          <w:numId w:val="31"/>
        </w:numPr>
        <w:tabs>
          <w:tab w:pos="5199" w:val="left" w:leader="none"/>
        </w:tabs>
        <w:spacing w:line="240" w:lineRule="auto" w:before="0" w:after="0"/>
        <w:ind w:left="5198" w:right="1325" w:hanging="164"/>
        <w:jc w:val="center"/>
        <w:rPr>
          <w:sz w:val="12"/>
        </w:rPr>
      </w:pPr>
      <w:r>
        <w:rPr>
          <w:sz w:val="12"/>
        </w:rPr>
        <w:t>Aumento de las élites</w:t>
      </w:r>
      <w:r>
        <w:rPr>
          <w:spacing w:val="12"/>
          <w:sz w:val="12"/>
        </w:rPr>
        <w:t> </w:t>
      </w:r>
      <w:r>
        <w:rPr>
          <w:sz w:val="12"/>
        </w:rPr>
        <w:t>facciones.</w:t>
      </w:r>
    </w:p>
    <w:p>
      <w:pPr>
        <w:pStyle w:val="BodyText"/>
        <w:rPr>
          <w:sz w:val="12"/>
        </w:rPr>
      </w:pPr>
    </w:p>
    <w:p>
      <w:pPr>
        <w:pStyle w:val="BodyText"/>
        <w:spacing w:before="9"/>
        <w:rPr>
          <w:sz w:val="9"/>
        </w:rPr>
      </w:pPr>
    </w:p>
    <w:p>
      <w:pPr>
        <w:pStyle w:val="ListParagraph"/>
        <w:numPr>
          <w:ilvl w:val="0"/>
          <w:numId w:val="32"/>
        </w:numPr>
        <w:tabs>
          <w:tab w:pos="5185" w:val="left" w:leader="none"/>
        </w:tabs>
        <w:spacing w:line="240" w:lineRule="auto" w:before="0" w:after="0"/>
        <w:ind w:left="5184" w:right="0" w:hanging="177"/>
        <w:jc w:val="left"/>
        <w:rPr>
          <w:b/>
          <w:sz w:val="12"/>
        </w:rPr>
      </w:pPr>
      <w:r>
        <w:rPr>
          <w:b/>
          <w:spacing w:val="4"/>
          <w:sz w:val="12"/>
        </w:rPr>
        <w:t>Índice </w:t>
      </w:r>
      <w:r>
        <w:rPr>
          <w:b/>
          <w:spacing w:val="3"/>
          <w:sz w:val="12"/>
        </w:rPr>
        <w:t>de</w:t>
      </w:r>
      <w:r>
        <w:rPr>
          <w:b/>
          <w:spacing w:val="14"/>
          <w:sz w:val="12"/>
        </w:rPr>
        <w:t> </w:t>
      </w:r>
      <w:r>
        <w:rPr>
          <w:b/>
          <w:spacing w:val="-4"/>
          <w:sz w:val="12"/>
        </w:rPr>
        <w:t>Opacidad:</w:t>
      </w:r>
    </w:p>
    <w:p>
      <w:pPr>
        <w:spacing w:before="1"/>
        <w:ind w:left="5007" w:right="4784" w:firstLine="0"/>
        <w:jc w:val="left"/>
        <w:rPr>
          <w:sz w:val="12"/>
        </w:rPr>
      </w:pPr>
      <w:r>
        <w:rPr>
          <w:b/>
          <w:sz w:val="12"/>
        </w:rPr>
        <w:t>C</w:t>
      </w:r>
      <w:r>
        <w:rPr>
          <w:sz w:val="12"/>
        </w:rPr>
        <w:t>orrupción, deficiencias del sistema judicial, aplicación de políticas económicas, estándares de contabilidad y gobierno corporativo y calidad regulatoria.</w:t>
      </w:r>
    </w:p>
    <w:p>
      <w:pPr>
        <w:pStyle w:val="ListParagraph"/>
        <w:numPr>
          <w:ilvl w:val="0"/>
          <w:numId w:val="32"/>
        </w:numPr>
        <w:tabs>
          <w:tab w:pos="5185" w:val="left" w:leader="none"/>
        </w:tabs>
        <w:spacing w:line="240" w:lineRule="auto" w:before="0" w:after="0"/>
        <w:ind w:left="5184" w:right="0" w:hanging="177"/>
        <w:jc w:val="left"/>
        <w:rPr>
          <w:b/>
          <w:sz w:val="12"/>
        </w:rPr>
      </w:pPr>
      <w:r>
        <w:rPr>
          <w:b/>
          <w:spacing w:val="4"/>
          <w:sz w:val="12"/>
        </w:rPr>
        <w:t>Índice </w:t>
      </w:r>
      <w:r>
        <w:rPr>
          <w:b/>
          <w:sz w:val="12"/>
        </w:rPr>
        <w:t>Internacional </w:t>
      </w:r>
      <w:r>
        <w:rPr>
          <w:b/>
          <w:spacing w:val="3"/>
          <w:sz w:val="12"/>
        </w:rPr>
        <w:t>de </w:t>
      </w:r>
      <w:r>
        <w:rPr>
          <w:b/>
          <w:spacing w:val="-3"/>
          <w:sz w:val="12"/>
        </w:rPr>
        <w:t>Percepción </w:t>
      </w:r>
      <w:r>
        <w:rPr>
          <w:b/>
          <w:spacing w:val="3"/>
          <w:sz w:val="12"/>
        </w:rPr>
        <w:t>de </w:t>
      </w:r>
      <w:r>
        <w:rPr>
          <w:b/>
          <w:spacing w:val="-4"/>
          <w:sz w:val="12"/>
        </w:rPr>
        <w:t>la</w:t>
      </w:r>
      <w:r>
        <w:rPr>
          <w:b/>
          <w:spacing w:val="-22"/>
          <w:sz w:val="12"/>
        </w:rPr>
        <w:t> </w:t>
      </w:r>
      <w:r>
        <w:rPr>
          <w:b/>
          <w:sz w:val="12"/>
        </w:rPr>
        <w:t>Corrupción</w:t>
      </w:r>
    </w:p>
    <w:p>
      <w:pPr>
        <w:pStyle w:val="BodyText"/>
        <w:spacing w:before="4"/>
        <w:rPr>
          <w:b/>
          <w:sz w:val="9"/>
        </w:rPr>
      </w:pPr>
      <w:r>
        <w:rPr/>
        <w:pict>
          <v:shape style="position:absolute;margin-left:310.588593pt;margin-top:6.59091pt;width:173.3pt;height:102pt;mso-position-horizontal-relative:page;mso-position-vertical-relative:paragraph;z-index:2968;mso-wrap-distance-left:0;mso-wrap-distance-right:0" type="#_x0000_t202" filled="true" fillcolor="#ffffff" stroked="false">
            <v:textbox inset="0,0,0,0">
              <w:txbxContent>
                <w:p>
                  <w:pPr>
                    <w:spacing w:before="60"/>
                    <w:ind w:left="129" w:right="0" w:firstLine="0"/>
                    <w:jc w:val="left"/>
                    <w:rPr>
                      <w:b/>
                      <w:sz w:val="12"/>
                    </w:rPr>
                  </w:pPr>
                  <w:r>
                    <w:rPr>
                      <w:b/>
                      <w:sz w:val="11"/>
                    </w:rPr>
                    <w:t>(</w:t>
                  </w:r>
                  <w:r>
                    <w:rPr>
                      <w:b/>
                      <w:sz w:val="12"/>
                    </w:rPr>
                    <w:t>6) Barómetro Global dela Corrupción</w:t>
                  </w:r>
                </w:p>
                <w:p>
                  <w:pPr>
                    <w:pStyle w:val="BodyText"/>
                    <w:spacing w:before="1"/>
                    <w:rPr>
                      <w:b/>
                      <w:sz w:val="12"/>
                    </w:rPr>
                  </w:pPr>
                </w:p>
                <w:p>
                  <w:pPr>
                    <w:spacing w:before="1"/>
                    <w:ind w:left="129" w:right="1597" w:firstLine="0"/>
                    <w:jc w:val="left"/>
                    <w:rPr>
                      <w:sz w:val="12"/>
                    </w:rPr>
                  </w:pPr>
                  <w:r>
                    <w:rPr>
                      <w:sz w:val="12"/>
                    </w:rPr>
                    <w:t>1.Partidos Políticos. 2.Parlamento/Congreso. 3.Política.</w:t>
                  </w:r>
                </w:p>
                <w:p>
                  <w:pPr>
                    <w:spacing w:before="0"/>
                    <w:ind w:left="129" w:right="1416" w:firstLine="0"/>
                    <w:jc w:val="left"/>
                    <w:rPr>
                      <w:sz w:val="12"/>
                    </w:rPr>
                  </w:pPr>
                  <w:r>
                    <w:rPr>
                      <w:sz w:val="12"/>
                    </w:rPr>
                    <w:t>4.Negocios/Sector privado. 5.Medios de comunicación. 6.Funcionarios/Servidores públicos. 7.Sistema Judicial.</w:t>
                  </w:r>
                </w:p>
                <w:p>
                  <w:pPr>
                    <w:pStyle w:val="ListParagraph"/>
                    <w:numPr>
                      <w:ilvl w:val="0"/>
                      <w:numId w:val="33"/>
                    </w:numPr>
                    <w:tabs>
                      <w:tab w:pos="239" w:val="left" w:leader="none"/>
                    </w:tabs>
                    <w:spacing w:line="240" w:lineRule="auto" w:before="0" w:after="0"/>
                    <w:ind w:left="238" w:right="0" w:hanging="109"/>
                    <w:jc w:val="left"/>
                    <w:rPr>
                      <w:sz w:val="12"/>
                    </w:rPr>
                  </w:pPr>
                  <w:r>
                    <w:rPr>
                      <w:sz w:val="12"/>
                    </w:rPr>
                    <w:t>Organizaciones </w:t>
                  </w:r>
                  <w:r>
                    <w:rPr>
                      <w:spacing w:val="3"/>
                      <w:sz w:val="12"/>
                    </w:rPr>
                    <w:t>No</w:t>
                  </w:r>
                  <w:r>
                    <w:rPr>
                      <w:spacing w:val="36"/>
                      <w:sz w:val="12"/>
                    </w:rPr>
                    <w:t> </w:t>
                  </w:r>
                  <w:r>
                    <w:rPr>
                      <w:spacing w:val="-3"/>
                      <w:sz w:val="12"/>
                    </w:rPr>
                    <w:t>Gubernamentales.</w:t>
                  </w:r>
                </w:p>
                <w:p>
                  <w:pPr>
                    <w:pStyle w:val="ListParagraph"/>
                    <w:numPr>
                      <w:ilvl w:val="0"/>
                      <w:numId w:val="33"/>
                    </w:numPr>
                    <w:tabs>
                      <w:tab w:pos="239" w:val="left" w:leader="none"/>
                    </w:tabs>
                    <w:spacing w:line="240" w:lineRule="auto" w:before="1" w:after="0"/>
                    <w:ind w:left="238" w:right="0" w:hanging="109"/>
                    <w:jc w:val="left"/>
                    <w:rPr>
                      <w:sz w:val="12"/>
                    </w:rPr>
                  </w:pPr>
                  <w:r>
                    <w:rPr>
                      <w:spacing w:val="-1"/>
                      <w:sz w:val="12"/>
                    </w:rPr>
                    <w:t>Organizaciones</w:t>
                  </w:r>
                  <w:r>
                    <w:rPr>
                      <w:spacing w:val="18"/>
                      <w:sz w:val="12"/>
                    </w:rPr>
                    <w:t> </w:t>
                  </w:r>
                  <w:r>
                    <w:rPr>
                      <w:sz w:val="12"/>
                    </w:rPr>
                    <w:t>Religiosas.</w:t>
                  </w:r>
                </w:p>
                <w:p>
                  <w:pPr>
                    <w:pStyle w:val="ListParagraph"/>
                    <w:numPr>
                      <w:ilvl w:val="0"/>
                      <w:numId w:val="33"/>
                    </w:numPr>
                    <w:tabs>
                      <w:tab w:pos="307" w:val="left" w:leader="none"/>
                    </w:tabs>
                    <w:spacing w:line="240" w:lineRule="auto" w:before="0" w:after="0"/>
                    <w:ind w:left="306" w:right="0" w:hanging="177"/>
                    <w:jc w:val="left"/>
                    <w:rPr>
                      <w:sz w:val="12"/>
                    </w:rPr>
                  </w:pPr>
                  <w:r>
                    <w:rPr>
                      <w:sz w:val="12"/>
                    </w:rPr>
                    <w:t>Ejército.</w:t>
                  </w:r>
                </w:p>
                <w:p>
                  <w:pPr>
                    <w:pStyle w:val="ListParagraph"/>
                    <w:numPr>
                      <w:ilvl w:val="0"/>
                      <w:numId w:val="33"/>
                    </w:numPr>
                    <w:tabs>
                      <w:tab w:pos="307" w:val="left" w:leader="none"/>
                    </w:tabs>
                    <w:spacing w:line="240" w:lineRule="auto" w:before="1" w:after="0"/>
                    <w:ind w:left="306" w:right="0" w:hanging="177"/>
                    <w:jc w:val="left"/>
                    <w:rPr>
                      <w:sz w:val="11"/>
                    </w:rPr>
                  </w:pPr>
                  <w:r>
                    <w:rPr>
                      <w:spacing w:val="2"/>
                      <w:sz w:val="12"/>
                    </w:rPr>
                    <w:t>Sistema</w:t>
                  </w:r>
                  <w:r>
                    <w:rPr>
                      <w:spacing w:val="-3"/>
                      <w:sz w:val="12"/>
                    </w:rPr>
                    <w:t> </w:t>
                  </w:r>
                  <w:r>
                    <w:rPr>
                      <w:sz w:val="12"/>
                    </w:rPr>
                    <w:t>Educativo</w:t>
                  </w:r>
                  <w:r>
                    <w:rPr>
                      <w:sz w:val="11"/>
                    </w:rPr>
                    <w:t>.</w:t>
                  </w:r>
                </w:p>
              </w:txbxContent>
            </v:textbox>
            <v:fill type="solid"/>
            <w10:wrap type="topAndBottom"/>
          </v:shape>
        </w:pict>
      </w:r>
      <w:r>
        <w:rPr/>
        <w:pict>
          <v:shape style="position:absolute;margin-left:496.821991pt;margin-top:11.447104pt;width:173.3pt;height:37.5pt;mso-position-horizontal-relative:page;mso-position-vertical-relative:paragraph;z-index:2992;mso-wrap-distance-left:0;mso-wrap-distance-right:0" type="#_x0000_t202" filled="false" stroked="false">
            <v:textbox inset="0,0,0,0">
              <w:txbxContent>
                <w:p>
                  <w:pPr>
                    <w:spacing w:before="92"/>
                    <w:ind w:left="966" w:right="0" w:firstLine="0"/>
                    <w:jc w:val="left"/>
                    <w:rPr>
                      <w:b/>
                      <w:sz w:val="12"/>
                    </w:rPr>
                  </w:pPr>
                  <w:r>
                    <w:rPr>
                      <w:b/>
                      <w:sz w:val="12"/>
                    </w:rPr>
                    <w:t>(13) Índice de Planeta Feliz</w:t>
                  </w:r>
                </w:p>
                <w:p>
                  <w:pPr>
                    <w:spacing w:before="1"/>
                    <w:ind w:left="133" w:right="1597" w:firstLine="0"/>
                    <w:jc w:val="left"/>
                    <w:rPr>
                      <w:sz w:val="12"/>
                    </w:rPr>
                  </w:pPr>
                  <w:r>
                    <w:rPr>
                      <w:w w:val="105"/>
                      <w:sz w:val="12"/>
                    </w:rPr>
                    <w:t>1.Esperanza de vida </w:t>
                  </w:r>
                  <w:r>
                    <w:rPr>
                      <w:sz w:val="12"/>
                    </w:rPr>
                    <w:t>2.Bienestar experimentado. </w:t>
                  </w:r>
                  <w:r>
                    <w:rPr>
                      <w:w w:val="105"/>
                      <w:sz w:val="12"/>
                    </w:rPr>
                    <w:t>3.Huella ecológica</w:t>
                  </w:r>
                </w:p>
              </w:txbxContent>
            </v:textbox>
            <w10:wrap type="topAndBottom"/>
          </v:shape>
        </w:pict>
      </w:r>
    </w:p>
    <w:p>
      <w:pPr>
        <w:pStyle w:val="BodyText"/>
        <w:spacing w:before="9"/>
        <w:rPr>
          <w:b/>
          <w:sz w:val="10"/>
        </w:rPr>
      </w:pPr>
    </w:p>
    <w:p>
      <w:pPr>
        <w:pStyle w:val="ListParagraph"/>
        <w:numPr>
          <w:ilvl w:val="0"/>
          <w:numId w:val="34"/>
        </w:numPr>
        <w:tabs>
          <w:tab w:pos="5227" w:val="left" w:leader="none"/>
        </w:tabs>
        <w:spacing w:line="240" w:lineRule="auto" w:before="0" w:after="0"/>
        <w:ind w:left="5226" w:right="0" w:hanging="178"/>
        <w:jc w:val="left"/>
        <w:rPr>
          <w:b/>
          <w:sz w:val="12"/>
        </w:rPr>
      </w:pPr>
      <w:r>
        <w:rPr/>
        <w:pict>
          <v:shape style="position:absolute;margin-left:497.50415pt;margin-top:-65.22274pt;width:172.6pt;height:208.15pt;mso-position-horizontal-relative:page;mso-position-vertical-relative:paragraph;z-index:3160" type="#_x0000_t202" filled="true" fillcolor="#ffffff" stroked="false">
            <v:textbox inset="0,0,0,0">
              <w:txbxContent>
                <w:p>
                  <w:pPr>
                    <w:spacing w:before="63"/>
                    <w:ind w:left="803" w:right="76" w:firstLine="0"/>
                    <w:jc w:val="left"/>
                    <w:rPr>
                      <w:b/>
                      <w:sz w:val="12"/>
                    </w:rPr>
                  </w:pPr>
                  <w:r>
                    <w:rPr>
                      <w:b/>
                      <w:w w:val="105"/>
                      <w:sz w:val="12"/>
                    </w:rPr>
                    <w:t>(14) Índice de Integridad Pública</w:t>
                  </w:r>
                </w:p>
                <w:p>
                  <w:pPr>
                    <w:spacing w:before="0"/>
                    <w:ind w:left="133" w:right="76" w:firstLine="0"/>
                    <w:jc w:val="left"/>
                    <w:rPr>
                      <w:sz w:val="12"/>
                    </w:rPr>
                  </w:pPr>
                  <w:r>
                    <w:rPr>
                      <w:b/>
                      <w:sz w:val="12"/>
                    </w:rPr>
                    <w:t>1. ONG, información pública y mediosde comunicación: </w:t>
                  </w:r>
                  <w:r>
                    <w:rPr>
                      <w:sz w:val="12"/>
                    </w:rPr>
                    <w:t>ONG-Anticorrupción Capacidad de los medios para informar sobre corrupción. Requerimentos de información gubernamental.</w:t>
                  </w:r>
                </w:p>
                <w:p>
                  <w:pPr>
                    <w:spacing w:before="0"/>
                    <w:ind w:left="133" w:right="76" w:firstLine="0"/>
                    <w:jc w:val="left"/>
                    <w:rPr>
                      <w:sz w:val="12"/>
                    </w:rPr>
                  </w:pPr>
                  <w:r>
                    <w:rPr>
                      <w:b/>
                      <w:sz w:val="12"/>
                    </w:rPr>
                    <w:t>Elecciones: </w:t>
                  </w:r>
                  <w:r>
                    <w:rPr>
                      <w:sz w:val="12"/>
                    </w:rPr>
                    <w:t>Votaciones y formación de partidos ,Integridad electoral y Transparencia del financiamiento político </w:t>
                  </w:r>
                  <w:r>
                    <w:rPr>
                      <w:b/>
                      <w:sz w:val="12"/>
                    </w:rPr>
                    <w:t>Prevención del conflicto de intereses del gobierno, controles y equilibrios </w:t>
                  </w:r>
                  <w:r>
                    <w:rPr>
                      <w:sz w:val="12"/>
                    </w:rPr>
                    <w:t>:Poder Ejecutivo, Poder Legislativo, Poder Judicial, Supervisión del proceso presupuestario y transparencia</w:t>
                  </w:r>
                </w:p>
                <w:p>
                  <w:pPr>
                    <w:spacing w:before="1"/>
                    <w:ind w:left="133" w:right="90" w:firstLine="0"/>
                    <w:jc w:val="left"/>
                    <w:rPr>
                      <w:sz w:val="12"/>
                    </w:rPr>
                  </w:pPr>
                  <w:r>
                    <w:rPr>
                      <w:b/>
                      <w:sz w:val="12"/>
                    </w:rPr>
                    <w:t>Administración Pública y profesionalismo</w:t>
                  </w:r>
                  <w:r>
                    <w:rPr>
                      <w:sz w:val="12"/>
                    </w:rPr>
                    <w:t>: Servicio civil (Prev enir el conflicto de intereses e independencia política), Protección a denunciantes de delitos, Procesos gubernamentales: transparencia, justicia y prevención del conf licto de intereses y Privatización de funciones públicas (transparencia, justicia y prevención del conflicto de intereses).</w:t>
                  </w:r>
                </w:p>
                <w:p>
                  <w:pPr>
                    <w:spacing w:line="232" w:lineRule="auto" w:before="4"/>
                    <w:ind w:left="133" w:right="0" w:firstLine="0"/>
                    <w:jc w:val="left"/>
                    <w:rPr>
                      <w:sz w:val="12"/>
                    </w:rPr>
                  </w:pPr>
                  <w:r>
                    <w:rPr>
                      <w:b/>
                      <w:sz w:val="12"/>
                    </w:rPr>
                    <w:t>Vigilanciay control gubernamental</w:t>
                  </w:r>
                  <w:r>
                    <w:rPr>
                      <w:sz w:val="12"/>
                    </w:rPr>
                    <w:t>: Defensor de la nación (Ombudsman national) Entidad de Fiscalización Superior Impuestos y Derechos ( equidad y capacidad Supervisión de paraestatales, Licencias empresariales  y  regulación).</w:t>
                  </w:r>
                </w:p>
                <w:p>
                  <w:pPr>
                    <w:spacing w:before="1"/>
                    <w:ind w:left="133" w:right="76" w:firstLine="0"/>
                    <w:jc w:val="left"/>
                    <w:rPr>
                      <w:b/>
                      <w:sz w:val="12"/>
                    </w:rPr>
                  </w:pPr>
                  <w:r>
                    <w:rPr>
                      <w:b/>
                      <w:sz w:val="12"/>
                    </w:rPr>
                    <w:t>Lucha legal contra la corrupción, impartición de justicia</w:t>
                  </w:r>
                </w:p>
                <w:p>
                  <w:pPr>
                    <w:spacing w:before="1"/>
                    <w:ind w:left="133" w:right="361" w:firstLine="0"/>
                    <w:jc w:val="left"/>
                    <w:rPr>
                      <w:sz w:val="12"/>
                    </w:rPr>
                  </w:pPr>
                  <w:r>
                    <w:rPr>
                      <w:b/>
                      <w:w w:val="105"/>
                      <w:sz w:val="12"/>
                    </w:rPr>
                    <w:t>y</w:t>
                  </w:r>
                  <w:r>
                    <w:rPr>
                      <w:b/>
                      <w:spacing w:val="-17"/>
                      <w:w w:val="105"/>
                      <w:sz w:val="12"/>
                    </w:rPr>
                    <w:t> </w:t>
                  </w:r>
                  <w:r>
                    <w:rPr>
                      <w:b/>
                      <w:w w:val="105"/>
                      <w:sz w:val="12"/>
                    </w:rPr>
                    <w:t>aplicación</w:t>
                  </w:r>
                  <w:r>
                    <w:rPr>
                      <w:b/>
                      <w:spacing w:val="-12"/>
                      <w:w w:val="105"/>
                      <w:sz w:val="12"/>
                    </w:rPr>
                    <w:t> </w:t>
                  </w:r>
                  <w:r>
                    <w:rPr>
                      <w:b/>
                      <w:spacing w:val="-3"/>
                      <w:w w:val="105"/>
                      <w:sz w:val="12"/>
                    </w:rPr>
                    <w:t>profesional</w:t>
                  </w:r>
                  <w:r>
                    <w:rPr>
                      <w:b/>
                      <w:spacing w:val="-12"/>
                      <w:w w:val="105"/>
                      <w:sz w:val="12"/>
                    </w:rPr>
                    <w:t> </w:t>
                  </w:r>
                  <w:r>
                    <w:rPr>
                      <w:b/>
                      <w:spacing w:val="-4"/>
                      <w:w w:val="105"/>
                      <w:sz w:val="12"/>
                    </w:rPr>
                    <w:t>de</w:t>
                  </w:r>
                  <w:r>
                    <w:rPr>
                      <w:b/>
                      <w:spacing w:val="-17"/>
                      <w:w w:val="105"/>
                      <w:sz w:val="12"/>
                    </w:rPr>
                    <w:t> </w:t>
                  </w:r>
                  <w:r>
                    <w:rPr>
                      <w:b/>
                      <w:spacing w:val="3"/>
                      <w:w w:val="105"/>
                      <w:sz w:val="12"/>
                    </w:rPr>
                    <w:t>la</w:t>
                  </w:r>
                  <w:r>
                    <w:rPr>
                      <w:b/>
                      <w:spacing w:val="-17"/>
                      <w:w w:val="105"/>
                      <w:sz w:val="12"/>
                    </w:rPr>
                    <w:t> </w:t>
                  </w:r>
                  <w:r>
                    <w:rPr>
                      <w:b/>
                      <w:spacing w:val="-3"/>
                      <w:w w:val="105"/>
                      <w:sz w:val="12"/>
                    </w:rPr>
                    <w:t>ley:</w:t>
                  </w:r>
                  <w:r>
                    <w:rPr>
                      <w:b/>
                      <w:spacing w:val="-14"/>
                      <w:w w:val="105"/>
                      <w:sz w:val="12"/>
                    </w:rPr>
                    <w:t> </w:t>
                  </w:r>
                  <w:r>
                    <w:rPr>
                      <w:w w:val="105"/>
                      <w:sz w:val="12"/>
                    </w:rPr>
                    <w:t>Ley</w:t>
                  </w:r>
                  <w:r>
                    <w:rPr>
                      <w:spacing w:val="-12"/>
                      <w:w w:val="105"/>
                      <w:sz w:val="12"/>
                    </w:rPr>
                    <w:t> </w:t>
                  </w:r>
                  <w:r>
                    <w:rPr>
                      <w:w w:val="105"/>
                      <w:sz w:val="12"/>
                    </w:rPr>
                    <w:t>anticorrupción Of icina anticorrupción o mecanismo equivalente Independencia</w:t>
                  </w:r>
                  <w:r>
                    <w:rPr>
                      <w:spacing w:val="-19"/>
                      <w:w w:val="105"/>
                      <w:sz w:val="12"/>
                    </w:rPr>
                    <w:t> </w:t>
                  </w:r>
                  <w:r>
                    <w:rPr>
                      <w:w w:val="105"/>
                      <w:sz w:val="12"/>
                    </w:rPr>
                    <w:t>judicial,</w:t>
                  </w:r>
                  <w:r>
                    <w:rPr>
                      <w:spacing w:val="-24"/>
                      <w:w w:val="105"/>
                      <w:sz w:val="12"/>
                    </w:rPr>
                    <w:t> </w:t>
                  </w:r>
                  <w:r>
                    <w:rPr>
                      <w:w w:val="105"/>
                      <w:sz w:val="12"/>
                    </w:rPr>
                    <w:t>justicia</w:t>
                  </w:r>
                  <w:r>
                    <w:rPr>
                      <w:spacing w:val="-19"/>
                      <w:w w:val="105"/>
                      <w:sz w:val="12"/>
                    </w:rPr>
                    <w:t> </w:t>
                  </w:r>
                  <w:r>
                    <w:rPr>
                      <w:w w:val="105"/>
                      <w:sz w:val="12"/>
                    </w:rPr>
                    <w:t>y</w:t>
                  </w:r>
                  <w:r>
                    <w:rPr>
                      <w:spacing w:val="-15"/>
                      <w:w w:val="105"/>
                      <w:sz w:val="12"/>
                    </w:rPr>
                    <w:t> </w:t>
                  </w:r>
                  <w:r>
                    <w:rPr>
                      <w:w w:val="105"/>
                      <w:sz w:val="12"/>
                    </w:rPr>
                    <w:t>acceso</w:t>
                  </w:r>
                  <w:r>
                    <w:rPr>
                      <w:spacing w:val="-19"/>
                      <w:w w:val="105"/>
                      <w:sz w:val="12"/>
                    </w:rPr>
                    <w:t> </w:t>
                  </w:r>
                  <w:r>
                    <w:rPr>
                      <w:spacing w:val="-3"/>
                      <w:w w:val="105"/>
                      <w:sz w:val="12"/>
                    </w:rPr>
                    <w:t>ciudadano</w:t>
                  </w:r>
                  <w:r>
                    <w:rPr>
                      <w:spacing w:val="-19"/>
                      <w:w w:val="105"/>
                      <w:sz w:val="12"/>
                    </w:rPr>
                    <w:t> </w:t>
                  </w:r>
                  <w:r>
                    <w:rPr>
                      <w:w w:val="105"/>
                      <w:sz w:val="12"/>
                    </w:rPr>
                    <w:t>a</w:t>
                  </w:r>
                  <w:r>
                    <w:rPr>
                      <w:spacing w:val="-19"/>
                      <w:w w:val="105"/>
                      <w:sz w:val="12"/>
                    </w:rPr>
                    <w:t> </w:t>
                  </w:r>
                  <w:r>
                    <w:rPr>
                      <w:w w:val="105"/>
                      <w:sz w:val="12"/>
                    </w:rPr>
                    <w:t>la </w:t>
                  </w:r>
                  <w:r>
                    <w:rPr>
                      <w:spacing w:val="2"/>
                      <w:w w:val="105"/>
                      <w:sz w:val="12"/>
                    </w:rPr>
                    <w:t>justicia</w:t>
                  </w:r>
                  <w:r>
                    <w:rPr>
                      <w:spacing w:val="-21"/>
                      <w:w w:val="105"/>
                      <w:sz w:val="12"/>
                    </w:rPr>
                    <w:t> </w:t>
                  </w:r>
                  <w:r>
                    <w:rPr>
                      <w:w w:val="105"/>
                      <w:sz w:val="12"/>
                    </w:rPr>
                    <w:t>Aplicación</w:t>
                  </w:r>
                  <w:r>
                    <w:rPr>
                      <w:spacing w:val="-29"/>
                      <w:w w:val="105"/>
                      <w:sz w:val="12"/>
                    </w:rPr>
                    <w:t> </w:t>
                  </w:r>
                  <w:r>
                    <w:rPr>
                      <w:w w:val="105"/>
                      <w:sz w:val="12"/>
                    </w:rPr>
                    <w:t>de</w:t>
                  </w:r>
                  <w:r>
                    <w:rPr>
                      <w:spacing w:val="-22"/>
                      <w:w w:val="105"/>
                      <w:sz w:val="12"/>
                    </w:rPr>
                    <w:t> </w:t>
                  </w:r>
                  <w:r>
                    <w:rPr>
                      <w:w w:val="105"/>
                      <w:sz w:val="12"/>
                    </w:rPr>
                    <w:t>la</w:t>
                  </w:r>
                  <w:r>
                    <w:rPr>
                      <w:spacing w:val="-22"/>
                      <w:w w:val="105"/>
                      <w:sz w:val="12"/>
                    </w:rPr>
                    <w:t> </w:t>
                  </w:r>
                  <w:r>
                    <w:rPr>
                      <w:w w:val="105"/>
                      <w:sz w:val="12"/>
                    </w:rPr>
                    <w:t>ley</w:t>
                  </w:r>
                  <w:r>
                    <w:rPr>
                      <w:spacing w:val="-18"/>
                      <w:w w:val="105"/>
                      <w:sz w:val="12"/>
                    </w:rPr>
                    <w:t> </w:t>
                  </w:r>
                  <w:r>
                    <w:rPr>
                      <w:w w:val="105"/>
                      <w:sz w:val="12"/>
                    </w:rPr>
                    <w:t>(prevención</w:t>
                  </w:r>
                  <w:r>
                    <w:rPr>
                      <w:spacing w:val="-22"/>
                      <w:w w:val="105"/>
                      <w:sz w:val="12"/>
                    </w:rPr>
                    <w:t> </w:t>
                  </w:r>
                  <w:r>
                    <w:rPr>
                      <w:w w:val="105"/>
                      <w:sz w:val="12"/>
                    </w:rPr>
                    <w:t>de</w:t>
                  </w:r>
                  <w:r>
                    <w:rPr>
                      <w:spacing w:val="-22"/>
                      <w:w w:val="105"/>
                      <w:sz w:val="12"/>
                    </w:rPr>
                    <w:t> </w:t>
                  </w:r>
                  <w:r>
                    <w:rPr>
                      <w:w w:val="105"/>
                      <w:sz w:val="12"/>
                    </w:rPr>
                    <w:t>conflictos</w:t>
                  </w:r>
                  <w:r>
                    <w:rPr>
                      <w:spacing w:val="-25"/>
                      <w:w w:val="105"/>
                      <w:sz w:val="12"/>
                    </w:rPr>
                    <w:t> </w:t>
                  </w:r>
                  <w:r>
                    <w:rPr>
                      <w:w w:val="105"/>
                      <w:sz w:val="12"/>
                    </w:rPr>
                    <w:t>de intereses y</w:t>
                  </w:r>
                  <w:r>
                    <w:rPr>
                      <w:spacing w:val="-13"/>
                      <w:w w:val="105"/>
                      <w:sz w:val="12"/>
                    </w:rPr>
                    <w:t> </w:t>
                  </w:r>
                  <w:r>
                    <w:rPr>
                      <w:spacing w:val="-3"/>
                      <w:w w:val="105"/>
                      <w:sz w:val="12"/>
                    </w:rPr>
                    <w:t>profesionalismo).</w:t>
                  </w:r>
                </w:p>
              </w:txbxContent>
            </v:textbox>
            <v:fill type="solid"/>
            <w10:wrap type="none"/>
          </v:shape>
        </w:pict>
      </w:r>
      <w:r>
        <w:rPr>
          <w:b/>
          <w:spacing w:val="2"/>
          <w:w w:val="105"/>
          <w:sz w:val="12"/>
        </w:rPr>
        <w:t>Indicador</w:t>
      </w:r>
      <w:r>
        <w:rPr>
          <w:b/>
          <w:spacing w:val="-25"/>
          <w:w w:val="105"/>
          <w:sz w:val="12"/>
        </w:rPr>
        <w:t> </w:t>
      </w:r>
      <w:r>
        <w:rPr>
          <w:b/>
          <w:spacing w:val="3"/>
          <w:w w:val="105"/>
          <w:sz w:val="12"/>
        </w:rPr>
        <w:t>de</w:t>
      </w:r>
      <w:r>
        <w:rPr>
          <w:b/>
          <w:spacing w:val="-21"/>
          <w:w w:val="105"/>
          <w:sz w:val="12"/>
        </w:rPr>
        <w:t> </w:t>
      </w:r>
      <w:r>
        <w:rPr>
          <w:b/>
          <w:spacing w:val="-4"/>
          <w:w w:val="105"/>
          <w:sz w:val="12"/>
        </w:rPr>
        <w:t>Transparencia</w:t>
      </w:r>
      <w:r>
        <w:rPr>
          <w:b/>
          <w:spacing w:val="-21"/>
          <w:w w:val="105"/>
          <w:sz w:val="12"/>
        </w:rPr>
        <w:t> </w:t>
      </w:r>
      <w:r>
        <w:rPr>
          <w:b/>
          <w:spacing w:val="-3"/>
          <w:w w:val="105"/>
          <w:sz w:val="12"/>
        </w:rPr>
        <w:t>Presupuestaria</w:t>
      </w:r>
    </w:p>
    <w:p>
      <w:pPr>
        <w:pStyle w:val="ListParagraph"/>
        <w:numPr>
          <w:ilvl w:val="0"/>
          <w:numId w:val="34"/>
        </w:numPr>
        <w:tabs>
          <w:tab w:pos="5226" w:val="left" w:leader="none"/>
        </w:tabs>
        <w:spacing w:line="240" w:lineRule="auto" w:before="0" w:after="0"/>
        <w:ind w:left="5225" w:right="0" w:hanging="177"/>
        <w:jc w:val="left"/>
        <w:rPr>
          <w:b/>
          <w:sz w:val="12"/>
        </w:rPr>
      </w:pPr>
      <w:r>
        <w:rPr>
          <w:b/>
          <w:spacing w:val="4"/>
          <w:sz w:val="12"/>
        </w:rPr>
        <w:t>Índice </w:t>
      </w:r>
      <w:r>
        <w:rPr>
          <w:b/>
          <w:spacing w:val="3"/>
          <w:sz w:val="12"/>
        </w:rPr>
        <w:t>de </w:t>
      </w:r>
      <w:r>
        <w:rPr>
          <w:b/>
          <w:spacing w:val="-3"/>
          <w:sz w:val="12"/>
        </w:rPr>
        <w:t>Presupuesto</w:t>
      </w:r>
      <w:r>
        <w:rPr>
          <w:b/>
          <w:spacing w:val="4"/>
          <w:sz w:val="12"/>
        </w:rPr>
        <w:t> </w:t>
      </w:r>
      <w:r>
        <w:rPr>
          <w:b/>
          <w:sz w:val="12"/>
        </w:rPr>
        <w:t>Abierto</w:t>
      </w:r>
    </w:p>
    <w:p>
      <w:pPr>
        <w:pStyle w:val="ListParagraph"/>
        <w:numPr>
          <w:ilvl w:val="0"/>
          <w:numId w:val="34"/>
        </w:numPr>
        <w:tabs>
          <w:tab w:pos="5227" w:val="left" w:leader="none"/>
        </w:tabs>
        <w:spacing w:line="240" w:lineRule="auto" w:before="1" w:after="0"/>
        <w:ind w:left="5226" w:right="0" w:hanging="178"/>
        <w:jc w:val="left"/>
        <w:rPr>
          <w:b/>
          <w:sz w:val="12"/>
        </w:rPr>
      </w:pPr>
      <w:r>
        <w:rPr>
          <w:b/>
          <w:spacing w:val="4"/>
          <w:sz w:val="12"/>
        </w:rPr>
        <w:t>Índice </w:t>
      </w:r>
      <w:r>
        <w:rPr>
          <w:b/>
          <w:spacing w:val="3"/>
          <w:sz w:val="12"/>
        </w:rPr>
        <w:t>de </w:t>
      </w:r>
      <w:r>
        <w:rPr>
          <w:b/>
          <w:spacing w:val="-3"/>
          <w:sz w:val="12"/>
        </w:rPr>
        <w:t>Calidad</w:t>
      </w:r>
      <w:r>
        <w:rPr>
          <w:b/>
          <w:spacing w:val="-13"/>
          <w:sz w:val="12"/>
        </w:rPr>
        <w:t> </w:t>
      </w:r>
      <w:r>
        <w:rPr>
          <w:b/>
          <w:sz w:val="12"/>
        </w:rPr>
        <w:t>Institucional</w:t>
      </w:r>
    </w:p>
    <w:p>
      <w:pPr>
        <w:pStyle w:val="BodyText"/>
        <w:spacing w:before="9"/>
        <w:rPr>
          <w:b/>
          <w:sz w:val="16"/>
        </w:rPr>
      </w:pPr>
    </w:p>
    <w:p>
      <w:pPr>
        <w:pStyle w:val="ListParagraph"/>
        <w:numPr>
          <w:ilvl w:val="0"/>
          <w:numId w:val="34"/>
        </w:numPr>
        <w:tabs>
          <w:tab w:pos="5295" w:val="left" w:leader="none"/>
        </w:tabs>
        <w:spacing w:line="240" w:lineRule="auto" w:before="0" w:after="0"/>
        <w:ind w:left="5294" w:right="752" w:hanging="246"/>
        <w:jc w:val="center"/>
        <w:rPr>
          <w:b/>
          <w:sz w:val="12"/>
        </w:rPr>
      </w:pPr>
      <w:r>
        <w:rPr>
          <w:b/>
          <w:spacing w:val="2"/>
          <w:sz w:val="12"/>
        </w:rPr>
        <w:t>Índice de</w:t>
      </w:r>
      <w:r>
        <w:rPr>
          <w:b/>
          <w:spacing w:val="-26"/>
          <w:sz w:val="12"/>
        </w:rPr>
        <w:t> </w:t>
      </w:r>
      <w:r>
        <w:rPr>
          <w:b/>
          <w:sz w:val="12"/>
        </w:rPr>
        <w:t>Competitividad Internacional</w:t>
      </w:r>
    </w:p>
    <w:p>
      <w:pPr>
        <w:pStyle w:val="BodyText"/>
        <w:spacing w:before="4"/>
        <w:rPr>
          <w:b/>
          <w:sz w:val="13"/>
        </w:rPr>
      </w:pPr>
    </w:p>
    <w:p>
      <w:pPr>
        <w:spacing w:line="259" w:lineRule="auto" w:before="0"/>
        <w:ind w:left="5048" w:right="5964" w:firstLine="0"/>
        <w:jc w:val="left"/>
        <w:rPr>
          <w:sz w:val="12"/>
        </w:rPr>
      </w:pPr>
      <w:r>
        <w:rPr>
          <w:spacing w:val="2"/>
          <w:w w:val="105"/>
          <w:sz w:val="12"/>
        </w:rPr>
        <w:t>1.Sistema</w:t>
      </w:r>
      <w:r>
        <w:rPr>
          <w:spacing w:val="-25"/>
          <w:w w:val="105"/>
          <w:sz w:val="12"/>
        </w:rPr>
        <w:t> </w:t>
      </w:r>
      <w:r>
        <w:rPr>
          <w:w w:val="105"/>
          <w:sz w:val="12"/>
        </w:rPr>
        <w:t>de</w:t>
      </w:r>
      <w:r>
        <w:rPr>
          <w:spacing w:val="-25"/>
          <w:w w:val="105"/>
          <w:sz w:val="12"/>
        </w:rPr>
        <w:t> </w:t>
      </w:r>
      <w:r>
        <w:rPr>
          <w:w w:val="105"/>
          <w:sz w:val="12"/>
        </w:rPr>
        <w:t>derecho</w:t>
      </w:r>
      <w:r>
        <w:rPr>
          <w:spacing w:val="-25"/>
          <w:w w:val="105"/>
          <w:sz w:val="12"/>
        </w:rPr>
        <w:t> </w:t>
      </w:r>
      <w:r>
        <w:rPr>
          <w:w w:val="105"/>
          <w:sz w:val="12"/>
        </w:rPr>
        <w:t>confiable</w:t>
      </w:r>
      <w:r>
        <w:rPr>
          <w:spacing w:val="-25"/>
          <w:w w:val="105"/>
          <w:sz w:val="12"/>
        </w:rPr>
        <w:t> </w:t>
      </w:r>
      <w:r>
        <w:rPr>
          <w:w w:val="105"/>
          <w:sz w:val="12"/>
        </w:rPr>
        <w:t>y</w:t>
      </w:r>
      <w:r>
        <w:rPr>
          <w:spacing w:val="-22"/>
          <w:w w:val="105"/>
          <w:sz w:val="12"/>
        </w:rPr>
        <w:t> </w:t>
      </w:r>
      <w:r>
        <w:rPr>
          <w:w w:val="105"/>
          <w:sz w:val="12"/>
        </w:rPr>
        <w:t>objetivo. 2.Manejo</w:t>
      </w:r>
      <w:r>
        <w:rPr>
          <w:spacing w:val="-25"/>
          <w:w w:val="105"/>
          <w:sz w:val="12"/>
        </w:rPr>
        <w:t> </w:t>
      </w:r>
      <w:r>
        <w:rPr>
          <w:w w:val="105"/>
          <w:sz w:val="12"/>
        </w:rPr>
        <w:t>sustentable</w:t>
      </w:r>
      <w:r>
        <w:rPr>
          <w:spacing w:val="-25"/>
          <w:w w:val="105"/>
          <w:sz w:val="12"/>
        </w:rPr>
        <w:t> </w:t>
      </w:r>
      <w:r>
        <w:rPr>
          <w:w w:val="105"/>
          <w:sz w:val="12"/>
        </w:rPr>
        <w:t>del</w:t>
      </w:r>
      <w:r>
        <w:rPr>
          <w:spacing w:val="-25"/>
          <w:w w:val="105"/>
          <w:sz w:val="12"/>
        </w:rPr>
        <w:t> </w:t>
      </w:r>
      <w:r>
        <w:rPr>
          <w:w w:val="105"/>
          <w:sz w:val="12"/>
        </w:rPr>
        <w:t>medio</w:t>
      </w:r>
      <w:r>
        <w:rPr>
          <w:spacing w:val="-25"/>
          <w:w w:val="105"/>
          <w:sz w:val="12"/>
        </w:rPr>
        <w:t> </w:t>
      </w:r>
      <w:r>
        <w:rPr>
          <w:w w:val="105"/>
          <w:sz w:val="12"/>
        </w:rPr>
        <w:t>ambiente. </w:t>
      </w:r>
      <w:r>
        <w:rPr>
          <w:spacing w:val="2"/>
          <w:w w:val="105"/>
          <w:sz w:val="12"/>
        </w:rPr>
        <w:t>3.Sistema</w:t>
      </w:r>
      <w:r>
        <w:rPr>
          <w:spacing w:val="-25"/>
          <w:w w:val="105"/>
          <w:sz w:val="12"/>
        </w:rPr>
        <w:t> </w:t>
      </w:r>
      <w:r>
        <w:rPr>
          <w:w w:val="105"/>
          <w:sz w:val="12"/>
        </w:rPr>
        <w:t>de</w:t>
      </w:r>
      <w:r>
        <w:rPr>
          <w:spacing w:val="-25"/>
          <w:w w:val="105"/>
          <w:sz w:val="12"/>
        </w:rPr>
        <w:t> </w:t>
      </w:r>
      <w:r>
        <w:rPr>
          <w:w w:val="105"/>
          <w:sz w:val="12"/>
        </w:rPr>
        <w:t>derecho</w:t>
      </w:r>
      <w:r>
        <w:rPr>
          <w:spacing w:val="-25"/>
          <w:w w:val="105"/>
          <w:sz w:val="12"/>
        </w:rPr>
        <w:t> </w:t>
      </w:r>
      <w:r>
        <w:rPr>
          <w:w w:val="105"/>
          <w:sz w:val="12"/>
        </w:rPr>
        <w:t>confiable</w:t>
      </w:r>
      <w:r>
        <w:rPr>
          <w:spacing w:val="-25"/>
          <w:w w:val="105"/>
          <w:sz w:val="12"/>
        </w:rPr>
        <w:t> </w:t>
      </w:r>
      <w:r>
        <w:rPr>
          <w:w w:val="105"/>
          <w:sz w:val="12"/>
        </w:rPr>
        <w:t>y</w:t>
      </w:r>
      <w:r>
        <w:rPr>
          <w:spacing w:val="-22"/>
          <w:w w:val="105"/>
          <w:sz w:val="12"/>
        </w:rPr>
        <w:t> </w:t>
      </w:r>
      <w:r>
        <w:rPr>
          <w:w w:val="105"/>
          <w:sz w:val="12"/>
        </w:rPr>
        <w:t>objetivo. 4.Sociedad</w:t>
      </w:r>
      <w:r>
        <w:rPr>
          <w:spacing w:val="-20"/>
          <w:w w:val="105"/>
          <w:sz w:val="12"/>
        </w:rPr>
        <w:t> </w:t>
      </w:r>
      <w:r>
        <w:rPr>
          <w:w w:val="105"/>
          <w:sz w:val="12"/>
        </w:rPr>
        <w:t>incluyente,</w:t>
      </w:r>
      <w:r>
        <w:rPr>
          <w:spacing w:val="-15"/>
          <w:w w:val="105"/>
          <w:sz w:val="12"/>
        </w:rPr>
        <w:t> </w:t>
      </w:r>
      <w:r>
        <w:rPr>
          <w:w w:val="105"/>
          <w:sz w:val="12"/>
        </w:rPr>
        <w:t>preparada</w:t>
      </w:r>
      <w:r>
        <w:rPr>
          <w:spacing w:val="-20"/>
          <w:w w:val="105"/>
          <w:sz w:val="12"/>
        </w:rPr>
        <w:t> </w:t>
      </w:r>
      <w:r>
        <w:rPr>
          <w:w w:val="105"/>
          <w:sz w:val="12"/>
        </w:rPr>
        <w:t>y</w:t>
      </w:r>
      <w:r>
        <w:rPr>
          <w:spacing w:val="-23"/>
          <w:w w:val="105"/>
          <w:sz w:val="12"/>
        </w:rPr>
        <w:t> </w:t>
      </w:r>
      <w:r>
        <w:rPr>
          <w:w w:val="105"/>
          <w:sz w:val="12"/>
        </w:rPr>
        <w:t>sana. </w:t>
      </w:r>
      <w:r>
        <w:rPr>
          <w:sz w:val="12"/>
        </w:rPr>
        <w:t>5.Macroeconomía </w:t>
      </w:r>
      <w:r>
        <w:rPr>
          <w:spacing w:val="8"/>
          <w:sz w:val="12"/>
        </w:rPr>
        <w:t> </w:t>
      </w:r>
      <w:r>
        <w:rPr>
          <w:spacing w:val="-3"/>
          <w:sz w:val="12"/>
        </w:rPr>
        <w:t>estable.</w:t>
      </w:r>
    </w:p>
    <w:p>
      <w:pPr>
        <w:pStyle w:val="ListParagraph"/>
        <w:numPr>
          <w:ilvl w:val="0"/>
          <w:numId w:val="35"/>
        </w:numPr>
        <w:tabs>
          <w:tab w:pos="5158" w:val="left" w:leader="none"/>
        </w:tabs>
        <w:spacing w:line="240" w:lineRule="auto" w:before="4" w:after="0"/>
        <w:ind w:left="5048" w:right="1175" w:firstLine="0"/>
        <w:jc w:val="center"/>
        <w:rPr>
          <w:sz w:val="12"/>
        </w:rPr>
      </w:pPr>
      <w:r>
        <w:rPr>
          <w:spacing w:val="2"/>
          <w:sz w:val="12"/>
        </w:rPr>
        <w:t>Sistema </w:t>
      </w:r>
      <w:r>
        <w:rPr>
          <w:sz w:val="12"/>
        </w:rPr>
        <w:t>político </w:t>
      </w:r>
      <w:r>
        <w:rPr>
          <w:spacing w:val="-3"/>
          <w:sz w:val="12"/>
        </w:rPr>
        <w:t>estable </w:t>
      </w:r>
      <w:r>
        <w:rPr>
          <w:sz w:val="12"/>
        </w:rPr>
        <w:t>y</w:t>
      </w:r>
      <w:r>
        <w:rPr>
          <w:spacing w:val="8"/>
          <w:sz w:val="12"/>
        </w:rPr>
        <w:t> </w:t>
      </w:r>
      <w:r>
        <w:rPr>
          <w:sz w:val="12"/>
        </w:rPr>
        <w:t>funcional.</w:t>
      </w:r>
    </w:p>
    <w:p>
      <w:pPr>
        <w:pStyle w:val="ListParagraph"/>
        <w:numPr>
          <w:ilvl w:val="0"/>
          <w:numId w:val="35"/>
        </w:numPr>
        <w:tabs>
          <w:tab w:pos="5158" w:val="left" w:leader="none"/>
        </w:tabs>
        <w:spacing w:line="254" w:lineRule="auto" w:before="15" w:after="0"/>
        <w:ind w:left="5048" w:right="6019" w:firstLine="0"/>
        <w:jc w:val="left"/>
        <w:rPr>
          <w:sz w:val="12"/>
        </w:rPr>
      </w:pPr>
      <w:r>
        <w:rPr>
          <w:w w:val="105"/>
          <w:sz w:val="12"/>
        </w:rPr>
        <w:t>Mercados de f </w:t>
      </w:r>
      <w:r>
        <w:rPr>
          <w:spacing w:val="-3"/>
          <w:w w:val="105"/>
          <w:sz w:val="12"/>
        </w:rPr>
        <w:t>actores </w:t>
      </w:r>
      <w:r>
        <w:rPr>
          <w:w w:val="105"/>
          <w:sz w:val="12"/>
        </w:rPr>
        <w:t>eficientes. 8.Sectores</w:t>
      </w:r>
      <w:r>
        <w:rPr>
          <w:spacing w:val="-20"/>
          <w:w w:val="105"/>
          <w:sz w:val="12"/>
        </w:rPr>
        <w:t> </w:t>
      </w:r>
      <w:r>
        <w:rPr>
          <w:w w:val="105"/>
          <w:sz w:val="12"/>
        </w:rPr>
        <w:t>precursores</w:t>
      </w:r>
      <w:r>
        <w:rPr>
          <w:spacing w:val="-26"/>
          <w:w w:val="105"/>
          <w:sz w:val="12"/>
        </w:rPr>
        <w:t> </w:t>
      </w:r>
      <w:r>
        <w:rPr>
          <w:w w:val="105"/>
          <w:sz w:val="12"/>
        </w:rPr>
        <w:t>de</w:t>
      </w:r>
      <w:r>
        <w:rPr>
          <w:spacing w:val="-23"/>
          <w:w w:val="105"/>
          <w:sz w:val="12"/>
        </w:rPr>
        <w:t> </w:t>
      </w:r>
      <w:r>
        <w:rPr>
          <w:w w:val="105"/>
          <w:sz w:val="12"/>
        </w:rPr>
        <w:t>clase</w:t>
      </w:r>
      <w:r>
        <w:rPr>
          <w:spacing w:val="-23"/>
          <w:w w:val="105"/>
          <w:sz w:val="12"/>
        </w:rPr>
        <w:t> </w:t>
      </w:r>
      <w:r>
        <w:rPr>
          <w:w w:val="105"/>
          <w:sz w:val="12"/>
        </w:rPr>
        <w:t>mundial. </w:t>
      </w:r>
      <w:r>
        <w:rPr>
          <w:sz w:val="12"/>
        </w:rPr>
        <w:t>9.Gobiernos eficientes y</w:t>
      </w:r>
      <w:r>
        <w:rPr>
          <w:spacing w:val="17"/>
          <w:sz w:val="12"/>
        </w:rPr>
        <w:t> </w:t>
      </w:r>
      <w:r>
        <w:rPr>
          <w:sz w:val="12"/>
        </w:rPr>
        <w:t>eficaces.</w:t>
      </w:r>
    </w:p>
    <w:p>
      <w:pPr>
        <w:pStyle w:val="ListParagraph"/>
        <w:numPr>
          <w:ilvl w:val="0"/>
          <w:numId w:val="36"/>
        </w:numPr>
        <w:tabs>
          <w:tab w:pos="5226" w:val="left" w:leader="none"/>
        </w:tabs>
        <w:spacing w:line="240" w:lineRule="auto" w:before="6" w:after="0"/>
        <w:ind w:left="5225" w:right="275" w:hanging="177"/>
        <w:jc w:val="center"/>
        <w:rPr>
          <w:sz w:val="12"/>
        </w:rPr>
      </w:pPr>
      <w:r>
        <w:rPr>
          <w:sz w:val="12"/>
        </w:rPr>
        <w:t>Aprov</w:t>
      </w:r>
      <w:r>
        <w:rPr>
          <w:spacing w:val="-11"/>
          <w:sz w:val="12"/>
        </w:rPr>
        <w:t> </w:t>
      </w:r>
      <w:r>
        <w:rPr>
          <w:sz w:val="12"/>
        </w:rPr>
        <w:t>echamiento</w:t>
      </w:r>
      <w:r>
        <w:rPr>
          <w:spacing w:val="-18"/>
          <w:sz w:val="12"/>
        </w:rPr>
        <w:t> </w:t>
      </w:r>
      <w:r>
        <w:rPr>
          <w:sz w:val="12"/>
        </w:rPr>
        <w:t>de</w:t>
      </w:r>
      <w:r>
        <w:rPr>
          <w:spacing w:val="-2"/>
          <w:sz w:val="12"/>
        </w:rPr>
        <w:t> </w:t>
      </w:r>
      <w:r>
        <w:rPr>
          <w:sz w:val="12"/>
        </w:rPr>
        <w:t>las</w:t>
      </w:r>
      <w:r>
        <w:rPr>
          <w:spacing w:val="6"/>
          <w:sz w:val="12"/>
        </w:rPr>
        <w:t> </w:t>
      </w:r>
      <w:r>
        <w:rPr>
          <w:sz w:val="12"/>
        </w:rPr>
        <w:t>relaciones</w:t>
      </w:r>
      <w:r>
        <w:rPr>
          <w:spacing w:val="-11"/>
          <w:sz w:val="12"/>
        </w:rPr>
        <w:t> </w:t>
      </w:r>
      <w:r>
        <w:rPr>
          <w:sz w:val="12"/>
        </w:rPr>
        <w:t>internacionales.</w:t>
      </w:r>
    </w:p>
    <w:p>
      <w:pPr>
        <w:pStyle w:val="ListParagraph"/>
        <w:numPr>
          <w:ilvl w:val="0"/>
          <w:numId w:val="36"/>
        </w:numPr>
        <w:tabs>
          <w:tab w:pos="5226" w:val="left" w:leader="none"/>
        </w:tabs>
        <w:spacing w:line="240" w:lineRule="auto" w:before="15" w:after="0"/>
        <w:ind w:left="5225" w:right="466" w:hanging="177"/>
        <w:jc w:val="center"/>
        <w:rPr>
          <w:sz w:val="12"/>
        </w:rPr>
      </w:pPr>
      <w:r>
        <w:rPr>
          <w:w w:val="105"/>
          <w:sz w:val="12"/>
        </w:rPr>
        <w:t>Sectores</w:t>
      </w:r>
      <w:r>
        <w:rPr>
          <w:spacing w:val="-18"/>
          <w:w w:val="105"/>
          <w:sz w:val="12"/>
        </w:rPr>
        <w:t> </w:t>
      </w:r>
      <w:r>
        <w:rPr>
          <w:spacing w:val="-3"/>
          <w:w w:val="105"/>
          <w:sz w:val="12"/>
        </w:rPr>
        <w:t>económicos</w:t>
      </w:r>
      <w:r>
        <w:rPr>
          <w:spacing w:val="-18"/>
          <w:w w:val="105"/>
          <w:sz w:val="12"/>
        </w:rPr>
        <w:t> </w:t>
      </w:r>
      <w:r>
        <w:rPr>
          <w:w w:val="105"/>
          <w:sz w:val="12"/>
        </w:rPr>
        <w:t>en</w:t>
      </w:r>
      <w:r>
        <w:rPr>
          <w:spacing w:val="-21"/>
          <w:w w:val="105"/>
          <w:sz w:val="12"/>
        </w:rPr>
        <w:t> </w:t>
      </w:r>
      <w:r>
        <w:rPr>
          <w:spacing w:val="-3"/>
          <w:w w:val="105"/>
          <w:sz w:val="12"/>
        </w:rPr>
        <w:t>vigorosa</w:t>
      </w:r>
      <w:r>
        <w:rPr>
          <w:spacing w:val="-21"/>
          <w:w w:val="105"/>
          <w:sz w:val="12"/>
        </w:rPr>
        <w:t> </w:t>
      </w:r>
      <w:r>
        <w:rPr>
          <w:w w:val="105"/>
          <w:sz w:val="12"/>
        </w:rPr>
        <w:t>competencia.</w:t>
      </w:r>
    </w:p>
    <w:p>
      <w:pPr>
        <w:pStyle w:val="BodyText"/>
        <w:rPr>
          <w:sz w:val="20"/>
        </w:rPr>
      </w:pPr>
    </w:p>
    <w:p>
      <w:pPr>
        <w:pStyle w:val="BodyText"/>
        <w:spacing w:before="7"/>
        <w:rPr>
          <w:sz w:val="26"/>
        </w:rPr>
      </w:pPr>
    </w:p>
    <w:p>
      <w:pPr>
        <w:spacing w:before="84"/>
        <w:ind w:left="804" w:right="0" w:firstLine="0"/>
        <w:jc w:val="left"/>
        <w:rPr>
          <w:sz w:val="12"/>
        </w:rPr>
      </w:pPr>
      <w:r>
        <w:rPr>
          <w:sz w:val="12"/>
        </w:rPr>
        <w:t>FUENTE: Elaboración propia con base en ASF. (2005).</w:t>
      </w:r>
    </w:p>
    <w:p>
      <w:pPr>
        <w:pStyle w:val="BodyText"/>
        <w:rPr>
          <w:sz w:val="20"/>
        </w:rPr>
      </w:pPr>
    </w:p>
    <w:p>
      <w:pPr>
        <w:pStyle w:val="BodyText"/>
        <w:rPr>
          <w:sz w:val="18"/>
        </w:rPr>
      </w:pPr>
    </w:p>
    <w:p>
      <w:pPr>
        <w:spacing w:before="0"/>
        <w:ind w:left="261" w:right="0" w:firstLine="0"/>
        <w:jc w:val="left"/>
        <w:rPr>
          <w:rFonts w:ascii="Calibri"/>
          <w:sz w:val="22"/>
        </w:rPr>
      </w:pPr>
      <w:r>
        <w:rPr/>
        <w:pict>
          <v:shape style="position:absolute;margin-left:701.219971pt;margin-top:-4.082369pt;width:23.3pt;height:17.3pt;mso-position-horizontal-relative:page;mso-position-vertical-relative:paragraph;z-index:-352960" type="#_x0000_t202" filled="false" stroked="false">
            <v:textbox inset="0,0,0,0">
              <w:txbxContent>
                <w:p>
                  <w:pPr>
                    <w:spacing w:before="65"/>
                    <w:ind w:left="175" w:right="0" w:firstLine="0"/>
                    <w:jc w:val="left"/>
                    <w:rPr>
                      <w:rFonts w:ascii="Calibri"/>
                      <w:sz w:val="22"/>
                    </w:rPr>
                  </w:pPr>
                  <w:r>
                    <w:rPr>
                      <w:rFonts w:ascii="Calibri"/>
                      <w:sz w:val="22"/>
                    </w:rPr>
                    <w:t>41</w:t>
                  </w:r>
                </w:p>
              </w:txbxContent>
            </v:textbox>
            <w10:wrap type="none"/>
          </v:shape>
        </w:pict>
      </w:r>
      <w:r>
        <w:rPr/>
        <w:pict>
          <v:group style="position:absolute;margin-left:700.195007pt;margin-top:-5.107369pt;width:25.35pt;height:19.350pt;mso-position-horizontal-relative:page;mso-position-vertical-relative:paragraph;z-index:3064" coordorigin="14004,-102" coordsize="507,387">
            <v:rect style="position:absolute;left:14024;top:-82;width:466;height:346" filled="true" fillcolor="#ffffff" stroked="false">
              <v:fill type="solid"/>
            </v:rect>
            <v:rect style="position:absolute;left:14024;top:-82;width:466;height:346" filled="false" stroked="true" strokeweight="2.04pt" strokecolor="#ffffff"/>
            <w10:wrap type="none"/>
          </v:group>
        </w:pict>
      </w:r>
      <w:r>
        <w:rPr>
          <w:rFonts w:ascii="Calibri"/>
          <w:color w:val="A6A6A6"/>
          <w:sz w:val="22"/>
        </w:rPr>
        <w:t>41</w:t>
      </w:r>
    </w:p>
    <w:p>
      <w:pPr>
        <w:spacing w:after="0"/>
        <w:jc w:val="left"/>
        <w:rPr>
          <w:rFonts w:ascii="Calibri"/>
          <w:sz w:val="22"/>
        </w:rPr>
        <w:sectPr>
          <w:footerReference w:type="default" r:id="rId57"/>
          <w:pgSz w:w="15840" w:h="12240" w:orient="landscape"/>
          <w:pgMar w:footer="0" w:header="0" w:top="1140" w:bottom="280" w:left="1320" w:right="1220"/>
        </w:sectPr>
      </w:pPr>
    </w:p>
    <w:p>
      <w:pPr>
        <w:spacing w:before="51"/>
        <w:ind w:left="82" w:right="3347" w:firstLine="0"/>
        <w:jc w:val="center"/>
        <w:rPr>
          <w:i/>
          <w:sz w:val="24"/>
        </w:rPr>
      </w:pPr>
      <w:r>
        <w:rPr>
          <w:i/>
          <w:sz w:val="24"/>
        </w:rPr>
        <w:t>Indicador líder: Índice de Gobernanza Mundial, 2011</w:t>
      </w:r>
    </w:p>
    <w:p>
      <w:pPr>
        <w:pStyle w:val="BodyText"/>
        <w:spacing w:before="5"/>
        <w:rPr>
          <w:i/>
          <w:sz w:val="29"/>
        </w:rPr>
      </w:pPr>
    </w:p>
    <w:p>
      <w:pPr>
        <w:pStyle w:val="BodyText"/>
        <w:spacing w:line="360" w:lineRule="auto"/>
        <w:ind w:left="102" w:right="115" w:firstLine="427"/>
        <w:jc w:val="both"/>
      </w:pPr>
      <w:r>
        <w:rPr/>
        <w:t>El FnGM, publicó en junio de 2012</w:t>
      </w:r>
      <w:r>
        <w:rPr>
          <w:i/>
        </w:rPr>
        <w:t>GovernanceIndex. Why Should World </w:t>
      </w:r>
      <w:r>
        <w:rPr>
          <w:i/>
        </w:rPr>
        <w:t>Governance</w:t>
      </w:r>
      <w:r>
        <w:rPr>
          <w:i/>
          <w:spacing w:val="-16"/>
        </w:rPr>
        <w:t> </w:t>
      </w:r>
      <w:r>
        <w:rPr>
          <w:i/>
        </w:rPr>
        <w:t>Be</w:t>
      </w:r>
      <w:r>
        <w:rPr>
          <w:i/>
          <w:spacing w:val="-13"/>
        </w:rPr>
        <w:t> </w:t>
      </w:r>
      <w:r>
        <w:rPr>
          <w:i/>
        </w:rPr>
        <w:t>Evaluated,</w:t>
      </w:r>
      <w:r>
        <w:rPr>
          <w:i/>
          <w:spacing w:val="-16"/>
        </w:rPr>
        <w:t> </w:t>
      </w:r>
      <w:r>
        <w:rPr>
          <w:i/>
        </w:rPr>
        <w:t>and</w:t>
      </w:r>
      <w:r>
        <w:rPr>
          <w:i/>
          <w:spacing w:val="-16"/>
        </w:rPr>
        <w:t> </w:t>
      </w:r>
      <w:r>
        <w:rPr>
          <w:i/>
        </w:rPr>
        <w:t>for</w:t>
      </w:r>
      <w:r>
        <w:rPr>
          <w:i/>
          <w:spacing w:val="-17"/>
        </w:rPr>
        <w:t> </w:t>
      </w:r>
      <w:r>
        <w:rPr>
          <w:i/>
        </w:rPr>
        <w:t>What</w:t>
      </w:r>
      <w:r>
        <w:rPr>
          <w:i/>
          <w:spacing w:val="-16"/>
        </w:rPr>
        <w:t> </w:t>
      </w:r>
      <w:r>
        <w:rPr>
          <w:i/>
        </w:rPr>
        <w:t>Purpose?</w:t>
      </w:r>
      <w:r>
        <w:rPr>
          <w:i/>
          <w:spacing w:val="-8"/>
        </w:rPr>
        <w:t> </w:t>
      </w:r>
      <w:r>
        <w:rPr>
          <w:i/>
        </w:rPr>
        <w:t>(</w:t>
      </w:r>
      <w:r>
        <w:rPr/>
        <w:t>Índice</w:t>
      </w:r>
      <w:r>
        <w:rPr>
          <w:spacing w:val="-13"/>
        </w:rPr>
        <w:t> </w:t>
      </w:r>
      <w:r>
        <w:rPr/>
        <w:t>de</w:t>
      </w:r>
      <w:r>
        <w:rPr>
          <w:spacing w:val="-13"/>
        </w:rPr>
        <w:t> </w:t>
      </w:r>
      <w:r>
        <w:rPr/>
        <w:t>Gobernanza</w:t>
      </w:r>
      <w:r>
        <w:rPr>
          <w:spacing w:val="-13"/>
        </w:rPr>
        <w:t> </w:t>
      </w:r>
      <w:r>
        <w:rPr/>
        <w:t>¿Por</w:t>
      </w:r>
      <w:r>
        <w:rPr>
          <w:spacing w:val="-15"/>
        </w:rPr>
        <w:t> </w:t>
      </w:r>
      <w:r>
        <w:rPr/>
        <w:t>qué y para qué propósito se debería evaluar la gobernanza?), en el cual se evalúa la gobernanza mundial de 179 (de los 192) países pertenecientes a la ONU. Los resultados de presentan en la escala de 0 a 1, donde valores cercanos a 0 indican menor gobernanza y valores próximos a 1 mayor</w:t>
      </w:r>
      <w:r>
        <w:rPr>
          <w:spacing w:val="-25"/>
        </w:rPr>
        <w:t> </w:t>
      </w:r>
      <w:r>
        <w:rPr/>
        <w:t>gobernanza.</w:t>
      </w:r>
    </w:p>
    <w:p>
      <w:pPr>
        <w:pStyle w:val="BodyText"/>
        <w:spacing w:line="360" w:lineRule="auto" w:before="2"/>
        <w:ind w:left="102" w:right="120" w:firstLine="427"/>
        <w:jc w:val="both"/>
      </w:pPr>
      <w:r>
        <w:rPr/>
        <w:t>El estudio se publicó por primera vez en 2008, pero debido al cambio en la metodología, solo es posible presentar el análisis para 2011. De los 34 países integrantes de la OCDE, los 5 países analizados se encuentran por arriba del promedio de la OCDE y promedio mundial (además de los dos primeros lugares mostrados). México presentó el menor índice (posición 66 de 192), mientras que Noruega, Suecia y Finlandia presentaron las primeras tres posiciones.</w:t>
      </w:r>
    </w:p>
    <w:p>
      <w:pPr>
        <w:pStyle w:val="BodyText"/>
        <w:spacing w:before="10"/>
        <w:rPr>
          <w:sz w:val="27"/>
        </w:rPr>
      </w:pPr>
    </w:p>
    <w:p>
      <w:pPr>
        <w:spacing w:before="0"/>
        <w:ind w:left="2356" w:right="0" w:firstLine="0"/>
        <w:jc w:val="left"/>
        <w:rPr>
          <w:sz w:val="20"/>
        </w:rPr>
      </w:pPr>
      <w:bookmarkStart w:name="_bookmark23" w:id="34"/>
      <w:bookmarkEnd w:id="34"/>
      <w:r>
        <w:rPr/>
      </w:r>
      <w:r>
        <w:rPr>
          <w:sz w:val="20"/>
        </w:rPr>
        <w:t>Grafica 1.1. Índice de gobernanza mundial, 2011</w:t>
      </w:r>
    </w:p>
    <w:p>
      <w:pPr>
        <w:pStyle w:val="BodyText"/>
        <w:spacing w:before="10"/>
        <w:rPr>
          <w:sz w:val="13"/>
        </w:rPr>
      </w:pPr>
      <w:r>
        <w:rPr/>
        <w:pict>
          <v:group style="position:absolute;margin-left:109.604095pt;margin-top:9.937775pt;width:392.9pt;height:186.05pt;mso-position-horizontal-relative:page;mso-position-vertical-relative:paragraph;z-index:3520;mso-wrap-distance-left:0;mso-wrap-distance-right:0" coordorigin="2192,199" coordsize="7858,3721">
            <v:shape style="position:absolute;left:2758;top:316;width:5868;height:2726" type="#_x0000_t75" stroked="false">
              <v:imagedata r:id="rId60" o:title=""/>
            </v:shape>
            <v:line style="position:absolute" from="2787,3020" to="2738,3020" stroked="true" strokeweight=".418141pt" strokecolor="#858585"/>
            <v:line style="position:absolute" from="2787,2746" to="2738,2746" stroked="true" strokeweight=".418141pt" strokecolor="#858585"/>
            <v:line style="position:absolute" from="2787,2471" to="2738,2471" stroked="true" strokeweight=".418141pt" strokecolor="#858585"/>
            <v:line style="position:absolute" from="2787,2195" to="2738,2195" stroked="true" strokeweight=".418141pt" strokecolor="#858585"/>
            <v:line style="position:absolute" from="2787,1920" to="2738,1920" stroked="true" strokeweight=".418141pt" strokecolor="#858585"/>
            <v:line style="position:absolute" from="2787,1646" to="2738,1646" stroked="true" strokeweight=".418141pt" strokecolor="#858585"/>
            <v:line style="position:absolute" from="2787,1371" to="2738,1371" stroked="true" strokeweight=".418141pt" strokecolor="#858585"/>
            <v:line style="position:absolute" from="2787,1095" to="2738,1095" stroked="true" strokeweight=".418141pt" strokecolor="#858585"/>
            <v:line style="position:absolute" from="2787,821" to="2738,821" stroked="true" strokeweight=".418141pt" strokecolor="#858585"/>
            <v:line style="position:absolute" from="2787,546" to="2738,546" stroked="true" strokeweight=".418141pt" strokecolor="#858585"/>
            <v:line style="position:absolute" from="2787,3020" to="2787,3058" stroked="true" strokeweight=".53821pt" strokecolor="#858585"/>
            <v:line style="position:absolute" from="3469,3020" to="3469,3058" stroked="true" strokeweight=".53821pt" strokecolor="#858585"/>
            <v:line style="position:absolute" from="4152,3020" to="4152,3058" stroked="true" strokeweight=".53821pt" strokecolor="#858585"/>
            <v:line style="position:absolute" from="4834,3020" to="4834,3058" stroked="true" strokeweight=".53821pt" strokecolor="#858585"/>
            <v:line style="position:absolute" from="5516,3020" to="5516,3058" stroked="true" strokeweight=".53821pt" strokecolor="#858585"/>
            <v:line style="position:absolute" from="6199,3020" to="6199,3058" stroked="true" strokeweight=".53821pt" strokecolor="#858585"/>
            <v:line style="position:absolute" from="6881,3020" to="6881,3058" stroked="true" strokeweight=".53821pt" strokecolor="#858585"/>
            <v:line style="position:absolute" from="7563,3020" to="7563,3058" stroked="true" strokeweight=".53821pt" strokecolor="#858585"/>
            <v:line style="position:absolute" from="8244,3020" to="8244,3058" stroked="true" strokeweight=".53821pt" strokecolor="#858585"/>
            <v:shape style="position:absolute;left:2629;top:3150;width:521;height:332" coordorigin="2629,3150" coordsize="521,332" path="m2661,3423l2644,3423,2689,3466,2674,3475,2673,3475,2673,3476,2673,3478,2674,3478,2674,3479,2675,3479,2676,3480,2676,3481,2680,3481,2715,3459,2699,3459,2661,3423xm2715,3451l2712,3451,2699,3459,2715,3459,2719,3457,2719,3457,2719,3456,2719,3456,2718,3454,2718,3453,2717,3453,2717,3452,2716,3452,2715,3451xm2647,3409l2644,3409,2643,3410,2642,3410,2641,3411,2639,3413,2639,3413,2638,3414,2637,3414,2629,3433,2629,3433,2629,3435,2629,3436,2629,3436,2630,3437,2630,3437,2632,3438,2632,3439,2633,3439,2634,3440,2635,3440,2636,3439,2636,3438,2637,3438,2644,3423,2661,3423,2647,3409xm2723,3365l2716,3365,2715,3366,2714,3366,2707,3371,2705,3373,2706,3374,2762,3429,2765,3429,2766,3428,2767,3428,2769,3427,2770,3425,2771,3424,2771,3424,2772,3423,2772,3423,2772,3422,2736,3388,2731,3384,2726,3379,2722,3375,2752,3375,2724,3366,2723,3365xm2752,3375l2722,3375,2725,3377,2728,3377,2734,3379,2737,3380,2796,3400,2798,3400,2799,3401,2809,3401,2810,3400,2814,3397,2815,3396,2816,3396,2816,3394,2815,3392,2815,3392,2814,3391,2798,3391,2795,3389,2781,3385,2777,3384,2752,3375xm2760,3338l2758,3338,2757,3339,2756,3339,2755,3341,2753,3342,2752,3342,2751,3343,2751,3343,2750,3344,2750,3344,2750,3345,2783,3377,2795,3388,2798,3391,2814,3391,2760,3339,2760,3338xm2836,3320l2832,3320,2819,3323,2811,3329,2807,3331,2803,3338,2802,3342,2802,3348,2803,3351,2806,3358,2809,3361,2816,3367,2819,3371,2827,3374,2831,3375,2839,3377,2843,3377,2855,3373,2864,3367,2839,3367,2833,3366,2831,3365,2826,3361,2824,3360,2819,3356,2817,3353,2814,3349,2814,3346,2813,3342,2814,3341,2816,3336,2818,3334,2824,3330,2827,3329,2860,3329,2859,3328,2855,3325,2848,3322,2844,3321,2836,3320xm2860,3329l2835,3329,2841,3330,2843,3331,2848,3335,2851,3336,2853,3338,2855,3341,2857,3343,2860,3348,2861,3350,2861,3355,2860,3356,2858,3360,2856,3361,2850,3366,2847,3367,2864,3367,2867,3365,2871,3358,2872,3355,2872,3349,2871,3345,2868,3338,2866,3335,2862,3331,2860,3329xm2900,3343l2898,3343,2899,3344,2900,3343xm2864,3298l2862,3298,2860,3299,2860,3299,2858,3300,2857,3300,2856,3301,2856,3301,2856,3302,2856,3303,2897,3343,2902,3343,2902,3342,2904,3341,2905,3341,2906,3339,2906,3339,2907,3338,2907,3338,2907,3337,2879,3312,2879,3309,2879,3307,2879,3303,2870,3303,2864,3298xm2905,3272l2902,3272,2901,3273,2900,3273,2899,3274,2898,3276,2897,3276,2896,3277,2896,3277,2896,3278,2896,3278,2924,3305,2927,3307,2932,3310,2935,3312,2941,3313,2944,3313,2951,3312,2954,3310,2960,3307,2963,3305,2963,3303,2944,3303,2940,3302,2938,3301,2934,3300,2932,3298,2905,3272xm2888,3287l2877,3287,2875,3288,2874,3289,2873,3291,2872,3292,2871,3294,2871,3296,2870,3299,2870,3301,2870,3303,2879,3303,2879,3301,2879,3299,2880,3298,2881,3296,2882,3295,2884,3294,2884,3294,2885,3293,2888,3293,2890,3292,2891,3292,2891,3291,2891,3291,2891,3289,2891,3289,2890,3288,2888,3287xm2940,3250l2937,3250,2937,3251,2935,3251,2933,3252,2932,3253,2931,3255,2931,3255,2930,3256,2930,3256,2959,3284,2959,3288,2959,3292,2957,3298,2955,3299,2951,3302,2949,3302,2946,3303,2963,3303,2966,3299,2967,3294,2967,3291,2981,3291,2940,3250xm2982,3291l2967,3291,2973,3295,2973,3296,2975,3296,2976,3295,2978,3295,2979,3294,2980,3293,2981,3293,2981,3292,2982,3292,2982,3291xm2886,3285l2881,3285,2879,3286,2879,3286,2877,3287,2888,3287,2886,3286,2886,3285xm2996,3219l2992,3219,2985,3220,2981,3222,2973,3227,2970,3229,2966,3235,2965,3238,2965,3244,2966,3248,2969,3255,2972,3258,2979,3265,2983,3267,2991,3272,2995,3273,3003,3274,3007,3273,3015,3272,3019,3270,3025,3265,3003,3265,2998,3264,2996,3264,2991,3260,2988,3259,2986,3257,2995,3251,2981,3251,2979,3250,2978,3248,2976,3244,2976,3242,2976,3238,2976,3237,2978,3234,2980,3231,2987,3228,2991,3227,3016,3227,3013,3224,3007,3221,3003,3220,2996,3219xm3035,3248l3031,3248,3029,3250,3029,3251,3027,3253,3025,3255,3022,3258,3020,3259,3015,3263,3012,3264,3006,3265,3025,3265,3028,3264,3031,3260,3033,3259,3035,3257,3036,3256,3038,3253,3038,3252,3038,3251,3038,3251,3037,3250,3036,3249,3035,3249,3035,3248xm3047,3223l3036,3223,3038,3224,3038,3228,3039,3231,3040,3234,3044,3237,3045,3237,3049,3238,3054,3238,3054,3240,3053,3244,3053,3245,3054,3248,3054,3249,3055,3251,3056,3252,3059,3255,3061,3256,3065,3257,3068,3258,3073,3257,3076,3257,3083,3253,3087,3252,3092,3249,3068,3249,3065,3246,3065,3245,3064,3244,3063,3242,3063,3238,3063,3237,3064,3235,3073,3230,3050,3230,3048,3228,3048,3227,3047,3226,3047,3223xm3016,3227l2991,3227,3000,3228,3005,3230,3008,3234,2981,3251,2995,3251,3021,3235,3021,3235,3022,3233,3021,3231,3020,3230,3016,3227xm3105,3224l3091,3224,3093,3227,3094,3228,3095,3229,3096,3231,3096,3233,3095,3235,3094,3237,3091,3240,3089,3242,3081,3246,3077,3248,3070,3249,3092,3249,3099,3244,3104,3238,3105,3236,3107,3231,3107,3229,3105,3224xm3034,3246l3032,3246,3031,3248,3034,3248,3034,3246xm3091,3215l3086,3215,3084,3216,3079,3217,3076,3219,3073,3221,3058,3229,3056,3230,3073,3230,3077,3228,3080,3226,3083,3224,3105,3224,3104,3222,3100,3219,3098,3217,3094,3216,3091,3215xm3056,3187l3036,3187,3033,3190,3032,3190,3027,3193,3025,3194,3022,3199,3020,3201,3020,3205,3020,3207,3020,3208,3021,3213,3023,3215,3027,3220,3034,3223,3051,3223,3055,3221,3058,3221,3063,3217,3064,3216,3040,3216,3037,3215,3033,3210,3032,3209,3031,3207,3030,3206,3030,3202,3031,3201,3033,3199,3034,3198,3039,3194,3043,3193,3066,3193,3063,3191,3061,3190,3058,3188,3056,3187xm3066,3193l3043,3193,3050,3194,3053,3195,3056,3198,3057,3199,3058,3200,3059,3204,3059,3205,3059,3207,3059,3208,3057,3212,3056,3213,3050,3216,3064,3216,3065,3215,3068,3210,3070,3209,3071,3205,3070,3202,3069,3197,3067,3194,3066,3193xm3121,3158l3101,3158,3104,3159,3106,3159,3111,3163,3115,3168,3104,3174,3101,3177,3096,3181,3094,3184,3092,3190,3092,3192,3093,3197,3094,3199,3099,3202,3101,3205,3106,3206,3108,3207,3113,3207,3116,3206,3121,3205,3124,3204,3130,3200,3132,3198,3110,3198,3108,3197,3105,3193,3104,3192,3103,3190,3103,3188,3104,3185,3105,3184,3108,3180,3110,3179,3121,3172,3136,3172,3121,3158xm3136,3172l3121,3172,3130,3181,3129,3185,3129,3187,3127,3192,3125,3194,3119,3198,3132,3198,3135,3192,3136,3190,3137,3186,3149,3186,3149,3185,3149,3185,3136,3172xm3149,3186l3137,3186,3141,3190,3142,3191,3143,3191,3144,3190,3145,3190,3147,3188,3148,3187,3149,3186xm3057,3177l3055,3177,3039,3186,3038,3187,3053,3187,3061,3183,3061,3181,3061,3180,3060,3179,3059,3179,3058,3178,3057,3177xm3108,3150l3099,3150,3093,3152,3089,3154,3084,3157,3082,3158,3079,3162,3077,3163,3075,3165,3074,3168,3072,3170,3072,3171,3072,3172,3073,3173,3073,3174,3074,3176,3075,3176,3076,3177,3079,3177,3080,3173,3081,3172,3083,3170,3084,3169,3087,3165,3089,3164,3093,3161,3095,3161,3099,3159,3101,3158,3121,3158,3119,3156,3116,3154,3111,3151,3108,3150xe" filled="true" fillcolor="#000000" stroked="false">
              <v:path arrowok="t"/>
              <v:fill type="solid"/>
            </v:shape>
            <v:shape style="position:absolute;left:3406;top:3150;width:426;height:270" coordorigin="3406,3150" coordsize="426,270" path="m3459,3354l3440,3354,3442,3355,3445,3356,3447,3357,3449,3360,3450,3361,3453,3364,3454,3367,3455,3371,3456,3375,3456,3380,3456,3384,3456,3385,3453,3411,3453,3413,3453,3414,3453,3414,3453,3416,3454,3417,3455,3417,3456,3418,3457,3419,3461,3419,3480,3407,3464,3407,3466,3390,3466,3384,3467,3380,3466,3371,3466,3368,3464,3362,3463,3359,3460,3355,3459,3354xm3499,3387l3496,3387,3464,3407,3480,3407,3503,3393,3503,3392,3503,3392,3503,3391,3503,3391,3502,3390,3502,3389,3501,3389,3501,3388,3499,3388,3499,3387xm3437,3344l3434,3345,3427,3346,3424,3347,3418,3352,3416,3353,3413,3356,3411,3357,3409,3361,3408,3362,3407,3364,3407,3366,3406,3367,3406,3368,3407,3368,3407,3369,3408,3369,3409,3371,3410,3371,3411,3373,3414,3373,3415,3369,3416,3368,3418,3366,3419,3363,3422,3360,3423,3359,3428,3356,3430,3355,3434,3354,3459,3354,3458,3353,3454,3349,3452,3347,3447,3345,3444,3345,3437,3344xm3573,3327l3550,3327,3553,3328,3557,3330,3559,3331,3562,3333,3564,3338,3564,3340,3563,3345,3560,3347,3558,3349,3553,3352,3551,3353,3545,3355,3543,3355,3539,3356,3534,3356,3533,3357,3532,3357,3532,3359,3532,3359,3532,3360,3533,3361,3533,3361,3535,3362,3536,3363,3537,3364,3544,3364,3546,3363,3550,3362,3553,3362,3560,3359,3566,3355,3569,3353,3573,3347,3575,3345,3576,3339,3576,3335,3574,3330,3573,3327xm3527,3290l3520,3290,3518,3291,3514,3291,3512,3292,3509,3294,3507,3295,3502,3298,3500,3301,3495,3305,3494,3308,3493,3312,3493,3315,3495,3320,3496,3323,3501,3327,3504,3328,3509,3331,3512,3332,3526,3332,3529,3331,3543,3328,3545,3328,3550,3327,3573,3327,3570,3325,3567,3323,3566,3321,3516,3321,3511,3320,3509,3319,3507,3317,3506,3316,3505,3313,3505,3312,3505,3309,3506,3308,3508,3305,3510,3304,3514,3302,3520,3298,3526,3298,3528,3297,3532,3297,3532,3296,3532,3296,3532,3295,3531,3295,3531,3294,3530,3294,3528,3291,3527,3290xm3566,3285l3563,3285,3563,3287,3561,3287,3561,3288,3559,3289,3558,3289,3557,3290,3557,3290,3556,3291,3556,3291,3556,3292,3584,3319,3587,3321,3593,3325,3596,3326,3602,3327,3605,3327,3611,3326,3614,3324,3621,3320,3623,3318,3624,3317,3600,3317,3594,3313,3592,3311,3566,3285xm3557,3318l3542,3318,3540,3319,3534,3320,3525,3321,3566,3321,3565,3320,3560,3319,3557,3318xm3600,3265l3596,3265,3595,3266,3593,3267,3592,3267,3591,3268,3591,3268,3591,3269,3590,3269,3591,3270,3620,3298,3620,3302,3619,3305,3617,3311,3616,3313,3611,3316,3610,3317,3624,3317,3626,3312,3627,3309,3628,3304,3641,3304,3600,3265xm3642,3304l3628,3304,3633,3310,3636,3310,3637,3309,3638,3309,3639,3308,3640,3308,3641,3306,3641,3306,3642,3305,3642,3305,3642,3304xm3656,3232l3653,3232,3641,3236,3633,3240,3630,3244,3627,3249,3625,3252,3625,3259,3626,3262,3629,3268,3632,3272,3639,3278,3643,3282,3651,3285,3655,3287,3663,3288,3667,3288,3675,3285,3679,3283,3686,3280,3664,3280,3658,3278,3656,3277,3651,3275,3649,3273,3646,3270,3654,3266,3641,3266,3639,3263,3638,3262,3636,3256,3636,3253,3636,3251,3638,3247,3640,3246,3647,3241,3651,3240,3676,3240,3673,3238,3667,3234,3663,3233,3656,3232xm3696,3262l3690,3262,3690,3263,3688,3266,3687,3267,3686,3268,3682,3272,3680,3273,3675,3276,3672,3277,3666,3278,3664,3280,3686,3280,3688,3277,3693,3273,3697,3269,3698,3267,3698,3267,3698,3266,3697,3265,3697,3263,3696,3262xm3676,3240l3651,3240,3661,3241,3665,3244,3669,3248,3641,3266,3654,3266,3681,3249,3681,3248,3682,3246,3681,3245,3680,3244,3676,3240xm3694,3261l3691,3261,3691,3262,3695,3262,3694,3261xm3718,3198l3702,3198,3698,3200,3691,3204,3689,3206,3687,3209,3685,3212,3684,3215,3683,3220,3684,3224,3686,3227,3687,3231,3690,3236,3698,3242,3701,3245,3709,3249,3713,3251,3720,3252,3724,3252,3728,3251,3732,3249,3735,3248,3741,3245,3742,3244,3744,3242,3722,3242,3717,3241,3714,3240,3711,3239,3709,3237,3706,3236,3703,3232,3698,3227,3695,3223,3694,3215,3697,3211,3701,3208,3703,3206,3705,3205,3710,3204,3720,3204,3721,3203,3721,3203,3721,3202,3720,3201,3719,3200,3718,3198xm3746,3225l3742,3225,3742,3227,3741,3230,3740,3232,3739,3233,3737,3237,3736,3238,3729,3241,3724,3242,3744,3242,3745,3241,3746,3240,3747,3238,3748,3237,3749,3236,3750,3233,3750,3232,3750,3230,3750,3230,3750,3229,3749,3229,3749,3227,3748,3227,3748,3226,3747,3226,3746,3225xm3769,3225l3767,3225,3767,3226,3768,3226,3769,3225xm3743,3224l3743,3225,3745,3225,3743,3224xm3735,3180l3731,3180,3730,3181,3730,3181,3729,3182,3727,3182,3726,3183,3725,3184,3725,3184,3725,3186,3725,3186,3767,3225,3771,3225,3772,3224,3773,3224,3774,3223,3775,3223,3775,3222,3776,3222,3776,3220,3776,3219,3776,3219,3735,3180xm3805,3159l3787,3159,3788,3160,3791,3161,3793,3162,3795,3165,3798,3167,3791,3172,3787,3174,3784,3176,3781,3179,3778,3182,3777,3184,3775,3189,3774,3191,3775,3194,3775,3196,3777,3198,3781,3203,3783,3204,3788,3206,3798,3206,3801,3205,3809,3202,3812,3200,3813,3198,3799,3198,3793,3197,3790,3196,3788,3195,3787,3194,3786,3191,3786,3190,3785,3189,3785,3188,3787,3186,3788,3183,3791,3181,3793,3179,3803,3173,3819,3173,3805,3159xm3717,3197l3705,3197,3703,3198,3717,3198,3717,3197xm3819,3173l3803,3173,3812,3181,3812,3184,3811,3187,3809,3191,3807,3194,3805,3195,3802,3197,3799,3198,3813,3198,3815,3197,3818,3191,3819,3189,3819,3186,3832,3186,3832,3184,3831,3184,3819,3173xm3711,3196l3708,3197,3715,3197,3711,3196xm3832,3186l3819,3186,3823,3190,3826,3190,3827,3189,3828,3189,3829,3188,3830,3187,3831,3187,3832,3186xm3761,3176l3759,3176,3759,3177,3760,3177,3761,3176xm3719,3164l3714,3164,3709,3167,3708,3168,3708,3170,3709,3172,3712,3175,3714,3176,3717,3176,3719,3175,3721,3174,3723,3173,3724,3172,3724,3170,3725,3169,3724,3168,3722,3166,3720,3165,3719,3164xm3790,3150l3782,3150,3778,3151,3775,3152,3772,3153,3768,3155,3766,3157,3764,3159,3763,3160,3760,3162,3757,3166,3756,3167,3756,3168,3755,3170,3754,3172,3754,3173,3755,3174,3756,3174,3757,3175,3757,3176,3762,3176,3762,3175,3762,3175,3764,3173,3765,3172,3765,3169,3767,3168,3769,3165,3771,3164,3773,3162,3778,3160,3779,3159,3805,3159,3801,3155,3799,3153,3796,3152,3793,3151,3790,3150xe" filled="true" fillcolor="#000000" stroked="false">
              <v:path arrowok="t"/>
              <v:fill type="solid"/>
            </v:shape>
            <v:shape style="position:absolute;left:3964;top:3150;width:550;height:345" coordorigin="3964,3150" coordsize="550,345" path="m4048,3456l4028,3456,4030,3458,4032,3459,4034,3460,4038,3462,4039,3465,4040,3468,4040,3470,4040,3471,4038,3475,4036,3477,4034,3480,4031,3481,4028,3483,4023,3485,4021,3485,4018,3487,4016,3487,4014,3488,4008,3488,4008,3489,4007,3489,4007,3490,4007,3490,4008,3491,4009,3492,4010,3492,4011,3494,4012,3495,4021,3495,4025,3494,4032,3490,4035,3489,4037,3488,4041,3485,4044,3482,4049,3476,4051,3474,4051,3470,4052,3468,4052,3466,4051,3462,4050,3460,4048,3456xm3998,3467l3996,3467,3997,3468,3998,3467xm4016,3432l3996,3432,3998,3433,4001,3434,4003,3435,4004,3437,4006,3438,4007,3440,4007,3441,4008,3444,4008,3446,4008,3447,4006,3451,4003,3454,4001,3455,3999,3458,3993,3461,3992,3461,3992,3462,3992,3463,3992,3463,3992,3465,3993,3465,3993,3466,3994,3466,3995,3467,3999,3467,4009,3461,4012,3459,4018,3458,4021,3456,4048,3456,4045,3454,4043,3453,4042,3452,4014,3452,4016,3449,4017,3448,4018,3446,4019,3444,4019,3442,4019,3438,4018,3437,4018,3434,4016,3432xm4034,3448l4025,3448,4019,3449,4017,3451,4014,3452,4042,3452,4041,3451,4039,3449,4036,3449,4034,3448xm3995,3422l3992,3423,3985,3424,3982,3426,3976,3430,3974,3431,3972,3433,3970,3434,3969,3435,3968,3438,3967,3439,3966,3440,3965,3441,3964,3444,3964,3445,3965,3446,3965,3446,3966,3447,3966,3448,3967,3448,3967,3449,3969,3451,3972,3451,3972,3449,3973,3447,3974,3446,3974,3445,3975,3444,3976,3441,3978,3440,3979,3438,3981,3437,3983,3435,3987,3433,3989,3433,3991,3432,4016,3432,4015,3431,4013,3429,4011,3427,4009,3425,4003,3423,4001,3423,3995,3422xm4086,3363l4083,3363,4050,3384,4049,3384,4048,3386,4048,3388,4048,3389,4104,3442,4107,3442,4109,3441,4110,3440,4111,3440,4112,3439,4113,3439,4114,3438,4114,3438,4114,3437,4114,3437,4114,3435,4089,3412,4098,3406,4083,3406,4062,3387,4089,3370,4089,3369,4090,3369,4090,3368,4090,3368,4089,3367,4088,3366,4088,3366,4087,3365,4086,3365,4086,3363xm4124,3363l4122,3363,4121,3365,4119,3365,4118,3366,4116,3367,4116,3367,4115,3368,4115,3368,4114,3369,4115,3369,4115,3370,4115,3370,4156,3410,4159,3410,4160,3409,4161,3409,4162,3408,4164,3406,4165,3406,4165,3405,4166,3405,4166,3404,4165,3404,4124,3365,4124,3363xm4111,3390l4108,3390,4083,3406,4098,3406,4114,3396,4115,3396,4115,3395,4114,3394,4114,3393,4113,3393,4112,3391,4111,3390xm4151,3347l4147,3347,4146,3348,4145,3350,4144,3350,4143,3351,4143,3351,4142,3352,4142,3352,4143,3353,4184,3393,4187,3393,4188,3391,4189,3391,4190,3390,4191,3390,4192,3389,4193,3389,4193,3388,4193,3388,4193,3387,4193,3387,4164,3359,4164,3354,4165,3353,4157,3353,4151,3347xm4201,3339l4180,3339,4184,3340,4188,3343,4190,3344,4192,3345,4218,3370,4222,3370,4223,3369,4224,3369,4225,3368,4227,3367,4228,3367,4228,3366,4228,3366,4228,3365,4228,3365,4203,3340,4201,3339xm4108,3347l4105,3347,4103,3348,4099,3351,4098,3352,4097,3354,4098,3355,4100,3358,4103,3360,4108,3360,4112,3357,4114,3355,4114,3353,4113,3352,4111,3351,4110,3348,4108,3347xm4192,3289l4189,3289,4188,3290,4187,3290,4184,3293,4184,3293,4183,3294,4183,3294,4182,3295,4182,3295,4183,3296,4244,3354,4248,3354,4250,3353,4251,3352,4252,3352,4252,3351,4253,3351,4253,3350,4253,3348,4253,3348,4192,3290,4192,3289xm4183,3330l4179,3330,4176,3331,4173,3331,4170,3332,4166,3334,4163,3337,4161,3339,4158,3345,4157,3348,4157,3353,4165,3353,4165,3351,4166,3348,4167,3346,4169,3344,4171,3341,4173,3340,4175,3340,4178,3339,4201,3339,4200,3338,4197,3336,4191,3332,4189,3331,4183,3330xm4282,3288l4266,3288,4269,3290,4270,3291,4272,3293,4275,3296,4268,3301,4264,3303,4261,3305,4258,3308,4256,3310,4254,3314,4252,3318,4251,3320,4252,3323,4253,3325,4254,3327,4256,3330,4258,3332,4260,3333,4263,3334,4265,3334,4268,3336,4276,3336,4286,3331,4290,3329,4292,3326,4270,3326,4268,3325,4264,3322,4263,3320,4263,3319,4263,3318,4263,3317,4263,3316,4264,3314,4265,3312,4266,3311,4268,3310,4270,3308,4273,3307,4281,3302,4297,3302,4282,3288xm4297,3302l4281,3302,4289,3310,4289,3314,4288,3316,4286,3320,4285,3323,4279,3326,4292,3326,4294,3324,4295,3320,4296,3318,4296,3315,4309,3315,4309,3314,4309,3314,4297,3302xm4309,3315l4296,3315,4301,3318,4301,3319,4304,3319,4304,3318,4307,3317,4308,3316,4309,3316,4309,3315xm4240,3303l4233,3303,4234,3304,4234,3304,4235,3305,4239,3305,4239,3304,4240,3303xm4268,3279l4259,3279,4252,3281,4249,3282,4243,3286,4242,3287,4238,3290,4237,3291,4235,3295,4234,3296,4233,3297,4232,3298,4232,3300,4232,3301,4232,3302,4232,3302,4232,3303,4240,3303,4243,3298,4244,3297,4246,3294,4248,3293,4253,3290,4257,3288,4282,3288,4281,3287,4278,3284,4276,3282,4273,3281,4268,3279xm4325,3240l4318,3240,4312,3243,4308,3245,4306,3247,4303,3250,4300,3255,4299,3259,4299,3262,4285,3262,4285,3264,4326,3303,4329,3303,4330,3302,4331,3302,4332,3301,4333,3301,4334,3300,4335,3300,4335,3298,4336,3298,4336,3297,4335,3297,4307,3269,4307,3264,4307,3261,4308,3259,4309,3255,4311,3254,4313,3252,4315,3251,4317,3251,4321,3250,4343,3250,4342,3248,4339,3246,4334,3243,4331,3242,4325,3240xm4343,3250l4323,3250,4326,3251,4328,3252,4330,3253,4332,3254,4334,3255,4336,3258,4361,3281,4364,3281,4365,3280,4366,3280,4368,3279,4368,3279,4369,3278,4370,3278,4370,3276,4370,3275,4370,3275,4345,3251,4343,3250xm4293,3258l4291,3258,4289,3259,4288,3259,4287,3260,4286,3260,4285,3261,4285,3261,4284,3262,4299,3262,4293,3258xm4370,3178l4367,3178,4366,3179,4365,3179,4364,3180,4363,3180,4362,3181,4361,3181,4361,3182,4360,3182,4360,3183,4361,3183,4385,3207,4376,3207,4369,3208,4366,3209,4359,3212,4357,3216,4353,3221,4353,3223,4353,3226,4353,3230,4354,3233,4358,3240,4361,3244,4364,3246,4367,3250,4370,3252,4377,3257,4384,3259,4388,3260,4392,3260,4399,3259,4403,3258,4410,3253,4412,3251,4392,3251,4389,3250,4387,3250,4385,3248,4382,3247,4377,3244,4375,3242,4373,3240,4371,3238,4369,3236,4368,3233,4366,3232,4366,3230,4365,3225,4365,3223,4366,3219,4368,3218,4370,3216,4373,3215,4376,3214,4407,3214,4370,3178xm4407,3214l4388,3214,4393,3215,4409,3230,4409,3233,4409,3235,4408,3238,4408,3240,4406,3244,4404,3246,4403,3247,4402,3247,4400,3250,4397,3250,4392,3251,4412,3251,4414,3247,4416,3244,4417,3240,4417,3237,4431,3237,4407,3214xm4426,3242l4423,3242,4423,3243,4425,3243,4426,3242xm4431,3237l4417,3237,4423,3242,4428,3242,4429,3240,4430,3239,4431,3239,4431,3238,4431,3238,4431,3237xm4451,3225l4449,3225,4450,3226,4451,3225xm4417,3180l4413,3180,4412,3181,4410,3182,4409,3183,4408,3183,4407,3185,4407,3185,4407,3186,4408,3186,4449,3225,4453,3225,4454,3224,4455,3224,4456,3223,4458,3222,4458,3222,4458,3221,4458,3221,4458,3219,4458,3219,4417,3180xm4487,3159l4471,3159,4472,3160,4477,3164,4480,3167,4473,3172,4469,3174,4466,3176,4463,3179,4461,3181,4459,3185,4457,3189,4456,3192,4457,3194,4458,3196,4459,3199,4461,3201,4463,3203,4465,3204,4468,3206,4470,3206,4473,3207,4481,3207,4491,3202,4495,3200,4497,3197,4475,3197,4473,3196,4471,3194,4469,3193,4468,3192,4468,3190,4468,3189,4468,3188,4468,3187,4469,3185,4470,3183,4471,3182,4473,3181,4475,3179,4478,3178,4486,3173,4501,3173,4487,3159xm4501,3173l4486,3173,4494,3181,4494,3185,4493,3187,4491,3192,4490,3194,4487,3195,4484,3197,4497,3197,4499,3195,4500,3192,4501,3189,4501,3186,4514,3186,4514,3185,4514,3185,4501,3173xm4514,3186l4501,3186,4506,3189,4506,3190,4508,3190,4508,3189,4509,3189,4512,3188,4513,3187,4514,3187,4514,3186xm4401,3164l4396,3164,4394,3165,4392,3167,4391,3168,4390,3169,4390,3171,4391,3172,4394,3175,4396,3175,4399,3176,4401,3175,4403,3174,4405,3173,4406,3172,4407,3171,4407,3169,4406,3167,4402,3165,4401,3164xm4445,3174l4438,3174,4439,3175,4439,3175,4440,3176,4444,3176,4444,3175,4445,3174xm4473,3150l4464,3150,4461,3151,4457,3152,4454,3153,4448,3157,4447,3158,4443,3161,4442,3163,4441,3164,4440,3166,4439,3167,4438,3168,4437,3169,4437,3171,4437,3173,4437,3174,4445,3174,4446,3173,4447,3171,4447,3169,4449,3168,4451,3165,4453,3164,4458,3161,4460,3160,4462,3159,4487,3159,4483,3156,4481,3153,4478,3152,4475,3151,4473,3150xe" filled="true" fillcolor="#000000" stroked="false">
              <v:path arrowok="t"/>
              <v:fill type="solid"/>
            </v:shape>
            <v:shape style="position:absolute;left:4579;top:3149;width:618;height:393" coordorigin="4579,3149" coordsize="618,393" path="m4610,3483l4594,3483,4639,3526,4624,3536,4623,3536,4623,3537,4624,3538,4624,3539,4625,3540,4626,3540,4627,3541,4628,3542,4629,3542,4630,3542,4630,3542,4665,3520,4649,3520,4610,3483xm4663,3511l4662,3511,4649,3520,4665,3520,4668,3518,4669,3517,4669,3517,4669,3516,4669,3515,4668,3514,4668,3514,4666,3512,4666,3512,4665,3512,4664,3511,4664,3511,4663,3511xm4665,3430l4656,3431,4651,3433,4642,3439,4639,3442,4637,3446,4635,3449,4634,3452,4634,3453,4635,3457,4636,3461,4637,3465,4643,3473,4647,3477,4653,3483,4656,3486,4661,3490,4665,3493,4670,3496,4675,3499,4684,3501,4688,3501,4697,3500,4702,3498,4706,3495,4711,3492,4711,3492,4689,3492,4686,3492,4680,3490,4677,3488,4673,3485,4669,3483,4665,3479,4660,3474,4657,3472,4655,3469,4652,3466,4650,3463,4648,3460,4646,3454,4646,3452,4647,3447,4649,3444,4653,3442,4654,3441,4656,3440,4658,3440,4660,3439,4662,3439,4689,3439,4683,3435,4678,3433,4669,3430,4665,3430xm4596,3469l4595,3470,4594,3470,4594,3470,4593,3471,4592,3471,4591,3472,4590,3472,4590,3472,4589,3473,4588,3474,4588,3474,4588,3474,4588,3474,4579,3494,4579,3494,4579,3496,4580,3496,4580,3497,4581,3498,4581,3498,4582,3499,4582,3499,4583,3500,4584,3500,4584,3500,4585,3500,4585,3500,4586,3500,4587,3499,4587,3498,4594,3483,4610,3483,4597,3470,4597,3470,4597,3470,4596,3469xm4689,3439l4662,3439,4666,3439,4668,3440,4672,3441,4674,3442,4677,3444,4679,3445,4681,3447,4684,3449,4687,3451,4689,3453,4694,3458,4698,3463,4700,3465,4702,3467,4703,3469,4704,3471,4705,3472,4706,3474,4707,3476,4707,3477,4707,3478,4707,3480,4707,3482,4706,3483,4704,3486,4702,3487,4698,3490,4695,3491,4689,3492,4711,3492,4714,3489,4716,3485,4718,3482,4719,3479,4719,3477,4718,3474,4717,3470,4716,3466,4710,3458,4706,3454,4702,3450,4697,3445,4692,3441,4689,3439xm4744,3378l4741,3378,4740,3379,4739,3379,4737,3381,4736,3382,4734,3382,4733,3383,4733,3383,4732,3384,4732,3384,4731,3385,4731,3385,4731,3386,4731,3388,4761,3455,4762,3456,4762,3457,4765,3457,4768,3456,4770,3455,4772,3454,4772,3453,4772,3453,4773,3451,4764,3433,4776,3426,4760,3426,4743,3390,4768,3390,4744,3378xm4768,3390l4743,3390,4786,3410,4760,3426,4776,3426,4794,3414,4819,3414,4768,3390xm4819,3414l4794,3414,4815,3425,4818,3425,4819,3424,4820,3424,4823,3421,4824,3420,4826,3420,4826,3419,4826,3418,4825,3418,4824,3417,4823,3417,4819,3414xm4786,3346l4781,3346,4781,3347,4778,3348,4777,3349,4776,3349,4776,3350,4776,3351,4838,3410,4838,3411,4840,3411,4841,3410,4843,3410,4845,3408,4846,3407,4846,3406,4847,3406,4847,3405,4847,3405,4847,3404,4786,3346xm4861,3333l4857,3333,4854,3334,4850,3334,4838,3341,4835,3343,4831,3349,4830,3353,4830,3356,4830,3358,4831,3362,4832,3365,4834,3369,4837,3372,4840,3376,4844,3379,4856,3386,4860,3388,4868,3389,4872,3388,4876,3388,4880,3386,4884,3384,4890,3379,4863,3379,4861,3378,4856,3375,4854,3374,4851,3371,4861,3365,4846,3365,4844,3364,4841,3358,4841,3356,4841,3353,4841,3351,4843,3348,4845,3346,4852,3342,4856,3341,4881,3341,4878,3339,4875,3336,4868,3334,4861,3333xm4900,3362l4896,3362,4895,3363,4895,3364,4893,3367,4892,3368,4890,3369,4889,3370,4887,3372,4885,3374,4880,3377,4877,3378,4871,3379,4890,3379,4893,3378,4898,3374,4901,3370,4903,3368,4903,3367,4903,3365,4903,3365,4902,3364,4901,3363,4900,3363,4900,3362xm4881,3341l4856,3341,4865,3342,4870,3345,4873,3348,4846,3365,4861,3365,4885,3350,4886,3349,4886,3349,4887,3348,4887,3347,4886,3346,4885,3345,4881,3341xm4898,3361l4897,3361,4897,3362,4899,3362,4898,3361xm4924,3357l4922,3357,4923,3358,4924,3357xm4889,3312l4886,3312,4885,3313,4884,3313,4882,3314,4881,3315,4880,3315,4880,3317,4880,3317,4880,3318,4921,3357,4926,3357,4927,3356,4928,3355,4929,3355,4929,3354,4930,3354,4931,3353,4931,3351,4931,3351,4902,3324,4902,3320,4902,3318,4894,3318,4889,3312xm4785,3345l4784,3345,4783,3346,4786,3346,4785,3345xm4957,3336l4955,3336,4956,3338,4957,3336xm4937,3305l4916,3305,4918,3306,4920,3306,4922,3307,4924,3309,4928,3311,4929,3312,4954,3336,4959,3336,4960,3335,4960,3335,4962,3334,4963,3333,4964,3333,4964,3332,4964,3331,4964,3331,4937,3305xm4919,3296l4913,3296,4911,3297,4907,3298,4905,3299,4900,3302,4898,3304,4895,3310,4894,3313,4894,3318,4902,3318,4902,3317,4903,3314,4904,3311,4905,3309,4908,3307,4909,3306,4911,3306,4915,3305,4937,3305,4935,3303,4935,3298,4927,3298,4925,3297,4923,3297,4919,3296xm4990,3315l4988,3315,4988,3317,4990,3317,4990,3315xm4969,3284l4950,3284,4951,3285,4953,3285,4955,3286,4961,3290,4962,3292,4987,3315,4991,3315,4993,3314,4994,3313,4996,3313,4996,3312,4997,3312,4997,3311,4997,3310,4997,3310,4971,3285,4969,3284xm4952,3275l4949,3275,4943,3276,4939,3277,4935,3281,4933,3282,4931,3283,4930,3285,4929,3288,4928,3290,4928,3291,4927,3293,4927,3298,4935,3298,4935,3296,4936,3293,4937,3290,4938,3289,4941,3286,4942,3285,4944,3285,4948,3284,4969,3284,4968,3283,4966,3281,4960,3277,4958,3276,4952,3275xm5025,3248l5005,3248,5008,3249,5010,3249,5016,3254,5019,3257,5012,3262,5009,3264,5005,3267,5003,3269,5000,3271,4998,3274,4996,3279,4996,3282,4996,3284,4997,3286,4998,3289,5003,3292,5005,3295,5010,3296,5012,3297,5017,3297,5020,3296,5023,3296,5028,3293,5031,3291,5034,3290,5036,3288,5015,3288,5012,3286,5010,3284,5009,3283,5008,3282,5007,3281,5007,3279,5007,3278,5008,3275,5009,3274,5012,3270,5014,3269,5025,3262,5040,3262,5025,3248xm5040,3262l5025,3262,5034,3270,5033,3274,5033,3277,5031,3282,5029,3283,5026,3285,5020,3288,5036,3288,5040,3282,5041,3278,5041,3276,5053,3276,5053,3275,5053,3275,5040,3262xm5047,3279l5045,3279,5046,3281,5047,3281,5047,3279xm5053,3276l5041,3276,5045,3279,5049,3279,5050,3278,5052,3277,5053,3276xm5012,3240l5003,3240,5000,3241,4997,3241,4993,3243,4990,3246,4988,3247,4986,3248,4984,3249,4981,3253,4979,3255,4978,3257,4977,3259,4976,3261,4976,3262,4976,3262,4977,3264,4978,3266,4979,3266,4980,3267,4983,3267,4984,3264,4985,3262,4986,3261,4987,3260,4988,3259,4991,3255,4993,3254,4995,3252,4999,3249,5001,3249,5003,3248,5025,3248,5020,3243,5017,3242,5015,3241,5012,3240xm5073,3263l5071,3263,5071,3264,5073,3264,5073,3263xm5069,3202l5063,3202,5060,3203,5056,3204,5053,3206,5050,3207,5048,3210,5044,3216,5043,3219,5043,3224,5029,3224,5070,3263,5075,3263,5076,3262,5076,3262,5078,3261,5079,3260,5080,3260,5080,3259,5080,3257,5080,3257,5051,3230,5051,3226,5051,3223,5052,3220,5053,3217,5055,3214,5057,3213,5059,3212,5061,3212,5065,3211,5088,3211,5086,3209,5083,3206,5078,3204,5075,3203,5069,3202xm5088,3211l5069,3211,5071,3212,5073,3212,5074,3213,5076,3214,5078,3217,5105,3242,5108,3242,5110,3241,5113,3239,5114,3239,5114,3238,5115,3238,5115,3237,5114,3237,5089,3212,5088,3211xm5099,3181l5094,3181,5093,3182,5091,3183,5090,3183,5089,3184,5089,3184,5089,3185,5089,3187,5130,3226,5134,3226,5135,3225,5136,3225,5137,3224,5139,3223,5140,3221,5140,3221,5140,3220,5140,3220,5099,3181xm5037,3218l5035,3218,5034,3219,5033,3219,5031,3220,5030,3221,5030,3221,5029,3223,5029,3223,5029,3224,5043,3224,5038,3219,5037,3218xm5170,3159l5153,3159,5158,3162,5160,3163,5163,3167,5156,3171,5152,3174,5149,3176,5144,3181,5142,3184,5140,3189,5139,3191,5141,3196,5142,3198,5144,3200,5146,3202,5149,3204,5153,3205,5156,3206,5164,3206,5166,3205,5169,3204,5175,3202,5178,3199,5180,3197,5158,3197,5156,3196,5152,3192,5151,3191,5151,3190,5151,3189,5151,3188,5151,3187,5152,3184,5153,3183,5154,3182,5156,3181,5158,3178,5169,3171,5183,3171,5170,3159xm5183,3171l5169,3171,5177,3181,5177,3184,5176,3187,5175,3189,5174,3191,5172,3194,5170,3195,5167,3197,5180,3197,5183,3191,5184,3189,5185,3185,5197,3185,5197,3184,5197,3184,5183,3171xm5197,3185l5185,3185,5189,3189,5189,3190,5191,3190,5191,3189,5193,3189,5194,3188,5195,3188,5196,3187,5197,3187,5197,3185xm5098,3180l5096,3180,5095,3181,5098,3181,5098,3180xm5082,3163l5079,3163,5078,3164,5076,3166,5073,3167,5072,3168,5072,3169,5072,3170,5072,3173,5076,3175,5078,3176,5082,3176,5084,3175,5087,3173,5088,3171,5088,3170,5088,3169,5088,3168,5086,3167,5084,3164,5082,3163xm5156,3149l5147,3149,5144,3151,5140,3152,5137,3153,5131,3156,5130,3158,5126,3161,5125,3162,5123,3166,5122,3167,5120,3169,5120,3170,5120,3173,5120,3173,5121,3174,5122,3175,5123,3175,5123,3176,5127,3176,5127,3175,5128,3174,5129,3171,5131,3169,5132,3168,5133,3166,5134,3164,5136,3163,5138,3162,5141,3160,5143,3160,5145,3159,5170,3159,5169,3158,5166,3155,5164,3153,5161,3152,5156,3149xe" filled="true" fillcolor="#000000" stroked="false">
              <v:path arrowok="t"/>
              <v:fill type="solid"/>
            </v:shape>
            <v:shape style="position:absolute;left:5124;top:3149;width:747;height:479" coordorigin="5124,3149" coordsize="747,479" path="m5156,3570l5139,3570,5184,3613,5169,3622,5168,3624,5169,3625,5169,3626,5170,3626,5170,3627,5171,3627,5171,3628,5175,3628,5212,3606,5194,3606,5156,3570xm5210,3598l5208,3598,5194,3606,5212,3606,5214,3605,5214,3604,5214,3604,5214,3603,5214,3603,5214,3602,5214,3602,5213,3600,5213,3600,5212,3599,5211,3599,5210,3598xm5218,3517l5206,3517,5199,3519,5195,3520,5192,3523,5188,3525,5185,3527,5181,3533,5179,3535,5179,3538,5178,3540,5178,3542,5180,3547,5182,3549,5185,3553,5187,3554,5189,3555,5191,3556,5194,3557,5213,3557,5211,3560,5210,3562,5208,3567,5208,3569,5207,3574,5208,3576,5209,3579,5211,3582,5213,3583,5215,3585,5218,3588,5221,3588,5223,3589,5227,3590,5233,3590,5244,3586,5248,3584,5253,3581,5228,3581,5225,3579,5222,3576,5220,3575,5219,3574,5219,3573,5218,3570,5218,3567,5218,3566,5220,3562,5221,3560,5222,3557,5223,3555,5227,3555,5230,3554,5264,3554,5263,3553,5260,3550,5259,3549,5200,3549,5199,3548,5196,3547,5194,3546,5193,3545,5191,3542,5189,3540,5191,3534,5193,3532,5197,3530,5201,3527,5205,3526,5230,3526,5228,3524,5227,3523,5225,3520,5223,3519,5218,3517xm5142,3556l5139,3556,5138,3557,5138,3557,5136,3559,5136,3559,5134,3560,5134,3560,5133,3561,5133,3561,5133,3562,5124,3581,5124,3582,5124,3582,5125,3584,5126,3584,5126,3585,5127,3586,5129,3586,5129,3588,5130,3588,5131,3586,5132,3585,5132,3585,5139,3570,5156,3570,5142,3557,5142,3556xm5264,3554l5245,3554,5249,3555,5252,3557,5254,3561,5255,3563,5255,3567,5254,3570,5251,3573,5241,3578,5236,3581,5253,3581,5255,3579,5259,3577,5261,3575,5263,3571,5265,3569,5267,3563,5266,3561,5266,3559,5265,3556,5264,3554xm5230,3526l5214,3526,5215,3527,5217,3528,5220,3532,5221,3534,5221,3535,5221,3540,5220,3543,5218,3548,5214,3548,5212,3549,5259,3549,5257,3548,5255,3547,5252,3546,5228,3546,5229,3543,5230,3541,5231,3539,5231,3538,5232,3537,5232,3531,5230,3527,5230,3526xm5244,3545l5235,3545,5232,3546,5250,3546,5244,3545xm5306,3463l5291,3463,5288,3465,5285,3466,5282,3467,5281,3468,5280,3469,5278,3469,5276,3470,5261,3481,5260,3481,5259,3482,5259,3484,5259,3485,5315,3539,5319,3539,5321,3538,5322,3537,5323,3537,5323,3535,5324,3535,5325,3534,5325,3534,5326,3533,5325,3533,5300,3509,5309,3503,5311,3502,5294,3502,5274,3483,5284,3476,5287,3475,5288,3475,5289,3474,5294,3473,5297,3471,5319,3471,5317,3470,5315,3468,5313,3467,5311,3466,5308,3465,5306,3463xm5349,3501l5317,3501,5321,3502,5324,3502,5326,3503,5328,3503,5330,3504,5333,3505,5353,3514,5358,3514,5359,3513,5359,3513,5360,3512,5362,3512,5362,3511,5364,3510,5364,3510,5364,3509,5364,3507,5364,3507,5362,3506,5359,3505,5349,3501xm5319,3471l5297,3471,5303,3474,5306,3475,5308,3477,5309,3478,5310,3480,5312,3483,5312,3485,5311,3487,5311,3488,5310,3490,5308,3492,5305,3495,5294,3502,5311,3502,5315,3501,5349,3501,5338,3496,5336,3496,5332,3494,5318,3494,5320,3491,5321,3489,5322,3488,5323,3485,5323,3483,5323,3480,5323,3477,5321,3474,5319,3471xm5326,3492l5320,3492,5318,3494,5330,3494,5326,3492xm5383,3439l5372,3439,5364,3440,5360,3441,5356,3445,5353,3447,5350,3449,5346,3455,5345,3458,5344,3465,5345,3468,5347,3471,5349,3475,5351,3478,5355,3482,5358,3485,5362,3488,5370,3492,5374,3494,5386,3494,5394,3491,5398,3490,5405,3485,5383,3485,5378,3484,5375,3483,5370,3481,5368,3478,5366,3477,5374,3471,5360,3471,5359,3470,5357,3468,5355,3465,5355,3462,5355,3459,5356,3456,5358,3453,5359,3452,5362,3451,5366,3447,5371,3446,5395,3446,5393,3444,5389,3442,5386,3440,5383,3439xm5413,3467l5410,3467,5410,3468,5409,3469,5407,3471,5406,3473,5403,3476,5402,3477,5400,3480,5397,3481,5394,3483,5391,3484,5386,3485,5405,3485,5407,3484,5409,3482,5411,3481,5414,3477,5415,3476,5416,3474,5417,3474,5417,3473,5417,3471,5417,3471,5417,3470,5416,3470,5416,3469,5415,3469,5415,3468,5413,3467xm5395,3446l5371,3446,5380,3448,5384,3451,5388,3454,5360,3471,5374,3471,5399,3455,5400,3455,5401,3454,5401,3453,5401,3453,5401,3452,5400,3451,5398,3449,5395,3446xm5300,3462l5297,3463,5303,3463,5300,3462xm5404,3417l5401,3417,5401,3418,5399,3418,5398,3419,5397,3419,5396,3420,5395,3422,5394,3422,5394,3423,5394,3424,5436,3463,5439,3463,5440,3462,5443,3460,5444,3460,5445,3459,5445,3459,5445,3458,5445,3458,5404,3418,5404,3417xm5461,3384l5458,3384,5451,3386,5448,3387,5445,3389,5442,3390,5439,3392,5436,3398,5435,3403,5435,3406,5421,3406,5462,3446,5462,3447,5465,3447,5465,3446,5467,3446,5470,3444,5471,3442,5472,3442,5472,3441,5472,3440,5471,3440,5443,3413,5443,3408,5443,3405,5445,3399,5447,3397,5449,3396,5451,3395,5453,3395,5457,3394,5480,3394,5478,3391,5475,3390,5470,3387,5467,3386,5461,3384xm5480,3394l5460,3394,5464,3396,5466,3396,5468,3397,5470,3399,5497,3425,5499,3425,5500,3424,5502,3424,5504,3422,5505,3422,5506,3420,5506,3420,5506,3419,5506,3419,5481,3395,5480,3394xm5388,3401l5385,3401,5383,3402,5378,3404,5377,3405,5377,3408,5378,3409,5381,3412,5383,3413,5388,3413,5390,3411,5392,3410,5393,3409,5393,3408,5394,3406,5393,3405,5391,3404,5389,3402,5388,3401xm5429,3402l5425,3402,5423,3403,5422,3404,5421,3404,5421,3405,5420,3405,5421,3406,5435,3406,5429,3402xm5531,3346l5519,3346,5515,3347,5511,3347,5507,3350,5498,3355,5495,3358,5491,3365,5490,3367,5490,3374,5490,3377,5492,3381,5494,3384,5496,3388,5500,3390,5503,3394,5507,3397,5511,3398,5514,3401,5518,3402,5526,3403,5530,3403,5534,3402,5538,3401,5543,3399,5551,3394,5526,3394,5521,3392,5519,3391,5513,3388,5511,3387,5509,3384,5506,3382,5505,3380,5502,3375,5501,3373,5501,3368,5501,3366,5504,3362,5506,3360,5509,3359,5512,3356,5514,3355,5517,3355,5520,3354,5546,3354,5543,3352,5535,3348,5531,3346xm5429,3401l5427,3401,5426,3402,5429,3402,5429,3401xm5546,3354l5523,3354,5528,3356,5536,3360,5541,3365,5543,3367,5545,3369,5548,3374,5548,3376,5549,3380,5548,3382,5546,3387,5544,3388,5541,3390,5535,3392,5532,3394,5551,3394,5554,3390,5558,3384,5560,3381,5560,3374,5559,3372,5557,3368,5556,3365,5553,3361,5550,3358,5546,3354xm5565,3291l5561,3291,5560,3292,5559,3292,5558,3294,5557,3295,5556,3295,5556,3296,5555,3296,5555,3297,5555,3297,5592,3333,5596,3337,5600,3339,5604,3341,5608,3342,5612,3343,5625,3343,5629,3342,5633,3341,5637,3339,5641,3337,5646,3334,5615,3334,5606,3331,5601,3326,5565,3291xm5610,3262l5607,3262,5606,3263,5605,3263,5603,3264,5602,3266,5602,3267,5600,3267,5600,3268,5601,3269,5637,3304,5640,3306,5642,3309,5644,3313,5644,3316,5644,3320,5643,3323,5642,3324,5640,3326,5638,3328,5635,3330,5632,3332,5630,3333,5627,3334,5646,3334,5649,3331,5652,3328,5654,3325,5655,3321,5656,3314,5656,3311,5653,3304,5650,3300,5647,3297,5610,3262xm5652,3261l5648,3261,5648,3262,5646,3263,5645,3263,5644,3264,5644,3264,5644,3266,5644,3267,5685,3306,5689,3306,5690,3305,5691,3304,5692,3304,5693,3303,5694,3303,5694,3302,5695,3302,5695,3300,5695,3300,5666,3273,5666,3268,5666,3267,5658,3267,5652,3261xm5702,3253l5682,3253,5685,3254,5689,3256,5691,3258,5693,3259,5720,3284,5723,3284,5725,3283,5727,3282,5728,3281,5729,3281,5729,3280,5729,3280,5729,3278,5729,3278,5704,3254,5702,3253xm5715,3222l5712,3222,5711,3223,5709,3223,5707,3225,5706,3225,5705,3226,5705,3226,5705,3227,5705,3227,5747,3267,5747,3268,5750,3268,5750,3267,5752,3267,5754,3266,5754,3264,5755,3264,5755,3263,5756,3263,5756,3262,5756,3262,5756,3261,5715,3222xm5684,3244l5681,3244,5674,3245,5671,3246,5668,3248,5665,3251,5662,3253,5659,3259,5658,3262,5658,3267,5666,3267,5666,3264,5667,3262,5668,3260,5670,3258,5672,3256,5676,3254,5680,3253,5702,3253,5701,3252,5698,3249,5693,3246,5690,3245,5684,3244xm5756,3165l5752,3165,5751,3166,5750,3166,5749,3167,5748,3167,5748,3168,5747,3168,5746,3169,5746,3169,5746,3170,5746,3170,5770,3194,5762,3194,5755,3195,5751,3196,5745,3199,5742,3202,5739,3208,5738,3211,5739,3217,5740,3220,5742,3224,5743,3226,5746,3230,5750,3233,5753,3237,5756,3239,5763,3244,5766,3245,5774,3246,5777,3247,5785,3246,5789,3244,5793,3241,5796,3240,5798,3237,5775,3237,5770,3235,5768,3234,5763,3231,5761,3228,5757,3225,5755,3223,5754,3220,5752,3218,5751,3217,5750,3212,5750,3210,5752,3206,5753,3205,5756,3203,5758,3202,5761,3201,5793,3201,5756,3165xm5793,3201l5773,3201,5778,3202,5795,3217,5795,3222,5794,3225,5794,3227,5792,3230,5791,3232,5790,3233,5789,3233,5788,3234,5785,3235,5783,3237,5798,3237,5800,3234,5802,3231,5803,3227,5803,3224,5817,3224,5793,3201xm5811,3228l5809,3228,5810,3230,5811,3228xm5817,3224l5803,3224,5808,3228,5812,3228,5813,3227,5815,3227,5815,3226,5816,3225,5817,3225,5817,3224xm5699,3205l5696,3205,5694,3206,5689,3209,5688,3210,5688,3212,5689,3213,5690,3216,5694,3218,5697,3218,5698,3217,5703,3215,5704,3213,5704,3211,5704,3210,5702,3208,5699,3205xm5834,3149l5830,3151,5826,3151,5822,3152,5818,3154,5809,3159,5806,3162,5804,3166,5802,3168,5801,3172,5800,3179,5801,3182,5803,3186,5805,3189,5807,3191,5814,3198,5818,3201,5825,3205,5829,3206,5837,3208,5841,3208,5845,3206,5849,3205,5862,3198,5837,3198,5832,3197,5829,3196,5827,3194,5824,3192,5822,3190,5820,3188,5817,3187,5816,3184,5813,3180,5812,3177,5812,3173,5812,3170,5815,3167,5817,3165,5819,3163,5822,3161,5825,3160,5831,3159,5857,3159,5854,3156,5850,3154,5846,3152,5842,3151,5834,3149xm5857,3159l5834,3159,5839,3160,5842,3161,5844,3163,5847,3165,5849,3167,5851,3169,5854,3172,5856,3174,5857,3175,5859,3177,5859,3180,5860,3184,5859,3187,5857,3190,5855,3192,5852,3195,5846,3197,5840,3198,5862,3198,5865,3195,5869,3189,5870,3186,5871,3179,5870,3175,5868,3172,5867,3169,5864,3166,5857,3159xe" filled="true" fillcolor="#000000" stroked="false">
              <v:path arrowok="t"/>
              <v:fill type="solid"/>
            </v:shape>
            <v:shape style="position:absolute;left:6052;top:3150;width:510;height:325" coordorigin="6052,3150" coordsize="510,325" path="m6083,3416l6067,3416,6112,3459,6096,3468,6096,3468,6096,3469,6096,3471,6097,3472,6097,3472,6098,3473,6099,3474,6103,3474,6139,3452,6121,3452,6083,3416xm6137,3444l6135,3444,6121,3452,6139,3452,6141,3451,6141,3450,6142,3450,6142,3448,6141,3447,6140,3446,6140,3446,6139,3445,6138,3445,6137,3444xm6157,3438l6154,3438,6155,3439,6157,3438xm6162,3437l6152,3437,6153,3438,6161,3438,6162,3437xm6180,3393l6166,3393,6169,3395,6171,3399,6172,3401,6174,3404,6175,3407,6175,3410,6176,3412,6175,3416,6174,3418,6172,3421,6169,3424,6166,3426,6164,3428,6162,3428,6159,3430,6157,3430,6156,3431,6153,3431,6152,3432,6150,3432,6149,3433,6149,3433,6149,3435,6150,3435,6150,3436,6151,3436,6151,3437,6163,3437,6165,3436,6168,3435,6170,3433,6176,3430,6179,3426,6181,3424,6184,3422,6185,3418,6187,3412,6187,3409,6185,3403,6184,3401,6181,3395,6180,3393xm6069,3402l6067,3402,6066,3403,6065,3403,6064,3404,6063,3404,6062,3406,6062,3406,6061,3407,6060,3407,6052,3428,6052,3430,6053,3430,6054,3431,6055,3432,6056,3432,6057,3433,6058,3433,6058,3432,6059,3431,6059,3431,6067,3416,6083,3416,6069,3403,6069,3402xm6142,3364l6130,3364,6121,3367,6118,3370,6114,3372,6111,3374,6109,3378,6107,3381,6106,3383,6105,3389,6106,3393,6107,3395,6109,3399,6111,3401,6113,3403,6116,3406,6119,3408,6124,3411,6127,3412,6137,3412,6141,3411,6145,3411,6149,3409,6156,3404,6158,3403,6132,3403,6130,3402,6128,3401,6126,3400,6124,3399,6123,3396,6121,3395,6120,3394,6119,3392,6118,3389,6117,3388,6117,3386,6117,3385,6117,3382,6120,3379,6121,3378,6124,3375,6126,3374,6129,3373,6134,3372,6159,3372,6156,3371,6150,3367,6142,3364xm6159,3372l6134,3372,6136,3373,6139,3373,6145,3375,6149,3378,6152,3380,6155,3383,6159,3387,6159,3389,6157,3392,6153,3396,6151,3397,6148,3400,6143,3402,6139,3403,6158,3403,6159,3402,6163,3397,6165,3395,6166,3393,6180,3393,6179,3392,6175,3386,6173,3383,6170,3381,6167,3379,6165,3376,6162,3374,6159,3372xm6226,3304l6223,3304,6188,3327,6188,3327,6187,3328,6186,3330,6187,3331,6242,3383,6243,3385,6246,3385,6247,3383,6248,3383,6264,3373,6247,3373,6226,3353,6237,3346,6220,3346,6201,3329,6230,3310,6230,3310,6230,3309,6230,3308,6229,3308,6228,3307,6228,3306,6227,3306,6226,3304xm6279,3354l6276,3354,6247,3373,6264,3373,6283,3361,6283,3360,6283,3360,6283,3359,6283,3359,6283,3358,6282,3358,6281,3357,6281,3357,6280,3356,6279,3356,6279,3354xm6323,3322l6306,3322,6309,3323,6310,3323,6311,3324,6312,3325,6313,3327,6313,3329,6313,3330,6313,3331,6313,3332,6312,3334,6310,3336,6309,3337,6307,3338,6303,3340,6301,3340,6299,3342,6294,3342,6292,3343,6288,3343,6288,3344,6288,3345,6289,3346,6289,3346,6290,3347,6292,3349,6293,3350,6299,3350,6300,3349,6304,3347,6306,3347,6307,3346,6309,3345,6311,3345,6313,3344,6316,3342,6318,3339,6320,3338,6322,3336,6323,3334,6325,3329,6325,3327,6324,3324,6323,3322xm6247,3331l6244,3331,6220,3346,6237,3346,6251,3337,6251,3337,6251,3336,6251,3335,6250,3335,6250,3334,6249,3332,6248,3332,6247,3331xm6364,3336l6362,3336,6363,3337,6364,3336xm6312,3275l6308,3275,6307,3277,6306,3278,6305,3278,6304,3279,6303,3279,6303,3280,6304,3281,6361,3336,6364,3336,6367,3335,6367,3335,6369,3334,6370,3332,6371,3332,6371,3331,6371,3331,6371,3330,6371,3330,6350,3310,6364,3310,6366,3309,6369,3308,6370,3308,6372,3307,6375,3304,6377,3303,6347,3303,6342,3302,6326,3287,6326,3282,6326,3281,6317,3281,6312,3275xm6286,3325l6273,3325,6275,3327,6281,3327,6286,3325xm6293,3296l6273,3296,6271,3297,6268,3300,6266,3302,6263,3306,6262,3308,6261,3310,6261,3313,6261,3314,6262,3318,6264,3320,6265,3321,6267,3323,6271,3325,6288,3325,6294,3324,6298,3323,6300,3323,6304,3322,6323,3322,6322,3321,6320,3318,6319,3317,6276,3317,6275,3316,6274,3315,6273,3314,6272,3314,6272,3313,6271,3311,6271,3310,6272,3309,6272,3309,6272,3308,6274,3306,6276,3304,6277,3303,6281,3301,6284,3301,6286,3300,6290,3300,6292,3299,6293,3299,6293,3297,6293,3296xm6312,3314l6299,3314,6297,3315,6291,3316,6289,3316,6287,3317,6319,3317,6318,3316,6316,3315,6314,3315,6312,3314xm6306,3313l6303,3314,6310,3314,6306,3313xm6368,3267l6345,3267,6348,3268,6350,3268,6353,3270,6357,3273,6360,3275,6362,3278,6364,3279,6365,3281,6368,3286,6369,3287,6370,3292,6370,3294,6368,3297,6367,3300,6364,3301,6362,3302,6359,3303,6377,3303,6378,3302,6381,3296,6382,3293,6382,3287,6381,3284,6377,3278,6374,3274,6371,3271,6368,3267xm6292,3295l6276,3295,6274,3296,6292,3296,6292,3295xm6289,3293l6281,3293,6279,3294,6277,3295,6291,3295,6291,3294,6289,3294,6289,3293xm6343,3257l6335,3258,6328,3263,6326,3263,6325,3265,6322,3267,6321,3268,6321,3270,6320,3271,6319,3273,6319,3274,6318,3277,6317,3281,6326,3281,6326,3279,6327,3277,6328,3274,6329,3273,6330,3271,6332,3271,6335,3268,6338,3267,6368,3267,6364,3265,6357,3260,6354,3259,6350,3258,6347,3258,6343,3257xm6417,3232l6398,3232,6400,3234,6403,3235,6405,3236,6407,3238,6410,3241,6403,3245,6399,3248,6396,3250,6393,3253,6390,3256,6388,3258,6386,3263,6386,3265,6387,3267,6387,3270,6389,3272,6393,3277,6395,3278,6400,3280,6410,3280,6413,3279,6416,3279,6418,3277,6421,3275,6424,3273,6425,3272,6411,3272,6405,3271,6402,3271,6400,3268,6399,3267,6398,3266,6398,3265,6397,3263,6397,3261,6399,3259,6400,3257,6403,3255,6405,3253,6415,3246,6431,3246,6417,3232xm6431,3246l6415,3246,6424,3255,6424,3258,6423,3260,6421,3265,6419,3267,6417,3268,6414,3271,6411,3272,6425,3272,6426,3271,6430,3266,6431,3263,6431,3259,6444,3259,6443,3258,6431,3246xm6444,3259l6431,3259,6435,3264,6439,3264,6440,3263,6441,3263,6442,3261,6443,3260,6444,3260,6444,3259xm6373,3250l6370,3250,6371,3251,6373,3251,6373,3250xm6397,3223l6393,3223,6390,3224,6387,3225,6384,3227,6380,3229,6378,3231,6376,3232,6374,3234,6371,3236,6369,3239,6368,3241,6367,3242,6366,3244,6366,3246,6367,3248,6367,3248,6369,3249,6369,3250,6374,3250,6374,3249,6375,3246,6376,3245,6377,3243,6378,3242,6381,3239,6383,3237,6385,3236,6389,3234,6391,3234,6393,3232,6417,3232,6413,3229,6410,3228,6408,3225,6405,3224,6402,3224,6397,3223xm6428,3202l6425,3202,6424,3203,6423,3203,6421,3205,6421,3205,6420,3206,6419,3206,6419,3207,6419,3207,6419,3208,6461,3248,6464,3248,6465,3246,6467,3246,6468,3245,6470,3244,6470,3243,6470,3243,6470,3242,6470,3242,6441,3214,6441,3209,6441,3208,6433,3208,6428,3202xm6498,3225l6496,3225,6497,3227,6498,3225xm6479,3195l6461,3195,6463,3196,6465,3198,6467,3199,6469,3200,6495,3225,6498,3225,6500,3224,6503,3223,6503,3223,6504,3222,6505,3222,6505,3221,6505,3220,6479,3195xm6459,3185l6456,3185,6450,3186,6446,3187,6443,3189,6440,3192,6438,3194,6435,3200,6434,3203,6433,3208,6441,3208,6443,3203,6444,3201,6445,3199,6448,3198,6451,3195,6479,3195,6476,3193,6474,3191,6468,3187,6465,3186,6459,3185xm6534,3159l6517,3159,6521,3162,6522,3163,6524,3164,6527,3167,6520,3172,6516,3174,6513,3177,6510,3179,6507,3181,6506,3184,6503,3189,6503,3192,6504,3194,6504,3196,6506,3199,6508,3201,6510,3202,6512,3205,6515,3205,6519,3207,6527,3207,6538,3202,6541,3200,6544,3198,6522,3198,6519,3196,6516,3193,6515,3192,6515,3191,6514,3189,6515,3188,6515,3187,6516,3185,6517,3184,6518,3183,6520,3180,6522,3179,6524,3178,6532,3172,6547,3172,6534,3159xm6417,3196l6413,3196,6414,3198,6416,3198,6417,3196xm6547,3172l6532,3172,6541,3181,6541,3185,6540,3187,6538,3192,6536,3194,6531,3198,6544,3198,6547,3192,6548,3189,6548,3186,6561,3186,6561,3185,6560,3185,6547,3172xm6442,3164l6439,3164,6438,3165,6437,3165,6436,3166,6435,3167,6434,3167,6435,3169,6435,3169,6437,3170,6438,3172,6438,3173,6438,3174,6437,3176,6435,3177,6433,3177,6424,3178,6418,3178,6416,3179,6414,3180,6410,3183,6409,3185,6408,3191,6410,3194,6413,3196,6419,3196,6419,3195,6420,3195,6420,3194,6421,3194,6420,3193,6419,3192,6418,3191,6417,3189,6417,3188,6418,3187,6419,3186,6420,3185,6434,3185,6436,3184,6439,3184,6440,3183,6441,3181,6445,3179,6446,3177,6447,3171,6446,3169,6442,3165,6442,3164xm6560,3186l6548,3186,6552,3189,6553,3191,6555,3191,6555,3189,6556,3189,6559,3188,6560,3187,6560,3187,6560,3186xm6519,3150l6511,3150,6504,3152,6501,3153,6495,3157,6493,3158,6490,3162,6489,3163,6486,3166,6485,3167,6485,3169,6484,3170,6483,3171,6483,3171,6483,3173,6484,3173,6484,3174,6486,3176,6486,3176,6487,3177,6490,3177,6491,3176,6491,3174,6492,3173,6493,3172,6494,3170,6495,3169,6497,3166,6498,3165,6500,3164,6502,3163,6505,3160,6506,3160,6508,3159,6534,3159,6533,3158,6530,3156,6527,3153,6525,3152,6519,3150xe" filled="true" fillcolor="#000000" stroked="false">
              <v:path arrowok="t"/>
              <v:fill type="solid"/>
            </v:shape>
            <v:shape style="position:absolute;left:6342;top:3146;width:899;height:571" coordorigin="6342,3146" coordsize="899,571" path="m6425,3678l6405,3678,6407,3679,6410,3680,6412,3681,6415,3684,6416,3686,6417,3689,6417,3691,6417,3693,6416,3694,6416,3695,6414,3698,6413,3699,6411,3701,6408,3702,6406,3704,6400,3707,6398,3707,6395,3708,6393,3708,6391,3709,6385,3709,6385,3710,6384,3710,6384,3711,6385,3713,6386,3714,6387,3714,6388,3715,6389,3716,6398,3716,6402,3715,6410,3711,6412,3710,6415,3709,6419,3707,6422,3703,6426,3698,6428,3695,6429,3689,6429,3687,6428,3684,6427,3681,6425,3678xm6375,3688l6373,3688,6375,3689,6375,3688xm6394,3653l6374,3653,6375,3655,6378,3656,6380,3657,6383,3659,6384,3662,6385,3665,6385,3667,6385,3668,6384,3672,6381,3675,6379,3677,6376,3679,6370,3682,6369,3682,6369,3685,6370,3686,6370,3686,6371,3687,6371,3687,6372,3688,6376,3688,6386,3682,6389,3680,6395,3679,6398,3678,6425,3678,6422,3675,6421,3674,6420,3673,6391,3673,6393,3671,6394,3670,6395,3667,6396,3665,6396,3664,6396,3659,6396,3658,6395,3656,6394,3653xm6455,3681l6451,3681,6452,3682,6455,3682,6455,3681xm6452,3616l6432,3616,6434,3617,6436,3617,6437,3619,6439,3619,6441,3620,6442,3621,6443,3622,6444,3624,6447,3628,6448,3629,6449,3635,6449,3637,6450,3642,6450,3645,6450,3649,6446,3675,6447,3678,6448,3679,6448,3679,6449,3680,6449,3680,6450,3681,6456,3681,6474,3670,6458,3670,6460,3646,6461,3642,6460,3634,6460,3630,6459,3627,6458,3624,6457,3622,6454,3617,6452,3616xm6411,3670l6400,3670,6397,3671,6394,3672,6391,3673,6420,3673,6418,3672,6416,3671,6413,3671,6411,3670xm6381,3644l6365,3644,6362,3645,6359,3648,6355,3649,6353,3651,6351,3652,6349,3655,6348,3656,6346,3657,6345,3659,6344,3660,6343,3662,6343,3663,6342,3665,6342,3667,6342,3667,6343,3668,6343,3670,6344,3670,6345,3671,6346,3672,6349,3672,6349,3671,6350,3668,6351,3667,6352,3666,6352,3665,6354,3663,6355,3662,6356,3659,6358,3658,6362,3656,6364,3655,6366,3655,6368,3653,6394,3653,6392,3652,6388,3649,6386,3646,6383,3645,6381,3644xm6491,3649l6491,3649,6490,3650,6458,3670,6474,3670,6496,3656,6497,3656,6497,3653,6496,3652,6496,3652,6495,3651,6494,3651,6494,3650,6492,3650,6491,3649xm6372,3643l6369,3644,6378,3644,6372,3643xm6408,3635l6405,3635,6406,3636,6407,3636,6408,3635xm6438,3607l6428,3607,6424,3608,6421,3608,6417,3610,6410,3615,6406,3619,6405,3620,6404,3622,6403,3623,6402,3624,6401,3627,6400,3629,6400,3630,6400,3630,6401,3632,6402,3632,6403,3634,6404,3634,6404,3635,6409,3635,6409,3632,6410,3631,6411,3629,6412,3628,6413,3627,6415,3623,6417,3621,6420,3620,6424,3617,6426,3617,6428,3616,6452,3616,6450,3614,6448,3612,6446,3610,6441,3608,6438,3607xm6523,3547l6521,3547,6486,3569,6485,3570,6484,3570,6483,3572,6484,3573,6539,3625,6540,3627,6544,3627,6545,3625,6561,3615,6544,3615,6523,3595,6532,3589,6517,3589,6498,3571,6527,3553,6527,3552,6527,3552,6527,3551,6527,3551,6527,3550,6526,3550,6525,3549,6525,3549,6523,3547xm6575,3596l6573,3596,6544,3615,6561,3615,6580,3603,6580,3603,6580,3602,6580,3601,6580,3601,6579,3600,6579,3599,6578,3599,6577,3598,6576,3598,6575,3596xm6605,3588l6586,3588,6587,3589,6589,3591,6590,3592,6596,3592,6597,3591,6601,3591,6603,3589,6605,3588xm6544,3573l6541,3573,6517,3589,6532,3589,6548,3579,6548,3579,6548,3578,6548,3578,6547,3577,6547,3576,6546,3576,6545,3574,6544,3574,6544,3573xm6620,3564l6601,3564,6603,3565,6606,3565,6607,3566,6608,3567,6609,3569,6610,3570,6611,3571,6611,3572,6610,3573,6610,3574,6609,3576,6607,3578,6606,3579,6604,3580,6600,3583,6598,3583,6596,3584,6592,3584,6591,3585,6586,3585,6585,3586,6585,3586,6585,3587,6585,3587,6586,3588,6606,3588,6610,3586,6613,3584,6615,3583,6617,3580,6619,3578,6620,3576,6622,3571,6622,3569,6621,3567,6620,3565,6620,3564xm6590,3540l6568,3540,6565,3542,6563,3544,6560,3549,6559,3550,6558,3553,6558,3556,6559,3560,6561,3562,6562,3564,6568,3567,6570,3569,6583,3569,6585,3567,6591,3566,6595,3565,6597,3565,6601,3564,6620,3564,6619,3563,6617,3560,6576,3560,6573,3559,6572,3558,6571,3557,6570,3557,6569,3556,6569,3555,6569,3552,6569,3551,6570,3550,6571,3548,6573,3547,6574,3545,6576,3544,6578,3544,6579,3543,6581,3543,6583,3542,6589,3542,6590,3541,6590,3541,6590,3540xm6609,3556l6596,3556,6594,3557,6588,3558,6586,3559,6582,3559,6578,3560,6617,3560,6615,3559,6613,3558,6611,3557,6609,3556xm6601,3505l6598,3505,6598,3506,6596,3506,6594,3507,6593,3508,6593,3508,6592,3509,6592,3509,6592,3511,6592,3511,6602,3521,6595,3526,6594,3526,6594,3527,6608,3527,6635,3552,6637,3553,6639,3555,6641,3556,6644,3557,6648,3558,6651,3558,6653,3557,6656,3557,6658,3556,6661,3553,6662,3553,6663,3552,6665,3551,6667,3549,6651,3549,6648,3548,6646,3548,6643,3545,6617,3521,6627,3515,6611,3515,6601,3505xm6668,3545l6657,3545,6653,3548,6651,3549,6667,3549,6667,3548,6668,3548,6668,3545xm6667,3544l6659,3544,6658,3545,6667,3545,6667,3544xm6665,3543l6660,3543,6659,3544,6666,3544,6665,3543xm6663,3541l6661,3541,6661,3542,6660,3542,6660,3543,6665,3543,6663,3541xm6588,3537l6573,3537,6571,3538,6570,3540,6590,3540,6589,3538,6589,3538,6588,3537xm6587,3536l6576,3536,6574,3537,6588,3537,6587,3536xm6586,3535l6580,3535,6579,3536,6586,3536,6586,3535xm6693,3488l6676,3488,6683,3493,6686,3497,6679,3501,6675,3504,6672,3506,6669,3508,6666,3511,6665,3514,6663,3519,6662,3521,6663,3523,6663,3526,6665,3528,6667,3530,6669,3531,6671,3534,6676,3535,6679,3536,6686,3536,6697,3531,6700,3529,6703,3527,6681,3527,6678,3526,6676,3523,6675,3522,6674,3521,6674,3520,6673,3519,6673,3517,6675,3514,6676,3513,6679,3509,6681,3508,6683,3507,6691,3501,6706,3501,6693,3488xm6608,3527l6594,3527,6595,3528,6595,3529,6596,3529,6598,3531,6600,3531,6608,3527xm6706,3501l6691,3501,6700,3511,6700,3514,6699,3516,6697,3521,6695,3523,6693,3524,6690,3527,6703,3527,6704,3524,6706,3521,6707,3519,6707,3515,6720,3515,6720,3514,6719,3514,6706,3501xm6719,3515l6707,3515,6711,3519,6712,3520,6714,3520,6714,3519,6715,3519,6717,3517,6718,3516,6719,3515xm6627,3506l6625,3506,6611,3515,6627,3515,6631,3513,6631,3512,6631,3512,6631,3511,6630,3509,6629,3508,6628,3507,6627,3507,6627,3506xm6678,3479l6670,3479,6666,3480,6663,3481,6660,3483,6656,3485,6654,3486,6652,3487,6651,3490,6649,3491,6648,3492,6646,3493,6645,3495,6644,3497,6644,3498,6642,3500,6642,3502,6643,3502,6644,3504,6645,3505,6645,3505,6646,3506,6650,3506,6650,3504,6652,3501,6653,3500,6653,3499,6654,3498,6657,3494,6659,3493,6663,3490,6666,3490,6667,3488,6693,3488,6692,3487,6689,3485,6686,3483,6684,3481,6681,3480,6678,3479xm6718,3418l6714,3418,6714,3419,6713,3419,6710,3421,6709,3421,6709,3422,6708,3422,6708,3423,6709,3423,6733,3447,6724,3447,6717,3448,6714,3449,6707,3452,6705,3455,6701,3461,6701,3464,6701,3470,6702,3473,6706,3480,6709,3483,6715,3490,6718,3492,6725,3497,6732,3499,6736,3499,6740,3500,6747,3499,6751,3497,6758,3493,6761,3490,6737,3490,6735,3488,6732,3488,6730,3487,6725,3484,6723,3481,6719,3478,6717,3476,6716,3473,6714,3471,6714,3470,6713,3465,6713,3463,6714,3459,6716,3458,6718,3456,6721,3455,6724,3454,6755,3454,6718,3418xm6755,3454l6736,3454,6741,3455,6757,3470,6757,3473,6757,3474,6756,3478,6756,3480,6754,3484,6752,3486,6751,3486,6750,3487,6748,3490,6761,3490,6762,3487,6764,3484,6765,3480,6765,3477,6779,3477,6755,3454xm6773,3481l6771,3481,6772,3483,6773,3481xm6779,3477l6765,3477,6771,3481,6775,3481,6776,3480,6777,3480,6778,3479,6779,3479,6779,3478,6779,3478,6779,3477xm6796,3402l6792,3404,6788,3404,6784,3405,6780,3407,6772,3412,6768,3415,6766,3419,6764,3421,6763,3425,6763,3432,6764,3435,6765,3438,6767,3442,6770,3444,6776,3451,6780,3454,6788,3458,6791,3459,6799,3461,6804,3461,6808,3459,6812,3458,6824,3451,6800,3451,6797,3450,6794,3450,6792,3449,6789,3447,6787,3445,6784,3443,6782,3442,6780,3440,6778,3437,6775,3433,6775,3430,6774,3426,6775,3423,6777,3420,6779,3418,6782,3416,6785,3414,6788,3413,6793,3412,6820,3412,6816,3409,6808,3405,6805,3404,6796,3402xm6820,3412l6796,3412,6802,3413,6804,3414,6807,3416,6809,3418,6812,3420,6814,3422,6816,3425,6818,3427,6821,3430,6822,3433,6822,3437,6821,3440,6819,3443,6817,3445,6814,3448,6811,3449,6808,3450,6802,3451,6824,3451,6828,3448,6832,3442,6833,3438,6833,3432,6832,3428,6831,3426,6829,3422,6826,3419,6820,3412xm6867,3423l6849,3423,6849,3425,6851,3426,6852,3427,6858,3427,6861,3426,6863,3426,6865,3425,6867,3423xm6882,3400l6868,3400,6869,3401,6871,3404,6872,3405,6872,3405,6873,3407,6872,3408,6872,3409,6871,3411,6870,3412,6869,3413,6868,3414,6866,3415,6862,3418,6860,3418,6858,3419,6856,3419,6853,3420,6848,3420,6847,3421,6847,3422,6847,3422,6848,3423,6868,3423,6870,3422,6872,3421,6875,3419,6877,3418,6879,3415,6881,3413,6882,3411,6884,3406,6884,3404,6883,3402,6882,3400xm6849,3371l6838,3371,6836,3372,6833,3373,6832,3375,6827,3377,6825,3379,6822,3384,6821,3385,6820,3389,6820,3392,6821,3393,6821,3396,6823,3397,6824,3399,6826,3400,6828,3401,6830,3402,6832,3404,6845,3404,6847,3402,6849,3402,6852,3401,6855,3401,6857,3400,6882,3400,6881,3398,6879,3396,6838,3396,6837,3394,6835,3394,6834,3393,6832,3392,6831,3391,6831,3390,6831,3389,6831,3387,6831,3386,6832,3385,6833,3383,6835,3382,6836,3380,6838,3379,6840,3379,6841,3378,6843,3378,6845,3377,6851,3377,6852,3376,6852,3375,6852,3375,6851,3373,6851,3373,6850,3372,6850,3372,6849,3371xm6871,3391l6858,3391,6856,3392,6854,3392,6850,3393,6848,3394,6844,3394,6840,3396,6879,3396,6877,3394,6873,3392,6871,3391xm6884,3320l6880,3320,6878,3321,6877,3322,6876,3322,6875,3324,6875,3324,6875,3325,6874,3325,6874,3326,6875,3326,6911,3361,6915,3364,6919,3368,6927,3371,6931,3372,6944,3372,6948,3371,6952,3370,6960,3365,6965,3363,6934,3363,6931,3362,6928,3361,6926,3358,6923,3357,6920,3354,6884,3320xm6848,3370l6842,3370,6841,3371,6848,3371,6848,3370xm6930,3291l6926,3291,6925,3292,6924,3292,6924,3293,6922,3293,6921,3294,6921,3294,6920,3296,6920,3296,6920,3297,6920,3297,6956,3332,6959,3334,6961,3337,6962,3340,6963,3342,6964,3344,6963,3347,6963,3349,6962,3350,6959,3355,6957,3357,6954,3358,6952,3361,6949,3362,6946,3362,6943,3363,6965,3363,6968,3360,6971,3356,6973,3354,6975,3350,6975,3344,6975,3342,6975,3340,6972,3333,6969,3329,6930,3291xm7003,3272l7000,3272,6994,3274,6990,3275,6987,3277,6984,3278,6982,3281,6978,3287,6977,3291,6977,3294,6963,3294,7004,3334,7005,3335,7008,3335,7008,3334,7010,3334,7011,3333,7013,3332,7013,3330,7014,3330,7014,3329,7014,3328,6985,3301,6985,3296,6985,3293,6987,3291,6987,3287,6989,3286,6991,3284,6993,3283,6995,3283,6999,3282,7022,3282,7017,3278,7015,3276,7009,3274,7003,3272xm6884,3319l6882,3319,6881,3320,6884,3320,6884,3319xm7022,3282l7001,3282,7005,3283,7007,3284,7010,3285,7013,3287,7039,3313,7043,3313,7043,3312,7044,3312,7045,3311,7046,3311,7047,3310,7048,3310,7048,3308,7049,3308,7049,3307,7048,3307,7023,3283,7022,3282xm7068,3296l7066,3296,7066,3297,7067,3297,7068,3296xm7034,3250l7030,3250,7030,3251,7029,3251,7026,3253,7026,3254,7025,3254,7025,3255,7024,3255,7024,3256,7025,3256,7066,3296,7070,3296,7071,3294,7073,3293,7075,3292,7075,3292,7075,3290,7075,3290,7034,3250xm6972,3290l6967,3290,6966,3291,6965,3292,6964,3292,6963,3293,6963,3294,6977,3294,6972,3290xm6969,3289l6969,3290,6971,3290,6969,3289xm7085,3221l7081,3221,7074,3222,7071,3224,7064,3228,7062,3231,7058,3236,7058,3239,7058,3241,7058,3243,7058,3246,7059,3248,7063,3255,7065,3258,7069,3262,7072,3264,7075,3268,7079,3269,7086,3274,7089,3274,7093,3275,7097,3275,7104,3274,7108,3272,7115,3268,7118,3265,7094,3265,7089,3263,7087,3262,7082,3258,7080,3257,7078,3255,7076,3253,7074,3251,7073,3249,7071,3247,7070,3245,7069,3241,7070,3239,7071,3235,7073,3233,7075,3232,7078,3231,7081,3229,7088,3228,7112,3228,7105,3222,7090,3222,7085,3221xm7112,3228l7088,3228,7093,3229,7098,3229,7114,3246,7114,3250,7113,3254,7113,3255,7112,3257,7112,3258,7111,3260,7109,3261,7108,3262,7107,3263,7105,3264,7102,3265,7118,3265,7119,3262,7121,3260,7122,3256,7122,3251,7136,3251,7112,3228xm7136,3251l7122,3251,7128,3257,7131,3257,7132,3256,7133,3256,7134,3255,7135,3255,7136,3254,7136,3254,7136,3253,7136,3251xm7018,3234l7013,3234,7011,3235,7009,3238,7008,3239,7007,3240,7007,3241,7008,3242,7011,3246,7013,3247,7016,3247,7018,3246,7020,3245,7022,3243,7023,3242,7024,3241,7024,3240,7023,3239,7021,3236,7019,3235,7018,3234xm7153,3178l7149,3178,7145,3179,7141,3181,7137,3183,7129,3188,7125,3191,7121,3197,7120,3200,7120,3207,7120,3210,7124,3217,7127,3220,7133,3227,7137,3229,7145,3233,7148,3235,7160,3235,7165,3234,7169,3234,7177,3229,7180,3227,7157,3227,7151,3225,7144,3221,7141,3219,7137,3214,7135,3212,7132,3207,7131,3205,7131,3202,7132,3199,7133,3197,7134,3195,7136,3193,7139,3191,7145,3189,7151,3188,7177,3188,7173,3184,7165,3181,7161,3179,7153,3178xm7177,3188l7153,3188,7159,3189,7161,3190,7166,3193,7169,3195,7171,3197,7173,3199,7175,3202,7178,3206,7178,3209,7179,3213,7178,3215,7177,3217,7176,3219,7174,3221,7168,3225,7165,3226,7159,3227,7180,3227,7181,3226,7184,3224,7187,3220,7189,3217,7190,3214,7190,3207,7189,3204,7188,3200,7186,3197,7183,3193,7180,3191,7177,3188xm7075,3193l7071,3193,7070,3195,7067,3196,7067,3197,7066,3197,7065,3198,7065,3199,7066,3199,7090,3222,7105,3222,7075,3193xm7220,3200l7207,3200,7208,3202,7209,3203,7213,3203,7215,3202,7217,3202,7220,3200xm7225,3198l7204,3198,7205,3199,7206,3199,7206,3200,7222,3200,7223,3199,7225,3198xm7239,3175l7222,3175,7223,3176,7226,3176,7227,3177,7228,3178,7229,3179,7230,3182,7230,3183,7229,3185,7228,3186,7226,3189,7225,3190,7223,3190,7221,3192,7219,3192,7217,3193,7215,3195,7210,3195,7208,3196,7204,3196,7204,3197,7204,3198,7227,3198,7232,3195,7234,3192,7236,3190,7238,3189,7239,3186,7240,3184,7241,3182,7241,3179,7239,3175xm7074,3192l7073,3193,7074,3193,7074,3192xm7209,3149l7189,3149,7184,3153,7182,3155,7179,3159,7178,3161,7177,3164,7177,3167,7178,3170,7180,3173,7181,3174,7183,3176,7185,3177,7189,3178,7191,3179,7200,3179,7202,3178,7204,3178,7210,3177,7214,3176,7216,3175,7239,3175,7238,3174,7236,3171,7235,3170,7192,3170,7191,3169,7190,3168,7189,3167,7188,3167,7188,3164,7188,3162,7188,3161,7189,3161,7190,3159,7192,3157,7193,3156,7195,3155,7197,3154,7198,3154,7200,3153,7204,3153,7206,3152,7209,3152,7209,3150,7209,3150,7209,3149xm7228,3167l7215,3167,7213,3168,7205,3169,7203,3170,7235,3170,7234,3169,7232,3168,7230,3168,7228,3167xm7222,3166l7220,3167,7226,3167,7222,3166xm7207,3147l7195,3147,7192,3148,7190,3149,7208,3149,7207,3147xm7205,3146l7198,3146,7196,3147,7205,3147,7205,3146xe" filled="true" fillcolor="#000000" stroked="false">
              <v:path arrowok="t"/>
              <v:fill type="solid"/>
            </v:shape>
            <v:shape style="position:absolute;left:7382;top:3166;width:510;height:325" type="#_x0000_t75" stroked="false">
              <v:imagedata r:id="rId61" o:title=""/>
            </v:shape>
            <v:rect style="position:absolute;left:2197;top:203;width:7849;height:3712" filled="false" stroked="true" strokeweight=".440085pt" strokecolor="#858585"/>
            <v:shape style="position:absolute;left:2900;top:1458;width:5554;height:121" type="#_x0000_t75" stroked="false">
              <v:imagedata r:id="rId62" o:title=""/>
            </v:shape>
            <v:line style="position:absolute" from="2951,1501" to="8404,1493" stroked="true" strokeweight="1.742256pt" strokecolor="#ff0000"/>
            <v:shape style="position:absolute;left:2934;top:1052;width:5554;height:121" type="#_x0000_t75" stroked="false">
              <v:imagedata r:id="rId62" o:title=""/>
            </v:shape>
            <v:line style="position:absolute" from="2985,1096" to="8438,1088" stroked="true" strokeweight="1.742256pt" strokecolor="#ff0000"/>
            <v:shape style="position:absolute;left:2457;top:498;width:189;height:391" type="#_x0000_t202" filled="false" stroked="false">
              <v:textbox inset="0,0,0,0">
                <w:txbxContent>
                  <w:p>
                    <w:pPr>
                      <w:spacing w:line="116" w:lineRule="exact" w:before="0"/>
                      <w:ind w:left="0" w:right="-19" w:firstLine="0"/>
                      <w:jc w:val="left"/>
                      <w:rPr>
                        <w:rFonts w:ascii="Calibri"/>
                        <w:sz w:val="11"/>
                      </w:rPr>
                    </w:pPr>
                    <w:r>
                      <w:rPr>
                        <w:rFonts w:ascii="Calibri"/>
                        <w:w w:val="135"/>
                        <w:sz w:val="11"/>
                      </w:rPr>
                      <w:t>0.9</w:t>
                    </w:r>
                  </w:p>
                  <w:p>
                    <w:pPr>
                      <w:spacing w:line="240" w:lineRule="auto" w:before="2"/>
                      <w:rPr>
                        <w:sz w:val="12"/>
                      </w:rPr>
                    </w:pPr>
                  </w:p>
                  <w:p>
                    <w:pPr>
                      <w:spacing w:line="134" w:lineRule="exact" w:before="0"/>
                      <w:ind w:left="0" w:right="-19" w:firstLine="0"/>
                      <w:jc w:val="left"/>
                      <w:rPr>
                        <w:rFonts w:ascii="Calibri"/>
                        <w:sz w:val="11"/>
                      </w:rPr>
                    </w:pPr>
                    <w:r>
                      <w:rPr>
                        <w:rFonts w:ascii="Calibri"/>
                        <w:w w:val="135"/>
                        <w:sz w:val="11"/>
                      </w:rPr>
                      <w:t>0.8</w:t>
                    </w:r>
                  </w:p>
                </w:txbxContent>
              </v:textbox>
              <w10:wrap type="none"/>
            </v:shape>
            <v:shape style="position:absolute;left:3086;top:749;width:372;height:116" type="#_x0000_t202" filled="false" stroked="false">
              <v:textbox inset="0,0,0,0">
                <w:txbxContent>
                  <w:p>
                    <w:pPr>
                      <w:spacing w:line="116" w:lineRule="exact" w:before="0"/>
                      <w:ind w:left="0" w:right="-20" w:firstLine="0"/>
                      <w:jc w:val="left"/>
                      <w:rPr>
                        <w:b/>
                        <w:sz w:val="11"/>
                      </w:rPr>
                    </w:pPr>
                    <w:r>
                      <w:rPr>
                        <w:b/>
                        <w:color w:val="FFFFFF"/>
                        <w:w w:val="135"/>
                        <w:sz w:val="11"/>
                      </w:rPr>
                      <w:t>0.844</w:t>
                    </w:r>
                  </w:p>
                </w:txbxContent>
              </v:textbox>
              <w10:wrap type="none"/>
            </v:shape>
            <v:shape style="position:absolute;left:3738;top:775;width:372;height:116" type="#_x0000_t202" filled="false" stroked="false">
              <v:textbox inset="0,0,0,0">
                <w:txbxContent>
                  <w:p>
                    <w:pPr>
                      <w:spacing w:line="116" w:lineRule="exact" w:before="0"/>
                      <w:ind w:left="0" w:right="-20" w:firstLine="0"/>
                      <w:jc w:val="left"/>
                      <w:rPr>
                        <w:b/>
                        <w:sz w:val="11"/>
                      </w:rPr>
                    </w:pPr>
                    <w:r>
                      <w:rPr>
                        <w:b/>
                        <w:color w:val="FFFFFF"/>
                        <w:w w:val="135"/>
                        <w:sz w:val="11"/>
                      </w:rPr>
                      <w:t>0.843</w:t>
                    </w:r>
                  </w:p>
                </w:txbxContent>
              </v:textbox>
              <w10:wrap type="none"/>
            </v:shape>
            <v:shape style="position:absolute;left:4451;top:852;width:372;height:116" type="#_x0000_t202" filled="false" stroked="false">
              <v:textbox inset="0,0,0,0">
                <w:txbxContent>
                  <w:p>
                    <w:pPr>
                      <w:spacing w:line="116" w:lineRule="exact" w:before="0"/>
                      <w:ind w:left="0" w:right="-20" w:firstLine="0"/>
                      <w:jc w:val="left"/>
                      <w:rPr>
                        <w:b/>
                        <w:sz w:val="11"/>
                      </w:rPr>
                    </w:pPr>
                    <w:r>
                      <w:rPr>
                        <w:b/>
                        <w:color w:val="FFFFFF"/>
                        <w:w w:val="135"/>
                        <w:sz w:val="11"/>
                      </w:rPr>
                      <w:t>0.832</w:t>
                    </w:r>
                  </w:p>
                </w:txbxContent>
              </v:textbox>
              <w10:wrap type="none"/>
            </v:shape>
            <v:shape style="position:absolute;left:5133;top:891;width:372;height:116" type="#_x0000_t202" filled="false" stroked="false">
              <v:textbox inset="0,0,0,0">
                <w:txbxContent>
                  <w:p>
                    <w:pPr>
                      <w:spacing w:line="116" w:lineRule="exact" w:before="0"/>
                      <w:ind w:left="0" w:right="-20" w:firstLine="0"/>
                      <w:jc w:val="left"/>
                      <w:rPr>
                        <w:b/>
                        <w:sz w:val="11"/>
                      </w:rPr>
                    </w:pPr>
                    <w:r>
                      <w:rPr>
                        <w:b/>
                        <w:color w:val="FFFFFF"/>
                        <w:w w:val="135"/>
                        <w:sz w:val="11"/>
                      </w:rPr>
                      <w:t>0.801</w:t>
                    </w:r>
                  </w:p>
                </w:txbxContent>
              </v:textbox>
              <w10:wrap type="none"/>
            </v:shape>
            <v:shape style="position:absolute;left:5815;top:915;width:372;height:116" type="#_x0000_t202" filled="false" stroked="false">
              <v:textbox inset="0,0,0,0">
                <w:txbxContent>
                  <w:p>
                    <w:pPr>
                      <w:spacing w:line="116" w:lineRule="exact" w:before="0"/>
                      <w:ind w:left="0" w:right="-20" w:firstLine="0"/>
                      <w:jc w:val="left"/>
                      <w:rPr>
                        <w:b/>
                        <w:sz w:val="11"/>
                      </w:rPr>
                    </w:pPr>
                    <w:r>
                      <w:rPr>
                        <w:b/>
                        <w:color w:val="FFFFFF"/>
                        <w:w w:val="135"/>
                        <w:sz w:val="11"/>
                      </w:rPr>
                      <w:t>0.750</w:t>
                    </w:r>
                  </w:p>
                </w:txbxContent>
              </v:textbox>
              <w10:wrap type="none"/>
            </v:shape>
            <v:shape style="position:absolute;left:6483;top:926;width:372;height:116" type="#_x0000_t202" filled="false" stroked="false">
              <v:textbox inset="0,0,0,0">
                <w:txbxContent>
                  <w:p>
                    <w:pPr>
                      <w:spacing w:line="116" w:lineRule="exact" w:before="0"/>
                      <w:ind w:left="0" w:right="-20" w:firstLine="0"/>
                      <w:jc w:val="left"/>
                      <w:rPr>
                        <w:b/>
                        <w:sz w:val="11"/>
                      </w:rPr>
                    </w:pPr>
                    <w:r>
                      <w:rPr>
                        <w:b/>
                        <w:color w:val="FFFFFF"/>
                        <w:w w:val="135"/>
                        <w:sz w:val="11"/>
                      </w:rPr>
                      <w:t>0.750</w:t>
                    </w:r>
                  </w:p>
                </w:txbxContent>
              </v:textbox>
              <w10:wrap type="none"/>
            </v:shape>
            <v:shape style="position:absolute;left:2457;top:1048;width:190;height:116" type="#_x0000_t202" filled="false" stroked="false">
              <v:textbox inset="0,0,0,0">
                <w:txbxContent>
                  <w:p>
                    <w:pPr>
                      <w:spacing w:line="116" w:lineRule="exact" w:before="0"/>
                      <w:ind w:left="0" w:right="-18" w:firstLine="0"/>
                      <w:jc w:val="left"/>
                      <w:rPr>
                        <w:rFonts w:ascii="Calibri"/>
                        <w:sz w:val="11"/>
                      </w:rPr>
                    </w:pPr>
                    <w:r>
                      <w:rPr>
                        <w:rFonts w:ascii="Calibri"/>
                        <w:w w:val="135"/>
                        <w:sz w:val="11"/>
                      </w:rPr>
                      <w:t>0.7</w:t>
                    </w:r>
                  </w:p>
                </w:txbxContent>
              </v:textbox>
              <w10:wrap type="none"/>
            </v:shape>
            <v:shape style="position:absolute;left:8537;top:1030;width:896;height:116" type="#_x0000_t202" filled="false" stroked="false">
              <v:textbox inset="0,0,0,0">
                <w:txbxContent>
                  <w:p>
                    <w:pPr>
                      <w:spacing w:line="116" w:lineRule="exact" w:before="0"/>
                      <w:ind w:left="0" w:right="-16" w:firstLine="0"/>
                      <w:jc w:val="left"/>
                      <w:rPr>
                        <w:b/>
                        <w:sz w:val="11"/>
                      </w:rPr>
                    </w:pPr>
                    <w:r>
                      <w:rPr>
                        <w:b/>
                        <w:w w:val="135"/>
                        <w:sz w:val="11"/>
                      </w:rPr>
                      <w:t>OCDE: 0.744</w:t>
                    </w:r>
                  </w:p>
                </w:txbxContent>
              </v:textbox>
              <w10:wrap type="none"/>
            </v:shape>
            <v:shape style="position:absolute;left:7165;top:1160;width:372;height:116" type="#_x0000_t202" filled="false" stroked="false">
              <v:textbox inset="0,0,0,0">
                <w:txbxContent>
                  <w:p>
                    <w:pPr>
                      <w:spacing w:line="116" w:lineRule="exact" w:before="0"/>
                      <w:ind w:left="0" w:right="-20" w:firstLine="0"/>
                      <w:jc w:val="left"/>
                      <w:rPr>
                        <w:b/>
                        <w:sz w:val="11"/>
                      </w:rPr>
                    </w:pPr>
                    <w:r>
                      <w:rPr>
                        <w:b/>
                        <w:color w:val="FFFFFF"/>
                        <w:w w:val="135"/>
                        <w:sz w:val="11"/>
                      </w:rPr>
                      <w:t>0.720</w:t>
                    </w:r>
                  </w:p>
                </w:txbxContent>
              </v:textbox>
              <w10:wrap type="none"/>
            </v:shape>
            <v:shape style="position:absolute;left:2457;top:1323;width:189;height:116" type="#_x0000_t202" filled="false" stroked="false">
              <v:textbox inset="0,0,0,0">
                <w:txbxContent>
                  <w:p>
                    <w:pPr>
                      <w:spacing w:line="116" w:lineRule="exact" w:before="0"/>
                      <w:ind w:left="0" w:right="-19" w:firstLine="0"/>
                      <w:jc w:val="left"/>
                      <w:rPr>
                        <w:rFonts w:ascii="Calibri"/>
                        <w:sz w:val="11"/>
                      </w:rPr>
                    </w:pPr>
                    <w:r>
                      <w:rPr>
                        <w:rFonts w:ascii="Calibri"/>
                        <w:w w:val="135"/>
                        <w:sz w:val="11"/>
                      </w:rPr>
                      <w:t>0.6</w:t>
                    </w:r>
                  </w:p>
                </w:txbxContent>
              </v:textbox>
              <w10:wrap type="none"/>
            </v:shape>
            <v:shape style="position:absolute;left:7848;top:1342;width:372;height:116" type="#_x0000_t202" filled="false" stroked="false">
              <v:textbox inset="0,0,0,0">
                <w:txbxContent>
                  <w:p>
                    <w:pPr>
                      <w:spacing w:line="116" w:lineRule="exact" w:before="0"/>
                      <w:ind w:left="0" w:right="-20" w:firstLine="0"/>
                      <w:jc w:val="left"/>
                      <w:rPr>
                        <w:b/>
                        <w:sz w:val="11"/>
                      </w:rPr>
                    </w:pPr>
                    <w:r>
                      <w:rPr>
                        <w:b/>
                        <w:color w:val="FFFFFF"/>
                        <w:w w:val="135"/>
                        <w:sz w:val="11"/>
                      </w:rPr>
                      <w:t>0.641</w:t>
                    </w:r>
                  </w:p>
                </w:txbxContent>
              </v:textbox>
              <w10:wrap type="none"/>
            </v:shape>
            <v:shape style="position:absolute;left:8535;top:1456;width:1028;height:116" type="#_x0000_t202" filled="false" stroked="false">
              <v:textbox inset="0,0,0,0">
                <w:txbxContent>
                  <w:p>
                    <w:pPr>
                      <w:spacing w:line="116" w:lineRule="exact" w:before="0"/>
                      <w:ind w:left="0" w:right="-16" w:firstLine="0"/>
                      <w:jc w:val="left"/>
                      <w:rPr>
                        <w:b/>
                        <w:sz w:val="11"/>
                      </w:rPr>
                    </w:pPr>
                    <w:r>
                      <w:rPr>
                        <w:b/>
                        <w:w w:val="135"/>
                        <w:sz w:val="11"/>
                      </w:rPr>
                      <w:t>Mundial: 0.616</w:t>
                    </w:r>
                  </w:p>
                </w:txbxContent>
              </v:textbox>
              <w10:wrap type="none"/>
            </v:shape>
            <v:shape style="position:absolute;left:2457;top:1598;width:189;height:1491" type="#_x0000_t202" filled="false" stroked="false">
              <v:textbox inset="0,0,0,0">
                <w:txbxContent>
                  <w:p>
                    <w:pPr>
                      <w:spacing w:line="116" w:lineRule="exact" w:before="0"/>
                      <w:ind w:left="0" w:right="-19" w:firstLine="0"/>
                      <w:jc w:val="left"/>
                      <w:rPr>
                        <w:rFonts w:ascii="Calibri"/>
                        <w:sz w:val="11"/>
                      </w:rPr>
                    </w:pPr>
                    <w:r>
                      <w:rPr>
                        <w:rFonts w:ascii="Calibri"/>
                        <w:w w:val="135"/>
                        <w:sz w:val="11"/>
                      </w:rPr>
                      <w:t>0.5</w:t>
                    </w:r>
                  </w:p>
                  <w:p>
                    <w:pPr>
                      <w:spacing w:line="240" w:lineRule="auto" w:before="2"/>
                      <w:rPr>
                        <w:sz w:val="12"/>
                      </w:rPr>
                    </w:pPr>
                  </w:p>
                  <w:p>
                    <w:pPr>
                      <w:spacing w:before="0"/>
                      <w:ind w:left="0" w:right="-19" w:firstLine="0"/>
                      <w:jc w:val="left"/>
                      <w:rPr>
                        <w:rFonts w:ascii="Calibri"/>
                        <w:sz w:val="11"/>
                      </w:rPr>
                    </w:pPr>
                    <w:r>
                      <w:rPr>
                        <w:rFonts w:ascii="Calibri"/>
                        <w:w w:val="135"/>
                        <w:sz w:val="11"/>
                      </w:rPr>
                      <w:t>0.4</w:t>
                    </w:r>
                  </w:p>
                  <w:p>
                    <w:pPr>
                      <w:spacing w:line="240" w:lineRule="auto" w:before="2"/>
                      <w:rPr>
                        <w:sz w:val="12"/>
                      </w:rPr>
                    </w:pPr>
                  </w:p>
                  <w:p>
                    <w:pPr>
                      <w:spacing w:before="1"/>
                      <w:ind w:left="0" w:right="-19" w:firstLine="0"/>
                      <w:jc w:val="left"/>
                      <w:rPr>
                        <w:rFonts w:ascii="Calibri"/>
                        <w:sz w:val="11"/>
                      </w:rPr>
                    </w:pPr>
                    <w:r>
                      <w:rPr>
                        <w:rFonts w:ascii="Calibri"/>
                        <w:w w:val="135"/>
                        <w:sz w:val="11"/>
                      </w:rPr>
                      <w:t>0.3</w:t>
                    </w:r>
                  </w:p>
                  <w:p>
                    <w:pPr>
                      <w:spacing w:line="240" w:lineRule="auto" w:before="2"/>
                      <w:rPr>
                        <w:sz w:val="12"/>
                      </w:rPr>
                    </w:pPr>
                  </w:p>
                  <w:p>
                    <w:pPr>
                      <w:spacing w:before="0"/>
                      <w:ind w:left="0" w:right="-19" w:firstLine="0"/>
                      <w:jc w:val="left"/>
                      <w:rPr>
                        <w:rFonts w:ascii="Calibri"/>
                        <w:sz w:val="11"/>
                      </w:rPr>
                    </w:pPr>
                    <w:r>
                      <w:rPr>
                        <w:rFonts w:ascii="Calibri"/>
                        <w:w w:val="135"/>
                        <w:sz w:val="11"/>
                      </w:rPr>
                      <w:t>0.2</w:t>
                    </w:r>
                  </w:p>
                  <w:p>
                    <w:pPr>
                      <w:spacing w:line="240" w:lineRule="auto" w:before="2"/>
                      <w:rPr>
                        <w:sz w:val="12"/>
                      </w:rPr>
                    </w:pPr>
                  </w:p>
                  <w:p>
                    <w:pPr>
                      <w:spacing w:before="1"/>
                      <w:ind w:left="0" w:right="-19" w:firstLine="0"/>
                      <w:jc w:val="left"/>
                      <w:rPr>
                        <w:rFonts w:ascii="Calibri"/>
                        <w:sz w:val="11"/>
                      </w:rPr>
                    </w:pPr>
                    <w:r>
                      <w:rPr>
                        <w:rFonts w:ascii="Calibri"/>
                        <w:w w:val="135"/>
                        <w:sz w:val="11"/>
                      </w:rPr>
                      <w:t>0.1</w:t>
                    </w:r>
                  </w:p>
                  <w:p>
                    <w:pPr>
                      <w:spacing w:line="240" w:lineRule="auto" w:before="2"/>
                      <w:rPr>
                        <w:sz w:val="12"/>
                      </w:rPr>
                    </w:pPr>
                  </w:p>
                  <w:p>
                    <w:pPr>
                      <w:spacing w:line="134" w:lineRule="exact" w:before="0"/>
                      <w:ind w:left="0" w:right="-19" w:firstLine="0"/>
                      <w:jc w:val="left"/>
                      <w:rPr>
                        <w:rFonts w:ascii="Calibri"/>
                        <w:sz w:val="11"/>
                      </w:rPr>
                    </w:pPr>
                    <w:r>
                      <w:rPr>
                        <w:rFonts w:ascii="Calibri"/>
                        <w:w w:val="135"/>
                        <w:sz w:val="11"/>
                      </w:rPr>
                      <w:t>0.0</w:t>
                    </w:r>
                  </w:p>
                </w:txbxContent>
              </v:textbox>
              <w10:wrap type="none"/>
            </v:shape>
            <w10:wrap type="topAndBottom"/>
          </v:group>
        </w:pict>
      </w:r>
    </w:p>
    <w:p>
      <w:pPr>
        <w:spacing w:line="138" w:lineRule="exact" w:before="109"/>
        <w:ind w:left="810" w:right="0" w:firstLine="0"/>
        <w:jc w:val="left"/>
        <w:rPr>
          <w:sz w:val="12"/>
        </w:rPr>
      </w:pPr>
      <w:r>
        <w:rPr>
          <w:sz w:val="12"/>
        </w:rPr>
        <w:t>FUENTE:     Forum for a new World Governance, World Governance Index</w:t>
      </w:r>
    </w:p>
    <w:p>
      <w:pPr>
        <w:spacing w:before="0"/>
        <w:ind w:left="810" w:right="3300" w:firstLine="0"/>
        <w:jc w:val="left"/>
        <w:rPr>
          <w:sz w:val="12"/>
        </w:rPr>
      </w:pPr>
      <w:r>
        <w:rPr>
          <w:sz w:val="12"/>
        </w:rPr>
        <w:t>Disponible en: </w:t>
      </w:r>
      <w:hyperlink r:id="rId63">
        <w:r>
          <w:rPr>
            <w:sz w:val="12"/>
          </w:rPr>
          <w:t>http://www.world-governance.org/IMG/pdf_WGI_short_version_EN_web-2.pdf</w:t>
        </w:r>
      </w:hyperlink>
      <w:r>
        <w:rPr>
          <w:sz w:val="12"/>
        </w:rPr>
        <w:t> [Fecha de consulta: 24 de marzo, 2015]</w:t>
      </w:r>
    </w:p>
    <w:p>
      <w:pPr>
        <w:pStyle w:val="BodyText"/>
        <w:rPr>
          <w:sz w:val="12"/>
        </w:rPr>
      </w:pPr>
    </w:p>
    <w:p>
      <w:pPr>
        <w:pStyle w:val="BodyText"/>
        <w:spacing w:line="360" w:lineRule="auto" w:before="91"/>
        <w:ind w:left="102" w:right="115" w:firstLine="427"/>
        <w:jc w:val="both"/>
      </w:pPr>
      <w:r>
        <w:rPr/>
        <w:t>El FnGM considera que la problemática de la gobernanza mundial se caracteriza por el hecho de que los objetivos se definen a través de un vacío institucional a nivel internacional, ya que la ONU (y de manera más general el derecho</w:t>
      </w:r>
      <w:r>
        <w:rPr>
          <w:spacing w:val="-8"/>
        </w:rPr>
        <w:t> </w:t>
      </w:r>
      <w:r>
        <w:rPr/>
        <w:t>público</w:t>
      </w:r>
      <w:r>
        <w:rPr>
          <w:spacing w:val="-8"/>
        </w:rPr>
        <w:t> </w:t>
      </w:r>
      <w:r>
        <w:rPr/>
        <w:t>internacional)</w:t>
      </w:r>
      <w:r>
        <w:rPr>
          <w:spacing w:val="-10"/>
        </w:rPr>
        <w:t> </w:t>
      </w:r>
      <w:r>
        <w:rPr/>
        <w:t>hace</w:t>
      </w:r>
      <w:r>
        <w:rPr>
          <w:spacing w:val="-11"/>
        </w:rPr>
        <w:t> </w:t>
      </w:r>
      <w:r>
        <w:rPr/>
        <w:t>que</w:t>
      </w:r>
      <w:r>
        <w:rPr>
          <w:spacing w:val="-8"/>
        </w:rPr>
        <w:t> </w:t>
      </w:r>
      <w:r>
        <w:rPr/>
        <w:t>los</w:t>
      </w:r>
      <w:r>
        <w:rPr>
          <w:spacing w:val="-11"/>
        </w:rPr>
        <w:t> </w:t>
      </w:r>
      <w:r>
        <w:rPr/>
        <w:t>estados</w:t>
      </w:r>
      <w:r>
        <w:rPr>
          <w:spacing w:val="-12"/>
        </w:rPr>
        <w:t> </w:t>
      </w:r>
      <w:r>
        <w:rPr/>
        <w:t>tengan</w:t>
      </w:r>
      <w:r>
        <w:rPr>
          <w:spacing w:val="-8"/>
        </w:rPr>
        <w:t> </w:t>
      </w:r>
      <w:r>
        <w:rPr/>
        <w:t>que</w:t>
      </w:r>
      <w:r>
        <w:rPr>
          <w:spacing w:val="-11"/>
        </w:rPr>
        <w:t> </w:t>
      </w:r>
      <w:r>
        <w:rPr/>
        <w:t>resolver</w:t>
      </w:r>
      <w:r>
        <w:rPr>
          <w:spacing w:val="-10"/>
        </w:rPr>
        <w:t> </w:t>
      </w:r>
      <w:r>
        <w:rPr/>
        <w:t>problemas que superan sus competencias e incluso su</w:t>
      </w:r>
      <w:r>
        <w:rPr>
          <w:spacing w:val="-22"/>
        </w:rPr>
        <w:t> </w:t>
      </w:r>
      <w:r>
        <w:rPr/>
        <w:t>comprensión.</w:t>
      </w:r>
    </w:p>
    <w:p>
      <w:pPr>
        <w:spacing w:after="0" w:line="360" w:lineRule="auto"/>
        <w:jc w:val="both"/>
        <w:sectPr>
          <w:footerReference w:type="even" r:id="rId58"/>
          <w:footerReference w:type="default" r:id="rId59"/>
          <w:pgSz w:w="12240" w:h="15840"/>
          <w:pgMar w:footer="1003" w:header="0" w:top="1360" w:bottom="1200" w:left="1600" w:right="1580"/>
          <w:pgNumType w:start="42"/>
        </w:sectPr>
      </w:pPr>
    </w:p>
    <w:p>
      <w:pPr>
        <w:pStyle w:val="BodyText"/>
        <w:spacing w:before="4"/>
        <w:rPr>
          <w:sz w:val="22"/>
        </w:rPr>
      </w:pPr>
    </w:p>
    <w:p>
      <w:pPr>
        <w:spacing w:before="70"/>
        <w:ind w:left="102" w:right="0" w:firstLine="0"/>
        <w:jc w:val="left"/>
        <w:rPr>
          <w:i/>
          <w:sz w:val="24"/>
        </w:rPr>
      </w:pPr>
      <w:r>
        <w:rPr>
          <w:i/>
          <w:sz w:val="24"/>
        </w:rPr>
        <w:t>Indicador líder: Indicadores Mundiales de Gobernabilidad, 2012</w:t>
      </w:r>
    </w:p>
    <w:p>
      <w:pPr>
        <w:pStyle w:val="BodyText"/>
        <w:rPr>
          <w:i/>
        </w:rPr>
      </w:pPr>
    </w:p>
    <w:p>
      <w:pPr>
        <w:pStyle w:val="BodyText"/>
        <w:spacing w:before="2"/>
        <w:rPr>
          <w:i/>
        </w:rPr>
      </w:pPr>
    </w:p>
    <w:p>
      <w:pPr>
        <w:pStyle w:val="BodyText"/>
        <w:spacing w:line="360" w:lineRule="auto"/>
        <w:ind w:left="102" w:right="116" w:firstLine="427"/>
        <w:jc w:val="both"/>
      </w:pPr>
      <w:r>
        <w:rPr/>
        <w:t>El Banco Mundial considera un elevado número de indicadores orientados a medir el buen gobierno y la lucha contra la corrupción. Los indicadores presentan información de 215 países. La escala de evaluación es de 0 a 100 puntos, donde los valores altos, cercanos a 100 reflejan mayor gobernabilidad y cercanos a 0 menor gobernabilidad. De los 6 grupos de indicadores, aquéllos con mayor valor fueron “control de la corrupción” y “voz y rendición de cuentas” de Alemania.</w:t>
      </w:r>
    </w:p>
    <w:p>
      <w:pPr>
        <w:pStyle w:val="BodyText"/>
        <w:spacing w:line="360" w:lineRule="auto" w:before="5"/>
        <w:ind w:left="102" w:right="115" w:firstLine="427"/>
        <w:jc w:val="both"/>
      </w:pPr>
      <w:r>
        <w:rPr/>
        <w:t>México presentó en “efectividad gubernamental” un puntaje de 64 (62 el ejercicio previo) valor cercano a lo registrado por Sudáfrica, y en “efectividad política” registró el puntaje de 25, (24 el estudio anterior) con ello se infiere </w:t>
      </w:r>
      <w:r>
        <w:rPr>
          <w:spacing w:val="-2"/>
        </w:rPr>
        <w:t>que </w:t>
      </w:r>
      <w:r>
        <w:rPr/>
        <w:t>existe</w:t>
      </w:r>
      <w:r>
        <w:rPr>
          <w:spacing w:val="-5"/>
        </w:rPr>
        <w:t> </w:t>
      </w:r>
      <w:r>
        <w:rPr/>
        <w:t>una</w:t>
      </w:r>
      <w:r>
        <w:rPr>
          <w:spacing w:val="-7"/>
        </w:rPr>
        <w:t> </w:t>
      </w:r>
      <w:r>
        <w:rPr/>
        <w:t>correlación</w:t>
      </w:r>
      <w:r>
        <w:rPr>
          <w:spacing w:val="-7"/>
        </w:rPr>
        <w:t> </w:t>
      </w:r>
      <w:r>
        <w:rPr/>
        <w:t>negativa</w:t>
      </w:r>
      <w:r>
        <w:rPr>
          <w:spacing w:val="-5"/>
        </w:rPr>
        <w:t> </w:t>
      </w:r>
      <w:r>
        <w:rPr/>
        <w:t>en</w:t>
      </w:r>
      <w:r>
        <w:rPr>
          <w:spacing w:val="-7"/>
        </w:rPr>
        <w:t> </w:t>
      </w:r>
      <w:r>
        <w:rPr/>
        <w:t>ambos</w:t>
      </w:r>
      <w:r>
        <w:rPr>
          <w:spacing w:val="-8"/>
        </w:rPr>
        <w:t> </w:t>
      </w:r>
      <w:r>
        <w:rPr/>
        <w:t>indicadores</w:t>
      </w:r>
      <w:r>
        <w:rPr>
          <w:spacing w:val="-5"/>
        </w:rPr>
        <w:t> </w:t>
      </w:r>
      <w:r>
        <w:rPr/>
        <w:t>y</w:t>
      </w:r>
      <w:r>
        <w:rPr>
          <w:spacing w:val="-8"/>
        </w:rPr>
        <w:t> </w:t>
      </w:r>
      <w:r>
        <w:rPr/>
        <w:t>positiva</w:t>
      </w:r>
      <w:r>
        <w:rPr>
          <w:spacing w:val="-5"/>
        </w:rPr>
        <w:t> </w:t>
      </w:r>
      <w:r>
        <w:rPr/>
        <w:t>entre</w:t>
      </w:r>
      <w:r>
        <w:rPr>
          <w:spacing w:val="-5"/>
        </w:rPr>
        <w:t> </w:t>
      </w:r>
      <w:r>
        <w:rPr/>
        <w:t>la</w:t>
      </w:r>
      <w:r>
        <w:rPr>
          <w:spacing w:val="-7"/>
        </w:rPr>
        <w:t> </w:t>
      </w:r>
      <w:r>
        <w:rPr/>
        <w:t>estabilidad política</w:t>
      </w:r>
      <w:r>
        <w:rPr>
          <w:spacing w:val="-6"/>
        </w:rPr>
        <w:t> </w:t>
      </w:r>
      <w:r>
        <w:rPr/>
        <w:t>(25</w:t>
      </w:r>
      <w:r>
        <w:rPr>
          <w:spacing w:val="-5"/>
        </w:rPr>
        <w:t> </w:t>
      </w:r>
      <w:r>
        <w:rPr/>
        <w:t>puntos,</w:t>
      </w:r>
      <w:r>
        <w:rPr>
          <w:spacing w:val="-5"/>
        </w:rPr>
        <w:t> </w:t>
      </w:r>
      <w:r>
        <w:rPr/>
        <w:t>al</w:t>
      </w:r>
      <w:r>
        <w:rPr>
          <w:spacing w:val="-6"/>
        </w:rPr>
        <w:t> </w:t>
      </w:r>
      <w:r>
        <w:rPr/>
        <w:t>igual</w:t>
      </w:r>
      <w:r>
        <w:rPr>
          <w:spacing w:val="-7"/>
        </w:rPr>
        <w:t> </w:t>
      </w:r>
      <w:r>
        <w:rPr/>
        <w:t>a</w:t>
      </w:r>
      <w:r>
        <w:rPr>
          <w:spacing w:val="-6"/>
        </w:rPr>
        <w:t> </w:t>
      </w:r>
      <w:r>
        <w:rPr/>
        <w:t>China),</w:t>
      </w:r>
      <w:r>
        <w:rPr>
          <w:spacing w:val="-7"/>
        </w:rPr>
        <w:t> </w:t>
      </w:r>
      <w:r>
        <w:rPr/>
        <w:t>calidad</w:t>
      </w:r>
      <w:r>
        <w:rPr>
          <w:spacing w:val="-6"/>
        </w:rPr>
        <w:t> </w:t>
      </w:r>
      <w:r>
        <w:rPr/>
        <w:t>regulatoria</w:t>
      </w:r>
      <w:r>
        <w:rPr>
          <w:spacing w:val="-6"/>
        </w:rPr>
        <w:t> </w:t>
      </w:r>
      <w:r>
        <w:rPr/>
        <w:t>(61,</w:t>
      </w:r>
      <w:r>
        <w:rPr>
          <w:spacing w:val="-9"/>
        </w:rPr>
        <w:t> </w:t>
      </w:r>
      <w:r>
        <w:rPr/>
        <w:t>menor</w:t>
      </w:r>
      <w:r>
        <w:rPr>
          <w:spacing w:val="-7"/>
        </w:rPr>
        <w:t> </w:t>
      </w:r>
      <w:r>
        <w:rPr/>
        <w:t>a</w:t>
      </w:r>
      <w:r>
        <w:rPr>
          <w:spacing w:val="-6"/>
        </w:rPr>
        <w:t> </w:t>
      </w:r>
      <w:r>
        <w:rPr/>
        <w:t>Sudáfrica</w:t>
      </w:r>
      <w:r>
        <w:rPr>
          <w:spacing w:val="-6"/>
        </w:rPr>
        <w:t> </w:t>
      </w:r>
      <w:r>
        <w:rPr/>
        <w:t>con 66), control de la corrupción (45, menor a Grecia con 56) y voz y rendición de cuentas (54, menor a India con</w:t>
      </w:r>
      <w:r>
        <w:rPr>
          <w:spacing w:val="-14"/>
        </w:rPr>
        <w:t> </w:t>
      </w:r>
      <w:r>
        <w:rPr/>
        <w:t>59).</w:t>
      </w:r>
    </w:p>
    <w:p>
      <w:pPr>
        <w:pStyle w:val="BodyText"/>
        <w:spacing w:line="360" w:lineRule="auto" w:before="2"/>
        <w:ind w:left="102" w:right="117" w:firstLine="427"/>
        <w:jc w:val="both"/>
      </w:pPr>
      <w:r>
        <w:rPr/>
        <w:t>De acuerdo con el Banco Mundial, las posiciones bajas en “Control de la corrupción”</w:t>
      </w:r>
      <w:r>
        <w:rPr>
          <w:spacing w:val="-18"/>
        </w:rPr>
        <w:t> </w:t>
      </w:r>
      <w:r>
        <w:rPr/>
        <w:t>(45)</w:t>
      </w:r>
      <w:r>
        <w:rPr>
          <w:spacing w:val="-18"/>
        </w:rPr>
        <w:t> </w:t>
      </w:r>
      <w:r>
        <w:rPr/>
        <w:t>implican</w:t>
      </w:r>
      <w:r>
        <w:rPr>
          <w:spacing w:val="-19"/>
        </w:rPr>
        <w:t> </w:t>
      </w:r>
      <w:r>
        <w:rPr/>
        <w:t>una</w:t>
      </w:r>
      <w:r>
        <w:rPr>
          <w:spacing w:val="-19"/>
        </w:rPr>
        <w:t> </w:t>
      </w:r>
      <w:r>
        <w:rPr/>
        <w:t>crisis</w:t>
      </w:r>
      <w:r>
        <w:rPr>
          <w:spacing w:val="-18"/>
        </w:rPr>
        <w:t> </w:t>
      </w:r>
      <w:r>
        <w:rPr/>
        <w:t>de</w:t>
      </w:r>
      <w:r>
        <w:rPr>
          <w:spacing w:val="-19"/>
        </w:rPr>
        <w:t> </w:t>
      </w:r>
      <w:r>
        <w:rPr/>
        <w:t>gobernanza.</w:t>
      </w:r>
      <w:r>
        <w:rPr>
          <w:spacing w:val="-17"/>
        </w:rPr>
        <w:t> </w:t>
      </w:r>
      <w:r>
        <w:rPr/>
        <w:t>México</w:t>
      </w:r>
      <w:r>
        <w:rPr>
          <w:spacing w:val="-17"/>
        </w:rPr>
        <w:t> </w:t>
      </w:r>
      <w:r>
        <w:rPr/>
        <w:t>presentó</w:t>
      </w:r>
      <w:r>
        <w:rPr>
          <w:spacing w:val="-21"/>
        </w:rPr>
        <w:t> </w:t>
      </w:r>
      <w:r>
        <w:rPr/>
        <w:t>la</w:t>
      </w:r>
      <w:r>
        <w:rPr>
          <w:spacing w:val="-17"/>
        </w:rPr>
        <w:t> </w:t>
      </w:r>
      <w:r>
        <w:rPr/>
        <w:t>posición</w:t>
      </w:r>
      <w:r>
        <w:rPr>
          <w:spacing w:val="-19"/>
        </w:rPr>
        <w:t> </w:t>
      </w:r>
      <w:r>
        <w:rPr/>
        <w:t>más baja entre los países del panel de estudio, sólo superó a India (35), China (29), Indonesia (27), Rusia (13) y Venezuela</w:t>
      </w:r>
      <w:r>
        <w:rPr>
          <w:spacing w:val="-18"/>
        </w:rPr>
        <w:t> </w:t>
      </w:r>
      <w:r>
        <w:rPr/>
        <w:t>(8).</w:t>
      </w:r>
    </w:p>
    <w:p>
      <w:pPr>
        <w:pStyle w:val="BodyText"/>
        <w:spacing w:line="360" w:lineRule="auto" w:before="2"/>
        <w:ind w:left="102" w:right="115" w:firstLine="427"/>
        <w:jc w:val="both"/>
      </w:pPr>
      <w:r>
        <w:rPr/>
        <w:t>El Banco Mundial consideró que México (indicador “Control de la corrupción”) refleja los problemas de seguridad pública debido a la lucha contra el tráfico de drogas. Referente al “Estado de Derecho”, que mide, entre otros aspectos, la independencia</w:t>
      </w:r>
      <w:r>
        <w:rPr>
          <w:spacing w:val="-10"/>
        </w:rPr>
        <w:t> </w:t>
      </w:r>
      <w:r>
        <w:rPr/>
        <w:t>del</w:t>
      </w:r>
      <w:r>
        <w:rPr>
          <w:spacing w:val="-8"/>
        </w:rPr>
        <w:t> </w:t>
      </w:r>
      <w:r>
        <w:rPr/>
        <w:t>Poder</w:t>
      </w:r>
      <w:r>
        <w:rPr>
          <w:spacing w:val="-8"/>
        </w:rPr>
        <w:t> </w:t>
      </w:r>
      <w:r>
        <w:rPr/>
        <w:t>Judicial,</w:t>
      </w:r>
      <w:r>
        <w:rPr>
          <w:spacing w:val="-8"/>
        </w:rPr>
        <w:t> </w:t>
      </w:r>
      <w:r>
        <w:rPr/>
        <w:t>es</w:t>
      </w:r>
      <w:r>
        <w:rPr>
          <w:spacing w:val="-10"/>
        </w:rPr>
        <w:t> </w:t>
      </w:r>
      <w:r>
        <w:rPr/>
        <w:t>el</w:t>
      </w:r>
      <w:r>
        <w:rPr>
          <w:spacing w:val="-8"/>
        </w:rPr>
        <w:t> </w:t>
      </w:r>
      <w:r>
        <w:rPr/>
        <w:t>segundo</w:t>
      </w:r>
      <w:r>
        <w:rPr>
          <w:spacing w:val="-7"/>
        </w:rPr>
        <w:t> </w:t>
      </w:r>
      <w:r>
        <w:rPr/>
        <w:t>indicador</w:t>
      </w:r>
      <w:r>
        <w:rPr>
          <w:spacing w:val="-8"/>
        </w:rPr>
        <w:t> </w:t>
      </w:r>
      <w:r>
        <w:rPr/>
        <w:t>con</w:t>
      </w:r>
      <w:r>
        <w:rPr>
          <w:spacing w:val="-7"/>
        </w:rPr>
        <w:t> </w:t>
      </w:r>
      <w:r>
        <w:rPr/>
        <w:t>menor</w:t>
      </w:r>
      <w:r>
        <w:rPr>
          <w:spacing w:val="-8"/>
        </w:rPr>
        <w:t> </w:t>
      </w:r>
      <w:r>
        <w:rPr/>
        <w:t>posición</w:t>
      </w:r>
      <w:r>
        <w:rPr>
          <w:spacing w:val="1"/>
        </w:rPr>
        <w:t> </w:t>
      </w:r>
      <w:r>
        <w:rPr/>
        <w:t>para este</w:t>
      </w:r>
      <w:r>
        <w:rPr>
          <w:spacing w:val="-13"/>
        </w:rPr>
        <w:t> </w:t>
      </w:r>
      <w:r>
        <w:rPr/>
        <w:t>país,</w:t>
      </w:r>
      <w:r>
        <w:rPr>
          <w:spacing w:val="-12"/>
        </w:rPr>
        <w:t> </w:t>
      </w:r>
      <w:r>
        <w:rPr/>
        <w:t>lo</w:t>
      </w:r>
      <w:r>
        <w:rPr>
          <w:spacing w:val="-13"/>
        </w:rPr>
        <w:t> </w:t>
      </w:r>
      <w:r>
        <w:rPr/>
        <w:t>que,</w:t>
      </w:r>
      <w:r>
        <w:rPr>
          <w:spacing w:val="-13"/>
        </w:rPr>
        <w:t> </w:t>
      </w:r>
      <w:r>
        <w:rPr/>
        <w:t>de</w:t>
      </w:r>
      <w:r>
        <w:rPr>
          <w:spacing w:val="-13"/>
        </w:rPr>
        <w:t> </w:t>
      </w:r>
      <w:r>
        <w:rPr/>
        <w:t>acuerdo</w:t>
      </w:r>
      <w:r>
        <w:rPr>
          <w:spacing w:val="-13"/>
        </w:rPr>
        <w:t> </w:t>
      </w:r>
      <w:r>
        <w:rPr/>
        <w:t>con</w:t>
      </w:r>
      <w:r>
        <w:rPr>
          <w:spacing w:val="-13"/>
        </w:rPr>
        <w:t> </w:t>
      </w:r>
      <w:r>
        <w:rPr/>
        <w:t>el</w:t>
      </w:r>
      <w:r>
        <w:rPr>
          <w:spacing w:val="-14"/>
        </w:rPr>
        <w:t> </w:t>
      </w:r>
      <w:r>
        <w:rPr/>
        <w:t>Banco</w:t>
      </w:r>
      <w:r>
        <w:rPr>
          <w:spacing w:val="-12"/>
        </w:rPr>
        <w:t> </w:t>
      </w:r>
      <w:r>
        <w:rPr/>
        <w:t>Mundial,</w:t>
      </w:r>
      <w:r>
        <w:rPr>
          <w:spacing w:val="-10"/>
        </w:rPr>
        <w:t> </w:t>
      </w:r>
      <w:r>
        <w:rPr/>
        <w:t>podría</w:t>
      </w:r>
      <w:r>
        <w:rPr>
          <w:spacing w:val="-12"/>
        </w:rPr>
        <w:t> </w:t>
      </w:r>
      <w:r>
        <w:rPr/>
        <w:t>sugerir</w:t>
      </w:r>
      <w:r>
        <w:rPr>
          <w:spacing w:val="-13"/>
        </w:rPr>
        <w:t> </w:t>
      </w:r>
      <w:r>
        <w:rPr/>
        <w:t>una</w:t>
      </w:r>
      <w:r>
        <w:rPr>
          <w:spacing w:val="-12"/>
        </w:rPr>
        <w:t> </w:t>
      </w:r>
      <w:r>
        <w:rPr/>
        <w:t>débil</w:t>
      </w:r>
      <w:r>
        <w:rPr>
          <w:spacing w:val="-13"/>
        </w:rPr>
        <w:t> </w:t>
      </w:r>
      <w:r>
        <w:rPr/>
        <w:t>división de poderes. Este indicador está directamente correlacionado con una baja calificación de “Voz y rendición de</w:t>
      </w:r>
      <w:r>
        <w:rPr>
          <w:spacing w:val="-10"/>
        </w:rPr>
        <w:t> </w:t>
      </w:r>
      <w:r>
        <w:rPr/>
        <w:t>cuentas”.</w:t>
      </w:r>
    </w:p>
    <w:p>
      <w:pPr>
        <w:spacing w:after="0" w:line="360" w:lineRule="auto"/>
        <w:jc w:val="both"/>
        <w:sectPr>
          <w:pgSz w:w="12240" w:h="15840"/>
          <w:pgMar w:header="0" w:footer="1003" w:top="1500" w:bottom="1200" w:left="1600" w:right="1580"/>
        </w:sectPr>
      </w:pPr>
    </w:p>
    <w:p>
      <w:pPr>
        <w:pStyle w:val="BodyText"/>
        <w:spacing w:line="360" w:lineRule="auto" w:before="54"/>
        <w:ind w:left="102" w:right="136" w:firstLine="427"/>
        <w:jc w:val="both"/>
      </w:pPr>
      <w:r>
        <w:rPr/>
        <w:t>De acuerdo con el Banco mundial, las posiciones 91 a 100 implican buena gobernanza</w:t>
      </w:r>
      <w:r>
        <w:rPr>
          <w:spacing w:val="-4"/>
        </w:rPr>
        <w:t> </w:t>
      </w:r>
      <w:r>
        <w:rPr/>
        <w:t>y</w:t>
      </w:r>
      <w:r>
        <w:rPr>
          <w:spacing w:val="-7"/>
        </w:rPr>
        <w:t> </w:t>
      </w:r>
      <w:r>
        <w:rPr/>
        <w:t>posiciones</w:t>
      </w:r>
      <w:r>
        <w:rPr>
          <w:spacing w:val="-4"/>
        </w:rPr>
        <w:t> </w:t>
      </w:r>
      <w:r>
        <w:rPr/>
        <w:t>cercanas</w:t>
      </w:r>
      <w:r>
        <w:rPr>
          <w:spacing w:val="-4"/>
        </w:rPr>
        <w:t> </w:t>
      </w:r>
      <w:r>
        <w:rPr/>
        <w:t>a</w:t>
      </w:r>
      <w:r>
        <w:rPr>
          <w:spacing w:val="-4"/>
        </w:rPr>
        <w:t> </w:t>
      </w:r>
      <w:r>
        <w:rPr/>
        <w:t>0</w:t>
      </w:r>
      <w:r>
        <w:rPr>
          <w:spacing w:val="-4"/>
        </w:rPr>
        <w:t> </w:t>
      </w:r>
      <w:r>
        <w:rPr/>
        <w:t>una</w:t>
      </w:r>
      <w:r>
        <w:rPr>
          <w:spacing w:val="-4"/>
        </w:rPr>
        <w:t> </w:t>
      </w:r>
      <w:r>
        <w:rPr/>
        <w:t>crisis</w:t>
      </w:r>
      <w:r>
        <w:rPr>
          <w:spacing w:val="-4"/>
        </w:rPr>
        <w:t> </w:t>
      </w:r>
      <w:r>
        <w:rPr/>
        <w:t>de</w:t>
      </w:r>
      <w:r>
        <w:rPr>
          <w:spacing w:val="-4"/>
        </w:rPr>
        <w:t> </w:t>
      </w:r>
      <w:r>
        <w:rPr/>
        <w:t>gobernanza.</w:t>
      </w:r>
      <w:r>
        <w:rPr>
          <w:spacing w:val="-4"/>
        </w:rPr>
        <w:t> </w:t>
      </w:r>
      <w:r>
        <w:rPr/>
        <w:t>Los</w:t>
      </w:r>
      <w:r>
        <w:rPr>
          <w:spacing w:val="-4"/>
        </w:rPr>
        <w:t> </w:t>
      </w:r>
      <w:r>
        <w:rPr/>
        <w:t>resultados</w:t>
      </w:r>
      <w:r>
        <w:rPr>
          <w:spacing w:val="-4"/>
        </w:rPr>
        <w:t> </w:t>
      </w:r>
      <w:r>
        <w:rPr/>
        <w:t>se presentan en el cuadro</w:t>
      </w:r>
      <w:r>
        <w:rPr>
          <w:spacing w:val="-8"/>
        </w:rPr>
        <w:t> </w:t>
      </w:r>
      <w:r>
        <w:rPr/>
        <w:t>siguiente:</w:t>
      </w:r>
    </w:p>
    <w:p>
      <w:pPr>
        <w:pStyle w:val="BodyText"/>
        <w:spacing w:before="9"/>
        <w:rPr>
          <w:sz w:val="12"/>
        </w:rPr>
      </w:pPr>
      <w:r>
        <w:rPr/>
        <w:pict>
          <v:group style="position:absolute;margin-left:86.501457pt;margin-top:9.311033pt;width:442pt;height:35.35pt;mso-position-horizontal-relative:page;mso-position-vertical-relative:paragraph;z-index:3568;mso-wrap-distance-left:0;mso-wrap-distance-right:0" coordorigin="1730,186" coordsize="8840,707">
            <v:rect style="position:absolute;left:1739;top:219;width:8828;height:391" filled="true" fillcolor="#000000" stroked="false">
              <v:fill type="solid"/>
            </v:rect>
            <v:line style="position:absolute" from="10563,212" to="10563,212" stroked="true" strokeweight=".630631pt" strokecolor="#dadcdd"/>
            <v:line style="position:absolute" from="1735,616" to="1735,882" stroked="true" strokeweight=".412929pt" strokecolor="#dadcdd"/>
            <v:line style="position:absolute" from="1735,610" to="1735,888" stroked="true" strokeweight=".41293pt" strokecolor="#dadcdd"/>
            <v:shape style="position:absolute;left:1755;top:186;width:801;height:380" type="#_x0000_t202" filled="false" stroked="false">
              <v:textbox inset="0,0,0,0">
                <w:txbxContent>
                  <w:p>
                    <w:pPr>
                      <w:spacing w:line="167" w:lineRule="exact" w:before="0"/>
                      <w:ind w:left="7" w:right="7" w:firstLine="0"/>
                      <w:jc w:val="center"/>
                      <w:rPr>
                        <w:b/>
                        <w:sz w:val="16"/>
                      </w:rPr>
                    </w:pPr>
                    <w:r>
                      <w:rPr>
                        <w:b/>
                        <w:color w:val="FFFFFF"/>
                        <w:w w:val="75"/>
                        <w:sz w:val="16"/>
                      </w:rPr>
                      <w:t>Mayor</w:t>
                    </w:r>
                  </w:p>
                  <w:p>
                    <w:pPr>
                      <w:spacing w:line="181" w:lineRule="exact" w:before="31"/>
                      <w:ind w:left="7" w:right="7" w:firstLine="0"/>
                      <w:jc w:val="center"/>
                      <w:rPr>
                        <w:b/>
                        <w:sz w:val="16"/>
                      </w:rPr>
                    </w:pPr>
                    <w:r>
                      <w:rPr>
                        <w:b/>
                        <w:color w:val="FFFFFF"/>
                        <w:w w:val="65"/>
                        <w:sz w:val="16"/>
                      </w:rPr>
                      <w:t>gobernabilidad</w:t>
                    </w:r>
                  </w:p>
                </w:txbxContent>
              </v:textbox>
              <w10:wrap type="none"/>
            </v:shape>
            <w10:wrap type="topAndBottom"/>
          </v:group>
        </w:pict>
      </w:r>
    </w:p>
    <w:p>
      <w:pPr>
        <w:spacing w:before="69" w:after="133"/>
        <w:ind w:left="444" w:right="50" w:firstLine="0"/>
        <w:jc w:val="left"/>
        <w:rPr>
          <w:b/>
          <w:sz w:val="20"/>
        </w:rPr>
      </w:pPr>
      <w:r>
        <w:rPr>
          <w:b/>
          <w:w w:val="75"/>
          <w:sz w:val="20"/>
        </w:rPr>
        <w:t>100</w:t>
      </w:r>
    </w:p>
    <w:p>
      <w:pPr>
        <w:pStyle w:val="BodyText"/>
        <w:ind w:left="409"/>
        <w:rPr>
          <w:sz w:val="20"/>
        </w:rPr>
      </w:pPr>
      <w:r>
        <w:rPr>
          <w:sz w:val="20"/>
        </w:rPr>
        <w:pict>
          <v:group style="width:8.1pt;height:306.5pt;mso-position-horizontal-relative:char;mso-position-vertical-relative:line" coordorigin="0,0" coordsize="162,6130">
            <v:shape style="position:absolute;left:0;top:0;width:162;height:6130" coordorigin="0,0" coordsize="162,6130" path="m26,5900l10,5914,8,5929,12,5941,85,6130,104,6080,68,6080,68,6030,68,5986,41,5916,36,5904,26,5900xm68,5987l68,6080,101,6080,101,6067,70,6067,85,6030,68,5987xm143,5900l133,5904,128,5916,101,5986,101,6080,68,6080,104,6080,156,5941,161,5929,158,5913,150,5906,143,5900xm85,6030l70,6067,99,6067,85,6030xm101,5986l85,6030,99,6067,70,6067,101,6067,101,5986xm77,100l60,143,60,188,68,5987,85,6030,101,5987,101,5900,93,143,77,100xm76,0l22,143,0,201,3,216,18,230,29,226,33,214,60,143,60,50,96,50,76,0xm96,50l93,50,93,143,120,214,125,226,135,230,143,223,151,216,153,200,149,188,96,50xm93,50l60,50,60,143,77,100,62,63,93,63,93,50xm93,63l91,63,77,100,93,143,93,63xm91,63l62,63,77,100,91,63xe" filled="true" fillcolor="#000000" stroked="false">
              <v:path arrowok="t"/>
              <v:fill type="solid"/>
            </v:shape>
          </v:group>
        </w:pict>
      </w:r>
      <w:r>
        <w:rPr>
          <w:sz w:val="20"/>
        </w:rPr>
      </w:r>
    </w:p>
    <w:p>
      <w:pPr>
        <w:pStyle w:val="BodyText"/>
        <w:ind w:left="130"/>
        <w:rPr>
          <w:sz w:val="20"/>
        </w:rPr>
      </w:pPr>
      <w:r>
        <w:rPr>
          <w:sz w:val="20"/>
        </w:rPr>
        <w:pict>
          <v:group style="width:.45pt;height:13.1pt;mso-position-horizontal-relative:char;mso-position-vertical-relative:line" coordorigin="0,0" coordsize="9,262">
            <v:line style="position:absolute" from="4,11" to="5,251" stroked="true" strokeweight=".412929pt" strokecolor="#dadcdd"/>
            <v:line style="position:absolute" from="5,4" to="5,257" stroked="true" strokeweight=".41293pt" strokecolor="#dadcdd"/>
          </v:group>
        </w:pict>
      </w:r>
      <w:r>
        <w:rPr>
          <w:sz w:val="20"/>
        </w:rPr>
      </w:r>
    </w:p>
    <w:p>
      <w:pPr>
        <w:pStyle w:val="BodyText"/>
        <w:spacing w:before="2"/>
        <w:rPr>
          <w:b/>
        </w:rPr>
      </w:pPr>
    </w:p>
    <w:p>
      <w:pPr>
        <w:spacing w:before="1"/>
        <w:ind w:left="518" w:right="0" w:firstLine="0"/>
        <w:jc w:val="left"/>
        <w:rPr>
          <w:b/>
          <w:sz w:val="20"/>
        </w:rPr>
      </w:pPr>
      <w:r>
        <w:rPr/>
        <w:pict>
          <v:shape style="position:absolute;margin-left:86.932938pt;margin-top:12.582662pt;width:441.45pt;height:32.9pt;mso-position-horizontal-relative:page;mso-position-vertical-relative:paragraph;z-index:3640;mso-wrap-distance-left:0;mso-wrap-distance-right:0" type="#_x0000_t202" filled="true" fillcolor="#000000" stroked="false">
            <v:textbox inset="0,0,0,0">
              <w:txbxContent>
                <w:p>
                  <w:pPr>
                    <w:pStyle w:val="BodyText"/>
                    <w:rPr>
                      <w:b/>
                      <w:sz w:val="21"/>
                    </w:rPr>
                  </w:pPr>
                </w:p>
                <w:p>
                  <w:pPr>
                    <w:spacing w:line="280" w:lineRule="auto" w:before="0"/>
                    <w:ind w:left="16" w:right="7488" w:firstLine="239"/>
                    <w:jc w:val="left"/>
                    <w:rPr>
                      <w:b/>
                      <w:sz w:val="16"/>
                    </w:rPr>
                  </w:pPr>
                  <w:r>
                    <w:rPr>
                      <w:b/>
                      <w:color w:val="FFFFFF"/>
                      <w:w w:val="75"/>
                      <w:sz w:val="16"/>
                    </w:rPr>
                    <w:t>Menor </w:t>
                  </w:r>
                  <w:r>
                    <w:rPr>
                      <w:b/>
                      <w:color w:val="FFFFFF"/>
                      <w:w w:val="65"/>
                      <w:sz w:val="16"/>
                    </w:rPr>
                    <w:t>gobernabilidad</w:t>
                  </w:r>
                </w:p>
              </w:txbxContent>
            </v:textbox>
            <v:fill type="solid"/>
            <w10:wrap type="topAndBottom"/>
          </v:shape>
        </w:pict>
      </w:r>
      <w:r>
        <w:rPr/>
        <w:pict>
          <v:shape style="position:absolute;margin-left:128.260269pt;margin-top:-394.11142pt;width:400.55pt;height:407.35pt;mso-position-horizontal-relative:page;mso-position-vertical-relative:paragraph;z-index:36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9"/>
                    <w:gridCol w:w="1124"/>
                    <w:gridCol w:w="1256"/>
                    <w:gridCol w:w="984"/>
                    <w:gridCol w:w="1282"/>
                    <w:gridCol w:w="1265"/>
                    <w:gridCol w:w="1405"/>
                  </w:tblGrid>
                  <w:tr>
                    <w:trPr>
                      <w:trHeight w:val="385" w:hRule="exact"/>
                    </w:trPr>
                    <w:tc>
                      <w:tcPr>
                        <w:tcW w:w="669" w:type="dxa"/>
                        <w:tcBorders>
                          <w:top w:val="single" w:sz="5" w:space="0" w:color="D7D7D7"/>
                          <w:left w:val="single" w:sz="7" w:space="0" w:color="D7D7D7"/>
                          <w:bottom w:val="single" w:sz="10" w:space="0" w:color="D7D7D7"/>
                          <w:right w:val="single" w:sz="7" w:space="0" w:color="D7D7D7"/>
                        </w:tcBorders>
                        <w:shd w:val="clear" w:color="auto" w:fill="000000"/>
                      </w:tcPr>
                      <w:p>
                        <w:pPr>
                          <w:pStyle w:val="TableParagraph"/>
                          <w:spacing w:before="102"/>
                          <w:ind w:left="99"/>
                          <w:rPr>
                            <w:b/>
                            <w:sz w:val="16"/>
                          </w:rPr>
                        </w:pPr>
                        <w:r>
                          <w:rPr>
                            <w:b/>
                            <w:color w:val="FFFFFF"/>
                            <w:w w:val="75"/>
                            <w:sz w:val="16"/>
                          </w:rPr>
                          <w:t>Posición</w:t>
                        </w:r>
                      </w:p>
                    </w:tc>
                    <w:tc>
                      <w:tcPr>
                        <w:tcW w:w="1124"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140" w:firstLine="123"/>
                          <w:rPr>
                            <w:b/>
                            <w:sz w:val="16"/>
                          </w:rPr>
                        </w:pPr>
                        <w:r>
                          <w:rPr>
                            <w:b/>
                            <w:color w:val="FFFFFF"/>
                            <w:w w:val="75"/>
                            <w:sz w:val="16"/>
                          </w:rPr>
                          <w:t>Efectividad </w:t>
                        </w:r>
                        <w:r>
                          <w:rPr>
                            <w:b/>
                            <w:color w:val="FFFFFF"/>
                            <w:w w:val="65"/>
                            <w:sz w:val="16"/>
                          </w:rPr>
                          <w:t>Gubernamental</w:t>
                        </w:r>
                      </w:p>
                    </w:tc>
                    <w:tc>
                      <w:tcPr>
                        <w:tcW w:w="1256"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421" w:hanging="91"/>
                          <w:rPr>
                            <w:b/>
                            <w:sz w:val="16"/>
                          </w:rPr>
                        </w:pPr>
                        <w:r>
                          <w:rPr>
                            <w:b/>
                            <w:color w:val="FFFFFF"/>
                            <w:w w:val="65"/>
                            <w:sz w:val="16"/>
                          </w:rPr>
                          <w:t>Estabilidad </w:t>
                        </w:r>
                        <w:r>
                          <w:rPr>
                            <w:b/>
                            <w:color w:val="FFFFFF"/>
                            <w:w w:val="75"/>
                            <w:sz w:val="16"/>
                          </w:rPr>
                          <w:t>Política</w:t>
                        </w:r>
                      </w:p>
                    </w:tc>
                    <w:tc>
                      <w:tcPr>
                        <w:tcW w:w="984"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181" w:right="156" w:firstLine="132"/>
                          <w:rPr>
                            <w:b/>
                            <w:sz w:val="16"/>
                          </w:rPr>
                        </w:pPr>
                        <w:r>
                          <w:rPr>
                            <w:b/>
                            <w:color w:val="FFFFFF"/>
                            <w:w w:val="75"/>
                            <w:sz w:val="16"/>
                          </w:rPr>
                          <w:t>Estado </w:t>
                        </w:r>
                        <w:r>
                          <w:rPr>
                            <w:b/>
                            <w:color w:val="FFFFFF"/>
                            <w:w w:val="70"/>
                            <w:sz w:val="16"/>
                          </w:rPr>
                          <w:t>de Derecho</w:t>
                        </w:r>
                      </w:p>
                    </w:tc>
                    <w:tc>
                      <w:tcPr>
                        <w:tcW w:w="1282"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330" w:firstLine="107"/>
                          <w:rPr>
                            <w:b/>
                            <w:sz w:val="16"/>
                          </w:rPr>
                        </w:pPr>
                        <w:r>
                          <w:rPr>
                            <w:b/>
                            <w:color w:val="FFFFFF"/>
                            <w:w w:val="75"/>
                            <w:sz w:val="16"/>
                          </w:rPr>
                          <w:t>Calidad </w:t>
                        </w:r>
                        <w:r>
                          <w:rPr>
                            <w:b/>
                            <w:color w:val="FFFFFF"/>
                            <w:w w:val="65"/>
                            <w:sz w:val="16"/>
                          </w:rPr>
                          <w:t>Regulatoria</w:t>
                        </w:r>
                      </w:p>
                    </w:tc>
                    <w:tc>
                      <w:tcPr>
                        <w:tcW w:w="1265"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338" w:right="-4" w:hanging="50"/>
                          <w:rPr>
                            <w:b/>
                            <w:sz w:val="16"/>
                          </w:rPr>
                        </w:pPr>
                        <w:r>
                          <w:rPr>
                            <w:b/>
                            <w:color w:val="FFFFFF"/>
                            <w:w w:val="70"/>
                            <w:sz w:val="16"/>
                          </w:rPr>
                          <w:t>Control de la Corrupción</w:t>
                        </w:r>
                      </w:p>
                    </w:tc>
                    <w:tc>
                      <w:tcPr>
                        <w:tcW w:w="1405" w:type="dxa"/>
                        <w:tcBorders>
                          <w:top w:val="single" w:sz="5" w:space="0" w:color="D7D7D7"/>
                          <w:left w:val="single" w:sz="7" w:space="0" w:color="D7D7D7"/>
                          <w:right w:val="single" w:sz="7" w:space="0" w:color="D7D7D7"/>
                        </w:tcBorders>
                        <w:shd w:val="clear" w:color="auto" w:fill="000000"/>
                      </w:tcPr>
                      <w:p>
                        <w:pPr>
                          <w:pStyle w:val="TableParagraph"/>
                          <w:spacing w:line="280" w:lineRule="auto" w:before="1"/>
                          <w:ind w:left="404" w:right="141" w:hanging="133"/>
                          <w:rPr>
                            <w:b/>
                            <w:sz w:val="16"/>
                          </w:rPr>
                        </w:pPr>
                        <w:r>
                          <w:rPr>
                            <w:b/>
                            <w:color w:val="FFFFFF"/>
                            <w:w w:val="70"/>
                            <w:sz w:val="16"/>
                          </w:rPr>
                          <w:t>Voz y Rendición de Cuentas</w:t>
                        </w:r>
                      </w:p>
                    </w:tc>
                  </w:tr>
                  <w:tr>
                    <w:trPr>
                      <w:trHeight w:val="132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rPr>
                            <w:sz w:val="20"/>
                          </w:rPr>
                        </w:pPr>
                      </w:p>
                      <w:p>
                        <w:pPr>
                          <w:pStyle w:val="TableParagraph"/>
                          <w:spacing w:before="3"/>
                          <w:rPr>
                            <w:sz w:val="26"/>
                          </w:rPr>
                        </w:pPr>
                      </w:p>
                      <w:p>
                        <w:pPr>
                          <w:pStyle w:val="TableParagraph"/>
                          <w:ind w:left="82"/>
                          <w:rPr>
                            <w:b/>
                            <w:sz w:val="20"/>
                          </w:rPr>
                        </w:pPr>
                        <w:r>
                          <w:rPr>
                            <w:b/>
                            <w:color w:val="FFFFFF"/>
                            <w:w w:val="70"/>
                            <w:sz w:val="20"/>
                          </w:rPr>
                          <w:t>91 a 100</w:t>
                        </w:r>
                      </w:p>
                    </w:tc>
                    <w:tc>
                      <w:tcPr>
                        <w:tcW w:w="1124" w:type="dxa"/>
                        <w:tcBorders>
                          <w:top w:val="single" w:sz="10" w:space="0" w:color="000000"/>
                          <w:left w:val="single" w:sz="7" w:space="0" w:color="D7D7D7"/>
                          <w:bottom w:val="single" w:sz="10" w:space="0" w:color="000000"/>
                          <w:right w:val="single" w:sz="7" w:space="0" w:color="000000"/>
                        </w:tcBorders>
                        <w:shd w:val="clear" w:color="auto" w:fill="92D050"/>
                      </w:tcPr>
                      <w:p>
                        <w:pPr>
                          <w:pStyle w:val="TableParagraph"/>
                          <w:spacing w:line="280" w:lineRule="auto" w:before="127"/>
                          <w:ind w:left="132" w:right="128" w:firstLine="7"/>
                          <w:jc w:val="center"/>
                          <w:rPr>
                            <w:b/>
                            <w:sz w:val="16"/>
                          </w:rPr>
                        </w:pPr>
                        <w:r>
                          <w:rPr>
                            <w:b/>
                            <w:w w:val="75"/>
                            <w:sz w:val="16"/>
                          </w:rPr>
                          <w:t>Finlandia y </w:t>
                        </w:r>
                        <w:r>
                          <w:rPr>
                            <w:b/>
                            <w:w w:val="70"/>
                            <w:sz w:val="16"/>
                          </w:rPr>
                          <w:t>Dinamarca</w:t>
                        </w:r>
                        <w:r>
                          <w:rPr>
                            <w:b/>
                            <w:spacing w:val="-13"/>
                            <w:w w:val="70"/>
                            <w:sz w:val="16"/>
                          </w:rPr>
                          <w:t> </w:t>
                        </w:r>
                        <w:r>
                          <w:rPr>
                            <w:b/>
                            <w:spacing w:val="-3"/>
                            <w:w w:val="70"/>
                            <w:sz w:val="16"/>
                          </w:rPr>
                          <w:t>(100)</w:t>
                        </w:r>
                      </w:p>
                      <w:p>
                        <w:pPr>
                          <w:pStyle w:val="TableParagraph"/>
                          <w:ind w:left="206"/>
                          <w:rPr>
                            <w:b/>
                            <w:sz w:val="16"/>
                          </w:rPr>
                        </w:pPr>
                        <w:r>
                          <w:rPr>
                            <w:b/>
                            <w:w w:val="70"/>
                            <w:sz w:val="16"/>
                          </w:rPr>
                          <w:t>Singapur (99)</w:t>
                        </w:r>
                      </w:p>
                      <w:p>
                        <w:pPr>
                          <w:pStyle w:val="TableParagraph"/>
                          <w:spacing w:line="280" w:lineRule="auto" w:before="30"/>
                          <w:ind w:left="10" w:right="7"/>
                          <w:jc w:val="center"/>
                          <w:rPr>
                            <w:b/>
                            <w:sz w:val="16"/>
                          </w:rPr>
                        </w:pPr>
                        <w:r>
                          <w:rPr>
                            <w:b/>
                            <w:w w:val="75"/>
                            <w:sz w:val="16"/>
                          </w:rPr>
                          <w:t>Suecia (99) </w:t>
                        </w:r>
                        <w:r>
                          <w:rPr>
                            <w:b/>
                            <w:w w:val="70"/>
                            <w:sz w:val="16"/>
                          </w:rPr>
                          <w:t>Alemania y R.U. (92)</w:t>
                        </w:r>
                      </w:p>
                    </w:tc>
                    <w:tc>
                      <w:tcPr>
                        <w:tcW w:w="1256"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rPr>
                            <w:sz w:val="16"/>
                          </w:rPr>
                        </w:pPr>
                      </w:p>
                      <w:p>
                        <w:pPr>
                          <w:pStyle w:val="TableParagraph"/>
                          <w:spacing w:before="9"/>
                          <w:rPr>
                            <w:sz w:val="13"/>
                          </w:rPr>
                        </w:pPr>
                      </w:p>
                      <w:p>
                        <w:pPr>
                          <w:pStyle w:val="TableParagraph"/>
                          <w:ind w:left="264"/>
                          <w:rPr>
                            <w:b/>
                            <w:sz w:val="16"/>
                          </w:rPr>
                        </w:pPr>
                        <w:r>
                          <w:rPr>
                            <w:b/>
                            <w:w w:val="70"/>
                            <w:sz w:val="16"/>
                          </w:rPr>
                          <w:t>Finlandia (98)</w:t>
                        </w:r>
                      </w:p>
                      <w:p>
                        <w:pPr>
                          <w:pStyle w:val="TableParagraph"/>
                          <w:spacing w:line="280" w:lineRule="auto" w:before="30"/>
                          <w:ind w:left="289" w:hanging="58"/>
                          <w:rPr>
                            <w:b/>
                            <w:sz w:val="16"/>
                          </w:rPr>
                        </w:pPr>
                        <w:r>
                          <w:rPr>
                            <w:b/>
                            <w:w w:val="70"/>
                            <w:sz w:val="16"/>
                          </w:rPr>
                          <w:t>N. Zelanda (97) Noruega (97)</w:t>
                        </w:r>
                      </w:p>
                    </w:tc>
                    <w:tc>
                      <w:tcPr>
                        <w:tcW w:w="984"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rPr>
                            <w:sz w:val="21"/>
                          </w:rPr>
                        </w:pPr>
                      </w:p>
                      <w:p>
                        <w:pPr>
                          <w:pStyle w:val="TableParagraph"/>
                          <w:ind w:left="99"/>
                          <w:rPr>
                            <w:b/>
                            <w:sz w:val="16"/>
                          </w:rPr>
                        </w:pPr>
                        <w:r>
                          <w:rPr>
                            <w:b/>
                            <w:w w:val="70"/>
                            <w:sz w:val="16"/>
                          </w:rPr>
                          <w:t>Finlandia (100)</w:t>
                        </w:r>
                      </w:p>
                      <w:p>
                        <w:pPr>
                          <w:pStyle w:val="TableParagraph"/>
                          <w:spacing w:before="30"/>
                          <w:ind w:left="165"/>
                          <w:rPr>
                            <w:b/>
                            <w:sz w:val="16"/>
                          </w:rPr>
                        </w:pPr>
                        <w:r>
                          <w:rPr>
                            <w:b/>
                            <w:w w:val="70"/>
                            <w:sz w:val="16"/>
                          </w:rPr>
                          <w:t>Suecia (100)</w:t>
                        </w:r>
                      </w:p>
                      <w:p>
                        <w:pPr>
                          <w:pStyle w:val="TableParagraph"/>
                          <w:spacing w:before="30"/>
                          <w:ind w:left="90"/>
                          <w:rPr>
                            <w:b/>
                            <w:sz w:val="16"/>
                          </w:rPr>
                        </w:pPr>
                        <w:r>
                          <w:rPr>
                            <w:b/>
                            <w:w w:val="70"/>
                            <w:sz w:val="16"/>
                          </w:rPr>
                          <w:t>Dinamarca (99)</w:t>
                        </w:r>
                      </w:p>
                      <w:p>
                        <w:pPr>
                          <w:pStyle w:val="TableParagraph"/>
                          <w:spacing w:before="31"/>
                          <w:ind w:left="99"/>
                          <w:rPr>
                            <w:b/>
                            <w:sz w:val="16"/>
                          </w:rPr>
                        </w:pPr>
                        <w:r>
                          <w:rPr>
                            <w:b/>
                            <w:w w:val="70"/>
                            <w:sz w:val="16"/>
                          </w:rPr>
                          <w:t>N. Zelanda (99)</w:t>
                        </w:r>
                      </w:p>
                    </w:tc>
                    <w:tc>
                      <w:tcPr>
                        <w:tcW w:w="1282"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spacing w:before="27"/>
                          <w:ind w:left="215"/>
                          <w:rPr>
                            <w:b/>
                            <w:sz w:val="16"/>
                          </w:rPr>
                        </w:pPr>
                        <w:r>
                          <w:rPr>
                            <w:b/>
                            <w:w w:val="70"/>
                            <w:sz w:val="16"/>
                          </w:rPr>
                          <w:t>Dinamarca (100)</w:t>
                        </w:r>
                      </w:p>
                      <w:p>
                        <w:pPr>
                          <w:pStyle w:val="TableParagraph"/>
                          <w:spacing w:line="280" w:lineRule="auto" w:before="31"/>
                          <w:ind w:left="190" w:firstLine="24"/>
                          <w:rPr>
                            <w:b/>
                            <w:sz w:val="16"/>
                          </w:rPr>
                        </w:pPr>
                        <w:r>
                          <w:rPr>
                            <w:b/>
                            <w:w w:val="70"/>
                            <w:sz w:val="16"/>
                          </w:rPr>
                          <w:t>N. Zelanda (100) Luxemburgo (99)</w:t>
                        </w:r>
                      </w:p>
                      <w:p>
                        <w:pPr>
                          <w:pStyle w:val="TableParagraph"/>
                          <w:spacing w:line="280" w:lineRule="auto"/>
                          <w:ind w:left="272" w:firstLine="149"/>
                          <w:rPr>
                            <w:b/>
                            <w:sz w:val="16"/>
                          </w:rPr>
                        </w:pPr>
                        <w:r>
                          <w:rPr>
                            <w:b/>
                            <w:w w:val="75"/>
                            <w:sz w:val="16"/>
                          </w:rPr>
                          <w:t>R.U. (94) </w:t>
                        </w:r>
                        <w:r>
                          <w:rPr>
                            <w:b/>
                            <w:w w:val="70"/>
                            <w:sz w:val="16"/>
                          </w:rPr>
                          <w:t>Alemania (93)</w:t>
                        </w:r>
                      </w:p>
                      <w:p>
                        <w:pPr>
                          <w:pStyle w:val="TableParagraph"/>
                          <w:ind w:left="421"/>
                          <w:rPr>
                            <w:b/>
                            <w:sz w:val="16"/>
                          </w:rPr>
                        </w:pPr>
                        <w:r>
                          <w:rPr>
                            <w:b/>
                            <w:w w:val="70"/>
                            <w:sz w:val="16"/>
                          </w:rPr>
                          <w:t>EUA (92)</w:t>
                        </w:r>
                      </w:p>
                    </w:tc>
                    <w:tc>
                      <w:tcPr>
                        <w:tcW w:w="1265"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spacing w:before="127"/>
                          <w:ind w:left="206" w:right="-4"/>
                          <w:rPr>
                            <w:b/>
                            <w:sz w:val="16"/>
                          </w:rPr>
                        </w:pPr>
                        <w:r>
                          <w:rPr>
                            <w:b/>
                            <w:w w:val="70"/>
                            <w:sz w:val="16"/>
                          </w:rPr>
                          <w:t>Dinamarca (100)</w:t>
                        </w:r>
                      </w:p>
                      <w:p>
                        <w:pPr>
                          <w:pStyle w:val="TableParagraph"/>
                          <w:spacing w:line="280" w:lineRule="auto" w:before="31"/>
                          <w:ind w:left="24" w:right="-4" w:firstLine="198"/>
                          <w:rPr>
                            <w:b/>
                            <w:sz w:val="16"/>
                          </w:rPr>
                        </w:pPr>
                        <w:r>
                          <w:rPr>
                            <w:b/>
                            <w:w w:val="75"/>
                            <w:sz w:val="16"/>
                          </w:rPr>
                          <w:t>N. Zelanda (100) </w:t>
                        </w:r>
                        <w:r>
                          <w:rPr>
                            <w:b/>
                            <w:w w:val="70"/>
                            <w:sz w:val="16"/>
                          </w:rPr>
                          <w:t>Suecia y Finlandia (99)</w:t>
                        </w:r>
                      </w:p>
                      <w:p>
                        <w:pPr>
                          <w:pStyle w:val="TableParagraph"/>
                          <w:ind w:left="264" w:right="-4"/>
                          <w:rPr>
                            <w:b/>
                            <w:sz w:val="16"/>
                          </w:rPr>
                        </w:pPr>
                        <w:r>
                          <w:rPr>
                            <w:b/>
                            <w:w w:val="70"/>
                            <w:sz w:val="16"/>
                          </w:rPr>
                          <w:t>Alemania (93)</w:t>
                        </w:r>
                      </w:p>
                      <w:p>
                        <w:pPr>
                          <w:pStyle w:val="TableParagraph"/>
                          <w:spacing w:before="31"/>
                          <w:ind w:left="413" w:right="-4"/>
                          <w:rPr>
                            <w:b/>
                            <w:sz w:val="16"/>
                          </w:rPr>
                        </w:pPr>
                        <w:r>
                          <w:rPr>
                            <w:b/>
                            <w:w w:val="70"/>
                            <w:sz w:val="16"/>
                          </w:rPr>
                          <w:t>R.U. (91)</w:t>
                        </w:r>
                      </w:p>
                    </w:tc>
                    <w:tc>
                      <w:tcPr>
                        <w:tcW w:w="1405" w:type="dxa"/>
                        <w:tcBorders>
                          <w:top w:val="single" w:sz="10" w:space="0" w:color="000000"/>
                          <w:left w:val="single" w:sz="7" w:space="0" w:color="000000"/>
                          <w:bottom w:val="single" w:sz="10" w:space="0" w:color="000000"/>
                          <w:right w:val="single" w:sz="7" w:space="0" w:color="000000"/>
                        </w:tcBorders>
                        <w:shd w:val="clear" w:color="auto" w:fill="92D050"/>
                      </w:tcPr>
                      <w:p>
                        <w:pPr>
                          <w:pStyle w:val="TableParagraph"/>
                          <w:rPr>
                            <w:sz w:val="16"/>
                          </w:rPr>
                        </w:pPr>
                      </w:p>
                      <w:p>
                        <w:pPr>
                          <w:pStyle w:val="TableParagraph"/>
                          <w:spacing w:before="9"/>
                          <w:rPr>
                            <w:sz w:val="13"/>
                          </w:rPr>
                        </w:pPr>
                      </w:p>
                      <w:p>
                        <w:pPr>
                          <w:pStyle w:val="TableParagraph"/>
                          <w:spacing w:line="280" w:lineRule="auto"/>
                          <w:ind w:left="33" w:right="22" w:firstLine="8"/>
                          <w:jc w:val="center"/>
                          <w:rPr>
                            <w:b/>
                            <w:sz w:val="16"/>
                          </w:rPr>
                        </w:pPr>
                        <w:r>
                          <w:rPr>
                            <w:b/>
                            <w:w w:val="75"/>
                            <w:sz w:val="16"/>
                          </w:rPr>
                          <w:t>Noruega</w:t>
                        </w:r>
                        <w:r>
                          <w:rPr>
                            <w:b/>
                            <w:spacing w:val="-15"/>
                            <w:w w:val="75"/>
                            <w:sz w:val="16"/>
                          </w:rPr>
                          <w:t> </w:t>
                        </w:r>
                        <w:r>
                          <w:rPr>
                            <w:b/>
                            <w:w w:val="75"/>
                            <w:sz w:val="16"/>
                          </w:rPr>
                          <w:t>y</w:t>
                        </w:r>
                        <w:r>
                          <w:rPr>
                            <w:b/>
                            <w:spacing w:val="-19"/>
                            <w:w w:val="75"/>
                            <w:sz w:val="16"/>
                          </w:rPr>
                          <w:t> </w:t>
                        </w:r>
                        <w:r>
                          <w:rPr>
                            <w:b/>
                            <w:w w:val="75"/>
                            <w:sz w:val="16"/>
                          </w:rPr>
                          <w:t>Suiza</w:t>
                        </w:r>
                        <w:r>
                          <w:rPr>
                            <w:b/>
                            <w:spacing w:val="-15"/>
                            <w:w w:val="75"/>
                            <w:sz w:val="16"/>
                          </w:rPr>
                          <w:t> </w:t>
                        </w:r>
                        <w:r>
                          <w:rPr>
                            <w:b/>
                            <w:spacing w:val="-3"/>
                            <w:w w:val="75"/>
                            <w:sz w:val="16"/>
                          </w:rPr>
                          <w:t>(100) </w:t>
                        </w:r>
                        <w:r>
                          <w:rPr>
                            <w:b/>
                            <w:w w:val="70"/>
                            <w:sz w:val="16"/>
                          </w:rPr>
                          <w:t>Dinamarca y Sucecia</w:t>
                        </w:r>
                        <w:r>
                          <w:rPr>
                            <w:b/>
                            <w:spacing w:val="-15"/>
                            <w:w w:val="70"/>
                            <w:sz w:val="16"/>
                          </w:rPr>
                          <w:t> </w:t>
                        </w:r>
                        <w:r>
                          <w:rPr>
                            <w:b/>
                            <w:spacing w:val="-3"/>
                            <w:w w:val="70"/>
                            <w:sz w:val="16"/>
                          </w:rPr>
                          <w:t>(99) </w:t>
                        </w:r>
                        <w:r>
                          <w:rPr>
                            <w:b/>
                            <w:spacing w:val="2"/>
                            <w:w w:val="70"/>
                            <w:sz w:val="16"/>
                          </w:rPr>
                          <w:t>Alemania</w:t>
                        </w:r>
                        <w:r>
                          <w:rPr>
                            <w:b/>
                            <w:spacing w:val="-8"/>
                            <w:w w:val="70"/>
                            <w:sz w:val="16"/>
                          </w:rPr>
                          <w:t> </w:t>
                        </w:r>
                        <w:r>
                          <w:rPr>
                            <w:b/>
                            <w:w w:val="70"/>
                            <w:sz w:val="16"/>
                          </w:rPr>
                          <w:t>y</w:t>
                        </w:r>
                        <w:r>
                          <w:rPr>
                            <w:b/>
                            <w:spacing w:val="-13"/>
                            <w:w w:val="70"/>
                            <w:sz w:val="16"/>
                          </w:rPr>
                          <w:t> </w:t>
                        </w:r>
                        <w:r>
                          <w:rPr>
                            <w:b/>
                            <w:w w:val="70"/>
                            <w:sz w:val="16"/>
                          </w:rPr>
                          <w:t>R.U.</w:t>
                        </w:r>
                        <w:r>
                          <w:rPr>
                            <w:b/>
                            <w:spacing w:val="-10"/>
                            <w:w w:val="70"/>
                            <w:sz w:val="16"/>
                          </w:rPr>
                          <w:t> </w:t>
                        </w:r>
                        <w:r>
                          <w:rPr>
                            <w:b/>
                            <w:spacing w:val="-3"/>
                            <w:w w:val="70"/>
                            <w:sz w:val="16"/>
                          </w:rPr>
                          <w:t>(92)</w:t>
                        </w:r>
                      </w:p>
                    </w:tc>
                  </w:tr>
                  <w:tr>
                    <w:trPr>
                      <w:trHeight w:val="821"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3"/>
                          <w:rPr>
                            <w:sz w:val="24"/>
                          </w:rPr>
                        </w:pPr>
                      </w:p>
                      <w:p>
                        <w:pPr>
                          <w:pStyle w:val="TableParagraph"/>
                          <w:ind w:left="115"/>
                          <w:rPr>
                            <w:b/>
                            <w:sz w:val="20"/>
                          </w:rPr>
                        </w:pPr>
                        <w:r>
                          <w:rPr>
                            <w:b/>
                            <w:color w:val="FFFFFF"/>
                            <w:w w:val="70"/>
                            <w:sz w:val="20"/>
                          </w:rPr>
                          <w:t>81 a 90</w:t>
                        </w:r>
                      </w:p>
                    </w:tc>
                    <w:tc>
                      <w:tcPr>
                        <w:tcW w:w="1124" w:type="dxa"/>
                        <w:tcBorders>
                          <w:top w:val="single" w:sz="10" w:space="0" w:color="000000"/>
                          <w:left w:val="single" w:sz="7" w:space="0" w:color="D7D7D7"/>
                          <w:bottom w:val="single" w:sz="10" w:space="0" w:color="000000"/>
                          <w:right w:val="single" w:sz="7" w:space="0" w:color="000000"/>
                        </w:tcBorders>
                        <w:shd w:val="clear" w:color="auto" w:fill="FFC000"/>
                      </w:tcPr>
                      <w:p>
                        <w:pPr>
                          <w:pStyle w:val="TableParagraph"/>
                          <w:spacing w:before="3"/>
                          <w:rPr>
                            <w:sz w:val="24"/>
                          </w:rPr>
                        </w:pPr>
                      </w:p>
                      <w:p>
                        <w:pPr>
                          <w:pStyle w:val="TableParagraph"/>
                          <w:ind w:left="181"/>
                          <w:rPr>
                            <w:b/>
                            <w:sz w:val="20"/>
                          </w:rPr>
                        </w:pPr>
                        <w:r>
                          <w:rPr>
                            <w:b/>
                            <w:w w:val="65"/>
                            <w:sz w:val="20"/>
                          </w:rPr>
                          <w:t>España (82)</w:t>
                        </w:r>
                      </w:p>
                    </w:tc>
                    <w:tc>
                      <w:tcPr>
                        <w:tcW w:w="1256" w:type="dxa"/>
                        <w:tcBorders>
                          <w:top w:val="single" w:sz="10" w:space="0" w:color="000000"/>
                          <w:left w:val="single" w:sz="7" w:space="0" w:color="000000"/>
                          <w:bottom w:val="single" w:sz="10" w:space="0" w:color="000000"/>
                          <w:right w:val="single" w:sz="7" w:space="0" w:color="000000"/>
                        </w:tcBorders>
                      </w:tcPr>
                      <w:p>
                        <w:pPr/>
                      </w:p>
                    </w:tc>
                    <w:tc>
                      <w:tcPr>
                        <w:tcW w:w="984"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line="276" w:lineRule="auto" w:before="14"/>
                          <w:ind w:left="65" w:right="36" w:firstLine="173"/>
                          <w:rPr>
                            <w:b/>
                            <w:sz w:val="20"/>
                          </w:rPr>
                        </w:pPr>
                        <w:r>
                          <w:rPr>
                            <w:b/>
                            <w:w w:val="75"/>
                            <w:sz w:val="20"/>
                          </w:rPr>
                          <w:t>R.U. (92) </w:t>
                        </w:r>
                        <w:r>
                          <w:rPr>
                            <w:b/>
                            <w:w w:val="65"/>
                            <w:sz w:val="20"/>
                          </w:rPr>
                          <w:t>Alemania (92)</w:t>
                        </w:r>
                      </w:p>
                      <w:p>
                        <w:pPr>
                          <w:pStyle w:val="TableParagraph"/>
                          <w:spacing w:before="1"/>
                          <w:ind w:left="214" w:right="156"/>
                          <w:rPr>
                            <w:b/>
                            <w:sz w:val="20"/>
                          </w:rPr>
                        </w:pPr>
                        <w:r>
                          <w:rPr>
                            <w:b/>
                            <w:w w:val="65"/>
                            <w:sz w:val="20"/>
                          </w:rPr>
                          <w:t>EUA (91)</w:t>
                        </w:r>
                      </w:p>
                    </w:tc>
                    <w:tc>
                      <w:tcPr>
                        <w:tcW w:w="1282"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3"/>
                          <w:rPr>
                            <w:sz w:val="24"/>
                          </w:rPr>
                        </w:pPr>
                      </w:p>
                      <w:p>
                        <w:pPr>
                          <w:pStyle w:val="TableParagraph"/>
                          <w:ind w:left="264"/>
                          <w:rPr>
                            <w:b/>
                            <w:sz w:val="20"/>
                          </w:rPr>
                        </w:pPr>
                        <w:r>
                          <w:rPr>
                            <w:b/>
                            <w:w w:val="65"/>
                            <w:sz w:val="20"/>
                          </w:rPr>
                          <w:t>España (82)</w:t>
                        </w:r>
                      </w:p>
                    </w:tc>
                    <w:tc>
                      <w:tcPr>
                        <w:tcW w:w="1265"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3"/>
                          <w:rPr>
                            <w:sz w:val="24"/>
                          </w:rPr>
                        </w:pPr>
                      </w:p>
                      <w:p>
                        <w:pPr>
                          <w:pStyle w:val="TableParagraph"/>
                          <w:ind w:left="243" w:right="235"/>
                          <w:jc w:val="center"/>
                          <w:rPr>
                            <w:b/>
                            <w:sz w:val="20"/>
                          </w:rPr>
                        </w:pPr>
                        <w:r>
                          <w:rPr>
                            <w:b/>
                            <w:w w:val="65"/>
                            <w:sz w:val="20"/>
                          </w:rPr>
                          <w:t>España (81)</w:t>
                        </w:r>
                      </w:p>
                    </w:tc>
                    <w:tc>
                      <w:tcPr>
                        <w:tcW w:w="1405"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153"/>
                          <w:ind w:left="421" w:right="141"/>
                          <w:rPr>
                            <w:b/>
                            <w:sz w:val="20"/>
                          </w:rPr>
                        </w:pPr>
                        <w:r>
                          <w:rPr>
                            <w:b/>
                            <w:w w:val="65"/>
                            <w:sz w:val="20"/>
                          </w:rPr>
                          <w:t>EUA (86)</w:t>
                        </w:r>
                      </w:p>
                      <w:p>
                        <w:pPr>
                          <w:pStyle w:val="TableParagraph"/>
                          <w:spacing w:before="35"/>
                          <w:ind w:left="322" w:right="141"/>
                          <w:rPr>
                            <w:b/>
                            <w:sz w:val="20"/>
                          </w:rPr>
                        </w:pPr>
                        <w:r>
                          <w:rPr>
                            <w:b/>
                            <w:w w:val="65"/>
                            <w:sz w:val="20"/>
                          </w:rPr>
                          <w:t>España (84)</w:t>
                        </w:r>
                      </w:p>
                    </w:tc>
                  </w:tr>
                  <w:tr>
                    <w:trPr>
                      <w:trHeight w:val="795"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ind w:left="132"/>
                          <w:rPr>
                            <w:b/>
                            <w:sz w:val="20"/>
                          </w:rPr>
                        </w:pPr>
                        <w:r>
                          <w:rPr>
                            <w:b/>
                            <w:color w:val="FFFFFF"/>
                            <w:w w:val="70"/>
                            <w:sz w:val="20"/>
                          </w:rPr>
                          <w:t>71 a 80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2"/>
                          <w:rPr>
                            <w:sz w:val="23"/>
                          </w:rPr>
                        </w:pPr>
                      </w:p>
                      <w:p>
                        <w:pPr>
                          <w:pStyle w:val="TableParagraph"/>
                          <w:ind w:left="177" w:right="177"/>
                          <w:jc w:val="center"/>
                          <w:rPr>
                            <w:b/>
                            <w:sz w:val="20"/>
                          </w:rPr>
                        </w:pPr>
                        <w:r>
                          <w:rPr>
                            <w:b/>
                            <w:w w:val="65"/>
                            <w:sz w:val="20"/>
                          </w:rPr>
                          <w:t>Alemania (73)</w:t>
                        </w:r>
                      </w:p>
                    </w:tc>
                    <w:tc>
                      <w:tcPr>
                        <w:tcW w:w="984" w:type="dxa"/>
                        <w:tcBorders>
                          <w:top w:val="single" w:sz="10" w:space="0" w:color="000000"/>
                          <w:left w:val="single" w:sz="7" w:space="0" w:color="000000"/>
                          <w:bottom w:val="single" w:sz="10" w:space="0" w:color="000000"/>
                          <w:right w:val="single" w:sz="7" w:space="0" w:color="000000"/>
                        </w:tcBorders>
                      </w:tcPr>
                      <w:p>
                        <w:pPr/>
                      </w:p>
                    </w:tc>
                    <w:tc>
                      <w:tcPr>
                        <w:tcW w:w="1282" w:type="dxa"/>
                        <w:tcBorders>
                          <w:top w:val="single" w:sz="10" w:space="0" w:color="000000"/>
                          <w:left w:val="single" w:sz="7" w:space="0" w:color="000000"/>
                          <w:bottom w:val="single" w:sz="10" w:space="0" w:color="000000"/>
                          <w:right w:val="single" w:sz="7" w:space="0" w:color="000000"/>
                        </w:tcBorders>
                      </w:tcPr>
                      <w:p>
                        <w:pPr/>
                      </w:p>
                    </w:tc>
                    <w:tc>
                      <w:tcPr>
                        <w:tcW w:w="1265"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tcBorders>
                        <w:shd w:val="clear" w:color="auto" w:fill="000000"/>
                      </w:tcPr>
                      <w:p>
                        <w:pPr>
                          <w:pStyle w:val="TableParagraph"/>
                          <w:spacing w:before="2"/>
                          <w:rPr>
                            <w:sz w:val="23"/>
                          </w:rPr>
                        </w:pPr>
                      </w:p>
                      <w:p>
                        <w:pPr>
                          <w:pStyle w:val="TableParagraph"/>
                          <w:spacing w:before="1"/>
                          <w:ind w:left="115"/>
                          <w:rPr>
                            <w:b/>
                            <w:sz w:val="20"/>
                          </w:rPr>
                        </w:pPr>
                        <w:r>
                          <w:rPr>
                            <w:b/>
                            <w:color w:val="FFFFFF"/>
                            <w:w w:val="70"/>
                            <w:sz w:val="20"/>
                          </w:rPr>
                          <w:t>61 a 70</w:t>
                        </w:r>
                      </w:p>
                    </w:tc>
                    <w:tc>
                      <w:tcPr>
                        <w:tcW w:w="1124"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spacing w:before="1"/>
                          <w:ind w:left="198"/>
                          <w:rPr>
                            <w:b/>
                            <w:sz w:val="20"/>
                          </w:rPr>
                        </w:pPr>
                        <w:r>
                          <w:rPr>
                            <w:b/>
                            <w:w w:val="65"/>
                            <w:sz w:val="20"/>
                          </w:rPr>
                          <w:t>México (64)</w:t>
                        </w:r>
                      </w:p>
                    </w:tc>
                    <w:tc>
                      <w:tcPr>
                        <w:tcW w:w="1256"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before="2"/>
                          <w:rPr>
                            <w:sz w:val="23"/>
                          </w:rPr>
                        </w:pPr>
                      </w:p>
                      <w:p>
                        <w:pPr>
                          <w:pStyle w:val="TableParagraph"/>
                          <w:spacing w:before="1"/>
                          <w:ind w:left="177" w:right="176"/>
                          <w:jc w:val="center"/>
                          <w:rPr>
                            <w:b/>
                            <w:sz w:val="20"/>
                          </w:rPr>
                        </w:pPr>
                        <w:r>
                          <w:rPr>
                            <w:b/>
                            <w:w w:val="65"/>
                            <w:sz w:val="20"/>
                          </w:rPr>
                          <w:t>EUA (64)</w:t>
                        </w:r>
                      </w:p>
                    </w:tc>
                    <w:tc>
                      <w:tcPr>
                        <w:tcW w:w="984" w:type="dxa"/>
                        <w:tcBorders>
                          <w:top w:val="single" w:sz="10" w:space="0" w:color="000000"/>
                          <w:left w:val="single" w:sz="7" w:space="0" w:color="000000"/>
                          <w:bottom w:val="single" w:sz="10" w:space="0" w:color="000000"/>
                          <w:right w:val="single" w:sz="7" w:space="0" w:color="000000"/>
                        </w:tcBorders>
                      </w:tcPr>
                      <w:p>
                        <w:pPr/>
                      </w:p>
                    </w:tc>
                    <w:tc>
                      <w:tcPr>
                        <w:tcW w:w="1282"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spacing w:before="1"/>
                          <w:ind w:left="281"/>
                          <w:rPr>
                            <w:b/>
                            <w:sz w:val="20"/>
                          </w:rPr>
                        </w:pPr>
                        <w:r>
                          <w:rPr>
                            <w:b/>
                            <w:w w:val="65"/>
                            <w:sz w:val="20"/>
                          </w:rPr>
                          <w:t>México (61)</w:t>
                        </w:r>
                      </w:p>
                    </w:tc>
                    <w:tc>
                      <w:tcPr>
                        <w:tcW w:w="1265"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spacing w:before="1"/>
                          <w:ind w:left="115"/>
                          <w:rPr>
                            <w:b/>
                            <w:sz w:val="20"/>
                          </w:rPr>
                        </w:pPr>
                        <w:r>
                          <w:rPr>
                            <w:b/>
                            <w:color w:val="FFFFFF"/>
                            <w:w w:val="70"/>
                            <w:sz w:val="20"/>
                          </w:rPr>
                          <w:t>51 a 60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shd w:val="clear" w:color="auto" w:fill="FFC000"/>
                      </w:tcPr>
                      <w:p>
                        <w:pPr>
                          <w:pStyle w:val="TableParagraph"/>
                          <w:spacing w:line="276" w:lineRule="auto" w:before="141"/>
                          <w:ind w:left="247" w:right="243" w:firstLine="107"/>
                          <w:rPr>
                            <w:b/>
                            <w:sz w:val="20"/>
                          </w:rPr>
                        </w:pPr>
                        <w:r>
                          <w:rPr>
                            <w:b/>
                            <w:w w:val="75"/>
                            <w:sz w:val="20"/>
                          </w:rPr>
                          <w:t>R.U. (60) </w:t>
                        </w:r>
                        <w:r>
                          <w:rPr>
                            <w:b/>
                            <w:w w:val="65"/>
                            <w:sz w:val="20"/>
                          </w:rPr>
                          <w:t>España (51)</w:t>
                        </w:r>
                      </w:p>
                    </w:tc>
                    <w:tc>
                      <w:tcPr>
                        <w:tcW w:w="984" w:type="dxa"/>
                        <w:tcBorders>
                          <w:top w:val="single" w:sz="10" w:space="0" w:color="000000"/>
                          <w:left w:val="single" w:sz="7" w:space="0" w:color="000000"/>
                          <w:bottom w:val="single" w:sz="10" w:space="0" w:color="000000"/>
                          <w:right w:val="single" w:sz="7" w:space="0" w:color="000000"/>
                        </w:tcBorders>
                      </w:tcPr>
                      <w:p>
                        <w:pPr/>
                      </w:p>
                    </w:tc>
                    <w:tc>
                      <w:tcPr>
                        <w:tcW w:w="1282" w:type="dxa"/>
                        <w:tcBorders>
                          <w:top w:val="single" w:sz="10" w:space="0" w:color="000000"/>
                          <w:left w:val="single" w:sz="7" w:space="0" w:color="000000"/>
                          <w:bottom w:val="single" w:sz="10" w:space="0" w:color="000000"/>
                          <w:right w:val="single" w:sz="7" w:space="0" w:color="000000"/>
                        </w:tcBorders>
                      </w:tcPr>
                      <w:p>
                        <w:pPr/>
                      </w:p>
                    </w:tc>
                    <w:tc>
                      <w:tcPr>
                        <w:tcW w:w="1265"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spacing w:before="1"/>
                          <w:ind w:left="338" w:right="141"/>
                          <w:rPr>
                            <w:b/>
                            <w:sz w:val="20"/>
                          </w:rPr>
                        </w:pPr>
                        <w:r>
                          <w:rPr>
                            <w:b/>
                            <w:w w:val="65"/>
                            <w:sz w:val="20"/>
                          </w:rPr>
                          <w:t>México (54)</w:t>
                        </w:r>
                      </w:p>
                    </w:tc>
                  </w:tr>
                  <w:tr>
                    <w:trPr>
                      <w:trHeight w:val="795" w:hRule="exact"/>
                    </w:trPr>
                    <w:tc>
                      <w:tcPr>
                        <w:tcW w:w="669" w:type="dxa"/>
                        <w:tcBorders>
                          <w:top w:val="single" w:sz="10" w:space="0" w:color="D7D7D7"/>
                          <w:bottom w:val="single" w:sz="10" w:space="0" w:color="D7D7D7"/>
                        </w:tcBorders>
                        <w:shd w:val="clear" w:color="auto" w:fill="000000"/>
                      </w:tcPr>
                      <w:p>
                        <w:pPr>
                          <w:pStyle w:val="TableParagraph"/>
                          <w:spacing w:before="2"/>
                          <w:rPr>
                            <w:sz w:val="23"/>
                          </w:rPr>
                        </w:pPr>
                      </w:p>
                      <w:p>
                        <w:pPr>
                          <w:pStyle w:val="TableParagraph"/>
                          <w:ind w:left="115"/>
                          <w:rPr>
                            <w:b/>
                            <w:sz w:val="20"/>
                          </w:rPr>
                        </w:pPr>
                        <w:r>
                          <w:rPr>
                            <w:b/>
                            <w:color w:val="FFFFFF"/>
                            <w:w w:val="70"/>
                            <w:sz w:val="20"/>
                          </w:rPr>
                          <w:t>41 a 50</w:t>
                        </w:r>
                      </w:p>
                    </w:tc>
                    <w:tc>
                      <w:tcPr>
                        <w:tcW w:w="1124" w:type="dxa"/>
                        <w:tcBorders>
                          <w:top w:val="single" w:sz="10" w:space="0" w:color="000000"/>
                          <w:left w:val="single" w:sz="7" w:space="0" w:color="000000"/>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tcPr>
                      <w:p>
                        <w:pPr/>
                      </w:p>
                    </w:tc>
                    <w:tc>
                      <w:tcPr>
                        <w:tcW w:w="984" w:type="dxa"/>
                        <w:tcBorders>
                          <w:top w:val="single" w:sz="10" w:space="0" w:color="000000"/>
                          <w:left w:val="single" w:sz="7" w:space="0" w:color="000000"/>
                          <w:bottom w:val="single" w:sz="10" w:space="0" w:color="000000"/>
                          <w:right w:val="single" w:sz="7" w:space="0" w:color="000000"/>
                        </w:tcBorders>
                      </w:tcPr>
                      <w:p>
                        <w:pPr/>
                      </w:p>
                    </w:tc>
                    <w:tc>
                      <w:tcPr>
                        <w:tcW w:w="1282" w:type="dxa"/>
                        <w:tcBorders>
                          <w:top w:val="single" w:sz="10" w:space="0" w:color="000000"/>
                          <w:left w:val="single" w:sz="7" w:space="0" w:color="000000"/>
                          <w:bottom w:val="single" w:sz="10" w:space="0" w:color="000000"/>
                          <w:right w:val="single" w:sz="7" w:space="0" w:color="000000"/>
                        </w:tcBorders>
                      </w:tcPr>
                      <w:p>
                        <w:pPr/>
                      </w:p>
                    </w:tc>
                    <w:tc>
                      <w:tcPr>
                        <w:tcW w:w="1265"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ind w:left="243" w:right="234"/>
                          <w:jc w:val="center"/>
                          <w:rPr>
                            <w:b/>
                            <w:sz w:val="20"/>
                          </w:rPr>
                        </w:pPr>
                        <w:r>
                          <w:rPr>
                            <w:b/>
                            <w:w w:val="65"/>
                            <w:sz w:val="20"/>
                          </w:rPr>
                          <w:t>México (45)</w:t>
                        </w: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spacing w:before="1"/>
                          <w:ind w:left="115"/>
                          <w:rPr>
                            <w:b/>
                            <w:sz w:val="20"/>
                          </w:rPr>
                        </w:pPr>
                        <w:r>
                          <w:rPr>
                            <w:b/>
                            <w:color w:val="FFFFFF"/>
                            <w:w w:val="70"/>
                            <w:sz w:val="20"/>
                          </w:rPr>
                          <w:t>31 a 40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tcPr>
                      <w:p>
                        <w:pPr/>
                      </w:p>
                    </w:tc>
                    <w:tc>
                      <w:tcPr>
                        <w:tcW w:w="984" w:type="dxa"/>
                        <w:tcBorders>
                          <w:top w:val="single" w:sz="10" w:space="0" w:color="000000"/>
                          <w:left w:val="single" w:sz="7" w:space="0" w:color="000000"/>
                          <w:bottom w:val="single" w:sz="10" w:space="0" w:color="000000"/>
                          <w:right w:val="single" w:sz="7" w:space="0" w:color="000000"/>
                        </w:tcBorders>
                      </w:tcPr>
                      <w:p>
                        <w:pPr/>
                      </w:p>
                    </w:tc>
                    <w:tc>
                      <w:tcPr>
                        <w:tcW w:w="1282" w:type="dxa"/>
                        <w:tcBorders>
                          <w:top w:val="single" w:sz="10" w:space="0" w:color="000000"/>
                          <w:left w:val="single" w:sz="7" w:space="0" w:color="000000"/>
                          <w:bottom w:val="single" w:sz="10" w:space="0" w:color="000000"/>
                          <w:right w:val="single" w:sz="7" w:space="0" w:color="000000"/>
                        </w:tcBorders>
                      </w:tcPr>
                      <w:p>
                        <w:pPr/>
                      </w:p>
                    </w:tc>
                    <w:tc>
                      <w:tcPr>
                        <w:tcW w:w="1265"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796" w:hRule="exact"/>
                    </w:trPr>
                    <w:tc>
                      <w:tcPr>
                        <w:tcW w:w="669" w:type="dxa"/>
                        <w:tcBorders>
                          <w:top w:val="single" w:sz="10" w:space="0" w:color="D7D7D7"/>
                          <w:bottom w:val="single" w:sz="10" w:space="0" w:color="D7D7D7"/>
                          <w:right w:val="single" w:sz="7" w:space="0" w:color="D7D7D7"/>
                        </w:tcBorders>
                        <w:shd w:val="clear" w:color="auto" w:fill="000000"/>
                      </w:tcPr>
                      <w:p>
                        <w:pPr>
                          <w:pStyle w:val="TableParagraph"/>
                          <w:spacing w:before="2"/>
                          <w:rPr>
                            <w:sz w:val="23"/>
                          </w:rPr>
                        </w:pPr>
                      </w:p>
                      <w:p>
                        <w:pPr>
                          <w:pStyle w:val="TableParagraph"/>
                          <w:spacing w:before="1"/>
                          <w:ind w:left="115"/>
                          <w:rPr>
                            <w:b/>
                            <w:sz w:val="20"/>
                          </w:rPr>
                        </w:pPr>
                        <w:r>
                          <w:rPr>
                            <w:b/>
                            <w:color w:val="FFFFFF"/>
                            <w:w w:val="70"/>
                            <w:sz w:val="20"/>
                          </w:rPr>
                          <w:t>21 a 30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spacing w:before="1"/>
                          <w:ind w:left="177" w:right="176"/>
                          <w:jc w:val="center"/>
                          <w:rPr>
                            <w:b/>
                            <w:sz w:val="20"/>
                          </w:rPr>
                        </w:pPr>
                        <w:r>
                          <w:rPr>
                            <w:b/>
                            <w:w w:val="65"/>
                            <w:sz w:val="20"/>
                          </w:rPr>
                          <w:t>México (25)</w:t>
                        </w:r>
                      </w:p>
                    </w:tc>
                    <w:tc>
                      <w:tcPr>
                        <w:tcW w:w="984" w:type="dxa"/>
                        <w:tcBorders>
                          <w:top w:val="single" w:sz="10" w:space="0" w:color="000000"/>
                          <w:left w:val="single" w:sz="7" w:space="0" w:color="000000"/>
                          <w:bottom w:val="single" w:sz="10" w:space="0" w:color="000000"/>
                          <w:right w:val="single" w:sz="7" w:space="0" w:color="000000"/>
                        </w:tcBorders>
                        <w:shd w:val="clear" w:color="auto" w:fill="E16B09"/>
                      </w:tcPr>
                      <w:p>
                        <w:pPr>
                          <w:pStyle w:val="TableParagraph"/>
                          <w:spacing w:before="2"/>
                          <w:rPr>
                            <w:sz w:val="23"/>
                          </w:rPr>
                        </w:pPr>
                      </w:p>
                      <w:p>
                        <w:pPr>
                          <w:pStyle w:val="TableParagraph"/>
                          <w:spacing w:before="1"/>
                          <w:ind w:left="132"/>
                          <w:rPr>
                            <w:b/>
                            <w:sz w:val="20"/>
                          </w:rPr>
                        </w:pPr>
                        <w:r>
                          <w:rPr>
                            <w:b/>
                            <w:w w:val="65"/>
                            <w:sz w:val="20"/>
                          </w:rPr>
                          <w:t>México (39)</w:t>
                        </w:r>
                      </w:p>
                    </w:tc>
                    <w:tc>
                      <w:tcPr>
                        <w:tcW w:w="1282" w:type="dxa"/>
                        <w:tcBorders>
                          <w:top w:val="single" w:sz="10" w:space="0" w:color="000000"/>
                          <w:left w:val="single" w:sz="7" w:space="0" w:color="000000"/>
                          <w:bottom w:val="single" w:sz="10" w:space="0" w:color="000000"/>
                          <w:right w:val="single" w:sz="7" w:space="0" w:color="000000"/>
                        </w:tcBorders>
                      </w:tcPr>
                      <w:p>
                        <w:pPr/>
                      </w:p>
                    </w:tc>
                    <w:tc>
                      <w:tcPr>
                        <w:tcW w:w="1265" w:type="dxa"/>
                        <w:tcBorders>
                          <w:top w:val="single" w:sz="10" w:space="0" w:color="000000"/>
                          <w:left w:val="single" w:sz="7" w:space="0" w:color="000000"/>
                          <w:bottom w:val="single" w:sz="10" w:space="0" w:color="000000"/>
                          <w:right w:val="single" w:sz="7" w:space="0" w:color="000000"/>
                        </w:tcBorders>
                      </w:tcPr>
                      <w:p>
                        <w:pPr/>
                      </w:p>
                    </w:tc>
                    <w:tc>
                      <w:tcPr>
                        <w:tcW w:w="1405" w:type="dxa"/>
                        <w:tcBorders>
                          <w:top w:val="single" w:sz="10" w:space="0" w:color="000000"/>
                          <w:left w:val="single" w:sz="7" w:space="0" w:color="000000"/>
                          <w:bottom w:val="single" w:sz="10" w:space="0" w:color="000000"/>
                          <w:right w:val="single" w:sz="7" w:space="0" w:color="000000"/>
                        </w:tcBorders>
                      </w:tcPr>
                      <w:p>
                        <w:pPr/>
                      </w:p>
                    </w:tc>
                  </w:tr>
                  <w:tr>
                    <w:trPr>
                      <w:trHeight w:val="821" w:hRule="exact"/>
                    </w:trPr>
                    <w:tc>
                      <w:tcPr>
                        <w:tcW w:w="669" w:type="dxa"/>
                        <w:tcBorders>
                          <w:top w:val="single" w:sz="10" w:space="0" w:color="D7D7D7"/>
                          <w:right w:val="single" w:sz="7" w:space="0" w:color="D7D7D7"/>
                        </w:tcBorders>
                        <w:shd w:val="clear" w:color="auto" w:fill="000000"/>
                      </w:tcPr>
                      <w:p>
                        <w:pPr>
                          <w:pStyle w:val="TableParagraph"/>
                          <w:spacing w:before="3"/>
                          <w:rPr>
                            <w:sz w:val="24"/>
                          </w:rPr>
                        </w:pPr>
                      </w:p>
                      <w:p>
                        <w:pPr>
                          <w:pStyle w:val="TableParagraph"/>
                          <w:ind w:left="115"/>
                          <w:rPr>
                            <w:b/>
                            <w:sz w:val="20"/>
                          </w:rPr>
                        </w:pPr>
                        <w:r>
                          <w:rPr>
                            <w:b/>
                            <w:color w:val="FFFFFF"/>
                            <w:w w:val="70"/>
                            <w:sz w:val="20"/>
                          </w:rPr>
                          <w:t>11 a 20</w:t>
                        </w:r>
                      </w:p>
                    </w:tc>
                    <w:tc>
                      <w:tcPr>
                        <w:tcW w:w="1124" w:type="dxa"/>
                        <w:tcBorders>
                          <w:top w:val="single" w:sz="10" w:space="0" w:color="000000"/>
                          <w:left w:val="single" w:sz="7" w:space="0" w:color="D7D7D7"/>
                          <w:bottom w:val="single" w:sz="10" w:space="0" w:color="000000"/>
                          <w:right w:val="single" w:sz="7" w:space="0" w:color="000000"/>
                        </w:tcBorders>
                      </w:tcPr>
                      <w:p>
                        <w:pPr/>
                      </w:p>
                    </w:tc>
                    <w:tc>
                      <w:tcPr>
                        <w:tcW w:w="1256" w:type="dxa"/>
                        <w:tcBorders>
                          <w:top w:val="single" w:sz="10" w:space="0" w:color="000000"/>
                          <w:left w:val="single" w:sz="7" w:space="0" w:color="000000"/>
                          <w:bottom w:val="single" w:sz="10" w:space="0" w:color="000000"/>
                          <w:right w:val="single" w:sz="7" w:space="0" w:color="000000"/>
                        </w:tcBorders>
                      </w:tcPr>
                      <w:p>
                        <w:pPr/>
                      </w:p>
                    </w:tc>
                    <w:tc>
                      <w:tcPr>
                        <w:tcW w:w="984" w:type="dxa"/>
                        <w:tcBorders>
                          <w:top w:val="single" w:sz="10" w:space="0" w:color="000000"/>
                          <w:left w:val="single" w:sz="7" w:space="0" w:color="000000"/>
                          <w:bottom w:val="single" w:sz="10" w:space="0" w:color="000000"/>
                          <w:right w:val="single" w:sz="7" w:space="0" w:color="000000"/>
                        </w:tcBorders>
                      </w:tcPr>
                      <w:p>
                        <w:pPr/>
                      </w:p>
                    </w:tc>
                    <w:tc>
                      <w:tcPr>
                        <w:tcW w:w="1282" w:type="dxa"/>
                        <w:tcBorders>
                          <w:top w:val="single" w:sz="10" w:space="0" w:color="000000"/>
                          <w:left w:val="single" w:sz="7" w:space="0" w:color="000000"/>
                          <w:right w:val="single" w:sz="7" w:space="0" w:color="000000"/>
                        </w:tcBorders>
                      </w:tcPr>
                      <w:p>
                        <w:pPr/>
                      </w:p>
                    </w:tc>
                    <w:tc>
                      <w:tcPr>
                        <w:tcW w:w="1265" w:type="dxa"/>
                        <w:tcBorders>
                          <w:top w:val="single" w:sz="10" w:space="0" w:color="000000"/>
                          <w:left w:val="single" w:sz="7" w:space="0" w:color="000000"/>
                          <w:right w:val="single" w:sz="7" w:space="0" w:color="000000"/>
                        </w:tcBorders>
                      </w:tcPr>
                      <w:p>
                        <w:pPr/>
                      </w:p>
                    </w:tc>
                    <w:tc>
                      <w:tcPr>
                        <w:tcW w:w="1405" w:type="dxa"/>
                        <w:tcBorders>
                          <w:top w:val="single" w:sz="10" w:space="0" w:color="000000"/>
                          <w:left w:val="single" w:sz="7" w:space="0" w:color="000000"/>
                          <w:right w:val="single" w:sz="7" w:space="0" w:color="000000"/>
                        </w:tcBorders>
                      </w:tcPr>
                      <w:p>
                        <w:pPr/>
                      </w:p>
                    </w:tc>
                  </w:tr>
                </w:tbl>
                <w:p>
                  <w:pPr>
                    <w:pStyle w:val="BodyText"/>
                  </w:pPr>
                </w:p>
              </w:txbxContent>
            </v:textbox>
            <w10:wrap type="none"/>
          </v:shape>
        </w:pict>
      </w:r>
      <w:r>
        <w:rPr>
          <w:b/>
          <w:w w:val="66"/>
          <w:sz w:val="20"/>
        </w:rPr>
        <w:t>0</w:t>
      </w:r>
    </w:p>
    <w:p>
      <w:pPr>
        <w:pStyle w:val="BodyText"/>
        <w:spacing w:before="8"/>
        <w:rPr>
          <w:b/>
          <w:sz w:val="6"/>
        </w:rPr>
      </w:pPr>
    </w:p>
    <w:p>
      <w:pPr>
        <w:spacing w:line="137" w:lineRule="exact" w:before="85"/>
        <w:ind w:left="810" w:right="50" w:firstLine="0"/>
        <w:jc w:val="left"/>
        <w:rPr>
          <w:sz w:val="12"/>
        </w:rPr>
      </w:pPr>
      <w:r>
        <w:rPr>
          <w:sz w:val="12"/>
        </w:rPr>
        <w:t>FUENTE:      Elaboración propia con base en:</w:t>
      </w:r>
    </w:p>
    <w:p>
      <w:pPr>
        <w:spacing w:line="278" w:lineRule="auto" w:before="0"/>
        <w:ind w:left="810" w:right="4411" w:firstLine="0"/>
        <w:jc w:val="left"/>
        <w:rPr>
          <w:sz w:val="12"/>
        </w:rPr>
      </w:pPr>
      <w:r>
        <w:rPr>
          <w:sz w:val="12"/>
        </w:rPr>
        <w:t>World Bank.</w:t>
      </w:r>
      <w:r>
        <w:rPr>
          <w:i/>
          <w:sz w:val="12"/>
        </w:rPr>
        <w:t>Governance Matters 2012.World Governance Indicators </w:t>
      </w:r>
      <w:r>
        <w:rPr>
          <w:sz w:val="12"/>
        </w:rPr>
        <w:t>Disponible en: </w:t>
      </w:r>
      <w:hyperlink r:id="rId64">
        <w:r>
          <w:rPr>
            <w:sz w:val="12"/>
          </w:rPr>
          <w:t>http://info.worldbank.org/governance/wgi/sc_country.asp</w:t>
        </w:r>
      </w:hyperlink>
      <w:r>
        <w:rPr>
          <w:sz w:val="12"/>
        </w:rPr>
        <w:t> [Fecha de consulta: 24 de mayo, 2015]</w:t>
      </w:r>
    </w:p>
    <w:p>
      <w:pPr>
        <w:spacing w:after="0" w:line="278" w:lineRule="auto"/>
        <w:jc w:val="left"/>
        <w:rPr>
          <w:sz w:val="12"/>
        </w:rPr>
        <w:sectPr>
          <w:pgSz w:w="12240" w:h="15840"/>
          <w:pgMar w:header="0" w:footer="1003" w:top="1360" w:bottom="1200" w:left="1600" w:right="1560"/>
        </w:sectPr>
      </w:pPr>
    </w:p>
    <w:p>
      <w:pPr>
        <w:spacing w:before="51"/>
        <w:ind w:left="102" w:right="0" w:firstLine="0"/>
        <w:jc w:val="both"/>
        <w:rPr>
          <w:i/>
          <w:sz w:val="24"/>
        </w:rPr>
      </w:pPr>
      <w:r>
        <w:rPr>
          <w:i/>
          <w:sz w:val="24"/>
        </w:rPr>
        <w:t>Índice de Estados Fallidos, 2012</w:t>
      </w:r>
    </w:p>
    <w:p>
      <w:pPr>
        <w:pStyle w:val="BodyText"/>
        <w:spacing w:line="360" w:lineRule="auto" w:before="202"/>
        <w:ind w:left="102" w:right="115" w:firstLine="427"/>
        <w:jc w:val="both"/>
      </w:pPr>
      <w:r>
        <w:rPr/>
        <w:t>El Fondo por la Paz (</w:t>
      </w:r>
      <w:r>
        <w:rPr>
          <w:i/>
        </w:rPr>
        <w:t>Fund for Peace</w:t>
      </w:r>
      <w:r>
        <w:rPr/>
        <w:t>) publicó en la revista </w:t>
      </w:r>
      <w:r>
        <w:rPr>
          <w:i/>
        </w:rPr>
        <w:t>Foreign Policy, The </w:t>
      </w:r>
      <w:r>
        <w:rPr>
          <w:i/>
        </w:rPr>
        <w:t>Failed</w:t>
      </w:r>
      <w:r>
        <w:rPr>
          <w:i/>
          <w:spacing w:val="-13"/>
        </w:rPr>
        <w:t> </w:t>
      </w:r>
      <w:r>
        <w:rPr>
          <w:i/>
        </w:rPr>
        <w:t>States</w:t>
      </w:r>
      <w:r>
        <w:rPr>
          <w:i/>
          <w:spacing w:val="-13"/>
        </w:rPr>
        <w:t> </w:t>
      </w:r>
      <w:r>
        <w:rPr>
          <w:i/>
        </w:rPr>
        <w:t>Index</w:t>
      </w:r>
      <w:r>
        <w:rPr>
          <w:i/>
          <w:spacing w:val="-13"/>
        </w:rPr>
        <w:t> </w:t>
      </w:r>
      <w:r>
        <w:rPr/>
        <w:t>(Índice</w:t>
      </w:r>
      <w:r>
        <w:rPr>
          <w:spacing w:val="-13"/>
        </w:rPr>
        <w:t> </w:t>
      </w:r>
      <w:r>
        <w:rPr/>
        <w:t>de</w:t>
      </w:r>
      <w:r>
        <w:rPr>
          <w:spacing w:val="-13"/>
        </w:rPr>
        <w:t> </w:t>
      </w:r>
      <w:r>
        <w:rPr/>
        <w:t>Estados</w:t>
      </w:r>
      <w:r>
        <w:rPr>
          <w:spacing w:val="-14"/>
        </w:rPr>
        <w:t> </w:t>
      </w:r>
      <w:r>
        <w:rPr/>
        <w:t>Fallidos),</w:t>
      </w:r>
      <w:r>
        <w:rPr>
          <w:spacing w:val="-14"/>
        </w:rPr>
        <w:t> </w:t>
      </w:r>
      <w:r>
        <w:rPr/>
        <w:t>en</w:t>
      </w:r>
      <w:r>
        <w:rPr>
          <w:spacing w:val="-13"/>
        </w:rPr>
        <w:t> </w:t>
      </w:r>
      <w:r>
        <w:rPr/>
        <w:t>el</w:t>
      </w:r>
      <w:r>
        <w:rPr>
          <w:spacing w:val="-14"/>
        </w:rPr>
        <w:t> </w:t>
      </w:r>
      <w:r>
        <w:rPr/>
        <w:t>cual</w:t>
      </w:r>
      <w:r>
        <w:rPr>
          <w:spacing w:val="-14"/>
        </w:rPr>
        <w:t> </w:t>
      </w:r>
      <w:r>
        <w:rPr/>
        <w:t>se</w:t>
      </w:r>
      <w:r>
        <w:rPr>
          <w:spacing w:val="-13"/>
        </w:rPr>
        <w:t> </w:t>
      </w:r>
      <w:r>
        <w:rPr/>
        <w:t>clasifica</w:t>
      </w:r>
      <w:r>
        <w:rPr>
          <w:spacing w:val="-13"/>
        </w:rPr>
        <w:t> </w:t>
      </w:r>
      <w:r>
        <w:rPr/>
        <w:t>a</w:t>
      </w:r>
      <w:r>
        <w:rPr>
          <w:spacing w:val="-13"/>
        </w:rPr>
        <w:t> </w:t>
      </w:r>
      <w:r>
        <w:rPr/>
        <w:t>178</w:t>
      </w:r>
      <w:r>
        <w:rPr>
          <w:spacing w:val="-16"/>
        </w:rPr>
        <w:t> </w:t>
      </w:r>
      <w:r>
        <w:rPr/>
        <w:t>países. El índice fue publicado en junio de 2012 y su escala de valuación es de 1 a 178, donde valores cercanos a 178 indican un “Estado muy sustentable” y 1 “Estado en muy alta precaución”. En este contexto el término “Estado fallido” hace referencia</w:t>
      </w:r>
      <w:r>
        <w:rPr>
          <w:spacing w:val="-46"/>
        </w:rPr>
        <w:t> </w:t>
      </w:r>
      <w:r>
        <w:rPr/>
        <w:t>a una</w:t>
      </w:r>
      <w:r>
        <w:rPr>
          <w:spacing w:val="-9"/>
        </w:rPr>
        <w:t> </w:t>
      </w:r>
      <w:r>
        <w:rPr/>
        <w:t>serie</w:t>
      </w:r>
      <w:r>
        <w:rPr>
          <w:spacing w:val="-9"/>
        </w:rPr>
        <w:t> </w:t>
      </w:r>
      <w:r>
        <w:rPr/>
        <w:t>de</w:t>
      </w:r>
      <w:r>
        <w:rPr>
          <w:spacing w:val="-9"/>
        </w:rPr>
        <w:t> </w:t>
      </w:r>
      <w:r>
        <w:rPr/>
        <w:t>condiciones</w:t>
      </w:r>
      <w:r>
        <w:rPr>
          <w:spacing w:val="-7"/>
        </w:rPr>
        <w:t> </w:t>
      </w:r>
      <w:r>
        <w:rPr/>
        <w:t>que</w:t>
      </w:r>
      <w:r>
        <w:rPr>
          <w:spacing w:val="-9"/>
        </w:rPr>
        <w:t> </w:t>
      </w:r>
      <w:r>
        <w:rPr/>
        <w:t>conducen</w:t>
      </w:r>
      <w:r>
        <w:rPr>
          <w:spacing w:val="-12"/>
        </w:rPr>
        <w:t> </w:t>
      </w:r>
      <w:r>
        <w:rPr/>
        <w:t>al</w:t>
      </w:r>
      <w:r>
        <w:rPr>
          <w:spacing w:val="-11"/>
        </w:rPr>
        <w:t> </w:t>
      </w:r>
      <w:r>
        <w:rPr/>
        <w:t>debilitamiento</w:t>
      </w:r>
      <w:r>
        <w:rPr>
          <w:spacing w:val="-11"/>
        </w:rPr>
        <w:t> </w:t>
      </w:r>
      <w:r>
        <w:rPr/>
        <w:t>del</w:t>
      </w:r>
      <w:r>
        <w:rPr>
          <w:spacing w:val="-13"/>
        </w:rPr>
        <w:t> </w:t>
      </w:r>
      <w:r>
        <w:rPr/>
        <w:t>Estado</w:t>
      </w:r>
      <w:r>
        <w:rPr>
          <w:spacing w:val="-12"/>
        </w:rPr>
        <w:t> </w:t>
      </w:r>
      <w:r>
        <w:rPr/>
        <w:t>en</w:t>
      </w:r>
      <w:r>
        <w:rPr>
          <w:spacing w:val="-9"/>
        </w:rPr>
        <w:t> </w:t>
      </w:r>
      <w:r>
        <w:rPr/>
        <w:t>relación</w:t>
      </w:r>
      <w:r>
        <w:rPr>
          <w:spacing w:val="-9"/>
        </w:rPr>
        <w:t> </w:t>
      </w:r>
      <w:r>
        <w:rPr/>
        <w:t>con la demanda política y económica. El índice evalúa si los Estados responden de forma eficientemente a su</w:t>
      </w:r>
      <w:r>
        <w:rPr>
          <w:spacing w:val="-11"/>
        </w:rPr>
        <w:t> </w:t>
      </w:r>
      <w:r>
        <w:rPr/>
        <w:t>función.</w:t>
      </w:r>
    </w:p>
    <w:p>
      <w:pPr>
        <w:pStyle w:val="BodyText"/>
        <w:spacing w:line="360" w:lineRule="auto" w:before="5"/>
        <w:ind w:left="102" w:right="126" w:firstLine="427"/>
        <w:jc w:val="both"/>
      </w:pPr>
      <w:r>
        <w:rPr/>
        <w:t>De acuerdo con la ONG, el término Estado Fallido es polémico, ya que califica de esta manera a aquel Estado en donde el gobierno ha perdido control efectivo sobre su territorio.</w:t>
      </w:r>
    </w:p>
    <w:p>
      <w:pPr>
        <w:pStyle w:val="BodyText"/>
        <w:spacing w:before="2"/>
        <w:ind w:left="529"/>
      </w:pPr>
      <w:r>
        <w:rPr/>
        <w:t>Alemania</w:t>
      </w:r>
      <w:r>
        <w:rPr>
          <w:spacing w:val="-19"/>
        </w:rPr>
        <w:t> </w:t>
      </w:r>
      <w:r>
        <w:rPr/>
        <w:t>(posición</w:t>
      </w:r>
      <w:r>
        <w:rPr>
          <w:spacing w:val="-19"/>
        </w:rPr>
        <w:t> </w:t>
      </w:r>
      <w:r>
        <w:rPr/>
        <w:t>162),</w:t>
      </w:r>
      <w:r>
        <w:rPr>
          <w:spacing w:val="-18"/>
        </w:rPr>
        <w:t> </w:t>
      </w:r>
      <w:r>
        <w:rPr/>
        <w:t>Reino</w:t>
      </w:r>
      <w:r>
        <w:rPr>
          <w:spacing w:val="-17"/>
        </w:rPr>
        <w:t> </w:t>
      </w:r>
      <w:r>
        <w:rPr/>
        <w:t>Unido</w:t>
      </w:r>
      <w:r>
        <w:rPr>
          <w:spacing w:val="-17"/>
        </w:rPr>
        <w:t> </w:t>
      </w:r>
      <w:r>
        <w:rPr/>
        <w:t>(posición</w:t>
      </w:r>
      <w:r>
        <w:rPr>
          <w:spacing w:val="-19"/>
        </w:rPr>
        <w:t> </w:t>
      </w:r>
      <w:r>
        <w:rPr/>
        <w:t>159)</w:t>
      </w:r>
      <w:r>
        <w:rPr>
          <w:spacing w:val="-20"/>
        </w:rPr>
        <w:t> </w:t>
      </w:r>
      <w:r>
        <w:rPr/>
        <w:t>y</w:t>
      </w:r>
      <w:r>
        <w:rPr>
          <w:spacing w:val="-20"/>
        </w:rPr>
        <w:t> </w:t>
      </w:r>
      <w:r>
        <w:rPr/>
        <w:t>Estados</w:t>
      </w:r>
      <w:r>
        <w:rPr>
          <w:spacing w:val="-20"/>
        </w:rPr>
        <w:t> </w:t>
      </w:r>
      <w:r>
        <w:rPr/>
        <w:t>Unidos</w:t>
      </w:r>
      <w:r>
        <w:rPr>
          <w:spacing w:val="-17"/>
        </w:rPr>
        <w:t> </w:t>
      </w:r>
      <w:r>
        <w:rPr/>
        <w:t>(posición</w:t>
      </w:r>
    </w:p>
    <w:p>
      <w:pPr>
        <w:pStyle w:val="BodyText"/>
        <w:spacing w:line="360" w:lineRule="auto" w:before="139"/>
        <w:ind w:left="102" w:right="117"/>
        <w:jc w:val="both"/>
      </w:pPr>
      <w:r>
        <w:rPr/>
        <w:t>158) son clasificados como “Estado muy estable”, España (posición 151) como “Estado estable”. México registró la posición 94 y la clasificación de México es de “Alta precaución” (por debajo de Grecia con la posición 143, países de la OCDE).</w:t>
      </w:r>
    </w:p>
    <w:p>
      <w:pPr>
        <w:pStyle w:val="BodyText"/>
      </w:pPr>
    </w:p>
    <w:p>
      <w:pPr>
        <w:spacing w:before="148"/>
        <w:ind w:left="2308" w:right="0" w:firstLine="0"/>
        <w:jc w:val="left"/>
        <w:rPr>
          <w:sz w:val="20"/>
        </w:rPr>
      </w:pPr>
      <w:bookmarkStart w:name="_bookmark24" w:id="35"/>
      <w:bookmarkEnd w:id="35"/>
      <w:r>
        <w:rPr/>
      </w:r>
      <w:r>
        <w:rPr>
          <w:sz w:val="20"/>
        </w:rPr>
        <w:t>Grafica 1.2. Índice de Estados fallidos, 2007-2011</w:t>
      </w:r>
    </w:p>
    <w:p>
      <w:pPr>
        <w:pStyle w:val="BodyText"/>
        <w:spacing w:before="8"/>
        <w:rPr>
          <w:sz w:val="14"/>
        </w:rPr>
      </w:pPr>
      <w:r>
        <w:rPr/>
        <w:pict>
          <v:group style="position:absolute;margin-left:85.699837pt;margin-top:10.441187pt;width:439.65pt;height:151.3pt;mso-position-horizontal-relative:page;mso-position-vertical-relative:paragraph;z-index:3928;mso-wrap-distance-left:0;mso-wrap-distance-right:0" coordorigin="1714,209" coordsize="8793,3026">
            <v:line style="position:absolute" from="2268,2873" to="2268,361" stroked="true" strokeweight=".596562pt" strokecolor="#858585"/>
            <v:line style="position:absolute" from="2221,2873" to="2268,2873" stroked="true" strokeweight=".523272pt" strokecolor="#858585"/>
            <v:line style="position:absolute" from="2221,2621" to="2268,2621" stroked="true" strokeweight=".523272pt" strokecolor="#858585"/>
            <v:line style="position:absolute" from="2221,2370" to="2268,2370" stroked="true" strokeweight=".523272pt" strokecolor="#858585"/>
            <v:line style="position:absolute" from="2221,2119" to="2268,2119" stroked="true" strokeweight=".523272pt" strokecolor="#858585"/>
            <v:line style="position:absolute" from="2221,1868" to="2268,1868" stroked="true" strokeweight=".523272pt" strokecolor="#858585"/>
            <v:line style="position:absolute" from="2221,1617" to="2268,1617" stroked="true" strokeweight=".523272pt" strokecolor="#858585"/>
            <v:line style="position:absolute" from="2221,1365" to="2268,1365" stroked="true" strokeweight=".523272pt" strokecolor="#858585"/>
            <v:line style="position:absolute" from="2221,1114" to="2268,1114" stroked="true" strokeweight=".523272pt" strokecolor="#858585"/>
            <v:line style="position:absolute" from="2221,863" to="2268,863" stroked="true" strokeweight=".523272pt" strokecolor="#858585"/>
            <v:line style="position:absolute" from="2221,612" to="2268,612" stroked="true" strokeweight=".523272pt" strokecolor="#858585"/>
            <v:line style="position:absolute" from="2221,361" to="2268,361" stroked="true" strokeweight=".523272pt" strokecolor="#858585"/>
            <v:line style="position:absolute" from="2268,2873" to="8162,2873" stroked="true" strokeweight=".523272pt" strokecolor="#858585"/>
            <v:line style="position:absolute" from="2268,2873" to="2268,2914" stroked="true" strokeweight=".596562pt" strokecolor="#858585"/>
            <v:line style="position:absolute" from="3748,2873" to="3748,2914" stroked="true" strokeweight=".596562pt" strokecolor="#858585"/>
            <v:line style="position:absolute" from="5215,2873" to="5215,2914" stroked="true" strokeweight=".596562pt" strokecolor="#858585"/>
            <v:line style="position:absolute" from="6695,2873" to="6695,2914" stroked="true" strokeweight=".596562pt" strokecolor="#858585"/>
            <v:line style="position:absolute" from="8162,2873" to="8162,2914" stroked="true" strokeweight=".596562pt" strokecolor="#858585"/>
            <v:rect style="position:absolute;left:3008;top:654;width:4415;height:10" filled="true" fillcolor="#416ea6" stroked="false">
              <v:fill type="solid"/>
            </v:rect>
            <v:shape style="position:absolute;left:3008;top:706;width:4415;height:32" coordorigin="3008,706" coordsize="4415,32" path="m3008,738l4476,717,5955,717,7423,706e" filled="false" stroked="true" strokeweight="1.569828pt" strokecolor="#85a349">
              <v:path arrowok="t"/>
            </v:shape>
            <v:shape style="position:absolute;left:3008;top:842;width:4415;height:84" coordorigin="3008,842" coordsize="4415,84" path="m3008,926l4476,905,5955,905,7423,842e" filled="false" stroked="true" strokeweight="1.569896pt" strokecolor="#6d538d">
              <v:path arrowok="t"/>
            </v:shape>
            <v:shape style="position:absolute;left:3008;top:853;width:4415;height:42" coordorigin="3008,853" coordsize="4415,42" path="m3008,853l4476,874,5955,895,7423,895e" filled="false" stroked="true" strokeweight="1.569836pt" strokecolor="#3c95ad">
              <v:path arrowok="t"/>
            </v:shape>
            <v:line style="position:absolute" from="3008,863" to="7423,863" stroked="true" strokeweight="1.046549pt" strokecolor="#da8137"/>
            <v:line style="position:absolute" from="3008,983" to="7423,983" stroked="true" strokeweight=".52327pt" strokecolor="#8ea4ca"/>
            <v:shape style="position:absolute;left:3008;top:1554;width:4415;height:137" coordorigin="3008,1554" coordsize="4415,137" path="m3008,1554l4476,1648,5955,1669,7423,1690e" filled="false" stroked="true" strokeweight="1.570025pt" strokecolor="#ce8e8d">
              <v:path arrowok="t"/>
            </v:shape>
            <v:rect style="position:absolute;left:1719;top:214;width:8781;height:3014" filled="false" stroked="true" strokeweight=".531527pt" strokecolor="#858585"/>
            <v:shape style="position:absolute;left:9679;top:832;width:176;height:1476" coordorigin="9679,832" coordsize="176,1476" path="m9699,2164l9682,2172,9679,2182,9761,2307,9782,2276,9779,2276,9744,2276,9744,2218,9710,2166,9699,2164xm9744,2218l9744,2276,9779,2276,9779,2269,9777,2269,9746,2268,9762,2245,9744,2218xm9825,2165l9814,2167,9809,2175,9780,2218,9779,2276,9782,2276,9840,2191,9845,2183,9842,2173,9834,2169,9825,2165xm9762,2245l9746,2268,9777,2269,9762,2245xm9780,2218l9762,2245,9777,2269,9779,2269,9780,2218xm9773,894l9754,921,9744,2218,9762,2245,9780,2218,9790,921,9773,894xm9793,863l9755,863,9791,863,9790,921,9824,973,9835,975,9844,971,9852,967,9855,957,9793,863xm9773,832l9694,949,9689,956,9692,966,9709,975,9720,972,9725,965,9754,921,9755,863,9793,863,9773,832xm9791,871l9757,871,9788,871,9773,894,9790,921,9791,871xm9755,863l9754,921,9773,894,9757,871,9791,871,9791,863,9755,863xm9757,871l9773,894,9788,871,9757,871xe" filled="true" fillcolor="#000000" stroked="false">
              <v:path arrowok="t"/>
              <v:fill type="solid"/>
            </v:shape>
            <v:shape style="position:absolute;left:9200;top:403;width:1074;height:2565" type="#_x0000_t202" filled="false" stroked="true" strokeweight="1.763545pt" strokecolor="#000000">
              <v:textbox inset="0,0,0,0">
                <w:txbxContent>
                  <w:p>
                    <w:pPr>
                      <w:spacing w:line="126" w:lineRule="exact" w:before="30"/>
                      <w:ind w:left="143" w:right="142" w:firstLine="0"/>
                      <w:jc w:val="center"/>
                      <w:rPr>
                        <w:b/>
                        <w:sz w:val="11"/>
                      </w:rPr>
                    </w:pPr>
                    <w:r>
                      <w:rPr>
                        <w:b/>
                        <w:w w:val="120"/>
                        <w:sz w:val="11"/>
                      </w:rPr>
                      <w:t>Estado muy</w:t>
                    </w:r>
                  </w:p>
                  <w:p>
                    <w:pPr>
                      <w:spacing w:before="0"/>
                      <w:ind w:left="143" w:right="142" w:firstLine="0"/>
                      <w:jc w:val="center"/>
                      <w:rPr>
                        <w:b/>
                        <w:sz w:val="11"/>
                      </w:rPr>
                    </w:pPr>
                    <w:r>
                      <w:rPr>
                        <w:b/>
                        <w:w w:val="120"/>
                        <w:sz w:val="11"/>
                      </w:rPr>
                      <w:t>sustentable</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3"/>
                      </w:rPr>
                    </w:pPr>
                  </w:p>
                  <w:p>
                    <w:pPr>
                      <w:spacing w:line="249" w:lineRule="auto" w:before="0"/>
                      <w:ind w:left="173" w:right="162" w:hanging="12"/>
                      <w:jc w:val="center"/>
                      <w:rPr>
                        <w:b/>
                        <w:sz w:val="11"/>
                      </w:rPr>
                    </w:pPr>
                    <w:r>
                      <w:rPr>
                        <w:b/>
                        <w:w w:val="120"/>
                        <w:sz w:val="11"/>
                      </w:rPr>
                      <w:t>Estado en muy alta precaución</w:t>
                    </w:r>
                  </w:p>
                </w:txbxContent>
              </v:textbox>
              <w10:wrap type="none"/>
            </v:shape>
            <v:shape style="position:absolute;left:1872;top:306;width:255;height:2655" type="#_x0000_t202" filled="false" stroked="false">
              <v:textbox inset="0,0,0,0">
                <w:txbxContent>
                  <w:p>
                    <w:pPr>
                      <w:spacing w:line="137" w:lineRule="exact" w:before="0"/>
                      <w:ind w:left="0" w:right="1" w:firstLine="0"/>
                      <w:jc w:val="center"/>
                      <w:rPr>
                        <w:rFonts w:ascii="Calibri"/>
                        <w:sz w:val="13"/>
                      </w:rPr>
                    </w:pPr>
                    <w:r>
                      <w:rPr>
                        <w:rFonts w:ascii="Calibri"/>
                        <w:w w:val="120"/>
                        <w:sz w:val="13"/>
                      </w:rPr>
                      <w:t>200</w:t>
                    </w:r>
                  </w:p>
                  <w:p>
                    <w:pPr>
                      <w:spacing w:before="93"/>
                      <w:ind w:left="0" w:right="1" w:firstLine="0"/>
                      <w:jc w:val="center"/>
                      <w:rPr>
                        <w:rFonts w:ascii="Calibri"/>
                        <w:sz w:val="13"/>
                      </w:rPr>
                    </w:pPr>
                    <w:r>
                      <w:rPr>
                        <w:rFonts w:ascii="Calibri"/>
                        <w:w w:val="120"/>
                        <w:sz w:val="13"/>
                      </w:rPr>
                      <w:t>180</w:t>
                    </w:r>
                  </w:p>
                  <w:p>
                    <w:pPr>
                      <w:spacing w:before="93"/>
                      <w:ind w:left="0" w:right="1" w:firstLine="0"/>
                      <w:jc w:val="center"/>
                      <w:rPr>
                        <w:rFonts w:ascii="Calibri"/>
                        <w:sz w:val="13"/>
                      </w:rPr>
                    </w:pPr>
                    <w:r>
                      <w:rPr>
                        <w:rFonts w:ascii="Calibri"/>
                        <w:w w:val="120"/>
                        <w:sz w:val="13"/>
                      </w:rPr>
                      <w:t>160</w:t>
                    </w:r>
                  </w:p>
                  <w:p>
                    <w:pPr>
                      <w:spacing w:before="92"/>
                      <w:ind w:left="0" w:right="1" w:firstLine="0"/>
                      <w:jc w:val="center"/>
                      <w:rPr>
                        <w:rFonts w:ascii="Calibri"/>
                        <w:sz w:val="13"/>
                      </w:rPr>
                    </w:pPr>
                    <w:r>
                      <w:rPr>
                        <w:rFonts w:ascii="Calibri"/>
                        <w:w w:val="120"/>
                        <w:sz w:val="13"/>
                      </w:rPr>
                      <w:t>140</w:t>
                    </w:r>
                  </w:p>
                  <w:p>
                    <w:pPr>
                      <w:spacing w:before="93"/>
                      <w:ind w:left="0" w:right="1" w:firstLine="0"/>
                      <w:jc w:val="center"/>
                      <w:rPr>
                        <w:rFonts w:ascii="Calibri"/>
                        <w:sz w:val="13"/>
                      </w:rPr>
                    </w:pPr>
                    <w:r>
                      <w:rPr>
                        <w:rFonts w:ascii="Calibri"/>
                        <w:w w:val="120"/>
                        <w:sz w:val="13"/>
                      </w:rPr>
                      <w:t>120</w:t>
                    </w:r>
                  </w:p>
                  <w:p>
                    <w:pPr>
                      <w:spacing w:before="93"/>
                      <w:ind w:left="0" w:right="1" w:firstLine="0"/>
                      <w:jc w:val="center"/>
                      <w:rPr>
                        <w:rFonts w:ascii="Calibri"/>
                        <w:sz w:val="13"/>
                      </w:rPr>
                    </w:pPr>
                    <w:r>
                      <w:rPr>
                        <w:rFonts w:ascii="Calibri"/>
                        <w:w w:val="120"/>
                        <w:sz w:val="13"/>
                      </w:rPr>
                      <w:t>100</w:t>
                    </w:r>
                  </w:p>
                  <w:p>
                    <w:pPr>
                      <w:spacing w:before="93"/>
                      <w:ind w:left="87" w:right="-11" w:firstLine="0"/>
                      <w:jc w:val="left"/>
                      <w:rPr>
                        <w:rFonts w:ascii="Calibri"/>
                        <w:sz w:val="13"/>
                      </w:rPr>
                    </w:pPr>
                    <w:r>
                      <w:rPr>
                        <w:rFonts w:ascii="Calibri"/>
                        <w:w w:val="120"/>
                        <w:sz w:val="13"/>
                      </w:rPr>
                      <w:t>80</w:t>
                    </w:r>
                  </w:p>
                  <w:p>
                    <w:pPr>
                      <w:spacing w:before="93"/>
                      <w:ind w:left="87" w:right="-11" w:firstLine="0"/>
                      <w:jc w:val="left"/>
                      <w:rPr>
                        <w:rFonts w:ascii="Calibri"/>
                        <w:sz w:val="13"/>
                      </w:rPr>
                    </w:pPr>
                    <w:r>
                      <w:rPr>
                        <w:rFonts w:ascii="Calibri"/>
                        <w:w w:val="120"/>
                        <w:sz w:val="13"/>
                      </w:rPr>
                      <w:t>60</w:t>
                    </w:r>
                  </w:p>
                  <w:p>
                    <w:pPr>
                      <w:spacing w:before="93"/>
                      <w:ind w:left="87" w:right="-11" w:firstLine="0"/>
                      <w:jc w:val="left"/>
                      <w:rPr>
                        <w:rFonts w:ascii="Calibri"/>
                        <w:sz w:val="13"/>
                      </w:rPr>
                    </w:pPr>
                    <w:r>
                      <w:rPr>
                        <w:rFonts w:ascii="Calibri"/>
                        <w:w w:val="120"/>
                        <w:sz w:val="13"/>
                      </w:rPr>
                      <w:t>40</w:t>
                    </w:r>
                  </w:p>
                  <w:p>
                    <w:pPr>
                      <w:spacing w:before="93"/>
                      <w:ind w:left="87" w:right="-11" w:firstLine="0"/>
                      <w:jc w:val="left"/>
                      <w:rPr>
                        <w:rFonts w:ascii="Calibri"/>
                        <w:sz w:val="13"/>
                      </w:rPr>
                    </w:pPr>
                    <w:r>
                      <w:rPr>
                        <w:rFonts w:ascii="Calibri"/>
                        <w:w w:val="120"/>
                        <w:sz w:val="13"/>
                      </w:rPr>
                      <w:t>20</w:t>
                    </w:r>
                  </w:p>
                  <w:p>
                    <w:pPr>
                      <w:spacing w:line="158" w:lineRule="exact" w:before="93"/>
                      <w:ind w:left="152" w:right="0" w:firstLine="0"/>
                      <w:jc w:val="center"/>
                      <w:rPr>
                        <w:rFonts w:ascii="Calibri"/>
                        <w:sz w:val="13"/>
                      </w:rPr>
                    </w:pPr>
                    <w:r>
                      <w:rPr>
                        <w:rFonts w:ascii="Calibri"/>
                        <w:w w:val="119"/>
                        <w:sz w:val="13"/>
                      </w:rPr>
                      <w:t>0</w:t>
                    </w:r>
                  </w:p>
                </w:txbxContent>
              </v:textbox>
              <w10:wrap type="none"/>
            </v:shape>
            <v:shape style="position:absolute;left:3008;top:558;width:4447;height:137" type="#_x0000_t202" filled="false" stroked="false">
              <v:textbox inset="0,0,0,0">
                <w:txbxContent>
                  <w:p>
                    <w:pPr>
                      <w:tabs>
                        <w:tab w:pos="4446" w:val="left" w:leader="none"/>
                      </w:tabs>
                      <w:spacing w:line="136" w:lineRule="exact" w:before="0"/>
                      <w:ind w:left="0" w:right="0" w:firstLine="0"/>
                      <w:jc w:val="left"/>
                      <w:rPr>
                        <w:rFonts w:ascii="Calibri"/>
                        <w:sz w:val="13"/>
                      </w:rPr>
                    </w:pPr>
                    <w:r>
                      <w:rPr>
                        <w:rFonts w:ascii="Calibri"/>
                        <w:w w:val="119"/>
                        <w:sz w:val="13"/>
                        <w:u w:val="thick" w:color="A8423E"/>
                      </w:rPr>
                      <w:t> </w:t>
                    </w:r>
                    <w:r>
                      <w:rPr>
                        <w:rFonts w:ascii="Calibri"/>
                        <w:sz w:val="13"/>
                        <w:u w:val="thick" w:color="A8423E"/>
                      </w:rPr>
                      <w:tab/>
                    </w:r>
                  </w:p>
                </w:txbxContent>
              </v:textbox>
              <w10:wrap type="none"/>
            </v:shape>
            <v:shape style="position:absolute;left:7762;top:387;width:984;height:893" type="#_x0000_t202" filled="false" stroked="false">
              <v:textbox inset="0,0,0,0">
                <w:txbxContent>
                  <w:p>
                    <w:pPr>
                      <w:spacing w:line="117" w:lineRule="exact" w:before="0"/>
                      <w:ind w:left="0" w:right="-12" w:firstLine="0"/>
                      <w:jc w:val="left"/>
                      <w:rPr>
                        <w:b/>
                        <w:sz w:val="11"/>
                      </w:rPr>
                    </w:pPr>
                    <w:r>
                      <w:rPr>
                        <w:b/>
                        <w:w w:val="120"/>
                        <w:sz w:val="11"/>
                      </w:rPr>
                      <w:t>Finlandia : 177</w:t>
                    </w:r>
                  </w:p>
                  <w:p>
                    <w:pPr>
                      <w:spacing w:line="126" w:lineRule="exact" w:before="0"/>
                      <w:ind w:left="0" w:right="-12" w:firstLine="0"/>
                      <w:jc w:val="left"/>
                      <w:rPr>
                        <w:b/>
                        <w:sz w:val="11"/>
                      </w:rPr>
                    </w:pPr>
                    <w:r>
                      <w:rPr>
                        <w:b/>
                        <w:w w:val="120"/>
                        <w:sz w:val="11"/>
                      </w:rPr>
                      <w:t>Suecia: 175</w:t>
                    </w:r>
                  </w:p>
                  <w:p>
                    <w:pPr>
                      <w:spacing w:line="126" w:lineRule="exact" w:before="10"/>
                      <w:ind w:left="0" w:right="-12" w:firstLine="0"/>
                      <w:jc w:val="left"/>
                      <w:rPr>
                        <w:b/>
                        <w:sz w:val="11"/>
                      </w:rPr>
                    </w:pPr>
                    <w:r>
                      <w:rPr>
                        <w:b/>
                        <w:w w:val="120"/>
                        <w:sz w:val="11"/>
                      </w:rPr>
                      <w:t>Dinamarca</w:t>
                    </w:r>
                    <w:r>
                      <w:rPr>
                        <w:b/>
                        <w:spacing w:val="-20"/>
                        <w:w w:val="120"/>
                        <w:sz w:val="11"/>
                      </w:rPr>
                      <w:t> </w:t>
                    </w:r>
                    <w:r>
                      <w:rPr>
                        <w:b/>
                        <w:w w:val="120"/>
                        <w:sz w:val="11"/>
                      </w:rPr>
                      <w:t>:</w:t>
                    </w:r>
                    <w:r>
                      <w:rPr>
                        <w:b/>
                        <w:spacing w:val="-17"/>
                        <w:w w:val="120"/>
                        <w:sz w:val="11"/>
                      </w:rPr>
                      <w:t> </w:t>
                    </w:r>
                    <w:r>
                      <w:rPr>
                        <w:b/>
                        <w:w w:val="120"/>
                        <w:sz w:val="11"/>
                      </w:rPr>
                      <w:t>173</w:t>
                    </w:r>
                  </w:p>
                  <w:p>
                    <w:pPr>
                      <w:spacing w:line="126" w:lineRule="exact" w:before="0"/>
                      <w:ind w:left="0" w:right="-12" w:firstLine="0"/>
                      <w:jc w:val="left"/>
                      <w:rPr>
                        <w:b/>
                        <w:sz w:val="11"/>
                      </w:rPr>
                    </w:pPr>
                    <w:r>
                      <w:rPr>
                        <w:b/>
                        <w:w w:val="120"/>
                        <w:sz w:val="11"/>
                      </w:rPr>
                      <w:t>Alemania: 162</w:t>
                    </w:r>
                  </w:p>
                  <w:p>
                    <w:pPr>
                      <w:spacing w:line="126" w:lineRule="exact" w:before="0"/>
                      <w:ind w:left="0" w:right="-12" w:firstLine="0"/>
                      <w:jc w:val="left"/>
                      <w:rPr>
                        <w:b/>
                        <w:sz w:val="11"/>
                      </w:rPr>
                    </w:pPr>
                    <w:r>
                      <w:rPr>
                        <w:b/>
                        <w:w w:val="120"/>
                        <w:sz w:val="11"/>
                      </w:rPr>
                      <w:t>EUA: 158</w:t>
                    </w:r>
                  </w:p>
                  <w:p>
                    <w:pPr>
                      <w:spacing w:line="259" w:lineRule="auto" w:before="0"/>
                      <w:ind w:left="0" w:right="-12" w:firstLine="0"/>
                      <w:jc w:val="left"/>
                      <w:rPr>
                        <w:b/>
                        <w:sz w:val="11"/>
                      </w:rPr>
                    </w:pPr>
                    <w:r>
                      <w:rPr>
                        <w:b/>
                        <w:w w:val="120"/>
                        <w:sz w:val="11"/>
                      </w:rPr>
                      <w:t>R.U. : 159 España: 151</w:t>
                    </w:r>
                  </w:p>
                </w:txbxContent>
              </v:textbox>
              <w10:wrap type="none"/>
            </v:shape>
            <v:shape style="position:absolute;left:3142;top:1513;width:323;height:137" type="#_x0000_t202" filled="false" stroked="false">
              <v:textbox inset="0,0,0,0">
                <w:txbxContent>
                  <w:p>
                    <w:pPr>
                      <w:spacing w:line="137" w:lineRule="exact" w:before="0"/>
                      <w:ind w:left="0" w:right="-10" w:firstLine="0"/>
                      <w:jc w:val="left"/>
                      <w:rPr>
                        <w:rFonts w:ascii="Arial Black"/>
                        <w:b/>
                        <w:sz w:val="13"/>
                      </w:rPr>
                    </w:pPr>
                    <w:r>
                      <w:rPr>
                        <w:rFonts w:ascii="Arial Black"/>
                        <w:b/>
                        <w:w w:val="120"/>
                        <w:sz w:val="13"/>
                      </w:rPr>
                      <w:t>105</w:t>
                    </w:r>
                  </w:p>
                </w:txbxContent>
              </v:textbox>
              <w10:wrap type="none"/>
            </v:shape>
            <v:shape style="position:absolute;left:4612;top:1601;width:215;height:137" type="#_x0000_t202" filled="false" stroked="false">
              <v:textbox inset="0,0,0,0">
                <w:txbxContent>
                  <w:p>
                    <w:pPr>
                      <w:spacing w:line="136" w:lineRule="exact" w:before="0"/>
                      <w:ind w:left="0" w:right="-14" w:firstLine="0"/>
                      <w:jc w:val="left"/>
                      <w:rPr>
                        <w:rFonts w:ascii="Arial Black"/>
                        <w:b/>
                        <w:sz w:val="13"/>
                      </w:rPr>
                    </w:pPr>
                    <w:r>
                      <w:rPr>
                        <w:rFonts w:ascii="Arial Black"/>
                        <w:b/>
                        <w:w w:val="120"/>
                        <w:sz w:val="13"/>
                      </w:rPr>
                      <w:t>98</w:t>
                    </w:r>
                  </w:p>
                </w:txbxContent>
              </v:textbox>
              <w10:wrap type="none"/>
            </v:shape>
            <v:shape style="position:absolute;left:6086;top:1626;width:215;height:137" type="#_x0000_t202" filled="false" stroked="false">
              <v:textbox inset="0,0,0,0">
                <w:txbxContent>
                  <w:p>
                    <w:pPr>
                      <w:spacing w:line="137" w:lineRule="exact" w:before="0"/>
                      <w:ind w:left="0" w:right="-14" w:firstLine="0"/>
                      <w:jc w:val="left"/>
                      <w:rPr>
                        <w:rFonts w:ascii="Arial Black"/>
                        <w:b/>
                        <w:sz w:val="13"/>
                      </w:rPr>
                    </w:pPr>
                    <w:r>
                      <w:rPr>
                        <w:rFonts w:ascii="Arial Black"/>
                        <w:b/>
                        <w:w w:val="120"/>
                        <w:sz w:val="13"/>
                      </w:rPr>
                      <w:t>96</w:t>
                    </w:r>
                  </w:p>
                </w:txbxContent>
              </v:textbox>
              <w10:wrap type="none"/>
            </v:shape>
            <v:shape style="position:absolute;left:7561;top:1651;width:215;height:137" type="#_x0000_t202" filled="false" stroked="false">
              <v:textbox inset="0,0,0,0">
                <w:txbxContent>
                  <w:p>
                    <w:pPr>
                      <w:spacing w:line="137" w:lineRule="exact" w:before="0"/>
                      <w:ind w:left="0" w:right="-14" w:firstLine="0"/>
                      <w:jc w:val="left"/>
                      <w:rPr>
                        <w:rFonts w:ascii="Arial Black"/>
                        <w:b/>
                        <w:sz w:val="13"/>
                      </w:rPr>
                    </w:pPr>
                    <w:r>
                      <w:rPr>
                        <w:rFonts w:ascii="Arial Black"/>
                        <w:b/>
                        <w:w w:val="120"/>
                        <w:sz w:val="13"/>
                      </w:rPr>
                      <w:t>94</w:t>
                    </w:r>
                  </w:p>
                </w:txbxContent>
              </v:textbox>
              <w10:wrap type="none"/>
            </v:shape>
            <v:shape style="position:absolute;left:7885;top:1647;width:611;height:116" type="#_x0000_t202" filled="false" stroked="false">
              <v:textbox inset="0,0,0,0">
                <w:txbxContent>
                  <w:p>
                    <w:pPr>
                      <w:spacing w:line="115" w:lineRule="exact" w:before="0"/>
                      <w:ind w:left="0" w:right="-16" w:firstLine="0"/>
                      <w:jc w:val="left"/>
                      <w:rPr>
                        <w:b/>
                        <w:sz w:val="11"/>
                      </w:rPr>
                    </w:pPr>
                    <w:r>
                      <w:rPr>
                        <w:b/>
                        <w:w w:val="120"/>
                        <w:sz w:val="11"/>
                      </w:rPr>
                      <w:t>México</w:t>
                    </w:r>
                    <w:r>
                      <w:rPr>
                        <w:b/>
                        <w:spacing w:val="-24"/>
                        <w:w w:val="120"/>
                        <w:sz w:val="11"/>
                      </w:rPr>
                      <w:t> </w:t>
                    </w:r>
                    <w:r>
                      <w:rPr>
                        <w:b/>
                        <w:w w:val="120"/>
                        <w:sz w:val="11"/>
                      </w:rPr>
                      <w:t>94</w:t>
                    </w:r>
                  </w:p>
                </w:txbxContent>
              </v:textbox>
              <w10:wrap type="none"/>
            </v:shape>
            <v:shape style="position:absolute;left:2834;top:3006;width:4759;height:137" type="#_x0000_t202" filled="false" stroked="false">
              <v:textbox inset="0,0,0,0">
                <w:txbxContent>
                  <w:p>
                    <w:pPr>
                      <w:tabs>
                        <w:tab w:pos="1474" w:val="left" w:leader="none"/>
                        <w:tab w:pos="2949" w:val="left" w:leader="none"/>
                        <w:tab w:pos="4424" w:val="left" w:leader="none"/>
                      </w:tabs>
                      <w:spacing w:line="136" w:lineRule="exact" w:before="0"/>
                      <w:ind w:left="0" w:right="0" w:firstLine="0"/>
                      <w:jc w:val="left"/>
                      <w:rPr>
                        <w:rFonts w:ascii="Calibri"/>
                        <w:sz w:val="13"/>
                      </w:rPr>
                    </w:pPr>
                    <w:r>
                      <w:rPr>
                        <w:rFonts w:ascii="Calibri"/>
                        <w:spacing w:val="3"/>
                        <w:w w:val="120"/>
                        <w:sz w:val="13"/>
                      </w:rPr>
                      <w:t>2008</w:t>
                      <w:tab/>
                      <w:t>2009</w:t>
                      <w:tab/>
                      <w:t>2010</w:t>
                      <w:tab/>
                    </w:r>
                    <w:r>
                      <w:rPr>
                        <w:rFonts w:ascii="Calibri"/>
                        <w:spacing w:val="4"/>
                        <w:w w:val="120"/>
                        <w:sz w:val="13"/>
                      </w:rPr>
                      <w:t>2011</w:t>
                    </w:r>
                  </w:p>
                </w:txbxContent>
              </v:textbox>
              <w10:wrap type="none"/>
            </v:shape>
            <w10:wrap type="topAndBottom"/>
          </v:group>
        </w:pict>
      </w:r>
    </w:p>
    <w:p>
      <w:pPr>
        <w:spacing w:before="118"/>
        <w:ind w:left="810" w:right="0" w:firstLine="0"/>
        <w:jc w:val="left"/>
        <w:rPr>
          <w:sz w:val="12"/>
        </w:rPr>
      </w:pPr>
      <w:r>
        <w:rPr>
          <w:sz w:val="12"/>
        </w:rPr>
        <w:t>FUENTE:      Elaboración propia con base en:</w:t>
      </w:r>
    </w:p>
    <w:p>
      <w:pPr>
        <w:spacing w:before="1"/>
        <w:ind w:left="1518" w:right="4483" w:firstLine="0"/>
        <w:jc w:val="left"/>
        <w:rPr>
          <w:sz w:val="12"/>
        </w:rPr>
      </w:pPr>
      <w:r>
        <w:rPr>
          <w:sz w:val="12"/>
        </w:rPr>
        <w:t>Fund for peace, Foreign Policy, </w:t>
      </w:r>
      <w:r>
        <w:rPr>
          <w:i/>
          <w:sz w:val="12"/>
        </w:rPr>
        <w:t>The falied States Index </w:t>
      </w:r>
      <w:r>
        <w:rPr>
          <w:sz w:val="12"/>
        </w:rPr>
        <w:t>Disponible en: </w:t>
      </w:r>
      <w:hyperlink r:id="rId65">
        <w:r>
          <w:rPr>
            <w:color w:val="0000FF"/>
            <w:sz w:val="12"/>
            <w:u w:val="single" w:color="0000FF"/>
          </w:rPr>
          <w:t>http://www.fundforpeace.org/global/?q=fsi</w:t>
        </w:r>
        <w:r>
          <w:rPr>
            <w:color w:val="0000FF"/>
            <w:sz w:val="12"/>
          </w:rPr>
          <w:t>t</w:t>
        </w:r>
      </w:hyperlink>
      <w:r>
        <w:rPr>
          <w:color w:val="0000FF"/>
          <w:sz w:val="12"/>
        </w:rPr>
        <w:t> </w:t>
      </w:r>
      <w:r>
        <w:rPr>
          <w:sz w:val="12"/>
        </w:rPr>
        <w:t>[Fecha de consulta: 30 de mayo, 2015]</w:t>
      </w:r>
    </w:p>
    <w:p>
      <w:pPr>
        <w:spacing w:after="0"/>
        <w:jc w:val="left"/>
        <w:rPr>
          <w:sz w:val="12"/>
        </w:rPr>
        <w:sectPr>
          <w:pgSz w:w="12240" w:h="15840"/>
          <w:pgMar w:header="0" w:footer="1003" w:top="1360" w:bottom="1200" w:left="1600" w:right="1580"/>
        </w:sectPr>
      </w:pPr>
    </w:p>
    <w:p>
      <w:pPr>
        <w:spacing w:before="51"/>
        <w:ind w:left="122" w:right="50" w:firstLine="0"/>
        <w:jc w:val="left"/>
        <w:rPr>
          <w:i/>
          <w:sz w:val="24"/>
        </w:rPr>
      </w:pPr>
      <w:r>
        <w:rPr>
          <w:i/>
          <w:sz w:val="24"/>
        </w:rPr>
        <w:t>Corrupción</w:t>
      </w:r>
    </w:p>
    <w:p>
      <w:pPr>
        <w:pStyle w:val="ListParagraph"/>
        <w:numPr>
          <w:ilvl w:val="0"/>
          <w:numId w:val="37"/>
        </w:numPr>
        <w:tabs>
          <w:tab w:pos="403" w:val="left" w:leader="none"/>
        </w:tabs>
        <w:spacing w:line="240" w:lineRule="auto" w:before="139" w:after="0"/>
        <w:ind w:left="402" w:right="0" w:hanging="280"/>
        <w:jc w:val="left"/>
        <w:rPr>
          <w:i/>
          <w:sz w:val="24"/>
        </w:rPr>
      </w:pPr>
      <w:r>
        <w:rPr>
          <w:i/>
          <w:sz w:val="24"/>
        </w:rPr>
        <w:t>Índice de Opacidad,</w:t>
      </w:r>
      <w:r>
        <w:rPr>
          <w:i/>
          <w:spacing w:val="-9"/>
          <w:sz w:val="24"/>
        </w:rPr>
        <w:t> </w:t>
      </w:r>
      <w:r>
        <w:rPr>
          <w:i/>
          <w:sz w:val="24"/>
        </w:rPr>
        <w:t>2009</w:t>
      </w:r>
    </w:p>
    <w:p>
      <w:pPr>
        <w:pStyle w:val="BodyText"/>
        <w:rPr>
          <w:i/>
        </w:rPr>
      </w:pPr>
    </w:p>
    <w:p>
      <w:pPr>
        <w:pStyle w:val="BodyText"/>
        <w:rPr>
          <w:i/>
        </w:rPr>
      </w:pPr>
    </w:p>
    <w:p>
      <w:pPr>
        <w:pStyle w:val="BodyText"/>
        <w:spacing w:line="360" w:lineRule="auto"/>
        <w:ind w:left="122" w:right="116" w:firstLine="427"/>
        <w:jc w:val="both"/>
      </w:pPr>
      <w:r>
        <w:rPr/>
        <w:t>El índices publicado por </w:t>
      </w:r>
      <w:r>
        <w:rPr>
          <w:i/>
        </w:rPr>
        <w:t>Milken Institute </w:t>
      </w:r>
      <w:r>
        <w:rPr/>
        <w:t>con la finalidad de apoyar con información a los diseñadores las políticas públicas para identificar e implementar ideas innovadoras. El índice se presentó para 48 países y enfatiza los riesgos económicos que afectan la inversión extranjera de algunas economías.</w:t>
      </w:r>
    </w:p>
    <w:p>
      <w:pPr>
        <w:pStyle w:val="BodyText"/>
        <w:spacing w:line="360" w:lineRule="auto" w:before="5"/>
        <w:ind w:left="122" w:right="118" w:firstLine="427"/>
        <w:jc w:val="both"/>
      </w:pPr>
      <w:r>
        <w:rPr/>
        <w:t>La escala de 0 a 100 puntos indica más opacidad para valores cercanos a 100 y los cercanos a 0, más transparencia. Consideró 65 variables provistas por el Banco Mundial, el Fondo Monetario Internacional y por las autoridades locales.</w:t>
      </w:r>
    </w:p>
    <w:p>
      <w:pPr>
        <w:pStyle w:val="BodyText"/>
        <w:spacing w:line="360" w:lineRule="auto" w:before="2"/>
        <w:ind w:left="122" w:right="116" w:firstLine="427"/>
        <w:jc w:val="both"/>
      </w:pPr>
      <w:r>
        <w:rPr/>
        <w:t>De</w:t>
      </w:r>
      <w:r>
        <w:rPr>
          <w:spacing w:val="-11"/>
        </w:rPr>
        <w:t> </w:t>
      </w:r>
      <w:r>
        <w:rPr/>
        <w:t>acuerdo</w:t>
      </w:r>
      <w:r>
        <w:rPr>
          <w:spacing w:val="-11"/>
        </w:rPr>
        <w:t> </w:t>
      </w:r>
      <w:r>
        <w:rPr/>
        <w:t>con</w:t>
      </w:r>
      <w:r>
        <w:rPr>
          <w:spacing w:val="-11"/>
        </w:rPr>
        <w:t> </w:t>
      </w:r>
      <w:r>
        <w:rPr/>
        <w:t>los</w:t>
      </w:r>
      <w:r>
        <w:rPr>
          <w:spacing w:val="-9"/>
        </w:rPr>
        <w:t> </w:t>
      </w:r>
      <w:r>
        <w:rPr/>
        <w:t>resultados</w:t>
      </w:r>
      <w:r>
        <w:rPr>
          <w:spacing w:val="-12"/>
        </w:rPr>
        <w:t> </w:t>
      </w:r>
      <w:r>
        <w:rPr/>
        <w:t>del</w:t>
      </w:r>
      <w:r>
        <w:rPr>
          <w:spacing w:val="-12"/>
        </w:rPr>
        <w:t> </w:t>
      </w:r>
      <w:r>
        <w:rPr/>
        <w:t>estudio</w:t>
      </w:r>
      <w:r>
        <w:rPr>
          <w:spacing w:val="-11"/>
        </w:rPr>
        <w:t> </w:t>
      </w:r>
      <w:r>
        <w:rPr/>
        <w:t>en</w:t>
      </w:r>
      <w:r>
        <w:rPr>
          <w:spacing w:val="-13"/>
        </w:rPr>
        <w:t> </w:t>
      </w:r>
      <w:r>
        <w:rPr/>
        <w:t>2009,</w:t>
      </w:r>
      <w:r>
        <w:rPr>
          <w:spacing w:val="-11"/>
        </w:rPr>
        <w:t> </w:t>
      </w:r>
      <w:r>
        <w:rPr/>
        <w:t>los</w:t>
      </w:r>
      <w:r>
        <w:rPr>
          <w:spacing w:val="-11"/>
        </w:rPr>
        <w:t> </w:t>
      </w:r>
      <w:r>
        <w:rPr/>
        <w:t>países</w:t>
      </w:r>
      <w:r>
        <w:rPr>
          <w:spacing w:val="-12"/>
        </w:rPr>
        <w:t> </w:t>
      </w:r>
      <w:r>
        <w:rPr/>
        <w:t>con</w:t>
      </w:r>
      <w:r>
        <w:rPr>
          <w:spacing w:val="-11"/>
        </w:rPr>
        <w:t> </w:t>
      </w:r>
      <w:r>
        <w:rPr/>
        <w:t>menor</w:t>
      </w:r>
      <w:r>
        <w:rPr>
          <w:spacing w:val="-12"/>
        </w:rPr>
        <w:t> </w:t>
      </w:r>
      <w:r>
        <w:rPr/>
        <w:t>índice de opacidad</w:t>
      </w:r>
      <w:r>
        <w:rPr>
          <w:position w:val="8"/>
          <w:sz w:val="16"/>
        </w:rPr>
        <w:t>32 </w:t>
      </w:r>
      <w:r>
        <w:rPr/>
        <w:t>fueron Finlandia, Hong Kong y Singapur. México obtuvo una calificación de 37 puntos (posición 33 de 48), con lo que retrocedió 2 posiciones respecto del estudio</w:t>
      </w:r>
      <w:r>
        <w:rPr>
          <w:spacing w:val="-10"/>
        </w:rPr>
        <w:t> </w:t>
      </w:r>
      <w:r>
        <w:rPr/>
        <w:t>previo.</w:t>
      </w:r>
    </w:p>
    <w:p>
      <w:pPr>
        <w:pStyle w:val="BodyText"/>
      </w:pPr>
    </w:p>
    <w:p>
      <w:pPr>
        <w:pStyle w:val="BodyText"/>
        <w:spacing w:before="5"/>
        <w:rPr>
          <w:sz w:val="35"/>
        </w:rPr>
      </w:pPr>
    </w:p>
    <w:p>
      <w:pPr>
        <w:spacing w:before="0"/>
        <w:ind w:left="2877" w:right="50" w:firstLine="0"/>
        <w:jc w:val="left"/>
        <w:rPr>
          <w:sz w:val="20"/>
        </w:rPr>
      </w:pPr>
      <w:r>
        <w:rPr/>
        <w:pict>
          <v:group style="position:absolute;margin-left:85.336227pt;margin-top:21.434214pt;width:441.35pt;height:172.5pt;mso-position-horizontal-relative:page;mso-position-vertical-relative:paragraph;z-index:-351928" coordorigin="1707,429" coordsize="8827,3450">
            <v:rect style="position:absolute;left:8219;top:2491;width:683;height:665" filled="true" fillcolor="#4f81bc" stroked="false">
              <v:fill type="solid"/>
            </v:rect>
            <v:shape style="position:absolute;left:7;top:3621;width:10035;height:4320" coordorigin="7,3621" coordsize="10035,4320" path="m2271,3156l2271,943m2214,3156l2271,3156m2214,2879l2271,2879m2214,2602l2271,2602m2214,2325l2271,2325m2214,2048l2271,2048m2214,1773l2271,1773m2214,1497l2271,1497m2214,1220l2271,1220m2214,943l2271,943m2271,3156l10013,3156m2271,3156l2271,3198m3239,3156l3239,3198m4207,3156l4207,3198m5174,3156l5174,3198m6142,3156l6142,3198m7110,3156l7110,3198m8077,3156l8077,3198m9045,3156l9045,3198m10013,3156l10013,3198m1713,3872l10527,3872,10527,435,1713,435,1713,3872xe" filled="false" stroked="true" strokeweight=".602692pt" strokecolor="#858585">
              <v:path arrowok="t"/>
            </v:shape>
            <v:shape style="position:absolute;left:4296;top:733;width:3796;height:215" coordorigin="4296,733" coordsize="3796,215" path="m7941,864l7867,903,7860,909,7855,918,7854,927,7858,936,7865,943,7874,947,7884,948,7894,944,8046,865,8039,865,7941,864xm7987,841l7941,864,8039,865,8039,861,8026,861,7987,841xm7885,733l7875,734,7866,738,7859,745,7855,754,7856,763,7860,771,7868,777,7942,817,8039,817,8039,865,8046,865,8091,841,7895,736,7885,733xm4297,805l4296,853,7941,864,7987,841,7942,817,4297,805xm8026,820l7987,841,8026,861,8026,820xm8039,820l8026,820,8026,861,8039,861,8039,820xm7942,817l7987,841,8026,820,8039,820,8039,817,7942,817xe" filled="true" fillcolor="#497dba" stroked="false">
              <v:path arrowok="t"/>
              <v:fill type="solid"/>
            </v:shape>
            <v:shape style="position:absolute;left:1930;top:869;width:178;height:2373" type="#_x0000_t202" filled="false" stroked="false">
              <v:textbox inset="0,0,0,0">
                <w:txbxContent>
                  <w:p>
                    <w:pPr>
                      <w:spacing w:line="162" w:lineRule="exact" w:before="0"/>
                      <w:ind w:left="0" w:right="-19" w:firstLine="0"/>
                      <w:jc w:val="left"/>
                      <w:rPr>
                        <w:rFonts w:ascii="Calibri"/>
                        <w:sz w:val="16"/>
                      </w:rPr>
                    </w:pPr>
                    <w:r>
                      <w:rPr>
                        <w:rFonts w:ascii="Calibri"/>
                        <w:spacing w:val="-1"/>
                        <w:w w:val="110"/>
                        <w:sz w:val="16"/>
                      </w:rPr>
                      <w:t>40</w:t>
                    </w:r>
                  </w:p>
                  <w:p>
                    <w:pPr>
                      <w:spacing w:before="81"/>
                      <w:ind w:left="0" w:right="-19" w:firstLine="0"/>
                      <w:jc w:val="left"/>
                      <w:rPr>
                        <w:rFonts w:ascii="Calibri"/>
                        <w:sz w:val="16"/>
                      </w:rPr>
                    </w:pPr>
                    <w:r>
                      <w:rPr>
                        <w:rFonts w:ascii="Calibri"/>
                        <w:spacing w:val="-1"/>
                        <w:w w:val="110"/>
                        <w:sz w:val="16"/>
                      </w:rPr>
                      <w:t>35</w:t>
                    </w:r>
                  </w:p>
                  <w:p>
                    <w:pPr>
                      <w:spacing w:before="81"/>
                      <w:ind w:left="0" w:right="-19" w:firstLine="0"/>
                      <w:jc w:val="left"/>
                      <w:rPr>
                        <w:rFonts w:ascii="Calibri"/>
                        <w:sz w:val="16"/>
                      </w:rPr>
                    </w:pPr>
                    <w:r>
                      <w:rPr>
                        <w:rFonts w:ascii="Calibri"/>
                        <w:spacing w:val="-1"/>
                        <w:w w:val="110"/>
                        <w:sz w:val="16"/>
                      </w:rPr>
                      <w:t>30</w:t>
                    </w:r>
                  </w:p>
                  <w:p>
                    <w:pPr>
                      <w:spacing w:before="81"/>
                      <w:ind w:left="0" w:right="-19" w:firstLine="0"/>
                      <w:jc w:val="left"/>
                      <w:rPr>
                        <w:rFonts w:ascii="Calibri"/>
                        <w:sz w:val="16"/>
                      </w:rPr>
                    </w:pPr>
                    <w:r>
                      <w:rPr>
                        <w:rFonts w:ascii="Calibri"/>
                        <w:spacing w:val="-1"/>
                        <w:w w:val="110"/>
                        <w:sz w:val="16"/>
                      </w:rPr>
                      <w:t>25</w:t>
                    </w:r>
                  </w:p>
                  <w:p>
                    <w:pPr>
                      <w:spacing w:before="81"/>
                      <w:ind w:left="0" w:right="-19" w:firstLine="0"/>
                      <w:jc w:val="left"/>
                      <w:rPr>
                        <w:rFonts w:ascii="Calibri"/>
                        <w:sz w:val="16"/>
                      </w:rPr>
                    </w:pPr>
                    <w:r>
                      <w:rPr>
                        <w:rFonts w:ascii="Calibri"/>
                        <w:spacing w:val="-1"/>
                        <w:w w:val="110"/>
                        <w:sz w:val="16"/>
                      </w:rPr>
                      <w:t>20</w:t>
                    </w:r>
                  </w:p>
                  <w:p>
                    <w:pPr>
                      <w:spacing w:before="81"/>
                      <w:ind w:left="0" w:right="-19" w:firstLine="0"/>
                      <w:jc w:val="left"/>
                      <w:rPr>
                        <w:rFonts w:ascii="Calibri"/>
                        <w:sz w:val="16"/>
                      </w:rPr>
                    </w:pPr>
                    <w:r>
                      <w:rPr>
                        <w:rFonts w:ascii="Calibri"/>
                        <w:spacing w:val="-1"/>
                        <w:w w:val="110"/>
                        <w:sz w:val="16"/>
                      </w:rPr>
                      <w:t>15</w:t>
                    </w:r>
                  </w:p>
                  <w:p>
                    <w:pPr>
                      <w:spacing w:before="81"/>
                      <w:ind w:left="0" w:right="-19" w:firstLine="0"/>
                      <w:jc w:val="left"/>
                      <w:rPr>
                        <w:rFonts w:ascii="Calibri"/>
                        <w:sz w:val="16"/>
                      </w:rPr>
                    </w:pPr>
                    <w:r>
                      <w:rPr>
                        <w:rFonts w:ascii="Calibri"/>
                        <w:spacing w:val="-1"/>
                        <w:w w:val="110"/>
                        <w:sz w:val="16"/>
                      </w:rPr>
                      <w:t>10</w:t>
                    </w:r>
                  </w:p>
                  <w:p>
                    <w:pPr>
                      <w:spacing w:before="81"/>
                      <w:ind w:left="88" w:right="0" w:firstLine="0"/>
                      <w:jc w:val="left"/>
                      <w:rPr>
                        <w:rFonts w:ascii="Calibri"/>
                        <w:sz w:val="16"/>
                      </w:rPr>
                    </w:pPr>
                    <w:r>
                      <w:rPr>
                        <w:rFonts w:ascii="Calibri"/>
                        <w:w w:val="109"/>
                        <w:sz w:val="16"/>
                      </w:rPr>
                      <w:t>5</w:t>
                    </w:r>
                  </w:p>
                  <w:p>
                    <w:pPr>
                      <w:spacing w:line="192" w:lineRule="exact" w:before="81"/>
                      <w:ind w:left="88" w:right="0" w:firstLine="0"/>
                      <w:jc w:val="left"/>
                      <w:rPr>
                        <w:rFonts w:ascii="Calibri"/>
                        <w:sz w:val="16"/>
                      </w:rPr>
                    </w:pPr>
                    <w:r>
                      <w:rPr>
                        <w:rFonts w:ascii="Calibri"/>
                        <w:w w:val="109"/>
                        <w:sz w:val="16"/>
                      </w:rPr>
                      <w:t>0</w:t>
                    </w:r>
                  </w:p>
                </w:txbxContent>
              </v:textbox>
              <w10:wrap type="none"/>
            </v:shape>
            <v:shape style="position:absolute;left:2366;top:732;width:1472;height:176" type="#_x0000_t202" filled="false" stroked="false">
              <v:textbox inset="0,0,0,0">
                <w:txbxContent>
                  <w:p>
                    <w:pPr>
                      <w:spacing w:line="176" w:lineRule="exact" w:before="0"/>
                      <w:ind w:left="0" w:right="-17" w:firstLine="0"/>
                      <w:jc w:val="left"/>
                      <w:rPr>
                        <w:b/>
                        <w:sz w:val="17"/>
                      </w:rPr>
                    </w:pPr>
                    <w:r>
                      <w:rPr>
                        <w:b/>
                        <w:color w:val="FF0000"/>
                        <w:w w:val="115"/>
                        <w:sz w:val="17"/>
                      </w:rPr>
                      <w:t>Mayor</w:t>
                    </w:r>
                    <w:r>
                      <w:rPr>
                        <w:b/>
                        <w:color w:val="FF0000"/>
                        <w:spacing w:val="-20"/>
                        <w:w w:val="115"/>
                        <w:sz w:val="17"/>
                      </w:rPr>
                      <w:t> </w:t>
                    </w:r>
                    <w:r>
                      <w:rPr>
                        <w:b/>
                        <w:color w:val="FF0000"/>
                        <w:w w:val="115"/>
                        <w:sz w:val="17"/>
                      </w:rPr>
                      <w:t>opacidad</w:t>
                    </w:r>
                  </w:p>
                </w:txbxContent>
              </v:textbox>
              <w10:wrap type="none"/>
            </v:shape>
            <v:shape style="position:absolute;left:8305;top:776;width:1894;height:176" type="#_x0000_t202" filled="false" stroked="false">
              <v:textbox inset="0,0,0,0">
                <w:txbxContent>
                  <w:p>
                    <w:pPr>
                      <w:spacing w:line="176" w:lineRule="exact" w:before="0"/>
                      <w:ind w:left="0" w:right="-15" w:firstLine="0"/>
                      <w:jc w:val="left"/>
                      <w:rPr>
                        <w:b/>
                        <w:sz w:val="17"/>
                      </w:rPr>
                    </w:pPr>
                    <w:r>
                      <w:rPr>
                        <w:b/>
                        <w:color w:val="375F92"/>
                        <w:w w:val="115"/>
                        <w:sz w:val="17"/>
                      </w:rPr>
                      <w:t>Mayor</w:t>
                    </w:r>
                    <w:r>
                      <w:rPr>
                        <w:b/>
                        <w:color w:val="375F92"/>
                        <w:spacing w:val="-24"/>
                        <w:w w:val="115"/>
                        <w:sz w:val="17"/>
                      </w:rPr>
                      <w:t> </w:t>
                    </w:r>
                    <w:r>
                      <w:rPr>
                        <w:b/>
                        <w:color w:val="375F92"/>
                        <w:w w:val="115"/>
                        <w:sz w:val="17"/>
                      </w:rPr>
                      <w:t>transparencia</w:t>
                    </w:r>
                  </w:p>
                </w:txbxContent>
              </v:textbox>
              <w10:wrap type="none"/>
            </v:shape>
            <w10:wrap type="none"/>
          </v:group>
        </w:pict>
      </w:r>
      <w:bookmarkStart w:name="_bookmark25" w:id="36"/>
      <w:bookmarkEnd w:id="36"/>
      <w:r>
        <w:rPr/>
      </w:r>
      <w:r>
        <w:rPr>
          <w:sz w:val="20"/>
        </w:rPr>
        <w:t>Grafica 1.3. Índice de opacidad, 2009</w:t>
      </w:r>
    </w:p>
    <w:p>
      <w:pPr>
        <w:pStyle w:val="BodyText"/>
        <w:rPr>
          <w:sz w:val="20"/>
        </w:rPr>
      </w:pPr>
    </w:p>
    <w:p>
      <w:pPr>
        <w:pStyle w:val="BodyText"/>
        <w:rPr>
          <w:sz w:val="20"/>
        </w:rPr>
      </w:pPr>
    </w:p>
    <w:p>
      <w:pPr>
        <w:pStyle w:val="BodyText"/>
        <w:rPr>
          <w:sz w:val="20"/>
        </w:rPr>
      </w:pPr>
    </w:p>
    <w:p>
      <w:pPr>
        <w:pStyle w:val="BodyText"/>
        <w:spacing w:before="4" w:after="1"/>
        <w:rPr>
          <w:sz w:val="16"/>
        </w:rPr>
      </w:pPr>
    </w:p>
    <w:tbl>
      <w:tblPr>
        <w:tblW w:w="0" w:type="auto"/>
        <w:jc w:val="left"/>
        <w:tblInd w:w="6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
        <w:gridCol w:w="681"/>
        <w:gridCol w:w="287"/>
        <w:gridCol w:w="681"/>
        <w:gridCol w:w="287"/>
        <w:gridCol w:w="681"/>
        <w:gridCol w:w="287"/>
        <w:gridCol w:w="681"/>
        <w:gridCol w:w="287"/>
        <w:gridCol w:w="681"/>
        <w:gridCol w:w="285"/>
        <w:gridCol w:w="683"/>
        <w:gridCol w:w="1252"/>
        <w:gridCol w:w="683"/>
      </w:tblGrid>
      <w:tr>
        <w:trPr>
          <w:trHeight w:val="609" w:hRule="exact"/>
        </w:trPr>
        <w:tc>
          <w:tcPr>
            <w:tcW w:w="143" w:type="dxa"/>
            <w:vMerge w:val="restart"/>
          </w:tcPr>
          <w:p>
            <w:pPr/>
          </w:p>
        </w:tc>
        <w:tc>
          <w:tcPr>
            <w:tcW w:w="681" w:type="dxa"/>
            <w:shd w:val="clear" w:color="auto" w:fill="FF0000"/>
          </w:tcPr>
          <w:p>
            <w:pPr>
              <w:pStyle w:val="TableParagraph"/>
              <w:rPr>
                <w:sz w:val="16"/>
              </w:rPr>
            </w:pPr>
          </w:p>
          <w:p>
            <w:pPr>
              <w:pStyle w:val="TableParagraph"/>
              <w:spacing w:before="101"/>
              <w:ind w:left="65" w:right="41"/>
              <w:jc w:val="center"/>
              <w:rPr>
                <w:b/>
                <w:sz w:val="16"/>
              </w:rPr>
            </w:pPr>
            <w:r>
              <w:rPr>
                <w:b/>
                <w:color w:val="FFFFFF"/>
                <w:w w:val="110"/>
                <w:sz w:val="16"/>
              </w:rPr>
              <w:t>37</w:t>
            </w:r>
          </w:p>
        </w:tc>
        <w:tc>
          <w:tcPr>
            <w:tcW w:w="287" w:type="dxa"/>
          </w:tcPr>
          <w:p>
            <w:pPr/>
          </w:p>
        </w:tc>
        <w:tc>
          <w:tcPr>
            <w:tcW w:w="681" w:type="dxa"/>
          </w:tcPr>
          <w:p>
            <w:pPr/>
          </w:p>
        </w:tc>
        <w:tc>
          <w:tcPr>
            <w:tcW w:w="287" w:type="dxa"/>
          </w:tcPr>
          <w:p>
            <w:pPr/>
          </w:p>
        </w:tc>
        <w:tc>
          <w:tcPr>
            <w:tcW w:w="681" w:type="dxa"/>
          </w:tcPr>
          <w:p>
            <w:pPr/>
          </w:p>
        </w:tc>
        <w:tc>
          <w:tcPr>
            <w:tcW w:w="4838" w:type="dxa"/>
            <w:gridSpan w:val="8"/>
            <w:vMerge w:val="restart"/>
          </w:tcPr>
          <w:p>
            <w:pPr/>
          </w:p>
        </w:tc>
      </w:tr>
      <w:tr>
        <w:trPr>
          <w:trHeight w:val="220"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tcPr>
          <w:p>
            <w:pPr/>
          </w:p>
        </w:tc>
        <w:tc>
          <w:tcPr>
            <w:tcW w:w="4838" w:type="dxa"/>
            <w:gridSpan w:val="8"/>
            <w:vMerge/>
          </w:tcPr>
          <w:p>
            <w:pPr/>
          </w:p>
        </w:tc>
      </w:tr>
      <w:tr>
        <w:trPr>
          <w:trHeight w:val="249"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Style w:val="TableParagraph"/>
              <w:spacing w:before="2"/>
              <w:ind w:left="65" w:right="12"/>
              <w:jc w:val="center"/>
              <w:rPr>
                <w:b/>
                <w:sz w:val="16"/>
              </w:rPr>
            </w:pPr>
            <w:r>
              <w:rPr>
                <w:b/>
                <w:color w:val="FFFFFF"/>
                <w:w w:val="110"/>
                <w:sz w:val="16"/>
              </w:rPr>
              <w:t>26</w:t>
            </w:r>
          </w:p>
        </w:tc>
        <w:tc>
          <w:tcPr>
            <w:tcW w:w="287" w:type="dxa"/>
          </w:tcPr>
          <w:p>
            <w:pPr/>
          </w:p>
        </w:tc>
        <w:tc>
          <w:tcPr>
            <w:tcW w:w="681" w:type="dxa"/>
            <w:shd w:val="clear" w:color="auto" w:fill="4F81BC"/>
          </w:tcPr>
          <w:p>
            <w:pPr/>
          </w:p>
        </w:tc>
        <w:tc>
          <w:tcPr>
            <w:tcW w:w="4838" w:type="dxa"/>
            <w:gridSpan w:val="8"/>
            <w:vMerge/>
          </w:tcPr>
          <w:p>
            <w:pPr/>
          </w:p>
        </w:tc>
      </w:tr>
      <w:tr>
        <w:trPr>
          <w:trHeight w:val="194"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Style w:val="TableParagraph"/>
              <w:spacing w:line="158" w:lineRule="exact"/>
              <w:ind w:left="65" w:right="41"/>
              <w:jc w:val="center"/>
              <w:rPr>
                <w:b/>
                <w:sz w:val="16"/>
              </w:rPr>
            </w:pPr>
            <w:r>
              <w:rPr>
                <w:b/>
                <w:color w:val="FFFFFF"/>
                <w:w w:val="110"/>
                <w:sz w:val="16"/>
              </w:rPr>
              <w:t>22</w:t>
            </w: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5" w:type="dxa"/>
          </w:tcPr>
          <w:p>
            <w:pPr/>
          </w:p>
        </w:tc>
        <w:tc>
          <w:tcPr>
            <w:tcW w:w="683" w:type="dxa"/>
          </w:tcPr>
          <w:p>
            <w:pPr/>
          </w:p>
        </w:tc>
        <w:tc>
          <w:tcPr>
            <w:tcW w:w="1252" w:type="dxa"/>
          </w:tcPr>
          <w:p>
            <w:pPr/>
          </w:p>
        </w:tc>
        <w:tc>
          <w:tcPr>
            <w:tcW w:w="683" w:type="dxa"/>
          </w:tcPr>
          <w:p>
            <w:pPr/>
          </w:p>
        </w:tc>
      </w:tr>
      <w:tr>
        <w:trPr>
          <w:trHeight w:val="111"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5" w:type="dxa"/>
          </w:tcPr>
          <w:p>
            <w:pPr/>
          </w:p>
        </w:tc>
        <w:tc>
          <w:tcPr>
            <w:tcW w:w="683" w:type="dxa"/>
            <w:shd w:val="clear" w:color="auto" w:fill="4F81BC"/>
          </w:tcPr>
          <w:p>
            <w:pPr/>
          </w:p>
        </w:tc>
        <w:tc>
          <w:tcPr>
            <w:tcW w:w="1252" w:type="dxa"/>
          </w:tcPr>
          <w:p>
            <w:pPr/>
          </w:p>
        </w:tc>
        <w:tc>
          <w:tcPr>
            <w:tcW w:w="683" w:type="dxa"/>
          </w:tcPr>
          <w:p>
            <w:pPr/>
          </w:p>
        </w:tc>
      </w:tr>
      <w:tr>
        <w:trPr>
          <w:trHeight w:val="166"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5" w:type="dxa"/>
          </w:tcPr>
          <w:p>
            <w:pPr/>
          </w:p>
        </w:tc>
        <w:tc>
          <w:tcPr>
            <w:tcW w:w="683" w:type="dxa"/>
            <w:shd w:val="clear" w:color="auto" w:fill="4F81BC"/>
          </w:tcPr>
          <w:p>
            <w:pPr/>
          </w:p>
        </w:tc>
        <w:tc>
          <w:tcPr>
            <w:tcW w:w="1252" w:type="dxa"/>
          </w:tcPr>
          <w:p>
            <w:pPr/>
          </w:p>
        </w:tc>
        <w:tc>
          <w:tcPr>
            <w:tcW w:w="683" w:type="dxa"/>
          </w:tcPr>
          <w:p>
            <w:pPr/>
          </w:p>
        </w:tc>
      </w:tr>
      <w:tr>
        <w:trPr>
          <w:trHeight w:val="498" w:hRule="exact"/>
        </w:trPr>
        <w:tc>
          <w:tcPr>
            <w:tcW w:w="143" w:type="dxa"/>
            <w:vMerge/>
          </w:tcPr>
          <w:p>
            <w:pPr/>
          </w:p>
        </w:tc>
        <w:tc>
          <w:tcPr>
            <w:tcW w:w="681" w:type="dxa"/>
            <w:shd w:val="clear" w:color="auto" w:fill="FF0000"/>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
        </w:tc>
        <w:tc>
          <w:tcPr>
            <w:tcW w:w="287" w:type="dxa"/>
          </w:tcPr>
          <w:p>
            <w:pPr/>
          </w:p>
        </w:tc>
        <w:tc>
          <w:tcPr>
            <w:tcW w:w="681" w:type="dxa"/>
            <w:shd w:val="clear" w:color="auto" w:fill="4F81BC"/>
          </w:tcPr>
          <w:p>
            <w:pPr>
              <w:pStyle w:val="TableParagraph"/>
              <w:spacing w:before="9"/>
              <w:rPr>
                <w:sz w:val="20"/>
              </w:rPr>
            </w:pPr>
          </w:p>
          <w:p>
            <w:pPr>
              <w:pStyle w:val="TableParagraph"/>
              <w:ind w:right="179"/>
              <w:jc w:val="right"/>
              <w:rPr>
                <w:b/>
                <w:sz w:val="16"/>
              </w:rPr>
            </w:pPr>
            <w:r>
              <w:rPr>
                <w:b/>
                <w:color w:val="FFFFFF"/>
                <w:w w:val="110"/>
                <w:sz w:val="16"/>
              </w:rPr>
              <w:t>18</w:t>
            </w:r>
          </w:p>
        </w:tc>
        <w:tc>
          <w:tcPr>
            <w:tcW w:w="287" w:type="dxa"/>
          </w:tcPr>
          <w:p>
            <w:pPr/>
          </w:p>
        </w:tc>
        <w:tc>
          <w:tcPr>
            <w:tcW w:w="681" w:type="dxa"/>
            <w:shd w:val="clear" w:color="auto" w:fill="4F81BC"/>
          </w:tcPr>
          <w:p>
            <w:pPr>
              <w:pStyle w:val="TableParagraph"/>
              <w:spacing w:before="8"/>
              <w:rPr>
                <w:sz w:val="20"/>
              </w:rPr>
            </w:pPr>
          </w:p>
          <w:p>
            <w:pPr>
              <w:pStyle w:val="TableParagraph"/>
              <w:ind w:left="65" w:right="32"/>
              <w:jc w:val="center"/>
              <w:rPr>
                <w:b/>
                <w:sz w:val="16"/>
              </w:rPr>
            </w:pPr>
            <w:r>
              <w:rPr>
                <w:b/>
                <w:color w:val="FFFFFF"/>
                <w:w w:val="110"/>
                <w:sz w:val="16"/>
              </w:rPr>
              <w:t>17</w:t>
            </w:r>
          </w:p>
        </w:tc>
        <w:tc>
          <w:tcPr>
            <w:tcW w:w="285" w:type="dxa"/>
          </w:tcPr>
          <w:p>
            <w:pPr/>
          </w:p>
        </w:tc>
        <w:tc>
          <w:tcPr>
            <w:tcW w:w="683" w:type="dxa"/>
            <w:shd w:val="clear" w:color="auto" w:fill="4F81BC"/>
          </w:tcPr>
          <w:p>
            <w:pPr>
              <w:pStyle w:val="TableParagraph"/>
              <w:spacing w:line="162" w:lineRule="exact"/>
              <w:ind w:left="9" w:right="20"/>
              <w:jc w:val="center"/>
              <w:rPr>
                <w:b/>
                <w:sz w:val="16"/>
              </w:rPr>
            </w:pPr>
            <w:r>
              <w:rPr>
                <w:b/>
                <w:color w:val="FFFFFF"/>
                <w:w w:val="110"/>
                <w:sz w:val="16"/>
              </w:rPr>
              <w:t>14</w:t>
            </w:r>
          </w:p>
        </w:tc>
        <w:tc>
          <w:tcPr>
            <w:tcW w:w="1252" w:type="dxa"/>
          </w:tcPr>
          <w:p>
            <w:pPr>
              <w:pStyle w:val="TableParagraph"/>
              <w:spacing w:before="40"/>
              <w:ind w:left="204" w:right="112"/>
              <w:jc w:val="center"/>
              <w:rPr>
                <w:b/>
                <w:sz w:val="16"/>
              </w:rPr>
            </w:pPr>
            <w:r>
              <w:rPr>
                <w:b/>
                <w:color w:val="FFFFFF"/>
                <w:w w:val="110"/>
                <w:sz w:val="16"/>
              </w:rPr>
              <w:t>12</w:t>
            </w:r>
          </w:p>
        </w:tc>
        <w:tc>
          <w:tcPr>
            <w:tcW w:w="683" w:type="dxa"/>
            <w:shd w:val="clear" w:color="auto" w:fill="4F81BC"/>
          </w:tcPr>
          <w:p>
            <w:pPr>
              <w:pStyle w:val="TableParagraph"/>
              <w:spacing w:before="2"/>
              <w:rPr>
                <w:sz w:val="15"/>
              </w:rPr>
            </w:pPr>
          </w:p>
          <w:p>
            <w:pPr>
              <w:pStyle w:val="TableParagraph"/>
              <w:ind w:left="105"/>
              <w:jc w:val="center"/>
              <w:rPr>
                <w:b/>
                <w:sz w:val="16"/>
              </w:rPr>
            </w:pPr>
            <w:r>
              <w:rPr>
                <w:b/>
                <w:color w:val="FFFFFF"/>
                <w:w w:val="109"/>
                <w:sz w:val="16"/>
              </w:rPr>
              <w:t>9</w:t>
            </w:r>
          </w:p>
        </w:tc>
      </w:tr>
      <w:tr>
        <w:trPr>
          <w:trHeight w:val="254" w:hRule="exact"/>
        </w:trPr>
        <w:tc>
          <w:tcPr>
            <w:tcW w:w="143" w:type="dxa"/>
            <w:vMerge/>
          </w:tcPr>
          <w:p>
            <w:pPr/>
          </w:p>
        </w:tc>
        <w:tc>
          <w:tcPr>
            <w:tcW w:w="681" w:type="dxa"/>
          </w:tcPr>
          <w:p>
            <w:pPr>
              <w:pStyle w:val="TableParagraph"/>
              <w:spacing w:before="85"/>
              <w:ind w:left="47" w:right="47"/>
              <w:jc w:val="center"/>
              <w:rPr>
                <w:sz w:val="14"/>
              </w:rPr>
            </w:pPr>
            <w:r>
              <w:rPr>
                <w:w w:val="115"/>
                <w:sz w:val="14"/>
              </w:rPr>
              <w:t>33</w:t>
            </w:r>
          </w:p>
        </w:tc>
        <w:tc>
          <w:tcPr>
            <w:tcW w:w="287" w:type="dxa"/>
          </w:tcPr>
          <w:p>
            <w:pPr/>
          </w:p>
        </w:tc>
        <w:tc>
          <w:tcPr>
            <w:tcW w:w="681" w:type="dxa"/>
          </w:tcPr>
          <w:p>
            <w:pPr>
              <w:pStyle w:val="TableParagraph"/>
              <w:spacing w:before="85"/>
              <w:ind w:left="46" w:right="47"/>
              <w:jc w:val="center"/>
              <w:rPr>
                <w:sz w:val="14"/>
              </w:rPr>
            </w:pPr>
            <w:r>
              <w:rPr>
                <w:w w:val="115"/>
                <w:sz w:val="14"/>
              </w:rPr>
              <w:t>21</w:t>
            </w:r>
          </w:p>
        </w:tc>
        <w:tc>
          <w:tcPr>
            <w:tcW w:w="287" w:type="dxa"/>
          </w:tcPr>
          <w:p>
            <w:pPr/>
          </w:p>
        </w:tc>
        <w:tc>
          <w:tcPr>
            <w:tcW w:w="681" w:type="dxa"/>
          </w:tcPr>
          <w:p>
            <w:pPr>
              <w:pStyle w:val="TableParagraph"/>
              <w:spacing w:before="85"/>
              <w:ind w:left="47" w:right="47"/>
              <w:jc w:val="center"/>
              <w:rPr>
                <w:sz w:val="14"/>
              </w:rPr>
            </w:pPr>
            <w:r>
              <w:rPr>
                <w:w w:val="115"/>
                <w:sz w:val="14"/>
              </w:rPr>
              <w:t>13</w:t>
            </w:r>
          </w:p>
        </w:tc>
        <w:tc>
          <w:tcPr>
            <w:tcW w:w="287" w:type="dxa"/>
          </w:tcPr>
          <w:p>
            <w:pPr/>
          </w:p>
        </w:tc>
        <w:tc>
          <w:tcPr>
            <w:tcW w:w="681" w:type="dxa"/>
          </w:tcPr>
          <w:p>
            <w:pPr>
              <w:pStyle w:val="TableParagraph"/>
              <w:spacing w:before="85"/>
              <w:ind w:left="47" w:right="47"/>
              <w:jc w:val="center"/>
              <w:rPr>
                <w:sz w:val="14"/>
              </w:rPr>
            </w:pPr>
            <w:r>
              <w:rPr>
                <w:w w:val="115"/>
                <w:sz w:val="14"/>
              </w:rPr>
              <w:t>10</w:t>
            </w:r>
          </w:p>
        </w:tc>
        <w:tc>
          <w:tcPr>
            <w:tcW w:w="287" w:type="dxa"/>
          </w:tcPr>
          <w:p>
            <w:pPr/>
          </w:p>
        </w:tc>
        <w:tc>
          <w:tcPr>
            <w:tcW w:w="681" w:type="dxa"/>
          </w:tcPr>
          <w:p>
            <w:pPr>
              <w:pStyle w:val="TableParagraph"/>
              <w:spacing w:before="85"/>
              <w:jc w:val="center"/>
              <w:rPr>
                <w:sz w:val="14"/>
              </w:rPr>
            </w:pPr>
            <w:r>
              <w:rPr>
                <w:w w:val="112"/>
                <w:sz w:val="14"/>
              </w:rPr>
              <w:t>9</w:t>
            </w:r>
          </w:p>
        </w:tc>
        <w:tc>
          <w:tcPr>
            <w:tcW w:w="285" w:type="dxa"/>
          </w:tcPr>
          <w:p>
            <w:pPr/>
          </w:p>
        </w:tc>
        <w:tc>
          <w:tcPr>
            <w:tcW w:w="683" w:type="dxa"/>
          </w:tcPr>
          <w:p>
            <w:pPr>
              <w:pStyle w:val="TableParagraph"/>
              <w:spacing w:before="85"/>
              <w:ind w:left="2"/>
              <w:jc w:val="center"/>
              <w:rPr>
                <w:sz w:val="14"/>
              </w:rPr>
            </w:pPr>
            <w:r>
              <w:rPr>
                <w:w w:val="112"/>
                <w:sz w:val="14"/>
              </w:rPr>
              <w:t>3</w:t>
            </w:r>
          </w:p>
        </w:tc>
        <w:tc>
          <w:tcPr>
            <w:tcW w:w="1252" w:type="dxa"/>
          </w:tcPr>
          <w:p>
            <w:pPr>
              <w:pStyle w:val="TableParagraph"/>
              <w:spacing w:before="85"/>
              <w:ind w:left="4"/>
              <w:jc w:val="center"/>
              <w:rPr>
                <w:sz w:val="14"/>
              </w:rPr>
            </w:pPr>
            <w:r>
              <w:rPr>
                <w:w w:val="112"/>
                <w:sz w:val="14"/>
              </w:rPr>
              <w:t>2</w:t>
            </w:r>
          </w:p>
        </w:tc>
        <w:tc>
          <w:tcPr>
            <w:tcW w:w="683" w:type="dxa"/>
          </w:tcPr>
          <w:p>
            <w:pPr>
              <w:pStyle w:val="TableParagraph"/>
              <w:spacing w:before="85"/>
              <w:ind w:left="2"/>
              <w:jc w:val="center"/>
              <w:rPr>
                <w:sz w:val="14"/>
              </w:rPr>
            </w:pPr>
            <w:r>
              <w:rPr>
                <w:w w:val="112"/>
                <w:sz w:val="14"/>
              </w:rPr>
              <w:t>1</w:t>
            </w:r>
          </w:p>
        </w:tc>
      </w:tr>
      <w:tr>
        <w:trPr>
          <w:trHeight w:val="254" w:hRule="exact"/>
        </w:trPr>
        <w:tc>
          <w:tcPr>
            <w:tcW w:w="143" w:type="dxa"/>
          </w:tcPr>
          <w:p>
            <w:pPr/>
          </w:p>
        </w:tc>
        <w:tc>
          <w:tcPr>
            <w:tcW w:w="681" w:type="dxa"/>
          </w:tcPr>
          <w:p>
            <w:pPr>
              <w:pStyle w:val="TableParagraph"/>
              <w:spacing w:line="156" w:lineRule="exact"/>
              <w:ind w:left="47" w:right="47"/>
              <w:jc w:val="center"/>
              <w:rPr>
                <w:sz w:val="14"/>
              </w:rPr>
            </w:pPr>
            <w:r>
              <w:rPr>
                <w:w w:val="115"/>
                <w:sz w:val="14"/>
              </w:rPr>
              <w:t>México</w:t>
            </w:r>
          </w:p>
        </w:tc>
        <w:tc>
          <w:tcPr>
            <w:tcW w:w="287" w:type="dxa"/>
          </w:tcPr>
          <w:p>
            <w:pPr/>
          </w:p>
        </w:tc>
        <w:tc>
          <w:tcPr>
            <w:tcW w:w="681" w:type="dxa"/>
          </w:tcPr>
          <w:p>
            <w:pPr>
              <w:pStyle w:val="TableParagraph"/>
              <w:spacing w:line="156" w:lineRule="exact"/>
              <w:jc w:val="center"/>
              <w:rPr>
                <w:sz w:val="14"/>
              </w:rPr>
            </w:pPr>
            <w:r>
              <w:rPr>
                <w:w w:val="115"/>
                <w:sz w:val="14"/>
              </w:rPr>
              <w:t>España</w:t>
            </w:r>
          </w:p>
        </w:tc>
        <w:tc>
          <w:tcPr>
            <w:tcW w:w="287" w:type="dxa"/>
          </w:tcPr>
          <w:p>
            <w:pPr/>
          </w:p>
        </w:tc>
        <w:tc>
          <w:tcPr>
            <w:tcW w:w="681" w:type="dxa"/>
          </w:tcPr>
          <w:p>
            <w:pPr>
              <w:pStyle w:val="TableParagraph"/>
              <w:spacing w:line="156" w:lineRule="exact"/>
              <w:ind w:left="47" w:right="47"/>
              <w:jc w:val="center"/>
              <w:rPr>
                <w:sz w:val="14"/>
              </w:rPr>
            </w:pPr>
            <w:r>
              <w:rPr>
                <w:w w:val="115"/>
                <w:sz w:val="14"/>
              </w:rPr>
              <w:t>EUA</w:t>
            </w:r>
          </w:p>
        </w:tc>
        <w:tc>
          <w:tcPr>
            <w:tcW w:w="287" w:type="dxa"/>
          </w:tcPr>
          <w:p>
            <w:pPr/>
          </w:p>
        </w:tc>
        <w:tc>
          <w:tcPr>
            <w:tcW w:w="681" w:type="dxa"/>
          </w:tcPr>
          <w:p>
            <w:pPr>
              <w:pStyle w:val="TableParagraph"/>
              <w:spacing w:line="156" w:lineRule="exact"/>
              <w:ind w:right="180"/>
              <w:jc w:val="right"/>
              <w:rPr>
                <w:sz w:val="14"/>
              </w:rPr>
            </w:pPr>
            <w:r>
              <w:rPr>
                <w:w w:val="110"/>
                <w:sz w:val="14"/>
              </w:rPr>
              <w:t>R.U.</w:t>
            </w:r>
          </w:p>
        </w:tc>
        <w:tc>
          <w:tcPr>
            <w:tcW w:w="287" w:type="dxa"/>
          </w:tcPr>
          <w:p>
            <w:pPr/>
          </w:p>
        </w:tc>
        <w:tc>
          <w:tcPr>
            <w:tcW w:w="681" w:type="dxa"/>
          </w:tcPr>
          <w:p>
            <w:pPr>
              <w:pStyle w:val="TableParagraph"/>
              <w:spacing w:line="156" w:lineRule="exact"/>
              <w:jc w:val="center"/>
              <w:rPr>
                <w:sz w:val="14"/>
              </w:rPr>
            </w:pPr>
            <w:r>
              <w:rPr>
                <w:w w:val="110"/>
                <w:sz w:val="14"/>
              </w:rPr>
              <w:t>Alemania</w:t>
            </w:r>
          </w:p>
        </w:tc>
        <w:tc>
          <w:tcPr>
            <w:tcW w:w="285" w:type="dxa"/>
          </w:tcPr>
          <w:p>
            <w:pPr/>
          </w:p>
        </w:tc>
        <w:tc>
          <w:tcPr>
            <w:tcW w:w="683" w:type="dxa"/>
          </w:tcPr>
          <w:p>
            <w:pPr>
              <w:pStyle w:val="TableParagraph"/>
              <w:spacing w:line="156" w:lineRule="exact"/>
              <w:ind w:left="9" w:right="7"/>
              <w:jc w:val="center"/>
              <w:rPr>
                <w:sz w:val="14"/>
              </w:rPr>
            </w:pPr>
            <w:r>
              <w:rPr>
                <w:w w:val="115"/>
                <w:sz w:val="14"/>
              </w:rPr>
              <w:t>Australia</w:t>
            </w:r>
          </w:p>
        </w:tc>
        <w:tc>
          <w:tcPr>
            <w:tcW w:w="1252" w:type="dxa"/>
          </w:tcPr>
          <w:p>
            <w:pPr>
              <w:pStyle w:val="TableParagraph"/>
              <w:spacing w:line="156" w:lineRule="exact"/>
              <w:ind w:left="204" w:right="201"/>
              <w:jc w:val="center"/>
              <w:rPr>
                <w:sz w:val="14"/>
              </w:rPr>
            </w:pPr>
            <w:r>
              <w:rPr>
                <w:w w:val="115"/>
                <w:sz w:val="14"/>
              </w:rPr>
              <w:t>Hong Kong</w:t>
            </w:r>
          </w:p>
        </w:tc>
        <w:tc>
          <w:tcPr>
            <w:tcW w:w="683" w:type="dxa"/>
          </w:tcPr>
          <w:p>
            <w:pPr>
              <w:pStyle w:val="TableParagraph"/>
              <w:spacing w:line="156" w:lineRule="exact"/>
              <w:ind w:left="9" w:right="5"/>
              <w:jc w:val="center"/>
              <w:rPr>
                <w:sz w:val="14"/>
              </w:rPr>
            </w:pPr>
            <w:r>
              <w:rPr>
                <w:w w:val="110"/>
                <w:sz w:val="14"/>
              </w:rPr>
              <w:t>Finlandia</w:t>
            </w:r>
          </w:p>
        </w:tc>
      </w:tr>
    </w:tbl>
    <w:p>
      <w:pPr>
        <w:pStyle w:val="BodyText"/>
        <w:rPr>
          <w:sz w:val="20"/>
        </w:rPr>
      </w:pPr>
    </w:p>
    <w:p>
      <w:pPr>
        <w:spacing w:before="163"/>
        <w:ind w:left="830" w:right="50" w:firstLine="0"/>
        <w:jc w:val="left"/>
        <w:rPr>
          <w:sz w:val="12"/>
        </w:rPr>
      </w:pPr>
      <w:r>
        <w:rPr>
          <w:sz w:val="12"/>
        </w:rPr>
        <w:t>FUENTE:     Milken Institute. </w:t>
      </w:r>
      <w:r>
        <w:rPr>
          <w:i/>
          <w:sz w:val="12"/>
        </w:rPr>
        <w:t>2009 Opacity Index: Measuring Global Risks</w:t>
      </w:r>
      <w:r>
        <w:rPr>
          <w:sz w:val="12"/>
        </w:rPr>
        <w:t>, p. 3.</w:t>
      </w:r>
    </w:p>
    <w:p>
      <w:pPr>
        <w:spacing w:line="145" w:lineRule="exact" w:before="2"/>
        <w:ind w:left="1538" w:right="50" w:firstLine="0"/>
        <w:jc w:val="left"/>
        <w:rPr>
          <w:rFonts w:ascii="Calibri"/>
          <w:sz w:val="12"/>
        </w:rPr>
      </w:pPr>
      <w:r>
        <w:rPr>
          <w:sz w:val="12"/>
        </w:rPr>
        <w:t>Disponible en: </w:t>
      </w:r>
      <w:hyperlink r:id="rId66">
        <w:r>
          <w:rPr>
            <w:rFonts w:ascii="Calibri"/>
            <w:color w:val="0000FF"/>
            <w:sz w:val="12"/>
            <w:u w:val="single" w:color="0000FF"/>
          </w:rPr>
          <w:t>http://www.kurtzmangroup.com/pdf/InstituteOpacityIndex_Apr8.pdf</w:t>
        </w:r>
      </w:hyperlink>
    </w:p>
    <w:p>
      <w:pPr>
        <w:spacing w:line="136" w:lineRule="exact" w:before="0"/>
        <w:ind w:left="1538" w:right="50" w:firstLine="0"/>
        <w:jc w:val="left"/>
        <w:rPr>
          <w:sz w:val="12"/>
        </w:rPr>
      </w:pPr>
      <w:r>
        <w:rPr>
          <w:sz w:val="12"/>
        </w:rPr>
        <w:t>[Fecha de consulta: 1 de junio,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3952;mso-wrap-distance-left:0;mso-wrap-distance-right:0" from="85.103996pt,18.989418pt" to="229.123996pt,18.989418pt" stroked="true" strokeweight=".71997pt" strokecolor="#000000">
            <w10:wrap type="topAndBottom"/>
          </v:line>
        </w:pict>
      </w:r>
    </w:p>
    <w:p>
      <w:pPr>
        <w:spacing w:line="256" w:lineRule="auto" w:before="62"/>
        <w:ind w:left="122" w:right="50" w:firstLine="0"/>
        <w:jc w:val="left"/>
        <w:rPr>
          <w:sz w:val="16"/>
        </w:rPr>
      </w:pPr>
      <w:r>
        <w:rPr>
          <w:rFonts w:ascii="Times New Roman" w:hAnsi="Times New Roman"/>
          <w:position w:val="7"/>
          <w:sz w:val="13"/>
        </w:rPr>
        <w:t>32</w:t>
      </w:r>
      <w:r>
        <w:rPr>
          <w:i/>
          <w:sz w:val="16"/>
        </w:rPr>
        <w:t>Miken Institute </w:t>
      </w:r>
      <w:r>
        <w:rPr>
          <w:sz w:val="16"/>
        </w:rPr>
        <w:t>consideró la definición de opacidad establecida por </w:t>
      </w:r>
      <w:r>
        <w:rPr>
          <w:i/>
          <w:sz w:val="16"/>
        </w:rPr>
        <w:t>Global Edge </w:t>
      </w:r>
      <w:r>
        <w:rPr>
          <w:sz w:val="16"/>
        </w:rPr>
        <w:t>como la falta de reglas claras y precisas. (</w:t>
      </w:r>
      <w:r>
        <w:rPr>
          <w:i/>
          <w:sz w:val="16"/>
        </w:rPr>
        <w:t>Milken Institute </w:t>
      </w:r>
      <w:r>
        <w:rPr>
          <w:sz w:val="16"/>
        </w:rPr>
        <w:t>2009: 1)</w:t>
      </w:r>
    </w:p>
    <w:p>
      <w:pPr>
        <w:spacing w:after="0" w:line="256" w:lineRule="auto"/>
        <w:jc w:val="left"/>
        <w:rPr>
          <w:sz w:val="16"/>
        </w:rPr>
        <w:sectPr>
          <w:pgSz w:w="12240" w:h="15840"/>
          <w:pgMar w:header="0" w:footer="1003" w:top="1360" w:bottom="1200" w:left="1580" w:right="1580"/>
        </w:sectPr>
      </w:pPr>
    </w:p>
    <w:p>
      <w:pPr>
        <w:pStyle w:val="ListParagraph"/>
        <w:numPr>
          <w:ilvl w:val="0"/>
          <w:numId w:val="37"/>
        </w:numPr>
        <w:tabs>
          <w:tab w:pos="403" w:val="left" w:leader="none"/>
        </w:tabs>
        <w:spacing w:line="240" w:lineRule="auto" w:before="51" w:after="0"/>
        <w:ind w:left="402" w:right="0" w:hanging="280"/>
        <w:jc w:val="left"/>
        <w:rPr>
          <w:i/>
          <w:sz w:val="24"/>
        </w:rPr>
      </w:pPr>
      <w:r>
        <w:rPr>
          <w:i/>
          <w:sz w:val="24"/>
        </w:rPr>
        <w:t>Índice Internacional de Percepción de la Corrupción,</w:t>
      </w:r>
      <w:r>
        <w:rPr>
          <w:i/>
          <w:spacing w:val="-22"/>
          <w:sz w:val="24"/>
        </w:rPr>
        <w:t> </w:t>
      </w:r>
      <w:r>
        <w:rPr>
          <w:i/>
          <w:sz w:val="24"/>
        </w:rPr>
        <w:t>2012</w:t>
      </w:r>
    </w:p>
    <w:p>
      <w:pPr>
        <w:pStyle w:val="BodyText"/>
        <w:rPr>
          <w:i/>
        </w:rPr>
      </w:pPr>
    </w:p>
    <w:p>
      <w:pPr>
        <w:pStyle w:val="BodyText"/>
        <w:spacing w:before="2"/>
        <w:rPr>
          <w:i/>
        </w:rPr>
      </w:pPr>
    </w:p>
    <w:p>
      <w:pPr>
        <w:pStyle w:val="BodyText"/>
        <w:spacing w:line="357" w:lineRule="auto" w:before="1"/>
        <w:ind w:left="122" w:right="120" w:firstLine="707"/>
        <w:jc w:val="both"/>
        <w:rPr>
          <w:sz w:val="16"/>
        </w:rPr>
      </w:pPr>
      <w:r>
        <w:rPr/>
        <w:t>Transparencia Internacional publicó en 2012 el Índice de Percepción de la Corrupción (</w:t>
      </w:r>
      <w:r>
        <w:rPr>
          <w:i/>
        </w:rPr>
        <w:t>Corruption Perceptions Index 2012</w:t>
      </w:r>
      <w:r>
        <w:rPr/>
        <w:t>) el cual está basado en 13 fuentes de información</w:t>
      </w:r>
      <w:r>
        <w:rPr>
          <w:position w:val="8"/>
          <w:sz w:val="16"/>
        </w:rPr>
        <w:t>33 </w:t>
      </w:r>
      <w:r>
        <w:rPr/>
        <w:t>que compilan las opiniones del sector empresarial y de expertos en el tema de corrupción.</w:t>
      </w:r>
      <w:r>
        <w:rPr>
          <w:position w:val="8"/>
          <w:sz w:val="16"/>
        </w:rPr>
        <w:t>34</w:t>
      </w:r>
    </w:p>
    <w:p>
      <w:pPr>
        <w:pStyle w:val="BodyText"/>
        <w:spacing w:before="2"/>
        <w:rPr>
          <w:sz w:val="36"/>
        </w:rPr>
      </w:pPr>
    </w:p>
    <w:p>
      <w:pPr>
        <w:pStyle w:val="BodyText"/>
        <w:spacing w:line="360" w:lineRule="auto" w:before="1"/>
        <w:ind w:left="122" w:right="125" w:firstLine="707"/>
        <w:jc w:val="both"/>
      </w:pPr>
      <w:r>
        <w:rPr/>
        <w:t>Debido a cambios metodológicos, la institución mencionó que los resultados no son comparables con estudios anteriores. La metodología consideró la estandarización de datos a una escala de 0 a 100, donde valores cercanos a 100 representan bajos niveles de precepción de la corrupción, mientras que valores cercanos a 0 alta percepción de la corrupción.</w:t>
      </w:r>
    </w:p>
    <w:p>
      <w:pPr>
        <w:pStyle w:val="BodyText"/>
      </w:pPr>
    </w:p>
    <w:p>
      <w:pPr>
        <w:pStyle w:val="BodyText"/>
        <w:spacing w:line="360" w:lineRule="auto" w:before="142"/>
        <w:ind w:left="122" w:right="121" w:firstLine="707"/>
        <w:jc w:val="both"/>
      </w:pPr>
      <w:r>
        <w:rPr/>
        <w:t>Dinamarca, Finlandia y Nueva Zelanda presentaron las menores percepciones</w:t>
      </w:r>
      <w:r>
        <w:rPr>
          <w:spacing w:val="-9"/>
        </w:rPr>
        <w:t> </w:t>
      </w:r>
      <w:r>
        <w:rPr/>
        <w:t>de</w:t>
      </w:r>
      <w:r>
        <w:rPr>
          <w:spacing w:val="-6"/>
        </w:rPr>
        <w:t> </w:t>
      </w:r>
      <w:r>
        <w:rPr/>
        <w:t>corrupción,</w:t>
      </w:r>
      <w:r>
        <w:rPr>
          <w:spacing w:val="-6"/>
        </w:rPr>
        <w:t> </w:t>
      </w:r>
      <w:r>
        <w:rPr/>
        <w:t>seguidos</w:t>
      </w:r>
      <w:r>
        <w:rPr>
          <w:spacing w:val="-9"/>
        </w:rPr>
        <w:t> </w:t>
      </w:r>
      <w:r>
        <w:rPr/>
        <w:t>por</w:t>
      </w:r>
      <w:r>
        <w:rPr>
          <w:spacing w:val="-7"/>
        </w:rPr>
        <w:t> </w:t>
      </w:r>
      <w:r>
        <w:rPr/>
        <w:t>Suecia,</w:t>
      </w:r>
      <w:r>
        <w:rPr>
          <w:spacing w:val="-6"/>
        </w:rPr>
        <w:t> </w:t>
      </w:r>
      <w:r>
        <w:rPr/>
        <w:t>Singapur</w:t>
      </w:r>
      <w:r>
        <w:rPr>
          <w:spacing w:val="-7"/>
        </w:rPr>
        <w:t> </w:t>
      </w:r>
      <w:r>
        <w:rPr/>
        <w:t>y</w:t>
      </w:r>
      <w:r>
        <w:rPr>
          <w:spacing w:val="-9"/>
        </w:rPr>
        <w:t> </w:t>
      </w:r>
      <w:r>
        <w:rPr/>
        <w:t>Suecia.</w:t>
      </w:r>
      <w:r>
        <w:rPr>
          <w:spacing w:val="-6"/>
        </w:rPr>
        <w:t> </w:t>
      </w:r>
      <w:r>
        <w:rPr/>
        <w:t>Alemania</w:t>
      </w:r>
      <w:r>
        <w:rPr>
          <w:spacing w:val="-6"/>
        </w:rPr>
        <w:t> </w:t>
      </w:r>
      <w:r>
        <w:rPr>
          <w:spacing w:val="-2"/>
        </w:rPr>
        <w:t>(79 </w:t>
      </w:r>
      <w:r>
        <w:rPr/>
        <w:t>puntos), Reino Unido (74), Estados Unidos (73) y España (65) son los países con las posiciones 13, 17, 19 y 30, en ese</w:t>
      </w:r>
      <w:r>
        <w:rPr>
          <w:spacing w:val="-18"/>
        </w:rPr>
        <w:t> </w:t>
      </w:r>
      <w:r>
        <w:rPr/>
        <w:t>orden.</w:t>
      </w:r>
    </w:p>
    <w:p>
      <w:pPr>
        <w:pStyle w:val="BodyText"/>
      </w:pPr>
    </w:p>
    <w:p>
      <w:pPr>
        <w:pStyle w:val="BodyText"/>
        <w:spacing w:line="360" w:lineRule="auto" w:before="142"/>
        <w:ind w:left="122" w:right="118" w:firstLine="707"/>
        <w:jc w:val="both"/>
      </w:pPr>
      <w:r>
        <w:rPr/>
        <w:t>México obtuvo una puntuación de 34, al igual que Argelia, Armenia, Bolivia, Kosovo,</w:t>
      </w:r>
      <w:r>
        <w:rPr>
          <w:spacing w:val="-5"/>
        </w:rPr>
        <w:t> </w:t>
      </w:r>
      <w:r>
        <w:rPr/>
        <w:t>Malí</w:t>
      </w:r>
      <w:r>
        <w:rPr>
          <w:spacing w:val="-8"/>
        </w:rPr>
        <w:t> </w:t>
      </w:r>
      <w:r>
        <w:rPr/>
        <w:t>y</w:t>
      </w:r>
      <w:r>
        <w:rPr>
          <w:spacing w:val="-8"/>
        </w:rPr>
        <w:t> </w:t>
      </w:r>
      <w:r>
        <w:rPr/>
        <w:t>Filipinas,</w:t>
      </w:r>
      <w:r>
        <w:rPr>
          <w:spacing w:val="-5"/>
        </w:rPr>
        <w:t> </w:t>
      </w:r>
      <w:r>
        <w:rPr/>
        <w:t>18</w:t>
      </w:r>
      <w:r>
        <w:rPr>
          <w:spacing w:val="-7"/>
        </w:rPr>
        <w:t> </w:t>
      </w:r>
      <w:r>
        <w:rPr/>
        <w:t>puntos</w:t>
      </w:r>
      <w:r>
        <w:rPr>
          <w:spacing w:val="-8"/>
        </w:rPr>
        <w:t> </w:t>
      </w:r>
      <w:r>
        <w:rPr/>
        <w:t>por</w:t>
      </w:r>
      <w:r>
        <w:rPr>
          <w:spacing w:val="-8"/>
        </w:rPr>
        <w:t> </w:t>
      </w:r>
      <w:r>
        <w:rPr/>
        <w:t>debajo</w:t>
      </w:r>
      <w:r>
        <w:rPr>
          <w:spacing w:val="-5"/>
        </w:rPr>
        <w:t> </w:t>
      </w:r>
      <w:r>
        <w:rPr/>
        <w:t>del</w:t>
      </w:r>
      <w:r>
        <w:rPr>
          <w:spacing w:val="-6"/>
        </w:rPr>
        <w:t> </w:t>
      </w:r>
      <w:r>
        <w:rPr/>
        <w:t>promedio</w:t>
      </w:r>
      <w:r>
        <w:rPr>
          <w:spacing w:val="-5"/>
        </w:rPr>
        <w:t> </w:t>
      </w:r>
      <w:r>
        <w:rPr/>
        <w:t>internacional</w:t>
      </w:r>
      <w:r>
        <w:rPr>
          <w:spacing w:val="-6"/>
        </w:rPr>
        <w:t> </w:t>
      </w:r>
      <w:r>
        <w:rPr/>
        <w:t>calculado por Transparencia</w:t>
      </w:r>
      <w:r>
        <w:rPr>
          <w:spacing w:val="-10"/>
        </w:rPr>
        <w:t> </w:t>
      </w:r>
      <w:r>
        <w:rPr/>
        <w:t>Internacional.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4072;mso-wrap-distance-left:0;mso-wrap-distance-right:0" from="85.103996pt,10.757799pt" to="229.123996pt,10.757799pt" stroked="true" strokeweight=".72003pt" strokecolor="#000000">
            <w10:wrap type="topAndBottom"/>
          </v:line>
        </w:pict>
      </w:r>
    </w:p>
    <w:p>
      <w:pPr>
        <w:spacing w:line="254" w:lineRule="auto" w:before="67"/>
        <w:ind w:left="122" w:right="114" w:firstLine="0"/>
        <w:jc w:val="both"/>
        <w:rPr>
          <w:sz w:val="16"/>
        </w:rPr>
      </w:pPr>
      <w:r>
        <w:rPr>
          <w:rFonts w:ascii="Calibri" w:hAnsi="Calibri"/>
          <w:position w:val="8"/>
          <w:sz w:val="14"/>
        </w:rPr>
        <w:t>33</w:t>
      </w:r>
      <w:r>
        <w:rPr>
          <w:sz w:val="16"/>
        </w:rPr>
        <w:t>Los documentos fuentes son: Calificaciones sobre Gobernabilidad 2011 (Banco Africano de Desarrollo), Indicadores de Gobernabilidad Sostenible 2011 (</w:t>
      </w:r>
      <w:r>
        <w:rPr>
          <w:i/>
          <w:sz w:val="16"/>
        </w:rPr>
        <w:t>Bertelsmann Foundation</w:t>
      </w:r>
      <w:r>
        <w:rPr>
          <w:sz w:val="16"/>
        </w:rPr>
        <w:t>), Índice de Transformación 2012 (</w:t>
      </w:r>
      <w:r>
        <w:rPr>
          <w:i/>
          <w:sz w:val="16"/>
        </w:rPr>
        <w:t>Bertelsmann Foundation</w:t>
      </w:r>
      <w:r>
        <w:rPr>
          <w:sz w:val="16"/>
        </w:rPr>
        <w:t>), Calificaciones</w:t>
      </w:r>
      <w:r>
        <w:rPr>
          <w:spacing w:val="-7"/>
          <w:sz w:val="16"/>
        </w:rPr>
        <w:t> </w:t>
      </w:r>
      <w:r>
        <w:rPr>
          <w:sz w:val="16"/>
        </w:rPr>
        <w:t>de</w:t>
      </w:r>
      <w:r>
        <w:rPr>
          <w:spacing w:val="-11"/>
          <w:sz w:val="16"/>
        </w:rPr>
        <w:t> </w:t>
      </w:r>
      <w:r>
        <w:rPr>
          <w:sz w:val="16"/>
        </w:rPr>
        <w:t>Riesgo</w:t>
      </w:r>
      <w:r>
        <w:rPr>
          <w:spacing w:val="-11"/>
          <w:sz w:val="16"/>
        </w:rPr>
        <w:t> </w:t>
      </w:r>
      <w:r>
        <w:rPr>
          <w:sz w:val="16"/>
        </w:rPr>
        <w:t>País</w:t>
      </w:r>
      <w:r>
        <w:rPr>
          <w:spacing w:val="-9"/>
          <w:sz w:val="16"/>
        </w:rPr>
        <w:t> </w:t>
      </w:r>
      <w:r>
        <w:rPr>
          <w:sz w:val="16"/>
        </w:rPr>
        <w:t>(</w:t>
      </w:r>
      <w:r>
        <w:rPr>
          <w:i/>
          <w:sz w:val="16"/>
        </w:rPr>
        <w:t>Economist</w:t>
      </w:r>
      <w:r>
        <w:rPr>
          <w:i/>
          <w:spacing w:val="-9"/>
          <w:sz w:val="16"/>
        </w:rPr>
        <w:t> </w:t>
      </w:r>
      <w:r>
        <w:rPr>
          <w:i/>
          <w:sz w:val="16"/>
        </w:rPr>
        <w:t>IntelligenceUnit</w:t>
      </w:r>
      <w:r>
        <w:rPr>
          <w:sz w:val="16"/>
        </w:rPr>
        <w:t>),</w:t>
      </w:r>
      <w:r>
        <w:rPr>
          <w:spacing w:val="-10"/>
          <w:sz w:val="16"/>
        </w:rPr>
        <w:t> </w:t>
      </w:r>
      <w:r>
        <w:rPr>
          <w:sz w:val="16"/>
        </w:rPr>
        <w:t>Naciones</w:t>
      </w:r>
      <w:r>
        <w:rPr>
          <w:spacing w:val="-7"/>
          <w:sz w:val="16"/>
        </w:rPr>
        <w:t> </w:t>
      </w:r>
      <w:r>
        <w:rPr>
          <w:sz w:val="16"/>
        </w:rPr>
        <w:t>en</w:t>
      </w:r>
      <w:r>
        <w:rPr>
          <w:spacing w:val="-11"/>
          <w:sz w:val="16"/>
        </w:rPr>
        <w:t> </w:t>
      </w:r>
      <w:r>
        <w:rPr>
          <w:sz w:val="16"/>
        </w:rPr>
        <w:t>Transición</w:t>
      </w:r>
      <w:r>
        <w:rPr>
          <w:spacing w:val="-9"/>
          <w:sz w:val="16"/>
        </w:rPr>
        <w:t> </w:t>
      </w:r>
      <w:r>
        <w:rPr>
          <w:sz w:val="16"/>
        </w:rPr>
        <w:t>2012</w:t>
      </w:r>
      <w:r>
        <w:rPr>
          <w:spacing w:val="-11"/>
          <w:sz w:val="16"/>
        </w:rPr>
        <w:t> </w:t>
      </w:r>
      <w:r>
        <w:rPr>
          <w:sz w:val="16"/>
        </w:rPr>
        <w:t>(</w:t>
      </w:r>
      <w:r>
        <w:rPr>
          <w:i/>
          <w:sz w:val="16"/>
        </w:rPr>
        <w:t>Freedom</w:t>
      </w:r>
      <w:r>
        <w:rPr>
          <w:i/>
          <w:spacing w:val="-10"/>
          <w:sz w:val="16"/>
        </w:rPr>
        <w:t> </w:t>
      </w:r>
      <w:r>
        <w:rPr>
          <w:i/>
          <w:sz w:val="16"/>
        </w:rPr>
        <w:t>House</w:t>
      </w:r>
      <w:r>
        <w:rPr>
          <w:sz w:val="16"/>
        </w:rPr>
        <w:t>),</w:t>
      </w:r>
      <w:r>
        <w:rPr>
          <w:spacing w:val="-10"/>
          <w:sz w:val="16"/>
        </w:rPr>
        <w:t> </w:t>
      </w:r>
      <w:r>
        <w:rPr>
          <w:sz w:val="16"/>
        </w:rPr>
        <w:t>Calificaciones</w:t>
      </w:r>
      <w:r>
        <w:rPr>
          <w:spacing w:val="-9"/>
          <w:sz w:val="16"/>
        </w:rPr>
        <w:t> </w:t>
      </w:r>
      <w:r>
        <w:rPr>
          <w:sz w:val="16"/>
        </w:rPr>
        <w:t>de</w:t>
      </w:r>
    </w:p>
    <w:p>
      <w:pPr>
        <w:spacing w:line="240" w:lineRule="auto" w:before="0"/>
        <w:ind w:left="122" w:right="114" w:firstLine="0"/>
        <w:jc w:val="both"/>
        <w:rPr>
          <w:sz w:val="16"/>
        </w:rPr>
      </w:pPr>
      <w:r>
        <w:rPr>
          <w:sz w:val="16"/>
        </w:rPr>
        <w:t>Riesgo País (</w:t>
      </w:r>
      <w:r>
        <w:rPr>
          <w:i/>
          <w:sz w:val="16"/>
        </w:rPr>
        <w:t>Global Insight</w:t>
      </w:r>
      <w:r>
        <w:rPr>
          <w:sz w:val="16"/>
        </w:rPr>
        <w:t>), Anuario de Competitividad Mundial 2012 (IMD), </w:t>
      </w:r>
      <w:r>
        <w:rPr>
          <w:i/>
          <w:sz w:val="16"/>
        </w:rPr>
        <w:t>Political and Economic Risk Consultancy Asian </w:t>
      </w:r>
      <w:r>
        <w:rPr>
          <w:i/>
          <w:sz w:val="16"/>
        </w:rPr>
        <w:t>Intelligence 2012</w:t>
      </w:r>
      <w:r>
        <w:rPr>
          <w:sz w:val="16"/>
        </w:rPr>
        <w:t>, Guía Internacional sobre Riesgo País (</w:t>
      </w:r>
      <w:r>
        <w:rPr>
          <w:i/>
          <w:sz w:val="16"/>
        </w:rPr>
        <w:t>Political Risk Services</w:t>
      </w:r>
      <w:r>
        <w:rPr>
          <w:sz w:val="16"/>
        </w:rPr>
        <w:t>), Encuesta de Fuentes de Soborno 2011 (</w:t>
      </w:r>
      <w:r>
        <w:rPr>
          <w:i/>
          <w:sz w:val="16"/>
        </w:rPr>
        <w:t>Transparency</w:t>
      </w:r>
      <w:r>
        <w:rPr>
          <w:i/>
          <w:spacing w:val="-8"/>
          <w:sz w:val="16"/>
        </w:rPr>
        <w:t> </w:t>
      </w:r>
      <w:r>
        <w:rPr>
          <w:i/>
          <w:sz w:val="16"/>
        </w:rPr>
        <w:t>International</w:t>
      </w:r>
      <w:r>
        <w:rPr>
          <w:sz w:val="16"/>
        </w:rPr>
        <w:t>),</w:t>
      </w:r>
      <w:r>
        <w:rPr>
          <w:spacing w:val="-11"/>
          <w:sz w:val="16"/>
        </w:rPr>
        <w:t> </w:t>
      </w:r>
      <w:r>
        <w:rPr>
          <w:sz w:val="16"/>
        </w:rPr>
        <w:t>Evaluación</w:t>
      </w:r>
      <w:r>
        <w:rPr>
          <w:spacing w:val="-10"/>
          <w:sz w:val="16"/>
        </w:rPr>
        <w:t> </w:t>
      </w:r>
      <w:r>
        <w:rPr>
          <w:sz w:val="16"/>
        </w:rPr>
        <w:t>Institucional</w:t>
      </w:r>
      <w:r>
        <w:rPr>
          <w:spacing w:val="-9"/>
          <w:sz w:val="16"/>
        </w:rPr>
        <w:t> </w:t>
      </w:r>
      <w:r>
        <w:rPr>
          <w:sz w:val="16"/>
        </w:rPr>
        <w:t>de</w:t>
      </w:r>
      <w:r>
        <w:rPr>
          <w:spacing w:val="-10"/>
          <w:sz w:val="16"/>
        </w:rPr>
        <w:t> </w:t>
      </w:r>
      <w:r>
        <w:rPr>
          <w:sz w:val="16"/>
        </w:rPr>
        <w:t>las</w:t>
      </w:r>
      <w:r>
        <w:rPr>
          <w:spacing w:val="-9"/>
          <w:sz w:val="16"/>
        </w:rPr>
        <w:t> </w:t>
      </w:r>
      <w:r>
        <w:rPr>
          <w:sz w:val="16"/>
        </w:rPr>
        <w:t>Políticas</w:t>
      </w:r>
      <w:r>
        <w:rPr>
          <w:spacing w:val="-8"/>
          <w:sz w:val="16"/>
        </w:rPr>
        <w:t> </w:t>
      </w:r>
      <w:r>
        <w:rPr>
          <w:sz w:val="16"/>
        </w:rPr>
        <w:t>Nacionales</w:t>
      </w:r>
      <w:r>
        <w:rPr>
          <w:spacing w:val="-6"/>
          <w:sz w:val="16"/>
        </w:rPr>
        <w:t> </w:t>
      </w:r>
      <w:r>
        <w:rPr>
          <w:sz w:val="16"/>
        </w:rPr>
        <w:t>2011</w:t>
      </w:r>
      <w:r>
        <w:rPr>
          <w:spacing w:val="-10"/>
          <w:sz w:val="16"/>
        </w:rPr>
        <w:t> </w:t>
      </w:r>
      <w:r>
        <w:rPr>
          <w:sz w:val="16"/>
        </w:rPr>
        <w:t>(Banco</w:t>
      </w:r>
      <w:r>
        <w:rPr>
          <w:spacing w:val="-10"/>
          <w:sz w:val="16"/>
        </w:rPr>
        <w:t> </w:t>
      </w:r>
      <w:r>
        <w:rPr>
          <w:sz w:val="16"/>
        </w:rPr>
        <w:t>Mundial),</w:t>
      </w:r>
      <w:r>
        <w:rPr>
          <w:spacing w:val="-9"/>
          <w:sz w:val="16"/>
        </w:rPr>
        <w:t> </w:t>
      </w:r>
      <w:r>
        <w:rPr>
          <w:sz w:val="16"/>
        </w:rPr>
        <w:t>Encuesta</w:t>
      </w:r>
      <w:r>
        <w:rPr>
          <w:spacing w:val="-10"/>
          <w:sz w:val="16"/>
        </w:rPr>
        <w:t> </w:t>
      </w:r>
      <w:r>
        <w:rPr>
          <w:sz w:val="16"/>
        </w:rPr>
        <w:t>de</w:t>
      </w:r>
      <w:r>
        <w:rPr>
          <w:spacing w:val="-10"/>
          <w:sz w:val="16"/>
        </w:rPr>
        <w:t> </w:t>
      </w:r>
      <w:r>
        <w:rPr>
          <w:sz w:val="16"/>
        </w:rPr>
        <w:t>Opinión Ejecutiva (EOE) 2012 (Foro Económico Mundial) e Índice de Estado de Derecho</w:t>
      </w:r>
      <w:r>
        <w:rPr>
          <w:spacing w:val="-24"/>
          <w:sz w:val="16"/>
        </w:rPr>
        <w:t> </w:t>
      </w:r>
      <w:r>
        <w:rPr>
          <w:sz w:val="16"/>
        </w:rPr>
        <w:t>2012</w:t>
      </w:r>
    </w:p>
    <w:p>
      <w:pPr>
        <w:spacing w:line="216" w:lineRule="exact" w:before="0"/>
        <w:ind w:left="122" w:right="0" w:firstLine="0"/>
        <w:jc w:val="both"/>
        <w:rPr>
          <w:sz w:val="16"/>
        </w:rPr>
      </w:pPr>
      <w:r>
        <w:rPr>
          <w:rFonts w:ascii="Times New Roman" w:hAnsi="Times New Roman"/>
          <w:position w:val="7"/>
          <w:sz w:val="13"/>
        </w:rPr>
        <w:t>34</w:t>
      </w:r>
      <w:r>
        <w:rPr>
          <w:sz w:val="16"/>
        </w:rPr>
        <w:t>Transparencia internacional consideró que las opiniones del público acerca de la corrupción tienen gran importancia, ya que</w:t>
      </w:r>
    </w:p>
    <w:p>
      <w:pPr>
        <w:spacing w:before="13"/>
        <w:ind w:left="122" w:right="119" w:firstLine="0"/>
        <w:jc w:val="both"/>
        <w:rPr>
          <w:sz w:val="16"/>
        </w:rPr>
      </w:pPr>
      <w:r>
        <w:rPr>
          <w:sz w:val="16"/>
        </w:rPr>
        <w:t>ofrecen datos acerca de cómo la corrupción afecta la vida de las personas, por lo que para la ONG mencionó que es fundamental presentar lo que el público cree acerca de la corrupción, ya que es éste quien sufre las consecuencias directas e indirectas del problema. También consideró que el Índice de Percepción de la Corrupción (que mide el nivel de precepción de los expertos y empresarios sobre la corrupción en el sector público) coincide con el Barómetro Global de la Corrupción (que mide la opinión pública).</w:t>
      </w:r>
    </w:p>
    <w:p>
      <w:pPr>
        <w:spacing w:before="0"/>
        <w:ind w:left="122" w:right="462" w:firstLine="0"/>
        <w:jc w:val="left"/>
        <w:rPr>
          <w:sz w:val="16"/>
        </w:rPr>
      </w:pPr>
      <w:r>
        <w:rPr>
          <w:sz w:val="16"/>
        </w:rPr>
        <w:t>Disponible en: </w:t>
      </w:r>
      <w:hyperlink r:id="rId67">
        <w:r>
          <w:rPr>
            <w:sz w:val="16"/>
          </w:rPr>
          <w:t>http://transparency.ge/sites/default/files/post_attachments/TI%20Global%20Corruption%20Barometer%202010.pdf</w:t>
        </w:r>
      </w:hyperlink>
      <w:r>
        <w:rPr>
          <w:sz w:val="16"/>
        </w:rPr>
        <w:t> [Fecha de consulta: 5 de junio, 2015]</w:t>
      </w:r>
    </w:p>
    <w:p>
      <w:pPr>
        <w:spacing w:after="0"/>
        <w:jc w:val="left"/>
        <w:rPr>
          <w:sz w:val="16"/>
        </w:rPr>
        <w:sectPr>
          <w:pgSz w:w="12240" w:h="15840"/>
          <w:pgMar w:header="0" w:footer="1003" w:top="1360" w:bottom="1200" w:left="1580" w:right="1580"/>
        </w:sectPr>
      </w:pPr>
    </w:p>
    <w:p>
      <w:pPr>
        <w:spacing w:before="55"/>
        <w:ind w:left="2029" w:right="0" w:firstLine="0"/>
        <w:jc w:val="left"/>
        <w:rPr>
          <w:sz w:val="20"/>
        </w:rPr>
      </w:pPr>
      <w:bookmarkStart w:name="_bookmark26" w:id="37"/>
      <w:bookmarkEnd w:id="37"/>
      <w:r>
        <w:rPr/>
      </w:r>
      <w:r>
        <w:rPr>
          <w:sz w:val="20"/>
        </w:rPr>
        <w:t>Cuadro 1.8. Índice de percepción de la corrupción, 2012</w:t>
      </w:r>
    </w:p>
    <w:p>
      <w:pPr>
        <w:pStyle w:val="BodyText"/>
        <w:spacing w:before="7"/>
        <w:rPr>
          <w:sz w:val="17"/>
        </w:rPr>
      </w:pPr>
    </w:p>
    <w:tbl>
      <w:tblPr>
        <w:tblW w:w="0" w:type="auto"/>
        <w:jc w:val="left"/>
        <w:tblInd w:w="13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81"/>
        <w:gridCol w:w="1721"/>
        <w:gridCol w:w="1200"/>
        <w:gridCol w:w="1659"/>
      </w:tblGrid>
      <w:tr>
        <w:trPr>
          <w:trHeight w:val="674" w:hRule="exact"/>
        </w:trPr>
        <w:tc>
          <w:tcPr>
            <w:tcW w:w="1781" w:type="dxa"/>
          </w:tcPr>
          <w:p>
            <w:pPr>
              <w:pStyle w:val="TableParagraph"/>
              <w:spacing w:before="5"/>
              <w:rPr>
                <w:sz w:val="19"/>
              </w:rPr>
            </w:pPr>
          </w:p>
          <w:p>
            <w:pPr>
              <w:pStyle w:val="TableParagraph"/>
              <w:spacing w:before="1"/>
              <w:ind w:left="522" w:right="523"/>
              <w:jc w:val="center"/>
              <w:rPr>
                <w:b/>
                <w:sz w:val="16"/>
              </w:rPr>
            </w:pPr>
            <w:r>
              <w:rPr>
                <w:b/>
                <w:sz w:val="16"/>
              </w:rPr>
              <w:t>Posición</w:t>
            </w:r>
          </w:p>
        </w:tc>
        <w:tc>
          <w:tcPr>
            <w:tcW w:w="1721" w:type="dxa"/>
          </w:tcPr>
          <w:p>
            <w:pPr>
              <w:pStyle w:val="TableParagraph"/>
              <w:spacing w:before="5"/>
              <w:rPr>
                <w:sz w:val="19"/>
              </w:rPr>
            </w:pPr>
          </w:p>
          <w:p>
            <w:pPr>
              <w:pStyle w:val="TableParagraph"/>
              <w:spacing w:before="1"/>
              <w:ind w:left="661" w:right="661"/>
              <w:jc w:val="center"/>
              <w:rPr>
                <w:b/>
                <w:sz w:val="16"/>
              </w:rPr>
            </w:pPr>
            <w:r>
              <w:rPr>
                <w:b/>
                <w:sz w:val="16"/>
              </w:rPr>
              <w:t>País</w:t>
            </w:r>
          </w:p>
        </w:tc>
        <w:tc>
          <w:tcPr>
            <w:tcW w:w="1200" w:type="dxa"/>
          </w:tcPr>
          <w:p>
            <w:pPr>
              <w:pStyle w:val="TableParagraph"/>
              <w:spacing w:before="5"/>
              <w:rPr>
                <w:sz w:val="19"/>
              </w:rPr>
            </w:pPr>
          </w:p>
          <w:p>
            <w:pPr>
              <w:pStyle w:val="TableParagraph"/>
              <w:spacing w:before="1"/>
              <w:ind w:left="130" w:right="130"/>
              <w:jc w:val="center"/>
              <w:rPr>
                <w:b/>
                <w:sz w:val="16"/>
              </w:rPr>
            </w:pPr>
            <w:r>
              <w:rPr>
                <w:b/>
                <w:sz w:val="16"/>
              </w:rPr>
              <w:t>Puntuación</w:t>
            </w:r>
          </w:p>
        </w:tc>
        <w:tc>
          <w:tcPr>
            <w:tcW w:w="1659" w:type="dxa"/>
          </w:tcPr>
          <w:p>
            <w:pPr>
              <w:pStyle w:val="TableParagraph"/>
              <w:spacing w:before="133"/>
              <w:ind w:left="400" w:right="247" w:hanging="140"/>
              <w:rPr>
                <w:b/>
                <w:sz w:val="16"/>
              </w:rPr>
            </w:pPr>
            <w:r>
              <w:rPr>
                <w:b/>
                <w:sz w:val="16"/>
              </w:rPr>
              <w:t>No. de fuentes empleadas</w:t>
            </w:r>
          </w:p>
        </w:tc>
      </w:tr>
      <w:tr>
        <w:trPr>
          <w:trHeight w:val="214" w:hRule="exact"/>
        </w:trPr>
        <w:tc>
          <w:tcPr>
            <w:tcW w:w="1781" w:type="dxa"/>
          </w:tcPr>
          <w:p>
            <w:pPr>
              <w:pStyle w:val="TableParagraph"/>
              <w:spacing w:line="180" w:lineRule="exact"/>
              <w:jc w:val="center"/>
              <w:rPr>
                <w:sz w:val="16"/>
              </w:rPr>
            </w:pPr>
            <w:r>
              <w:rPr>
                <w:w w:val="100"/>
                <w:sz w:val="16"/>
              </w:rPr>
              <w:t>1</w:t>
            </w:r>
          </w:p>
        </w:tc>
        <w:tc>
          <w:tcPr>
            <w:tcW w:w="1721" w:type="dxa"/>
          </w:tcPr>
          <w:p>
            <w:pPr>
              <w:pStyle w:val="TableParagraph"/>
              <w:spacing w:line="180" w:lineRule="exact"/>
              <w:ind w:left="55"/>
              <w:rPr>
                <w:sz w:val="16"/>
              </w:rPr>
            </w:pPr>
            <w:r>
              <w:rPr>
                <w:sz w:val="16"/>
              </w:rPr>
              <w:t>Dinamarca</w:t>
            </w:r>
          </w:p>
        </w:tc>
        <w:tc>
          <w:tcPr>
            <w:tcW w:w="1200" w:type="dxa"/>
          </w:tcPr>
          <w:p>
            <w:pPr>
              <w:pStyle w:val="TableParagraph"/>
              <w:spacing w:line="180" w:lineRule="exact"/>
              <w:ind w:left="130" w:right="130"/>
              <w:jc w:val="center"/>
              <w:rPr>
                <w:sz w:val="16"/>
              </w:rPr>
            </w:pPr>
            <w:r>
              <w:rPr>
                <w:sz w:val="16"/>
              </w:rPr>
              <w:t>90</w:t>
            </w:r>
          </w:p>
        </w:tc>
        <w:tc>
          <w:tcPr>
            <w:tcW w:w="1659" w:type="dxa"/>
          </w:tcPr>
          <w:p>
            <w:pPr>
              <w:pStyle w:val="TableParagraph"/>
              <w:spacing w:line="180" w:lineRule="exact"/>
              <w:ind w:left="770"/>
              <w:rPr>
                <w:sz w:val="16"/>
              </w:rPr>
            </w:pPr>
            <w:r>
              <w:rPr>
                <w:w w:val="100"/>
                <w:sz w:val="16"/>
              </w:rPr>
              <w:t>7</w:t>
            </w:r>
          </w:p>
        </w:tc>
      </w:tr>
      <w:tr>
        <w:trPr>
          <w:trHeight w:val="214" w:hRule="exact"/>
        </w:trPr>
        <w:tc>
          <w:tcPr>
            <w:tcW w:w="1781" w:type="dxa"/>
          </w:tcPr>
          <w:p>
            <w:pPr>
              <w:pStyle w:val="TableParagraph"/>
              <w:spacing w:line="180" w:lineRule="exact"/>
              <w:jc w:val="center"/>
              <w:rPr>
                <w:sz w:val="16"/>
              </w:rPr>
            </w:pPr>
            <w:r>
              <w:rPr>
                <w:w w:val="100"/>
                <w:sz w:val="16"/>
              </w:rPr>
              <w:t>1</w:t>
            </w:r>
          </w:p>
        </w:tc>
        <w:tc>
          <w:tcPr>
            <w:tcW w:w="1721" w:type="dxa"/>
          </w:tcPr>
          <w:p>
            <w:pPr>
              <w:pStyle w:val="TableParagraph"/>
              <w:spacing w:line="180" w:lineRule="exact"/>
              <w:ind w:left="55"/>
              <w:rPr>
                <w:sz w:val="16"/>
              </w:rPr>
            </w:pPr>
            <w:r>
              <w:rPr>
                <w:sz w:val="16"/>
              </w:rPr>
              <w:t>Finlandia</w:t>
            </w:r>
          </w:p>
        </w:tc>
        <w:tc>
          <w:tcPr>
            <w:tcW w:w="1200" w:type="dxa"/>
          </w:tcPr>
          <w:p>
            <w:pPr>
              <w:pStyle w:val="TableParagraph"/>
              <w:spacing w:line="180" w:lineRule="exact"/>
              <w:ind w:left="130" w:right="130"/>
              <w:jc w:val="center"/>
              <w:rPr>
                <w:sz w:val="16"/>
              </w:rPr>
            </w:pPr>
            <w:r>
              <w:rPr>
                <w:sz w:val="16"/>
              </w:rPr>
              <w:t>90</w:t>
            </w:r>
          </w:p>
        </w:tc>
        <w:tc>
          <w:tcPr>
            <w:tcW w:w="1659" w:type="dxa"/>
          </w:tcPr>
          <w:p>
            <w:pPr>
              <w:pStyle w:val="TableParagraph"/>
              <w:spacing w:line="180" w:lineRule="exact"/>
              <w:ind w:left="770"/>
              <w:rPr>
                <w:sz w:val="16"/>
              </w:rPr>
            </w:pPr>
            <w:r>
              <w:rPr>
                <w:w w:val="100"/>
                <w:sz w:val="16"/>
              </w:rPr>
              <w:t>7</w:t>
            </w:r>
          </w:p>
        </w:tc>
      </w:tr>
      <w:tr>
        <w:trPr>
          <w:trHeight w:val="214" w:hRule="exact"/>
        </w:trPr>
        <w:tc>
          <w:tcPr>
            <w:tcW w:w="1781" w:type="dxa"/>
          </w:tcPr>
          <w:p>
            <w:pPr>
              <w:pStyle w:val="TableParagraph"/>
              <w:spacing w:line="183" w:lineRule="exact"/>
              <w:jc w:val="center"/>
              <w:rPr>
                <w:sz w:val="16"/>
              </w:rPr>
            </w:pPr>
            <w:r>
              <w:rPr>
                <w:w w:val="100"/>
                <w:sz w:val="16"/>
              </w:rPr>
              <w:t>1</w:t>
            </w:r>
          </w:p>
        </w:tc>
        <w:tc>
          <w:tcPr>
            <w:tcW w:w="1721" w:type="dxa"/>
          </w:tcPr>
          <w:p>
            <w:pPr>
              <w:pStyle w:val="TableParagraph"/>
              <w:spacing w:line="183" w:lineRule="exact"/>
              <w:ind w:left="55"/>
              <w:rPr>
                <w:sz w:val="16"/>
              </w:rPr>
            </w:pPr>
            <w:r>
              <w:rPr>
                <w:sz w:val="16"/>
              </w:rPr>
              <w:t>Nueva Zelanda</w:t>
            </w:r>
          </w:p>
        </w:tc>
        <w:tc>
          <w:tcPr>
            <w:tcW w:w="1200" w:type="dxa"/>
          </w:tcPr>
          <w:p>
            <w:pPr>
              <w:pStyle w:val="TableParagraph"/>
              <w:spacing w:line="183" w:lineRule="exact"/>
              <w:ind w:left="130" w:right="130"/>
              <w:jc w:val="center"/>
              <w:rPr>
                <w:sz w:val="16"/>
              </w:rPr>
            </w:pPr>
            <w:r>
              <w:rPr>
                <w:sz w:val="16"/>
              </w:rPr>
              <w:t>90</w:t>
            </w:r>
          </w:p>
        </w:tc>
        <w:tc>
          <w:tcPr>
            <w:tcW w:w="1659" w:type="dxa"/>
          </w:tcPr>
          <w:p>
            <w:pPr>
              <w:pStyle w:val="TableParagraph"/>
              <w:spacing w:line="183" w:lineRule="exact"/>
              <w:ind w:left="770"/>
              <w:rPr>
                <w:sz w:val="16"/>
              </w:rPr>
            </w:pPr>
            <w:r>
              <w:rPr>
                <w:w w:val="100"/>
                <w:sz w:val="16"/>
              </w:rPr>
              <w:t>7</w:t>
            </w:r>
          </w:p>
        </w:tc>
      </w:tr>
      <w:tr>
        <w:trPr>
          <w:trHeight w:val="214" w:hRule="exact"/>
        </w:trPr>
        <w:tc>
          <w:tcPr>
            <w:tcW w:w="1781" w:type="dxa"/>
          </w:tcPr>
          <w:p>
            <w:pPr>
              <w:pStyle w:val="TableParagraph"/>
              <w:spacing w:line="183" w:lineRule="exact"/>
              <w:jc w:val="center"/>
              <w:rPr>
                <w:sz w:val="16"/>
              </w:rPr>
            </w:pPr>
            <w:r>
              <w:rPr>
                <w:w w:val="100"/>
                <w:sz w:val="16"/>
              </w:rPr>
              <w:t>4</w:t>
            </w:r>
          </w:p>
        </w:tc>
        <w:tc>
          <w:tcPr>
            <w:tcW w:w="1721" w:type="dxa"/>
          </w:tcPr>
          <w:p>
            <w:pPr>
              <w:pStyle w:val="TableParagraph"/>
              <w:spacing w:line="183" w:lineRule="exact"/>
              <w:ind w:left="55"/>
              <w:rPr>
                <w:sz w:val="16"/>
              </w:rPr>
            </w:pPr>
            <w:r>
              <w:rPr>
                <w:sz w:val="16"/>
              </w:rPr>
              <w:t>Suecia</w:t>
            </w:r>
          </w:p>
        </w:tc>
        <w:tc>
          <w:tcPr>
            <w:tcW w:w="1200" w:type="dxa"/>
          </w:tcPr>
          <w:p>
            <w:pPr>
              <w:pStyle w:val="TableParagraph"/>
              <w:spacing w:line="183" w:lineRule="exact"/>
              <w:ind w:left="130" w:right="130"/>
              <w:jc w:val="center"/>
              <w:rPr>
                <w:sz w:val="16"/>
              </w:rPr>
            </w:pPr>
            <w:r>
              <w:rPr>
                <w:sz w:val="16"/>
              </w:rPr>
              <w:t>88</w:t>
            </w:r>
          </w:p>
        </w:tc>
        <w:tc>
          <w:tcPr>
            <w:tcW w:w="1659" w:type="dxa"/>
          </w:tcPr>
          <w:p>
            <w:pPr>
              <w:pStyle w:val="TableParagraph"/>
              <w:spacing w:line="183" w:lineRule="exact"/>
              <w:ind w:left="770"/>
              <w:rPr>
                <w:sz w:val="16"/>
              </w:rPr>
            </w:pPr>
            <w:r>
              <w:rPr>
                <w:w w:val="100"/>
                <w:sz w:val="16"/>
              </w:rPr>
              <w:t>7</w:t>
            </w:r>
          </w:p>
        </w:tc>
      </w:tr>
      <w:tr>
        <w:trPr>
          <w:trHeight w:val="216" w:hRule="exact"/>
        </w:trPr>
        <w:tc>
          <w:tcPr>
            <w:tcW w:w="1781" w:type="dxa"/>
          </w:tcPr>
          <w:p>
            <w:pPr>
              <w:pStyle w:val="TableParagraph"/>
              <w:spacing w:line="183" w:lineRule="exact"/>
              <w:jc w:val="center"/>
              <w:rPr>
                <w:sz w:val="16"/>
              </w:rPr>
            </w:pPr>
            <w:r>
              <w:rPr>
                <w:w w:val="100"/>
                <w:sz w:val="16"/>
              </w:rPr>
              <w:t>5</w:t>
            </w:r>
          </w:p>
        </w:tc>
        <w:tc>
          <w:tcPr>
            <w:tcW w:w="1721" w:type="dxa"/>
          </w:tcPr>
          <w:p>
            <w:pPr>
              <w:pStyle w:val="TableParagraph"/>
              <w:spacing w:line="183" w:lineRule="exact"/>
              <w:ind w:left="55"/>
              <w:rPr>
                <w:sz w:val="16"/>
              </w:rPr>
            </w:pPr>
            <w:r>
              <w:rPr>
                <w:sz w:val="16"/>
              </w:rPr>
              <w:t>Singapur</w:t>
            </w:r>
          </w:p>
        </w:tc>
        <w:tc>
          <w:tcPr>
            <w:tcW w:w="1200" w:type="dxa"/>
          </w:tcPr>
          <w:p>
            <w:pPr>
              <w:pStyle w:val="TableParagraph"/>
              <w:spacing w:line="183" w:lineRule="exact"/>
              <w:ind w:left="130" w:right="130"/>
              <w:jc w:val="center"/>
              <w:rPr>
                <w:sz w:val="16"/>
              </w:rPr>
            </w:pPr>
            <w:r>
              <w:rPr>
                <w:sz w:val="16"/>
              </w:rPr>
              <w:t>87</w:t>
            </w:r>
          </w:p>
        </w:tc>
        <w:tc>
          <w:tcPr>
            <w:tcW w:w="1659" w:type="dxa"/>
          </w:tcPr>
          <w:p>
            <w:pPr>
              <w:pStyle w:val="TableParagraph"/>
              <w:spacing w:line="183" w:lineRule="exact"/>
              <w:ind w:left="770"/>
              <w:rPr>
                <w:sz w:val="16"/>
              </w:rPr>
            </w:pPr>
            <w:r>
              <w:rPr>
                <w:w w:val="100"/>
                <w:sz w:val="16"/>
              </w:rPr>
              <w:t>9</w:t>
            </w:r>
          </w:p>
        </w:tc>
      </w:tr>
      <w:tr>
        <w:trPr>
          <w:trHeight w:val="214" w:hRule="exact"/>
        </w:trPr>
        <w:tc>
          <w:tcPr>
            <w:tcW w:w="1781" w:type="dxa"/>
          </w:tcPr>
          <w:p>
            <w:pPr>
              <w:pStyle w:val="TableParagraph"/>
              <w:spacing w:line="180" w:lineRule="exact"/>
              <w:jc w:val="center"/>
              <w:rPr>
                <w:sz w:val="16"/>
              </w:rPr>
            </w:pPr>
            <w:r>
              <w:rPr>
                <w:w w:val="100"/>
                <w:sz w:val="16"/>
              </w:rPr>
              <w:t>6</w:t>
            </w:r>
          </w:p>
        </w:tc>
        <w:tc>
          <w:tcPr>
            <w:tcW w:w="1721" w:type="dxa"/>
          </w:tcPr>
          <w:p>
            <w:pPr>
              <w:pStyle w:val="TableParagraph"/>
              <w:spacing w:line="180" w:lineRule="exact"/>
              <w:ind w:left="55"/>
              <w:rPr>
                <w:sz w:val="16"/>
              </w:rPr>
            </w:pPr>
            <w:r>
              <w:rPr>
                <w:sz w:val="16"/>
              </w:rPr>
              <w:t>Suiza</w:t>
            </w:r>
          </w:p>
        </w:tc>
        <w:tc>
          <w:tcPr>
            <w:tcW w:w="1200" w:type="dxa"/>
          </w:tcPr>
          <w:p>
            <w:pPr>
              <w:pStyle w:val="TableParagraph"/>
              <w:spacing w:line="180" w:lineRule="exact"/>
              <w:ind w:left="130" w:right="130"/>
              <w:jc w:val="center"/>
              <w:rPr>
                <w:sz w:val="16"/>
              </w:rPr>
            </w:pPr>
            <w:r>
              <w:rPr>
                <w:sz w:val="16"/>
              </w:rPr>
              <w:t>86</w:t>
            </w:r>
          </w:p>
        </w:tc>
        <w:tc>
          <w:tcPr>
            <w:tcW w:w="1659" w:type="dxa"/>
          </w:tcPr>
          <w:p>
            <w:pPr>
              <w:pStyle w:val="TableParagraph"/>
              <w:spacing w:line="180" w:lineRule="exact"/>
              <w:ind w:left="770"/>
              <w:rPr>
                <w:sz w:val="16"/>
              </w:rPr>
            </w:pPr>
            <w:r>
              <w:rPr>
                <w:w w:val="100"/>
                <w:sz w:val="16"/>
              </w:rPr>
              <w:t>6</w:t>
            </w:r>
          </w:p>
        </w:tc>
      </w:tr>
      <w:tr>
        <w:trPr>
          <w:trHeight w:val="214" w:hRule="exact"/>
        </w:trPr>
        <w:tc>
          <w:tcPr>
            <w:tcW w:w="1781" w:type="dxa"/>
          </w:tcPr>
          <w:p>
            <w:pPr>
              <w:pStyle w:val="TableParagraph"/>
              <w:spacing w:line="178" w:lineRule="exact"/>
              <w:ind w:left="520" w:right="523"/>
              <w:jc w:val="center"/>
              <w:rPr>
                <w:b/>
                <w:sz w:val="16"/>
              </w:rPr>
            </w:pPr>
            <w:r>
              <w:rPr>
                <w:b/>
                <w:sz w:val="16"/>
              </w:rPr>
              <w:t>13</w:t>
            </w:r>
          </w:p>
        </w:tc>
        <w:tc>
          <w:tcPr>
            <w:tcW w:w="1721" w:type="dxa"/>
          </w:tcPr>
          <w:p>
            <w:pPr>
              <w:pStyle w:val="TableParagraph"/>
              <w:spacing w:line="178" w:lineRule="exact"/>
              <w:ind w:left="55"/>
              <w:rPr>
                <w:b/>
                <w:sz w:val="16"/>
              </w:rPr>
            </w:pPr>
            <w:r>
              <w:rPr>
                <w:b/>
                <w:sz w:val="16"/>
              </w:rPr>
              <w:t>Alemania</w:t>
            </w:r>
          </w:p>
        </w:tc>
        <w:tc>
          <w:tcPr>
            <w:tcW w:w="1200" w:type="dxa"/>
          </w:tcPr>
          <w:p>
            <w:pPr>
              <w:pStyle w:val="TableParagraph"/>
              <w:spacing w:line="178" w:lineRule="exact"/>
              <w:ind w:left="130" w:right="130"/>
              <w:jc w:val="center"/>
              <w:rPr>
                <w:b/>
                <w:sz w:val="16"/>
              </w:rPr>
            </w:pPr>
            <w:r>
              <w:rPr>
                <w:b/>
                <w:sz w:val="16"/>
              </w:rPr>
              <w:t>79</w:t>
            </w:r>
          </w:p>
        </w:tc>
        <w:tc>
          <w:tcPr>
            <w:tcW w:w="1659" w:type="dxa"/>
          </w:tcPr>
          <w:p>
            <w:pPr>
              <w:pStyle w:val="TableParagraph"/>
              <w:spacing w:line="178" w:lineRule="exact"/>
              <w:ind w:left="770"/>
              <w:rPr>
                <w:b/>
                <w:sz w:val="16"/>
              </w:rPr>
            </w:pPr>
            <w:r>
              <w:rPr>
                <w:b/>
                <w:w w:val="100"/>
                <w:sz w:val="16"/>
              </w:rPr>
              <w:t>8</w:t>
            </w:r>
          </w:p>
        </w:tc>
      </w:tr>
      <w:tr>
        <w:trPr>
          <w:trHeight w:val="214" w:hRule="exact"/>
        </w:trPr>
        <w:tc>
          <w:tcPr>
            <w:tcW w:w="1781" w:type="dxa"/>
          </w:tcPr>
          <w:p>
            <w:pPr>
              <w:pStyle w:val="TableParagraph"/>
              <w:spacing w:line="178" w:lineRule="exact"/>
              <w:ind w:left="520" w:right="523"/>
              <w:jc w:val="center"/>
              <w:rPr>
                <w:b/>
                <w:sz w:val="16"/>
              </w:rPr>
            </w:pPr>
            <w:r>
              <w:rPr>
                <w:b/>
                <w:sz w:val="16"/>
              </w:rPr>
              <w:t>17</w:t>
            </w:r>
          </w:p>
        </w:tc>
        <w:tc>
          <w:tcPr>
            <w:tcW w:w="1721" w:type="dxa"/>
          </w:tcPr>
          <w:p>
            <w:pPr>
              <w:pStyle w:val="TableParagraph"/>
              <w:spacing w:line="178" w:lineRule="exact"/>
              <w:ind w:left="55"/>
              <w:rPr>
                <w:b/>
                <w:sz w:val="16"/>
              </w:rPr>
            </w:pPr>
            <w:r>
              <w:rPr>
                <w:b/>
                <w:sz w:val="16"/>
              </w:rPr>
              <w:t>Reino Unido</w:t>
            </w:r>
          </w:p>
        </w:tc>
        <w:tc>
          <w:tcPr>
            <w:tcW w:w="1200" w:type="dxa"/>
          </w:tcPr>
          <w:p>
            <w:pPr>
              <w:pStyle w:val="TableParagraph"/>
              <w:spacing w:line="178" w:lineRule="exact"/>
              <w:ind w:left="130" w:right="130"/>
              <w:jc w:val="center"/>
              <w:rPr>
                <w:b/>
                <w:sz w:val="16"/>
              </w:rPr>
            </w:pPr>
            <w:r>
              <w:rPr>
                <w:b/>
                <w:sz w:val="16"/>
              </w:rPr>
              <w:t>74</w:t>
            </w:r>
          </w:p>
        </w:tc>
        <w:tc>
          <w:tcPr>
            <w:tcW w:w="1659" w:type="dxa"/>
          </w:tcPr>
          <w:p>
            <w:pPr>
              <w:pStyle w:val="TableParagraph"/>
              <w:spacing w:line="178" w:lineRule="exact"/>
              <w:ind w:left="770"/>
              <w:rPr>
                <w:b/>
                <w:sz w:val="16"/>
              </w:rPr>
            </w:pPr>
            <w:r>
              <w:rPr>
                <w:b/>
                <w:w w:val="100"/>
                <w:sz w:val="16"/>
              </w:rPr>
              <w:t>8</w:t>
            </w:r>
          </w:p>
        </w:tc>
      </w:tr>
      <w:tr>
        <w:trPr>
          <w:trHeight w:val="214" w:hRule="exact"/>
        </w:trPr>
        <w:tc>
          <w:tcPr>
            <w:tcW w:w="1781" w:type="dxa"/>
          </w:tcPr>
          <w:p>
            <w:pPr>
              <w:pStyle w:val="TableParagraph"/>
              <w:spacing w:line="180" w:lineRule="exact"/>
              <w:ind w:left="520" w:right="523"/>
              <w:jc w:val="center"/>
              <w:rPr>
                <w:b/>
                <w:sz w:val="16"/>
              </w:rPr>
            </w:pPr>
            <w:r>
              <w:rPr>
                <w:b/>
                <w:sz w:val="16"/>
              </w:rPr>
              <w:t>19</w:t>
            </w:r>
          </w:p>
        </w:tc>
        <w:tc>
          <w:tcPr>
            <w:tcW w:w="1721" w:type="dxa"/>
          </w:tcPr>
          <w:p>
            <w:pPr>
              <w:pStyle w:val="TableParagraph"/>
              <w:spacing w:line="180" w:lineRule="exact"/>
              <w:ind w:left="55"/>
              <w:rPr>
                <w:b/>
                <w:sz w:val="16"/>
              </w:rPr>
            </w:pPr>
            <w:r>
              <w:rPr>
                <w:b/>
                <w:sz w:val="16"/>
              </w:rPr>
              <w:t>Estados Unidos</w:t>
            </w:r>
          </w:p>
        </w:tc>
        <w:tc>
          <w:tcPr>
            <w:tcW w:w="1200" w:type="dxa"/>
          </w:tcPr>
          <w:p>
            <w:pPr>
              <w:pStyle w:val="TableParagraph"/>
              <w:spacing w:line="180" w:lineRule="exact"/>
              <w:ind w:left="130" w:right="130"/>
              <w:jc w:val="center"/>
              <w:rPr>
                <w:b/>
                <w:sz w:val="16"/>
              </w:rPr>
            </w:pPr>
            <w:r>
              <w:rPr>
                <w:b/>
                <w:sz w:val="16"/>
              </w:rPr>
              <w:t>73</w:t>
            </w:r>
          </w:p>
        </w:tc>
        <w:tc>
          <w:tcPr>
            <w:tcW w:w="1659" w:type="dxa"/>
          </w:tcPr>
          <w:p>
            <w:pPr>
              <w:pStyle w:val="TableParagraph"/>
              <w:spacing w:line="180" w:lineRule="exact"/>
              <w:ind w:left="770"/>
              <w:rPr>
                <w:b/>
                <w:sz w:val="16"/>
              </w:rPr>
            </w:pPr>
            <w:r>
              <w:rPr>
                <w:b/>
                <w:w w:val="100"/>
                <w:sz w:val="16"/>
              </w:rPr>
              <w:t>9</w:t>
            </w:r>
          </w:p>
        </w:tc>
      </w:tr>
      <w:tr>
        <w:trPr>
          <w:trHeight w:val="286" w:hRule="exact"/>
        </w:trPr>
        <w:tc>
          <w:tcPr>
            <w:tcW w:w="1781" w:type="dxa"/>
          </w:tcPr>
          <w:p>
            <w:pPr>
              <w:pStyle w:val="TableParagraph"/>
              <w:spacing w:line="180" w:lineRule="exact"/>
              <w:ind w:left="520" w:right="523"/>
              <w:jc w:val="center"/>
              <w:rPr>
                <w:b/>
                <w:sz w:val="16"/>
              </w:rPr>
            </w:pPr>
            <w:r>
              <w:rPr>
                <w:b/>
                <w:sz w:val="16"/>
              </w:rPr>
              <w:t>30</w:t>
            </w:r>
          </w:p>
        </w:tc>
        <w:tc>
          <w:tcPr>
            <w:tcW w:w="1721" w:type="dxa"/>
          </w:tcPr>
          <w:p>
            <w:pPr>
              <w:pStyle w:val="TableParagraph"/>
              <w:spacing w:line="180" w:lineRule="exact"/>
              <w:ind w:left="55"/>
              <w:rPr>
                <w:b/>
                <w:sz w:val="16"/>
              </w:rPr>
            </w:pPr>
            <w:r>
              <w:rPr>
                <w:b/>
                <w:sz w:val="16"/>
              </w:rPr>
              <w:t>España</w:t>
            </w:r>
          </w:p>
        </w:tc>
        <w:tc>
          <w:tcPr>
            <w:tcW w:w="1200" w:type="dxa"/>
          </w:tcPr>
          <w:p>
            <w:pPr>
              <w:pStyle w:val="TableParagraph"/>
              <w:spacing w:line="180" w:lineRule="exact"/>
              <w:ind w:left="130" w:right="130"/>
              <w:jc w:val="center"/>
              <w:rPr>
                <w:b/>
                <w:sz w:val="16"/>
              </w:rPr>
            </w:pPr>
            <w:r>
              <w:rPr>
                <w:b/>
                <w:sz w:val="16"/>
              </w:rPr>
              <w:t>65</w:t>
            </w:r>
          </w:p>
        </w:tc>
        <w:tc>
          <w:tcPr>
            <w:tcW w:w="1659" w:type="dxa"/>
          </w:tcPr>
          <w:p>
            <w:pPr>
              <w:pStyle w:val="TableParagraph"/>
              <w:spacing w:line="180" w:lineRule="exact"/>
              <w:ind w:left="770"/>
              <w:rPr>
                <w:b/>
                <w:sz w:val="16"/>
              </w:rPr>
            </w:pPr>
            <w:r>
              <w:rPr>
                <w:b/>
                <w:w w:val="100"/>
                <w:sz w:val="16"/>
              </w:rPr>
              <w:t>7</w:t>
            </w:r>
          </w:p>
        </w:tc>
      </w:tr>
      <w:tr>
        <w:trPr>
          <w:trHeight w:val="399" w:hRule="exact"/>
        </w:trPr>
        <w:tc>
          <w:tcPr>
            <w:tcW w:w="1781" w:type="dxa"/>
          </w:tcPr>
          <w:p>
            <w:pPr>
              <w:pStyle w:val="TableParagraph"/>
              <w:spacing w:line="184" w:lineRule="exact"/>
              <w:ind w:left="415" w:right="401" w:firstLine="88"/>
              <w:rPr>
                <w:b/>
                <w:sz w:val="16"/>
              </w:rPr>
            </w:pPr>
            <w:r>
              <w:rPr>
                <w:b/>
                <w:sz w:val="16"/>
              </w:rPr>
              <w:t>Promedio (176 países)</w:t>
            </w:r>
          </w:p>
        </w:tc>
        <w:tc>
          <w:tcPr>
            <w:tcW w:w="1721" w:type="dxa"/>
          </w:tcPr>
          <w:p>
            <w:pPr/>
          </w:p>
        </w:tc>
        <w:tc>
          <w:tcPr>
            <w:tcW w:w="1200" w:type="dxa"/>
          </w:tcPr>
          <w:p>
            <w:pPr>
              <w:pStyle w:val="TableParagraph"/>
              <w:spacing w:before="87"/>
              <w:ind w:left="130" w:right="130"/>
              <w:jc w:val="center"/>
              <w:rPr>
                <w:b/>
                <w:sz w:val="16"/>
              </w:rPr>
            </w:pPr>
            <w:r>
              <w:rPr>
                <w:b/>
                <w:sz w:val="16"/>
              </w:rPr>
              <w:t>52</w:t>
            </w:r>
          </w:p>
        </w:tc>
        <w:tc>
          <w:tcPr>
            <w:tcW w:w="1659" w:type="dxa"/>
          </w:tcPr>
          <w:p>
            <w:pPr/>
          </w:p>
        </w:tc>
      </w:tr>
      <w:tr>
        <w:trPr>
          <w:trHeight w:val="214" w:hRule="exact"/>
        </w:trPr>
        <w:tc>
          <w:tcPr>
            <w:tcW w:w="1781" w:type="dxa"/>
          </w:tcPr>
          <w:p>
            <w:pPr>
              <w:pStyle w:val="TableParagraph"/>
              <w:spacing w:line="180" w:lineRule="exact"/>
              <w:ind w:left="521" w:right="523"/>
              <w:jc w:val="center"/>
              <w:rPr>
                <w:sz w:val="16"/>
              </w:rPr>
            </w:pPr>
            <w:r>
              <w:rPr>
                <w:sz w:val="16"/>
              </w:rPr>
              <w:t>105</w:t>
            </w:r>
          </w:p>
        </w:tc>
        <w:tc>
          <w:tcPr>
            <w:tcW w:w="1721" w:type="dxa"/>
          </w:tcPr>
          <w:p>
            <w:pPr>
              <w:pStyle w:val="TableParagraph"/>
              <w:spacing w:line="180" w:lineRule="exact"/>
              <w:ind w:left="55"/>
              <w:rPr>
                <w:sz w:val="16"/>
              </w:rPr>
            </w:pPr>
            <w:r>
              <w:rPr>
                <w:sz w:val="16"/>
              </w:rPr>
              <w:t>Algeria</w:t>
            </w:r>
          </w:p>
        </w:tc>
        <w:tc>
          <w:tcPr>
            <w:tcW w:w="1200" w:type="dxa"/>
          </w:tcPr>
          <w:p>
            <w:pPr>
              <w:pStyle w:val="TableParagraph"/>
              <w:spacing w:line="180" w:lineRule="exact"/>
              <w:ind w:left="130" w:right="130"/>
              <w:jc w:val="center"/>
              <w:rPr>
                <w:sz w:val="16"/>
              </w:rPr>
            </w:pPr>
            <w:r>
              <w:rPr>
                <w:sz w:val="16"/>
              </w:rPr>
              <w:t>34</w:t>
            </w:r>
          </w:p>
        </w:tc>
        <w:tc>
          <w:tcPr>
            <w:tcW w:w="1659" w:type="dxa"/>
          </w:tcPr>
          <w:p>
            <w:pPr>
              <w:pStyle w:val="TableParagraph"/>
              <w:spacing w:line="180" w:lineRule="exact"/>
              <w:ind w:left="770"/>
              <w:rPr>
                <w:sz w:val="16"/>
              </w:rPr>
            </w:pPr>
            <w:r>
              <w:rPr>
                <w:w w:val="100"/>
                <w:sz w:val="16"/>
              </w:rPr>
              <w:t>6</w:t>
            </w:r>
          </w:p>
        </w:tc>
      </w:tr>
      <w:tr>
        <w:trPr>
          <w:trHeight w:val="214" w:hRule="exact"/>
        </w:trPr>
        <w:tc>
          <w:tcPr>
            <w:tcW w:w="1781" w:type="dxa"/>
          </w:tcPr>
          <w:p>
            <w:pPr>
              <w:pStyle w:val="TableParagraph"/>
              <w:spacing w:line="180" w:lineRule="exact"/>
              <w:ind w:left="521" w:right="523"/>
              <w:jc w:val="center"/>
              <w:rPr>
                <w:sz w:val="16"/>
              </w:rPr>
            </w:pPr>
            <w:r>
              <w:rPr>
                <w:sz w:val="16"/>
              </w:rPr>
              <w:t>105</w:t>
            </w:r>
          </w:p>
        </w:tc>
        <w:tc>
          <w:tcPr>
            <w:tcW w:w="1721" w:type="dxa"/>
          </w:tcPr>
          <w:p>
            <w:pPr>
              <w:pStyle w:val="TableParagraph"/>
              <w:spacing w:line="180" w:lineRule="exact"/>
              <w:ind w:left="55"/>
              <w:rPr>
                <w:sz w:val="16"/>
              </w:rPr>
            </w:pPr>
            <w:r>
              <w:rPr>
                <w:sz w:val="16"/>
              </w:rPr>
              <w:t>Armenia</w:t>
            </w:r>
          </w:p>
        </w:tc>
        <w:tc>
          <w:tcPr>
            <w:tcW w:w="1200" w:type="dxa"/>
          </w:tcPr>
          <w:p>
            <w:pPr>
              <w:pStyle w:val="TableParagraph"/>
              <w:spacing w:line="180" w:lineRule="exact"/>
              <w:ind w:left="130" w:right="130"/>
              <w:jc w:val="center"/>
              <w:rPr>
                <w:sz w:val="16"/>
              </w:rPr>
            </w:pPr>
            <w:r>
              <w:rPr>
                <w:sz w:val="16"/>
              </w:rPr>
              <w:t>34</w:t>
            </w:r>
          </w:p>
        </w:tc>
        <w:tc>
          <w:tcPr>
            <w:tcW w:w="1659" w:type="dxa"/>
          </w:tcPr>
          <w:p>
            <w:pPr>
              <w:pStyle w:val="TableParagraph"/>
              <w:spacing w:line="180" w:lineRule="exact"/>
              <w:ind w:left="770"/>
              <w:rPr>
                <w:sz w:val="16"/>
              </w:rPr>
            </w:pPr>
            <w:r>
              <w:rPr>
                <w:w w:val="100"/>
                <w:sz w:val="16"/>
              </w:rPr>
              <w:t>6</w:t>
            </w:r>
          </w:p>
        </w:tc>
      </w:tr>
      <w:tr>
        <w:trPr>
          <w:trHeight w:val="214" w:hRule="exact"/>
        </w:trPr>
        <w:tc>
          <w:tcPr>
            <w:tcW w:w="1781" w:type="dxa"/>
          </w:tcPr>
          <w:p>
            <w:pPr>
              <w:pStyle w:val="TableParagraph"/>
              <w:spacing w:line="183" w:lineRule="exact"/>
              <w:ind w:left="521" w:right="523"/>
              <w:jc w:val="center"/>
              <w:rPr>
                <w:sz w:val="16"/>
              </w:rPr>
            </w:pPr>
            <w:r>
              <w:rPr>
                <w:sz w:val="16"/>
              </w:rPr>
              <w:t>105</w:t>
            </w:r>
          </w:p>
        </w:tc>
        <w:tc>
          <w:tcPr>
            <w:tcW w:w="1721" w:type="dxa"/>
          </w:tcPr>
          <w:p>
            <w:pPr>
              <w:pStyle w:val="TableParagraph"/>
              <w:spacing w:line="183" w:lineRule="exact"/>
              <w:ind w:left="55"/>
              <w:rPr>
                <w:sz w:val="16"/>
              </w:rPr>
            </w:pPr>
            <w:r>
              <w:rPr>
                <w:sz w:val="16"/>
              </w:rPr>
              <w:t>Bolivia</w:t>
            </w:r>
          </w:p>
        </w:tc>
        <w:tc>
          <w:tcPr>
            <w:tcW w:w="1200" w:type="dxa"/>
          </w:tcPr>
          <w:p>
            <w:pPr>
              <w:pStyle w:val="TableParagraph"/>
              <w:spacing w:line="183" w:lineRule="exact"/>
              <w:ind w:left="130" w:right="130"/>
              <w:jc w:val="center"/>
              <w:rPr>
                <w:sz w:val="16"/>
              </w:rPr>
            </w:pPr>
            <w:r>
              <w:rPr>
                <w:sz w:val="16"/>
              </w:rPr>
              <w:t>34</w:t>
            </w:r>
          </w:p>
        </w:tc>
        <w:tc>
          <w:tcPr>
            <w:tcW w:w="1659" w:type="dxa"/>
          </w:tcPr>
          <w:p>
            <w:pPr>
              <w:pStyle w:val="TableParagraph"/>
              <w:spacing w:line="183" w:lineRule="exact"/>
              <w:ind w:left="770"/>
              <w:rPr>
                <w:sz w:val="16"/>
              </w:rPr>
            </w:pPr>
            <w:r>
              <w:rPr>
                <w:w w:val="100"/>
                <w:sz w:val="16"/>
              </w:rPr>
              <w:t>7</w:t>
            </w:r>
          </w:p>
        </w:tc>
      </w:tr>
      <w:tr>
        <w:trPr>
          <w:trHeight w:val="214" w:hRule="exact"/>
        </w:trPr>
        <w:tc>
          <w:tcPr>
            <w:tcW w:w="1781" w:type="dxa"/>
          </w:tcPr>
          <w:p>
            <w:pPr>
              <w:pStyle w:val="TableParagraph"/>
              <w:spacing w:line="183" w:lineRule="exact"/>
              <w:ind w:left="521" w:right="523"/>
              <w:jc w:val="center"/>
              <w:rPr>
                <w:sz w:val="16"/>
              </w:rPr>
            </w:pPr>
            <w:r>
              <w:rPr>
                <w:sz w:val="16"/>
              </w:rPr>
              <w:t>105</w:t>
            </w:r>
          </w:p>
        </w:tc>
        <w:tc>
          <w:tcPr>
            <w:tcW w:w="1721" w:type="dxa"/>
          </w:tcPr>
          <w:p>
            <w:pPr>
              <w:pStyle w:val="TableParagraph"/>
              <w:spacing w:line="183" w:lineRule="exact"/>
              <w:ind w:left="55"/>
              <w:rPr>
                <w:sz w:val="16"/>
              </w:rPr>
            </w:pPr>
            <w:r>
              <w:rPr>
                <w:sz w:val="16"/>
              </w:rPr>
              <w:t>Gambia</w:t>
            </w:r>
          </w:p>
        </w:tc>
        <w:tc>
          <w:tcPr>
            <w:tcW w:w="1200" w:type="dxa"/>
          </w:tcPr>
          <w:p>
            <w:pPr>
              <w:pStyle w:val="TableParagraph"/>
              <w:spacing w:line="183" w:lineRule="exact"/>
              <w:ind w:left="130" w:right="130"/>
              <w:jc w:val="center"/>
              <w:rPr>
                <w:sz w:val="16"/>
              </w:rPr>
            </w:pPr>
            <w:r>
              <w:rPr>
                <w:sz w:val="16"/>
              </w:rPr>
              <w:t>34</w:t>
            </w:r>
          </w:p>
        </w:tc>
        <w:tc>
          <w:tcPr>
            <w:tcW w:w="1659" w:type="dxa"/>
          </w:tcPr>
          <w:p>
            <w:pPr>
              <w:pStyle w:val="TableParagraph"/>
              <w:spacing w:line="183" w:lineRule="exact"/>
              <w:ind w:left="770"/>
              <w:rPr>
                <w:sz w:val="16"/>
              </w:rPr>
            </w:pPr>
            <w:r>
              <w:rPr>
                <w:w w:val="100"/>
                <w:sz w:val="16"/>
              </w:rPr>
              <w:t>5</w:t>
            </w:r>
          </w:p>
        </w:tc>
      </w:tr>
      <w:tr>
        <w:trPr>
          <w:trHeight w:val="216" w:hRule="exact"/>
        </w:trPr>
        <w:tc>
          <w:tcPr>
            <w:tcW w:w="1781" w:type="dxa"/>
          </w:tcPr>
          <w:p>
            <w:pPr>
              <w:pStyle w:val="TableParagraph"/>
              <w:spacing w:line="183" w:lineRule="exact"/>
              <w:ind w:left="521" w:right="523"/>
              <w:jc w:val="center"/>
              <w:rPr>
                <w:sz w:val="16"/>
              </w:rPr>
            </w:pPr>
            <w:r>
              <w:rPr>
                <w:sz w:val="16"/>
              </w:rPr>
              <w:t>105</w:t>
            </w:r>
          </w:p>
        </w:tc>
        <w:tc>
          <w:tcPr>
            <w:tcW w:w="1721" w:type="dxa"/>
          </w:tcPr>
          <w:p>
            <w:pPr>
              <w:pStyle w:val="TableParagraph"/>
              <w:spacing w:line="183" w:lineRule="exact"/>
              <w:ind w:left="55"/>
              <w:rPr>
                <w:sz w:val="16"/>
              </w:rPr>
            </w:pPr>
            <w:r>
              <w:rPr>
                <w:sz w:val="16"/>
              </w:rPr>
              <w:t>Kosovo</w:t>
            </w:r>
          </w:p>
        </w:tc>
        <w:tc>
          <w:tcPr>
            <w:tcW w:w="1200" w:type="dxa"/>
          </w:tcPr>
          <w:p>
            <w:pPr>
              <w:pStyle w:val="TableParagraph"/>
              <w:spacing w:line="183" w:lineRule="exact"/>
              <w:ind w:left="130" w:right="130"/>
              <w:jc w:val="center"/>
              <w:rPr>
                <w:sz w:val="16"/>
              </w:rPr>
            </w:pPr>
            <w:r>
              <w:rPr>
                <w:sz w:val="16"/>
              </w:rPr>
              <w:t>34</w:t>
            </w:r>
          </w:p>
        </w:tc>
        <w:tc>
          <w:tcPr>
            <w:tcW w:w="1659" w:type="dxa"/>
          </w:tcPr>
          <w:p>
            <w:pPr>
              <w:pStyle w:val="TableParagraph"/>
              <w:spacing w:line="183" w:lineRule="exact"/>
              <w:ind w:left="770"/>
              <w:rPr>
                <w:sz w:val="16"/>
              </w:rPr>
            </w:pPr>
            <w:r>
              <w:rPr>
                <w:w w:val="100"/>
                <w:sz w:val="16"/>
              </w:rPr>
              <w:t>3</w:t>
            </w:r>
          </w:p>
        </w:tc>
      </w:tr>
      <w:tr>
        <w:trPr>
          <w:trHeight w:val="214" w:hRule="exact"/>
        </w:trPr>
        <w:tc>
          <w:tcPr>
            <w:tcW w:w="1781" w:type="dxa"/>
          </w:tcPr>
          <w:p>
            <w:pPr>
              <w:pStyle w:val="TableParagraph"/>
              <w:spacing w:line="180" w:lineRule="exact"/>
              <w:ind w:left="521" w:right="523"/>
              <w:jc w:val="center"/>
              <w:rPr>
                <w:sz w:val="16"/>
              </w:rPr>
            </w:pPr>
            <w:r>
              <w:rPr>
                <w:sz w:val="16"/>
              </w:rPr>
              <w:t>105</w:t>
            </w:r>
          </w:p>
        </w:tc>
        <w:tc>
          <w:tcPr>
            <w:tcW w:w="1721" w:type="dxa"/>
          </w:tcPr>
          <w:p>
            <w:pPr>
              <w:pStyle w:val="TableParagraph"/>
              <w:spacing w:line="180" w:lineRule="exact"/>
              <w:ind w:left="55"/>
              <w:rPr>
                <w:sz w:val="16"/>
              </w:rPr>
            </w:pPr>
            <w:r>
              <w:rPr>
                <w:sz w:val="16"/>
              </w:rPr>
              <w:t>Malí</w:t>
            </w:r>
          </w:p>
        </w:tc>
        <w:tc>
          <w:tcPr>
            <w:tcW w:w="1200" w:type="dxa"/>
          </w:tcPr>
          <w:p>
            <w:pPr>
              <w:pStyle w:val="TableParagraph"/>
              <w:spacing w:line="180" w:lineRule="exact"/>
              <w:ind w:left="130" w:right="130"/>
              <w:jc w:val="center"/>
              <w:rPr>
                <w:sz w:val="16"/>
              </w:rPr>
            </w:pPr>
            <w:r>
              <w:rPr>
                <w:sz w:val="16"/>
              </w:rPr>
              <w:t>34</w:t>
            </w:r>
          </w:p>
        </w:tc>
        <w:tc>
          <w:tcPr>
            <w:tcW w:w="1659" w:type="dxa"/>
          </w:tcPr>
          <w:p>
            <w:pPr>
              <w:pStyle w:val="TableParagraph"/>
              <w:spacing w:line="180" w:lineRule="exact"/>
              <w:ind w:left="770"/>
              <w:rPr>
                <w:sz w:val="16"/>
              </w:rPr>
            </w:pPr>
            <w:r>
              <w:rPr>
                <w:w w:val="100"/>
                <w:sz w:val="16"/>
              </w:rPr>
              <w:t>6</w:t>
            </w:r>
          </w:p>
        </w:tc>
      </w:tr>
      <w:tr>
        <w:trPr>
          <w:trHeight w:val="214" w:hRule="exact"/>
        </w:trPr>
        <w:tc>
          <w:tcPr>
            <w:tcW w:w="1781" w:type="dxa"/>
          </w:tcPr>
          <w:p>
            <w:pPr>
              <w:pStyle w:val="TableParagraph"/>
              <w:spacing w:line="178" w:lineRule="exact"/>
              <w:ind w:left="521" w:right="523"/>
              <w:jc w:val="center"/>
              <w:rPr>
                <w:b/>
                <w:sz w:val="16"/>
              </w:rPr>
            </w:pPr>
            <w:r>
              <w:rPr>
                <w:b/>
                <w:sz w:val="16"/>
              </w:rPr>
              <w:t>105</w:t>
            </w:r>
          </w:p>
        </w:tc>
        <w:tc>
          <w:tcPr>
            <w:tcW w:w="1721" w:type="dxa"/>
          </w:tcPr>
          <w:p>
            <w:pPr>
              <w:pStyle w:val="TableParagraph"/>
              <w:spacing w:line="178" w:lineRule="exact"/>
              <w:ind w:left="55"/>
              <w:rPr>
                <w:b/>
                <w:sz w:val="16"/>
              </w:rPr>
            </w:pPr>
            <w:r>
              <w:rPr>
                <w:b/>
                <w:sz w:val="16"/>
              </w:rPr>
              <w:t>México</w:t>
            </w:r>
          </w:p>
        </w:tc>
        <w:tc>
          <w:tcPr>
            <w:tcW w:w="1200" w:type="dxa"/>
          </w:tcPr>
          <w:p>
            <w:pPr>
              <w:pStyle w:val="TableParagraph"/>
              <w:spacing w:line="178" w:lineRule="exact"/>
              <w:ind w:left="130" w:right="130"/>
              <w:jc w:val="center"/>
              <w:rPr>
                <w:b/>
                <w:sz w:val="16"/>
              </w:rPr>
            </w:pPr>
            <w:r>
              <w:rPr>
                <w:b/>
                <w:sz w:val="16"/>
              </w:rPr>
              <w:t>34</w:t>
            </w:r>
          </w:p>
        </w:tc>
        <w:tc>
          <w:tcPr>
            <w:tcW w:w="1659" w:type="dxa"/>
          </w:tcPr>
          <w:p>
            <w:pPr>
              <w:pStyle w:val="TableParagraph"/>
              <w:spacing w:line="178" w:lineRule="exact"/>
              <w:ind w:left="770"/>
              <w:rPr>
                <w:b/>
                <w:sz w:val="16"/>
              </w:rPr>
            </w:pPr>
            <w:r>
              <w:rPr>
                <w:b/>
                <w:w w:val="100"/>
                <w:sz w:val="16"/>
              </w:rPr>
              <w:t>9</w:t>
            </w:r>
          </w:p>
        </w:tc>
      </w:tr>
      <w:tr>
        <w:trPr>
          <w:trHeight w:val="214" w:hRule="exact"/>
        </w:trPr>
        <w:tc>
          <w:tcPr>
            <w:tcW w:w="1781" w:type="dxa"/>
          </w:tcPr>
          <w:p>
            <w:pPr>
              <w:pStyle w:val="TableParagraph"/>
              <w:spacing w:line="180" w:lineRule="exact"/>
              <w:ind w:left="521" w:right="523"/>
              <w:jc w:val="center"/>
              <w:rPr>
                <w:sz w:val="16"/>
              </w:rPr>
            </w:pPr>
            <w:r>
              <w:rPr>
                <w:sz w:val="16"/>
              </w:rPr>
              <w:t>105</w:t>
            </w:r>
          </w:p>
        </w:tc>
        <w:tc>
          <w:tcPr>
            <w:tcW w:w="1721" w:type="dxa"/>
          </w:tcPr>
          <w:p>
            <w:pPr>
              <w:pStyle w:val="TableParagraph"/>
              <w:spacing w:line="180" w:lineRule="exact"/>
              <w:ind w:left="55"/>
              <w:rPr>
                <w:sz w:val="16"/>
              </w:rPr>
            </w:pPr>
            <w:r>
              <w:rPr>
                <w:sz w:val="16"/>
              </w:rPr>
              <w:t>Filipinas</w:t>
            </w:r>
          </w:p>
        </w:tc>
        <w:tc>
          <w:tcPr>
            <w:tcW w:w="1200" w:type="dxa"/>
          </w:tcPr>
          <w:p>
            <w:pPr>
              <w:pStyle w:val="TableParagraph"/>
              <w:spacing w:line="180" w:lineRule="exact"/>
              <w:ind w:left="130" w:right="130"/>
              <w:jc w:val="center"/>
              <w:rPr>
                <w:sz w:val="16"/>
              </w:rPr>
            </w:pPr>
            <w:r>
              <w:rPr>
                <w:sz w:val="16"/>
              </w:rPr>
              <w:t>34</w:t>
            </w:r>
          </w:p>
        </w:tc>
        <w:tc>
          <w:tcPr>
            <w:tcW w:w="1659" w:type="dxa"/>
          </w:tcPr>
          <w:p>
            <w:pPr>
              <w:pStyle w:val="TableParagraph"/>
              <w:spacing w:line="180" w:lineRule="exact"/>
              <w:ind w:left="770"/>
              <w:rPr>
                <w:sz w:val="16"/>
              </w:rPr>
            </w:pPr>
            <w:r>
              <w:rPr>
                <w:w w:val="100"/>
                <w:sz w:val="16"/>
              </w:rPr>
              <w:t>9</w:t>
            </w:r>
          </w:p>
        </w:tc>
      </w:tr>
    </w:tbl>
    <w:p>
      <w:pPr>
        <w:pStyle w:val="BodyText"/>
        <w:spacing w:before="10"/>
        <w:rPr>
          <w:sz w:val="11"/>
        </w:rPr>
      </w:pPr>
    </w:p>
    <w:p>
      <w:pPr>
        <w:spacing w:before="0"/>
        <w:ind w:left="1518" w:right="0" w:firstLine="0"/>
        <w:jc w:val="left"/>
        <w:rPr>
          <w:sz w:val="12"/>
        </w:rPr>
      </w:pPr>
      <w:r>
        <w:rPr>
          <w:sz w:val="12"/>
        </w:rPr>
        <w:t>FUENTE:     Transparency International, Corruption Perceptions Index 2012.</w:t>
      </w:r>
    </w:p>
    <w:p>
      <w:pPr>
        <w:spacing w:before="1"/>
        <w:ind w:left="2226" w:right="2938" w:firstLine="0"/>
        <w:jc w:val="left"/>
        <w:rPr>
          <w:sz w:val="12"/>
        </w:rPr>
      </w:pPr>
      <w:r>
        <w:rPr>
          <w:sz w:val="12"/>
        </w:rPr>
        <w:t>Disponible en: </w:t>
      </w:r>
      <w:hyperlink r:id="rId68">
        <w:r>
          <w:rPr>
            <w:sz w:val="12"/>
          </w:rPr>
          <w:t>http://www.transparency.org/cpi2012/results#myAnchor1</w:t>
        </w:r>
      </w:hyperlink>
      <w:r>
        <w:rPr>
          <w:sz w:val="12"/>
        </w:rPr>
        <w:t> [Fecha de consulta: 6 de junio, 2015]</w:t>
      </w:r>
    </w:p>
    <w:p>
      <w:pPr>
        <w:spacing w:before="1"/>
        <w:ind w:left="2226" w:right="0" w:firstLine="0"/>
        <w:jc w:val="left"/>
        <w:rPr>
          <w:sz w:val="12"/>
        </w:rPr>
      </w:pPr>
      <w:r>
        <w:rPr>
          <w:sz w:val="12"/>
        </w:rPr>
        <w:t>Nota: Promedio calculado.</w:t>
      </w:r>
    </w:p>
    <w:p>
      <w:pPr>
        <w:pStyle w:val="BodyText"/>
        <w:rPr>
          <w:sz w:val="12"/>
        </w:rPr>
      </w:pPr>
    </w:p>
    <w:p>
      <w:pPr>
        <w:pStyle w:val="BodyText"/>
        <w:rPr>
          <w:sz w:val="12"/>
        </w:rPr>
      </w:pPr>
    </w:p>
    <w:p>
      <w:pPr>
        <w:pStyle w:val="BodyText"/>
        <w:spacing w:before="9"/>
        <w:rPr>
          <w:sz w:val="11"/>
        </w:rPr>
      </w:pPr>
    </w:p>
    <w:p>
      <w:pPr>
        <w:pStyle w:val="ListParagraph"/>
        <w:numPr>
          <w:ilvl w:val="0"/>
          <w:numId w:val="37"/>
        </w:numPr>
        <w:tabs>
          <w:tab w:pos="369" w:val="left" w:leader="none"/>
        </w:tabs>
        <w:spacing w:line="240" w:lineRule="auto" w:before="0" w:after="0"/>
        <w:ind w:left="368" w:right="0" w:hanging="266"/>
        <w:jc w:val="left"/>
        <w:rPr>
          <w:i/>
          <w:sz w:val="24"/>
        </w:rPr>
      </w:pPr>
      <w:r>
        <w:rPr>
          <w:i/>
          <w:sz w:val="24"/>
        </w:rPr>
        <w:t>Barómetro Global de la Corrupción,</w:t>
      </w:r>
      <w:r>
        <w:rPr>
          <w:i/>
          <w:spacing w:val="-16"/>
          <w:sz w:val="24"/>
        </w:rPr>
        <w:t> </w:t>
      </w:r>
      <w:r>
        <w:rPr>
          <w:i/>
          <w:sz w:val="24"/>
        </w:rPr>
        <w:t>2010</w:t>
      </w:r>
    </w:p>
    <w:p>
      <w:pPr>
        <w:pStyle w:val="BodyText"/>
        <w:spacing w:before="2"/>
        <w:rPr>
          <w:i/>
          <w:sz w:val="29"/>
        </w:rPr>
      </w:pPr>
    </w:p>
    <w:p>
      <w:pPr>
        <w:spacing w:line="360" w:lineRule="auto" w:before="1"/>
        <w:ind w:left="102" w:right="115" w:firstLine="427"/>
        <w:jc w:val="both"/>
        <w:rPr>
          <w:sz w:val="24"/>
        </w:rPr>
      </w:pPr>
      <w:r>
        <w:rPr>
          <w:i/>
          <w:sz w:val="24"/>
        </w:rPr>
        <w:t>The Global Corruption Barometer 2010 </w:t>
      </w:r>
      <w:r>
        <w:rPr>
          <w:sz w:val="24"/>
        </w:rPr>
        <w:t>publicado por </w:t>
      </w:r>
      <w:r>
        <w:rPr>
          <w:i/>
          <w:sz w:val="24"/>
        </w:rPr>
        <w:t>Transparency </w:t>
      </w:r>
      <w:r>
        <w:rPr>
          <w:i/>
          <w:sz w:val="24"/>
        </w:rPr>
        <w:t>International </w:t>
      </w:r>
      <w:r>
        <w:rPr>
          <w:sz w:val="24"/>
        </w:rPr>
        <w:t>fue publicado en abril de 2011 y mostró los resultados de la encuesta de</w:t>
      </w:r>
      <w:r>
        <w:rPr>
          <w:spacing w:val="-5"/>
          <w:sz w:val="24"/>
        </w:rPr>
        <w:t> </w:t>
      </w:r>
      <w:r>
        <w:rPr>
          <w:sz w:val="24"/>
        </w:rPr>
        <w:t>las</w:t>
      </w:r>
      <w:r>
        <w:rPr>
          <w:spacing w:val="-8"/>
          <w:sz w:val="24"/>
        </w:rPr>
        <w:t> </w:t>
      </w:r>
      <w:r>
        <w:rPr>
          <w:sz w:val="24"/>
        </w:rPr>
        <w:t>experiencias</w:t>
      </w:r>
      <w:r>
        <w:rPr>
          <w:spacing w:val="-5"/>
          <w:sz w:val="24"/>
        </w:rPr>
        <w:t> </w:t>
      </w:r>
      <w:r>
        <w:rPr>
          <w:sz w:val="24"/>
        </w:rPr>
        <w:t>y</w:t>
      </w:r>
      <w:r>
        <w:rPr>
          <w:spacing w:val="-8"/>
          <w:sz w:val="24"/>
        </w:rPr>
        <w:t> </w:t>
      </w:r>
      <w:r>
        <w:rPr>
          <w:sz w:val="24"/>
        </w:rPr>
        <w:t>opiniones</w:t>
      </w:r>
      <w:r>
        <w:rPr>
          <w:spacing w:val="-8"/>
          <w:sz w:val="24"/>
        </w:rPr>
        <w:t> </w:t>
      </w:r>
      <w:r>
        <w:rPr>
          <w:sz w:val="24"/>
        </w:rPr>
        <w:t>del</w:t>
      </w:r>
      <w:r>
        <w:rPr>
          <w:spacing w:val="-8"/>
          <w:sz w:val="24"/>
        </w:rPr>
        <w:t> </w:t>
      </w:r>
      <w:r>
        <w:rPr>
          <w:sz w:val="24"/>
        </w:rPr>
        <w:t>público</w:t>
      </w:r>
      <w:r>
        <w:rPr>
          <w:spacing w:val="-7"/>
          <w:sz w:val="24"/>
        </w:rPr>
        <w:t> </w:t>
      </w:r>
      <w:r>
        <w:rPr>
          <w:sz w:val="24"/>
        </w:rPr>
        <w:t>acerca</w:t>
      </w:r>
      <w:r>
        <w:rPr>
          <w:spacing w:val="-5"/>
          <w:sz w:val="24"/>
        </w:rPr>
        <w:t> </w:t>
      </w:r>
      <w:r>
        <w:rPr>
          <w:sz w:val="24"/>
        </w:rPr>
        <w:t>de</w:t>
      </w:r>
      <w:r>
        <w:rPr>
          <w:spacing w:val="-5"/>
          <w:sz w:val="24"/>
        </w:rPr>
        <w:t> </w:t>
      </w:r>
      <w:r>
        <w:rPr>
          <w:sz w:val="24"/>
        </w:rPr>
        <w:t>la</w:t>
      </w:r>
      <w:r>
        <w:rPr>
          <w:spacing w:val="-5"/>
          <w:sz w:val="24"/>
        </w:rPr>
        <w:t> </w:t>
      </w:r>
      <w:r>
        <w:rPr>
          <w:sz w:val="24"/>
        </w:rPr>
        <w:t>corrupción</w:t>
      </w:r>
      <w:r>
        <w:rPr>
          <w:spacing w:val="-6"/>
          <w:sz w:val="24"/>
        </w:rPr>
        <w:t> </w:t>
      </w:r>
      <w:r>
        <w:rPr>
          <w:sz w:val="24"/>
        </w:rPr>
        <w:t>en</w:t>
      </w:r>
      <w:r>
        <w:rPr>
          <w:spacing w:val="-5"/>
          <w:sz w:val="24"/>
        </w:rPr>
        <w:t> </w:t>
      </w:r>
      <w:r>
        <w:rPr>
          <w:sz w:val="24"/>
        </w:rPr>
        <w:t>100</w:t>
      </w:r>
      <w:r>
        <w:rPr>
          <w:spacing w:val="-7"/>
          <w:sz w:val="24"/>
        </w:rPr>
        <w:t> </w:t>
      </w:r>
      <w:r>
        <w:rPr>
          <w:sz w:val="24"/>
        </w:rPr>
        <w:t>países</w:t>
      </w:r>
      <w:r>
        <w:rPr>
          <w:spacing w:val="-10"/>
          <w:sz w:val="24"/>
        </w:rPr>
        <w:t> </w:t>
      </w:r>
      <w:r>
        <w:rPr>
          <w:sz w:val="24"/>
        </w:rPr>
        <w:t>a 10 instituciones, consideradas por la ONG como variables</w:t>
      </w:r>
      <w:r>
        <w:rPr>
          <w:spacing w:val="-21"/>
          <w:sz w:val="24"/>
        </w:rPr>
        <w:t> </w:t>
      </w:r>
      <w:r>
        <w:rPr>
          <w:sz w:val="24"/>
        </w:rPr>
        <w:t>clave.</w:t>
      </w:r>
    </w:p>
    <w:p>
      <w:pPr>
        <w:pStyle w:val="BodyText"/>
      </w:pPr>
    </w:p>
    <w:p>
      <w:pPr>
        <w:pStyle w:val="BodyText"/>
        <w:spacing w:line="360" w:lineRule="auto" w:before="142"/>
        <w:ind w:left="102" w:right="116" w:firstLine="427"/>
        <w:jc w:val="both"/>
      </w:pPr>
      <w:r>
        <w:rPr/>
        <w:t>El informe compiló la frecuencia de los sobornos, las razones que dieron lugar al pago de éstos y las actitudes observadas respecto de la denuncia de hechos de corrupción.</w:t>
      </w:r>
      <w:r>
        <w:rPr>
          <w:spacing w:val="-6"/>
        </w:rPr>
        <w:t> </w:t>
      </w:r>
      <w:r>
        <w:rPr/>
        <w:t>La</w:t>
      </w:r>
      <w:r>
        <w:rPr>
          <w:spacing w:val="-5"/>
        </w:rPr>
        <w:t> </w:t>
      </w:r>
      <w:r>
        <w:rPr/>
        <w:t>organización</w:t>
      </w:r>
      <w:r>
        <w:rPr>
          <w:spacing w:val="-4"/>
        </w:rPr>
        <w:t> </w:t>
      </w:r>
      <w:r>
        <w:rPr/>
        <w:t>presentó</w:t>
      </w:r>
      <w:r>
        <w:rPr>
          <w:spacing w:val="-5"/>
        </w:rPr>
        <w:t> </w:t>
      </w:r>
      <w:r>
        <w:rPr/>
        <w:t>sus</w:t>
      </w:r>
      <w:r>
        <w:rPr>
          <w:spacing w:val="-5"/>
        </w:rPr>
        <w:t> </w:t>
      </w:r>
      <w:r>
        <w:rPr/>
        <w:t>resultados</w:t>
      </w:r>
      <w:r>
        <w:rPr>
          <w:spacing w:val="-5"/>
        </w:rPr>
        <w:t> </w:t>
      </w:r>
      <w:r>
        <w:rPr/>
        <w:t>en</w:t>
      </w:r>
      <w:r>
        <w:rPr>
          <w:spacing w:val="-5"/>
        </w:rPr>
        <w:t> </w:t>
      </w:r>
      <w:r>
        <w:rPr/>
        <w:t>una</w:t>
      </w:r>
      <w:r>
        <w:rPr>
          <w:spacing w:val="-5"/>
        </w:rPr>
        <w:t> </w:t>
      </w:r>
      <w:r>
        <w:rPr/>
        <w:t>escala</w:t>
      </w:r>
      <w:r>
        <w:rPr>
          <w:spacing w:val="-6"/>
        </w:rPr>
        <w:t> </w:t>
      </w:r>
      <w:r>
        <w:rPr/>
        <w:t>de</w:t>
      </w:r>
      <w:r>
        <w:rPr>
          <w:spacing w:val="-5"/>
        </w:rPr>
        <w:t> </w:t>
      </w:r>
      <w:r>
        <w:rPr/>
        <w:t>0</w:t>
      </w:r>
      <w:r>
        <w:rPr>
          <w:spacing w:val="-5"/>
        </w:rPr>
        <w:t> </w:t>
      </w:r>
      <w:r>
        <w:rPr/>
        <w:t>a</w:t>
      </w:r>
      <w:r>
        <w:rPr>
          <w:spacing w:val="-6"/>
        </w:rPr>
        <w:t> </w:t>
      </w:r>
      <w:r>
        <w:rPr/>
        <w:t>5,</w:t>
      </w:r>
      <w:r>
        <w:rPr>
          <w:spacing w:val="-5"/>
        </w:rPr>
        <w:t> </w:t>
      </w:r>
      <w:r>
        <w:rPr/>
        <w:t>donde valores bajos implicaron una escasa percepción de corrupción en la institución evaluada (variable) y valores cercanos a 5, una precepción de extrema corrupción. Los resultados indican que sólo tres instituciones obtuvieron una calificación por debajo del promedio (2.9 puntos), siendo las organizaciones religiosas las que presentaron una menor precepción de corrupción, mientras que los partidos políticos son considerados con mayor percepción en</w:t>
      </w:r>
      <w:r>
        <w:rPr>
          <w:spacing w:val="-20"/>
        </w:rPr>
        <w:t> </w:t>
      </w:r>
      <w:r>
        <w:rPr/>
        <w:t>corrupción</w:t>
      </w:r>
    </w:p>
    <w:p>
      <w:pPr>
        <w:spacing w:after="0" w:line="360" w:lineRule="auto"/>
        <w:jc w:val="both"/>
        <w:sectPr>
          <w:pgSz w:w="12240" w:h="15840"/>
          <w:pgMar w:header="0" w:footer="1003" w:top="1360" w:bottom="1200" w:left="1600" w:right="1580"/>
        </w:sectPr>
      </w:pPr>
    </w:p>
    <w:p>
      <w:pPr>
        <w:spacing w:line="448" w:lineRule="auto" w:before="55"/>
        <w:ind w:left="2075" w:right="2096" w:firstLine="0"/>
        <w:jc w:val="center"/>
        <w:rPr>
          <w:sz w:val="20"/>
        </w:rPr>
      </w:pPr>
      <w:r>
        <w:rPr/>
        <w:pict>
          <v:group style="position:absolute;margin-left:85.08429pt;margin-top:61.198124pt;width:441.85pt;height:198.05pt;mso-position-horizontal-relative:page;mso-position-vertical-relative:paragraph;z-index:-351376" coordorigin="1702,1224" coordsize="8837,3961">
            <v:shape style="position:absolute;left:4106;top:2668;width:5236;height:809" coordorigin="4106,2668" coordsize="5236,809" path="m8893,2668l4106,2668,4106,2868,8893,2868,8893,2668m9043,2973l4106,2973,4106,3173,9043,3173,9043,2973m9341,3279l4106,3279,4106,3477,9341,3477,9341,3279e" filled="true" fillcolor="#4f81bc" stroked="false">
              <v:path arrowok="t"/>
              <v:fill type="solid"/>
            </v:shape>
            <v:shape style="position:absolute;left:7;top:9492;width:10440;height:4980" coordorigin="7,9492" coordsize="10440,4980" path="m4106,4448l10090,4448m4106,4448l4106,4495m4854,4448l4854,4495m5601,4448l5601,4495m6349,4448l6349,4495m7098,4448l7098,4495m7846,4448l7846,4495m8593,4448l8593,4495m9341,4448l9341,4495m10090,4448l10090,4495m4106,4448l4106,1394m4055,4448l4106,4448m4055,4141l4106,4141m4055,3837l4106,3837m4055,3530l4106,3530m4055,3226l4106,3226m4055,2920l4106,2920m4055,2615l4106,2615m4055,1394l4106,1394m1708,5178l10532,5178,10532,1230,1708,1230,1708,5178xe" filled="false" stroked="true" strokeweight=".589724pt" strokecolor="#858585">
              <v:path arrowok="t"/>
            </v:shape>
            <v:shape style="position:absolute;left:3988;top:4559;width:236;height:159" type="#_x0000_t202" filled="false" stroked="false">
              <v:textbox inset="0,0,0,0">
                <w:txbxContent>
                  <w:p>
                    <w:pPr>
                      <w:spacing w:line="158" w:lineRule="exact" w:before="0"/>
                      <w:ind w:left="0" w:right="-18" w:firstLine="0"/>
                      <w:jc w:val="left"/>
                      <w:rPr>
                        <w:sz w:val="16"/>
                      </w:rPr>
                    </w:pPr>
                    <w:r>
                      <w:rPr>
                        <w:w w:val="105"/>
                        <w:sz w:val="16"/>
                      </w:rPr>
                      <w:t>0.0</w:t>
                    </w:r>
                  </w:p>
                </w:txbxContent>
              </v:textbox>
              <w10:wrap type="none"/>
            </v:shape>
            <v:shape style="position:absolute;left:4231;top:4559;width:1154;height:468" type="#_x0000_t202" filled="false" stroked="false">
              <v:textbox inset="0,0,0,0">
                <w:txbxContent>
                  <w:p>
                    <w:pPr>
                      <w:spacing w:line="162" w:lineRule="exact" w:before="0"/>
                      <w:ind w:left="92" w:right="0" w:firstLine="0"/>
                      <w:jc w:val="center"/>
                      <w:rPr>
                        <w:sz w:val="16"/>
                      </w:rPr>
                    </w:pPr>
                    <w:r>
                      <w:rPr>
                        <w:w w:val="105"/>
                        <w:sz w:val="16"/>
                      </w:rPr>
                      <w:t>0.5</w:t>
                    </w:r>
                  </w:p>
                  <w:p>
                    <w:pPr>
                      <w:spacing w:line="180" w:lineRule="exact" w:before="125"/>
                      <w:ind w:left="0" w:right="0" w:firstLine="0"/>
                      <w:jc w:val="center"/>
                      <w:rPr>
                        <w:b/>
                        <w:sz w:val="16"/>
                      </w:rPr>
                    </w:pPr>
                    <w:r>
                      <w:rPr>
                        <w:b/>
                        <w:color w:val="006FC0"/>
                        <w:w w:val="105"/>
                        <w:sz w:val="16"/>
                      </w:rPr>
                      <w:t>Nada corrupto</w:t>
                    </w:r>
                  </w:p>
                </w:txbxContent>
              </v:textbox>
              <w10:wrap type="none"/>
            </v:shape>
            <v:shape style="position:absolute;left:5484;top:4559;width:236;height:159" type="#_x0000_t202" filled="false" stroked="false">
              <v:textbox inset="0,0,0,0">
                <w:txbxContent>
                  <w:p>
                    <w:pPr>
                      <w:spacing w:line="158" w:lineRule="exact" w:before="0"/>
                      <w:ind w:left="0" w:right="-18" w:firstLine="0"/>
                      <w:jc w:val="left"/>
                      <w:rPr>
                        <w:sz w:val="16"/>
                      </w:rPr>
                    </w:pPr>
                    <w:r>
                      <w:rPr>
                        <w:w w:val="105"/>
                        <w:sz w:val="16"/>
                      </w:rPr>
                      <w:t>1.0</w:t>
                    </w:r>
                  </w:p>
                </w:txbxContent>
              </v:textbox>
              <w10:wrap type="none"/>
            </v:shape>
            <v:shape style="position:absolute;left:6232;top:4559;width:236;height:159" type="#_x0000_t202" filled="false" stroked="false">
              <v:textbox inset="0,0,0,0">
                <w:txbxContent>
                  <w:p>
                    <w:pPr>
                      <w:spacing w:line="158" w:lineRule="exact" w:before="0"/>
                      <w:ind w:left="0" w:right="-18" w:firstLine="0"/>
                      <w:jc w:val="left"/>
                      <w:rPr>
                        <w:sz w:val="16"/>
                      </w:rPr>
                    </w:pPr>
                    <w:r>
                      <w:rPr>
                        <w:w w:val="105"/>
                        <w:sz w:val="16"/>
                      </w:rPr>
                      <w:t>1.5</w:t>
                    </w:r>
                  </w:p>
                </w:txbxContent>
              </v:textbox>
              <w10:wrap type="none"/>
            </v:shape>
            <v:shape style="position:absolute;left:6980;top:4559;width:236;height:159" type="#_x0000_t202" filled="false" stroked="false">
              <v:textbox inset="0,0,0,0">
                <w:txbxContent>
                  <w:p>
                    <w:pPr>
                      <w:spacing w:line="158" w:lineRule="exact" w:before="0"/>
                      <w:ind w:left="0" w:right="-18" w:firstLine="0"/>
                      <w:jc w:val="left"/>
                      <w:rPr>
                        <w:sz w:val="16"/>
                      </w:rPr>
                    </w:pPr>
                    <w:r>
                      <w:rPr>
                        <w:w w:val="105"/>
                        <w:sz w:val="16"/>
                      </w:rPr>
                      <w:t>2.0</w:t>
                    </w:r>
                  </w:p>
                </w:txbxContent>
              </v:textbox>
              <w10:wrap type="none"/>
            </v:shape>
            <v:shape style="position:absolute;left:7257;top:4559;width:1060;height:429" type="#_x0000_t202" filled="false" stroked="false">
              <v:textbox inset="0,0,0,0">
                <w:txbxContent>
                  <w:p>
                    <w:pPr>
                      <w:spacing w:line="162" w:lineRule="exact" w:before="0"/>
                      <w:ind w:left="120" w:right="0" w:firstLine="0"/>
                      <w:jc w:val="center"/>
                      <w:rPr>
                        <w:sz w:val="16"/>
                      </w:rPr>
                    </w:pPr>
                    <w:r>
                      <w:rPr>
                        <w:w w:val="105"/>
                        <w:sz w:val="16"/>
                      </w:rPr>
                      <w:t>2.5</w:t>
                    </w:r>
                  </w:p>
                  <w:p>
                    <w:pPr>
                      <w:spacing w:line="171" w:lineRule="exact" w:before="96"/>
                      <w:ind w:left="0" w:right="0" w:firstLine="0"/>
                      <w:jc w:val="center"/>
                      <w:rPr>
                        <w:b/>
                        <w:sz w:val="15"/>
                      </w:rPr>
                    </w:pPr>
                    <w:r>
                      <w:rPr>
                        <w:b/>
                        <w:color w:val="C00000"/>
                        <w:w w:val="110"/>
                        <w:sz w:val="15"/>
                      </w:rPr>
                      <w:t>Promedio 2.9</w:t>
                    </w:r>
                  </w:p>
                </w:txbxContent>
              </v:textbox>
              <w10:wrap type="none"/>
            </v:shape>
            <v:shape style="position:absolute;left:8477;top:4559;width:236;height:159" type="#_x0000_t202" filled="false" stroked="false">
              <v:textbox inset="0,0,0,0">
                <w:txbxContent>
                  <w:p>
                    <w:pPr>
                      <w:spacing w:line="158" w:lineRule="exact" w:before="0"/>
                      <w:ind w:left="0" w:right="-18" w:firstLine="0"/>
                      <w:jc w:val="left"/>
                      <w:rPr>
                        <w:sz w:val="16"/>
                      </w:rPr>
                    </w:pPr>
                    <w:r>
                      <w:rPr>
                        <w:w w:val="105"/>
                        <w:sz w:val="16"/>
                      </w:rPr>
                      <w:t>3.0</w:t>
                    </w:r>
                  </w:p>
                </w:txbxContent>
              </v:textbox>
              <w10:wrap type="none"/>
            </v:shape>
            <v:shape style="position:absolute;left:9226;top:4559;width:236;height:159" type="#_x0000_t202" filled="false" stroked="false">
              <v:textbox inset="0,0,0,0">
                <w:txbxContent>
                  <w:p>
                    <w:pPr>
                      <w:spacing w:line="158" w:lineRule="exact" w:before="0"/>
                      <w:ind w:left="0" w:right="-18" w:firstLine="0"/>
                      <w:jc w:val="left"/>
                      <w:rPr>
                        <w:sz w:val="16"/>
                      </w:rPr>
                    </w:pPr>
                    <w:r>
                      <w:rPr>
                        <w:w w:val="105"/>
                        <w:sz w:val="16"/>
                      </w:rPr>
                      <w:t>3.5</w:t>
                    </w:r>
                  </w:p>
                </w:txbxContent>
              </v:textbox>
              <w10:wrap type="none"/>
            </v:shape>
            <v:shape style="position:absolute;left:9974;top:4559;width:236;height:159" type="#_x0000_t202" filled="false" stroked="false">
              <v:textbox inset="0,0,0,0">
                <w:txbxContent>
                  <w:p>
                    <w:pPr>
                      <w:spacing w:line="158" w:lineRule="exact" w:before="0"/>
                      <w:ind w:left="0" w:right="-18" w:firstLine="0"/>
                      <w:jc w:val="left"/>
                      <w:rPr>
                        <w:sz w:val="16"/>
                      </w:rPr>
                    </w:pPr>
                    <w:r>
                      <w:rPr>
                        <w:w w:val="105"/>
                        <w:sz w:val="16"/>
                      </w:rPr>
                      <w:t>4.0</w:t>
                    </w:r>
                  </w:p>
                </w:txbxContent>
              </v:textbox>
              <w10:wrap type="none"/>
            </v:shape>
            <v:shape style="position:absolute;left:8787;top:4840;width:1358;height:341" type="#_x0000_t202" filled="false" stroked="false">
              <v:textbox inset="0,0,0,0">
                <w:txbxContent>
                  <w:p>
                    <w:pPr>
                      <w:spacing w:line="160" w:lineRule="exact" w:before="0"/>
                      <w:ind w:left="0" w:right="0" w:firstLine="0"/>
                      <w:jc w:val="center"/>
                      <w:rPr>
                        <w:b/>
                        <w:sz w:val="15"/>
                      </w:rPr>
                    </w:pPr>
                    <w:r>
                      <w:rPr>
                        <w:b/>
                        <w:color w:val="006FC0"/>
                        <w:w w:val="110"/>
                        <w:sz w:val="15"/>
                      </w:rPr>
                      <w:t>Extramadamente</w:t>
                    </w:r>
                  </w:p>
                  <w:p>
                    <w:pPr>
                      <w:spacing w:line="171" w:lineRule="exact" w:before="10"/>
                      <w:ind w:left="0" w:right="1" w:firstLine="0"/>
                      <w:jc w:val="center"/>
                      <w:rPr>
                        <w:b/>
                        <w:sz w:val="15"/>
                      </w:rPr>
                    </w:pPr>
                    <w:r>
                      <w:rPr>
                        <w:b/>
                        <w:color w:val="006FC0"/>
                        <w:w w:val="110"/>
                        <w:sz w:val="15"/>
                      </w:rPr>
                      <w:t>corrupto</w:t>
                    </w:r>
                  </w:p>
                </w:txbxContent>
              </v:textbox>
              <w10:wrap type="none"/>
            </v:shape>
            <w10:wrap type="none"/>
          </v:group>
        </w:pict>
      </w:r>
      <w:bookmarkStart w:name="_bookmark27" w:id="38"/>
      <w:bookmarkEnd w:id="38"/>
      <w:r>
        <w:rPr/>
      </w:r>
      <w:r>
        <w:rPr>
          <w:sz w:val="20"/>
        </w:rPr>
        <w:t>Grafica 1.4. Barómetro global de la corrupción, 2010 (Puntuación promedio)</w:t>
      </w:r>
    </w:p>
    <w:p>
      <w:pPr>
        <w:pStyle w:val="BodyText"/>
        <w:rPr>
          <w:sz w:val="20"/>
        </w:rPr>
      </w:pPr>
    </w:p>
    <w:p>
      <w:pPr>
        <w:pStyle w:val="BodyText"/>
        <w:spacing w:before="8"/>
        <w:rPr>
          <w:sz w:val="26"/>
        </w:rPr>
      </w:pPr>
    </w:p>
    <w:tbl>
      <w:tblPr>
        <w:tblW w:w="0" w:type="auto"/>
        <w:jc w:val="left"/>
        <w:tblInd w:w="3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7"/>
        <w:gridCol w:w="3886"/>
        <w:gridCol w:w="132"/>
        <w:gridCol w:w="145"/>
        <w:gridCol w:w="288"/>
        <w:gridCol w:w="898"/>
        <w:gridCol w:w="314"/>
      </w:tblGrid>
      <w:tr>
        <w:trPr>
          <w:trHeight w:val="200" w:hRule="exact"/>
        </w:trPr>
        <w:tc>
          <w:tcPr>
            <w:tcW w:w="2137" w:type="dxa"/>
          </w:tcPr>
          <w:p>
            <w:pPr>
              <w:pStyle w:val="TableParagraph"/>
              <w:spacing w:before="9"/>
              <w:ind w:left="35"/>
              <w:rPr>
                <w:sz w:val="15"/>
              </w:rPr>
            </w:pPr>
            <w:r>
              <w:rPr>
                <w:w w:val="110"/>
                <w:sz w:val="15"/>
              </w:rPr>
              <w:t>Organizaciones religiosas</w:t>
            </w:r>
          </w:p>
        </w:tc>
        <w:tc>
          <w:tcPr>
            <w:tcW w:w="3886" w:type="dxa"/>
            <w:shd w:val="clear" w:color="auto" w:fill="4F81BC"/>
          </w:tcPr>
          <w:p>
            <w:pPr>
              <w:pStyle w:val="TableParagraph"/>
              <w:spacing w:before="17"/>
              <w:ind w:right="170"/>
              <w:jc w:val="right"/>
              <w:rPr>
                <w:b/>
                <w:sz w:val="15"/>
              </w:rPr>
            </w:pPr>
            <w:r>
              <w:rPr>
                <w:b/>
                <w:color w:val="FFFFFF"/>
                <w:w w:val="110"/>
                <w:sz w:val="15"/>
              </w:rPr>
              <w:t>2.6</w:t>
            </w:r>
          </w:p>
        </w:tc>
        <w:tc>
          <w:tcPr>
            <w:tcW w:w="132" w:type="dxa"/>
          </w:tcPr>
          <w:p>
            <w:pPr/>
          </w:p>
        </w:tc>
        <w:tc>
          <w:tcPr>
            <w:tcW w:w="145" w:type="dxa"/>
            <w:tcBorders>
              <w:right w:val="single" w:sz="25" w:space="0" w:color="C00000"/>
            </w:tcBorders>
          </w:tcPr>
          <w:p>
            <w:pPr/>
          </w:p>
        </w:tc>
        <w:tc>
          <w:tcPr>
            <w:tcW w:w="1500" w:type="dxa"/>
            <w:gridSpan w:val="3"/>
            <w:vMerge w:val="restart"/>
            <w:tcBorders>
              <w:left w:val="single" w:sz="25" w:space="0" w:color="C00000"/>
            </w:tcBorders>
          </w:tcPr>
          <w:p>
            <w:pPr/>
          </w:p>
        </w:tc>
      </w:tr>
      <w:tr>
        <w:trPr>
          <w:trHeight w:val="105"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1500" w:type="dxa"/>
            <w:gridSpan w:val="3"/>
            <w:vMerge/>
            <w:tcBorders>
              <w:left w:val="single" w:sz="25" w:space="0" w:color="C00000"/>
            </w:tcBorders>
          </w:tcPr>
          <w:p>
            <w:pPr/>
          </w:p>
        </w:tc>
      </w:tr>
      <w:tr>
        <w:trPr>
          <w:trHeight w:val="200" w:hRule="exact"/>
        </w:trPr>
        <w:tc>
          <w:tcPr>
            <w:tcW w:w="2137" w:type="dxa"/>
          </w:tcPr>
          <w:p>
            <w:pPr>
              <w:pStyle w:val="TableParagraph"/>
              <w:spacing w:before="10"/>
              <w:ind w:right="164"/>
              <w:jc w:val="right"/>
              <w:rPr>
                <w:sz w:val="15"/>
              </w:rPr>
            </w:pPr>
            <w:r>
              <w:rPr>
                <w:w w:val="110"/>
                <w:sz w:val="15"/>
              </w:rPr>
              <w:t>ONG</w:t>
            </w:r>
          </w:p>
        </w:tc>
        <w:tc>
          <w:tcPr>
            <w:tcW w:w="3886" w:type="dxa"/>
            <w:shd w:val="clear" w:color="auto" w:fill="4F81BC"/>
          </w:tcPr>
          <w:p>
            <w:pPr>
              <w:pStyle w:val="TableParagraph"/>
              <w:spacing w:before="18"/>
              <w:ind w:right="20"/>
              <w:jc w:val="right"/>
              <w:rPr>
                <w:b/>
                <w:sz w:val="15"/>
              </w:rPr>
            </w:pPr>
            <w:r>
              <w:rPr>
                <w:b/>
                <w:color w:val="FFFFFF"/>
                <w:w w:val="110"/>
                <w:sz w:val="15"/>
              </w:rPr>
              <w:t>2.7</w:t>
            </w:r>
          </w:p>
        </w:tc>
        <w:tc>
          <w:tcPr>
            <w:tcW w:w="132" w:type="dxa"/>
            <w:shd w:val="clear" w:color="auto" w:fill="4F81BC"/>
          </w:tcPr>
          <w:p>
            <w:pPr/>
          </w:p>
        </w:tc>
        <w:tc>
          <w:tcPr>
            <w:tcW w:w="145" w:type="dxa"/>
            <w:tcBorders>
              <w:right w:val="single" w:sz="25" w:space="0" w:color="C00000"/>
            </w:tcBorders>
          </w:tcPr>
          <w:p>
            <w:pPr/>
          </w:p>
        </w:tc>
        <w:tc>
          <w:tcPr>
            <w:tcW w:w="1500" w:type="dxa"/>
            <w:gridSpan w:val="3"/>
            <w:vMerge/>
            <w:tcBorders>
              <w:left w:val="single" w:sz="25" w:space="0" w:color="C00000"/>
            </w:tcBorders>
          </w:tcPr>
          <w:p>
            <w:pPr/>
          </w:p>
        </w:tc>
      </w:tr>
      <w:tr>
        <w:trPr>
          <w:trHeight w:val="107"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1500" w:type="dxa"/>
            <w:gridSpan w:val="3"/>
            <w:vMerge/>
            <w:tcBorders>
              <w:left w:val="single" w:sz="25" w:space="0" w:color="C00000"/>
            </w:tcBorders>
          </w:tcPr>
          <w:p>
            <w:pPr/>
          </w:p>
        </w:tc>
      </w:tr>
      <w:tr>
        <w:trPr>
          <w:trHeight w:val="200" w:hRule="exact"/>
        </w:trPr>
        <w:tc>
          <w:tcPr>
            <w:tcW w:w="2137" w:type="dxa"/>
          </w:tcPr>
          <w:p>
            <w:pPr>
              <w:pStyle w:val="TableParagraph"/>
              <w:spacing w:before="9"/>
              <w:ind w:right="165"/>
              <w:jc w:val="right"/>
              <w:rPr>
                <w:sz w:val="15"/>
              </w:rPr>
            </w:pPr>
            <w:r>
              <w:rPr>
                <w:w w:val="110"/>
                <w:sz w:val="15"/>
              </w:rPr>
              <w:t>Milicia</w:t>
            </w:r>
          </w:p>
        </w:tc>
        <w:tc>
          <w:tcPr>
            <w:tcW w:w="3886" w:type="dxa"/>
            <w:shd w:val="clear" w:color="auto" w:fill="4F81BC"/>
          </w:tcPr>
          <w:p>
            <w:pPr>
              <w:pStyle w:val="TableParagraph"/>
              <w:spacing w:before="17"/>
              <w:jc w:val="right"/>
              <w:rPr>
                <w:b/>
                <w:sz w:val="15"/>
              </w:rPr>
            </w:pPr>
            <w:r>
              <w:rPr>
                <w:b/>
                <w:color w:val="FFFFFF"/>
                <w:w w:val="110"/>
                <w:sz w:val="15"/>
              </w:rPr>
              <w:t>2.8</w:t>
            </w:r>
          </w:p>
        </w:tc>
        <w:tc>
          <w:tcPr>
            <w:tcW w:w="132" w:type="dxa"/>
            <w:shd w:val="clear" w:color="auto" w:fill="4F81BC"/>
          </w:tcPr>
          <w:p>
            <w:pPr/>
          </w:p>
        </w:tc>
        <w:tc>
          <w:tcPr>
            <w:tcW w:w="145" w:type="dxa"/>
            <w:tcBorders>
              <w:right w:val="single" w:sz="25" w:space="0" w:color="C00000"/>
            </w:tcBorders>
            <w:shd w:val="clear" w:color="auto" w:fill="4F81BC"/>
          </w:tcPr>
          <w:p>
            <w:pPr/>
          </w:p>
        </w:tc>
        <w:tc>
          <w:tcPr>
            <w:tcW w:w="1500" w:type="dxa"/>
            <w:gridSpan w:val="3"/>
            <w:vMerge/>
            <w:tcBorders>
              <w:left w:val="single" w:sz="25" w:space="0" w:color="C00000"/>
            </w:tcBorders>
          </w:tcPr>
          <w:p>
            <w:pPr/>
          </w:p>
        </w:tc>
      </w:tr>
      <w:tr>
        <w:trPr>
          <w:trHeight w:val="105"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0"/>
              <w:ind w:left="589"/>
              <w:rPr>
                <w:sz w:val="15"/>
              </w:rPr>
            </w:pPr>
            <w:r>
              <w:rPr>
                <w:w w:val="110"/>
                <w:sz w:val="15"/>
              </w:rPr>
              <w:t>Sistema educativo</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Style w:val="TableParagraph"/>
              <w:spacing w:before="34"/>
              <w:ind w:left="4"/>
              <w:rPr>
                <w:b/>
                <w:sz w:val="15"/>
              </w:rPr>
            </w:pPr>
            <w:r>
              <w:rPr>
                <w:b/>
                <w:color w:val="FFFFFF"/>
                <w:w w:val="110"/>
                <w:sz w:val="15"/>
              </w:rPr>
              <w:t>3.0</w:t>
            </w:r>
          </w:p>
        </w:tc>
        <w:tc>
          <w:tcPr>
            <w:tcW w:w="898" w:type="dxa"/>
          </w:tcPr>
          <w:p>
            <w:pPr/>
          </w:p>
        </w:tc>
        <w:tc>
          <w:tcPr>
            <w:tcW w:w="314" w:type="dxa"/>
          </w:tcPr>
          <w:p>
            <w:pPr/>
          </w:p>
        </w:tc>
      </w:tr>
      <w:tr>
        <w:trPr>
          <w:trHeight w:val="107"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9"/>
              <w:ind w:left="62"/>
              <w:rPr>
                <w:sz w:val="15"/>
              </w:rPr>
            </w:pPr>
            <w:r>
              <w:rPr>
                <w:w w:val="110"/>
                <w:sz w:val="15"/>
              </w:rPr>
              <w:t>Negocios/ sector privado</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tcPr>
          <w:p>
            <w:pPr>
              <w:pStyle w:val="TableParagraph"/>
              <w:spacing w:before="17"/>
              <w:rPr>
                <w:b/>
                <w:sz w:val="15"/>
              </w:rPr>
            </w:pPr>
            <w:r>
              <w:rPr>
                <w:b/>
                <w:color w:val="FFFFFF"/>
                <w:w w:val="110"/>
                <w:sz w:val="15"/>
              </w:rPr>
              <w:t>3.2</w:t>
            </w:r>
          </w:p>
        </w:tc>
        <w:tc>
          <w:tcPr>
            <w:tcW w:w="314" w:type="dxa"/>
          </w:tcPr>
          <w:p>
            <w:pPr/>
          </w:p>
        </w:tc>
      </w:tr>
      <w:tr>
        <w:trPr>
          <w:trHeight w:val="105"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0"/>
              <w:ind w:left="796"/>
              <w:rPr>
                <w:sz w:val="15"/>
              </w:rPr>
            </w:pPr>
            <w:r>
              <w:rPr>
                <w:w w:val="110"/>
                <w:sz w:val="15"/>
              </w:rPr>
              <w:t>Sistema judicial</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tcPr>
          <w:p>
            <w:pPr>
              <w:pStyle w:val="TableParagraph"/>
              <w:spacing w:before="18"/>
              <w:ind w:left="204"/>
              <w:rPr>
                <w:b/>
                <w:sz w:val="15"/>
              </w:rPr>
            </w:pPr>
            <w:r>
              <w:rPr>
                <w:b/>
                <w:color w:val="FFFFFF"/>
                <w:w w:val="110"/>
                <w:sz w:val="15"/>
              </w:rPr>
              <w:t>3.3</w:t>
            </w:r>
          </w:p>
        </w:tc>
        <w:tc>
          <w:tcPr>
            <w:tcW w:w="314" w:type="dxa"/>
          </w:tcPr>
          <w:p>
            <w:pPr/>
          </w:p>
        </w:tc>
      </w:tr>
      <w:tr>
        <w:trPr>
          <w:trHeight w:val="107"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198" w:hRule="exact"/>
        </w:trPr>
        <w:tc>
          <w:tcPr>
            <w:tcW w:w="2137" w:type="dxa"/>
          </w:tcPr>
          <w:p>
            <w:pPr>
              <w:pStyle w:val="TableParagraph"/>
              <w:spacing w:before="9"/>
              <w:ind w:left="955"/>
              <w:rPr>
                <w:sz w:val="15"/>
              </w:rPr>
            </w:pPr>
            <w:r>
              <w:rPr>
                <w:w w:val="110"/>
                <w:sz w:val="15"/>
              </w:rPr>
              <w:t>Funcionarios/…</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Style w:val="TableParagraph"/>
              <w:spacing w:before="17"/>
              <w:ind w:left="412"/>
              <w:rPr>
                <w:b/>
                <w:sz w:val="15"/>
              </w:rPr>
            </w:pPr>
            <w:r>
              <w:rPr>
                <w:b/>
                <w:color w:val="FFFFFF"/>
                <w:w w:val="110"/>
                <w:sz w:val="15"/>
              </w:rPr>
              <w:t>3.5</w:t>
            </w:r>
          </w:p>
        </w:tc>
        <w:tc>
          <w:tcPr>
            <w:tcW w:w="314" w:type="dxa"/>
          </w:tcPr>
          <w:p>
            <w:pPr/>
          </w:p>
        </w:tc>
      </w:tr>
      <w:tr>
        <w:trPr>
          <w:trHeight w:val="107"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
              <w:ind w:right="164"/>
              <w:jc w:val="right"/>
              <w:rPr>
                <w:sz w:val="16"/>
              </w:rPr>
            </w:pPr>
            <w:r>
              <w:rPr>
                <w:w w:val="105"/>
                <w:sz w:val="16"/>
              </w:rPr>
              <w:t>Policía</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Style w:val="TableParagraph"/>
              <w:spacing w:before="18"/>
              <w:ind w:right="82"/>
              <w:jc w:val="right"/>
              <w:rPr>
                <w:b/>
                <w:sz w:val="15"/>
              </w:rPr>
            </w:pPr>
            <w:r>
              <w:rPr>
                <w:b/>
                <w:color w:val="FFFFFF"/>
                <w:w w:val="110"/>
                <w:sz w:val="15"/>
              </w:rPr>
              <w:t>3.6</w:t>
            </w:r>
          </w:p>
        </w:tc>
        <w:tc>
          <w:tcPr>
            <w:tcW w:w="314" w:type="dxa"/>
          </w:tcPr>
          <w:p>
            <w:pPr/>
          </w:p>
        </w:tc>
      </w:tr>
      <w:tr>
        <w:trPr>
          <w:trHeight w:val="105"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00" w:hRule="exact"/>
        </w:trPr>
        <w:tc>
          <w:tcPr>
            <w:tcW w:w="2137" w:type="dxa"/>
          </w:tcPr>
          <w:p>
            <w:pPr>
              <w:pStyle w:val="TableParagraph"/>
              <w:spacing w:before="11"/>
              <w:ind w:left="316"/>
              <w:rPr>
                <w:sz w:val="15"/>
              </w:rPr>
            </w:pPr>
            <w:r>
              <w:rPr>
                <w:w w:val="110"/>
                <w:sz w:val="15"/>
              </w:rPr>
              <w:t>Congreso/ Legislatura</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Style w:val="TableParagraph"/>
              <w:spacing w:before="18"/>
              <w:ind w:right="100"/>
              <w:jc w:val="right"/>
              <w:rPr>
                <w:b/>
                <w:sz w:val="15"/>
              </w:rPr>
            </w:pPr>
            <w:r>
              <w:rPr>
                <w:b/>
                <w:color w:val="FFFFFF"/>
                <w:w w:val="110"/>
                <w:sz w:val="15"/>
              </w:rPr>
              <w:t>3.6</w:t>
            </w:r>
          </w:p>
        </w:tc>
        <w:tc>
          <w:tcPr>
            <w:tcW w:w="314" w:type="dxa"/>
          </w:tcPr>
          <w:p>
            <w:pPr/>
          </w:p>
        </w:tc>
      </w:tr>
      <w:tr>
        <w:trPr>
          <w:trHeight w:val="107" w:hRule="exact"/>
        </w:trPr>
        <w:tc>
          <w:tcPr>
            <w:tcW w:w="2137" w:type="dxa"/>
          </w:tcPr>
          <w:p>
            <w:pPr/>
          </w:p>
        </w:tc>
        <w:tc>
          <w:tcPr>
            <w:tcW w:w="3886" w:type="dxa"/>
          </w:tcPr>
          <w:p>
            <w:pPr/>
          </w:p>
        </w:tc>
        <w:tc>
          <w:tcPr>
            <w:tcW w:w="132" w:type="dxa"/>
          </w:tcPr>
          <w:p>
            <w:pPr/>
          </w:p>
        </w:tc>
        <w:tc>
          <w:tcPr>
            <w:tcW w:w="145" w:type="dxa"/>
            <w:tcBorders>
              <w:right w:val="single" w:sz="25" w:space="0" w:color="C00000"/>
            </w:tcBorders>
          </w:tcPr>
          <w:p>
            <w:pPr/>
          </w:p>
        </w:tc>
        <w:tc>
          <w:tcPr>
            <w:tcW w:w="288" w:type="dxa"/>
            <w:tcBorders>
              <w:left w:val="single" w:sz="25" w:space="0" w:color="C00000"/>
            </w:tcBorders>
          </w:tcPr>
          <w:p>
            <w:pPr/>
          </w:p>
        </w:tc>
        <w:tc>
          <w:tcPr>
            <w:tcW w:w="898" w:type="dxa"/>
          </w:tcPr>
          <w:p>
            <w:pPr/>
          </w:p>
        </w:tc>
        <w:tc>
          <w:tcPr>
            <w:tcW w:w="314" w:type="dxa"/>
          </w:tcPr>
          <w:p>
            <w:pPr/>
          </w:p>
        </w:tc>
      </w:tr>
      <w:tr>
        <w:trPr>
          <w:trHeight w:val="229" w:hRule="exact"/>
        </w:trPr>
        <w:tc>
          <w:tcPr>
            <w:tcW w:w="2137" w:type="dxa"/>
          </w:tcPr>
          <w:p>
            <w:pPr>
              <w:pStyle w:val="TableParagraph"/>
              <w:spacing w:before="1"/>
              <w:ind w:left="683"/>
              <w:rPr>
                <w:sz w:val="16"/>
              </w:rPr>
            </w:pPr>
            <w:r>
              <w:rPr>
                <w:w w:val="105"/>
                <w:sz w:val="16"/>
              </w:rPr>
              <w:t>Partidos políticos</w:t>
            </w:r>
          </w:p>
        </w:tc>
        <w:tc>
          <w:tcPr>
            <w:tcW w:w="3886" w:type="dxa"/>
            <w:shd w:val="clear" w:color="auto" w:fill="4F81BC"/>
          </w:tcPr>
          <w:p>
            <w:pPr/>
          </w:p>
        </w:tc>
        <w:tc>
          <w:tcPr>
            <w:tcW w:w="132" w:type="dxa"/>
            <w:shd w:val="clear" w:color="auto" w:fill="4F81BC"/>
          </w:tcPr>
          <w:p>
            <w:pPr/>
          </w:p>
        </w:tc>
        <w:tc>
          <w:tcPr>
            <w:tcW w:w="145" w:type="dxa"/>
            <w:tcBorders>
              <w:right w:val="single" w:sz="25" w:space="0" w:color="C00000"/>
            </w:tcBorders>
            <w:shd w:val="clear" w:color="auto" w:fill="4F81BC"/>
          </w:tcPr>
          <w:p>
            <w:pPr/>
          </w:p>
        </w:tc>
        <w:tc>
          <w:tcPr>
            <w:tcW w:w="288" w:type="dxa"/>
            <w:tcBorders>
              <w:left w:val="single" w:sz="25" w:space="0" w:color="C00000"/>
            </w:tcBorders>
            <w:shd w:val="clear" w:color="auto" w:fill="4F81BC"/>
          </w:tcPr>
          <w:p>
            <w:pPr/>
          </w:p>
        </w:tc>
        <w:tc>
          <w:tcPr>
            <w:tcW w:w="898" w:type="dxa"/>
            <w:shd w:val="clear" w:color="auto" w:fill="4F81BC"/>
          </w:tcPr>
          <w:p>
            <w:pPr/>
          </w:p>
        </w:tc>
        <w:tc>
          <w:tcPr>
            <w:tcW w:w="314" w:type="dxa"/>
            <w:shd w:val="clear" w:color="auto" w:fill="4F81BC"/>
          </w:tcPr>
          <w:p>
            <w:pPr>
              <w:pStyle w:val="TableParagraph"/>
              <w:spacing w:before="18"/>
              <w:rPr>
                <w:b/>
                <w:sz w:val="15"/>
              </w:rPr>
            </w:pPr>
            <w:r>
              <w:rPr>
                <w:b/>
                <w:color w:val="FFFFFF"/>
                <w:w w:val="110"/>
                <w:sz w:val="15"/>
              </w:rPr>
              <w:t>3.8</w:t>
            </w:r>
          </w:p>
        </w:tc>
      </w:tr>
    </w:tbl>
    <w:p>
      <w:pPr>
        <w:pStyle w:val="BodyText"/>
        <w:rPr>
          <w:sz w:val="20"/>
        </w:rPr>
      </w:pPr>
    </w:p>
    <w:p>
      <w:pPr>
        <w:pStyle w:val="BodyText"/>
        <w:rPr>
          <w:sz w:val="20"/>
        </w:rPr>
      </w:pPr>
    </w:p>
    <w:p>
      <w:pPr>
        <w:pStyle w:val="BodyText"/>
        <w:rPr>
          <w:sz w:val="20"/>
        </w:rPr>
      </w:pPr>
    </w:p>
    <w:p>
      <w:pPr>
        <w:pStyle w:val="BodyText"/>
        <w:rPr>
          <w:sz w:val="26"/>
        </w:rPr>
      </w:pPr>
    </w:p>
    <w:p>
      <w:pPr>
        <w:spacing w:line="259" w:lineRule="auto" w:before="0"/>
        <w:ind w:left="810" w:right="3954" w:hanging="708"/>
        <w:jc w:val="left"/>
        <w:rPr>
          <w:sz w:val="12"/>
        </w:rPr>
      </w:pPr>
      <w:r>
        <w:rPr>
          <w:sz w:val="12"/>
        </w:rPr>
        <w:t>FUENTE: Transparency International, The Global Corruption Barometer 2010, data </w:t>
      </w:r>
      <w:r>
        <w:rPr>
          <w:i/>
          <w:sz w:val="12"/>
        </w:rPr>
        <w:t>set </w:t>
      </w:r>
      <w:r>
        <w:rPr>
          <w:sz w:val="12"/>
        </w:rPr>
        <w:t>Disponible en: </w:t>
      </w:r>
      <w:hyperlink r:id="rId69">
        <w:r>
          <w:rPr>
            <w:sz w:val="12"/>
          </w:rPr>
          <w:t>http://www.transparency.org/policy_research/surveys_indices/gcb</w:t>
        </w:r>
      </w:hyperlink>
      <w:r>
        <w:rPr>
          <w:sz w:val="12"/>
        </w:rPr>
        <w:t> [Fecha de consulta: 15de junio, 2015]</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0" w:lineRule="auto" w:before="101"/>
        <w:ind w:left="102" w:right="116" w:firstLine="427"/>
        <w:jc w:val="both"/>
      </w:pPr>
      <w:r>
        <w:rPr/>
        <w:t>De las 7 variables que presentan valores por arriba del promedio, se describen 6 (se excluye el sistema educativo). La encuesta indica que en 4 de las 6 variables México presentó los mayores índices de percepción de la corrupción con respecto de los 5 países de estudio.</w:t>
      </w:r>
    </w:p>
    <w:p>
      <w:pPr>
        <w:spacing w:line="446" w:lineRule="auto" w:before="4"/>
        <w:ind w:left="2075" w:right="2098" w:firstLine="0"/>
        <w:jc w:val="center"/>
        <w:rPr>
          <w:sz w:val="20"/>
        </w:rPr>
      </w:pPr>
      <w:bookmarkStart w:name="_bookmark28" w:id="39"/>
      <w:bookmarkEnd w:id="39"/>
      <w:r>
        <w:rPr/>
      </w:r>
      <w:r>
        <w:rPr>
          <w:sz w:val="20"/>
        </w:rPr>
        <w:t>Esquema 1.3. Barómetro global de la corrupción, 2010 (Partidos políticos y Congreso)</w:t>
      </w:r>
    </w:p>
    <w:p>
      <w:pPr>
        <w:pStyle w:val="BodyText"/>
        <w:spacing w:before="3"/>
      </w:pPr>
      <w:r>
        <w:rPr/>
        <w:pict>
          <v:group style="position:absolute;margin-left:97.919998pt;margin-top:15.923049pt;width:413.4pt;height:150pt;mso-position-horizontal-relative:page;mso-position-vertical-relative:paragraph;z-index:4336;mso-wrap-distance-left:0;mso-wrap-distance-right:0" coordorigin="1958,318" coordsize="8268,3000">
            <v:shape style="position:absolute;left:1958;top:318;width:8268;height:3000" type="#_x0000_t75" stroked="false">
              <v:imagedata r:id="rId70" o:title=""/>
            </v:shape>
            <v:rect style="position:absolute;left:2086;top:350;width:8100;height:2878" filled="true" fillcolor="#edebe0" stroked="false">
              <v:fill type="solid"/>
            </v:rect>
            <v:shape style="position:absolute;left:2101;top:1078;width:7837;height:549" coordorigin="2101,1078" coordsize="7837,549" path="m2101,1586l2203,1589,2305,1592,2407,1595,2508,1598,2610,1601,2712,1604,2813,1607,2914,1610,3016,1612,3117,1615,3218,1617,3318,1619,3419,1621,3519,1623,3619,1624,3719,1625,3818,1626,3917,1627,4016,1627,4065,1627,4114,1627,4212,1626,4310,1626,4407,1624,4504,1623,4601,1621,4697,1619,4792,1616,4887,1613,4982,1609,5076,1605,5169,1600,5262,1594,5355,1589,5451,1582,5552,1574,5653,1564,5755,1554,5856,1542,5957,1529,6059,1516,6159,1502,6260,1487,6360,1472,6460,1456,6560,1440,6658,1423,6756,1406,6854,1389,6950,1372,7046,1354,7141,1337,7234,1320,7281,1312,7373,1295,7464,1279,7553,1263,7641,1247,7728,1232,7813,1218,7896,1205,7978,1192,8058,1181,8137,1170,8213,1161,8833,1108,9378,1085,9780,1078,9938,1078e" filled="false" stroked="true" strokeweight="13.154578pt" strokecolor="#385d89">
              <v:path arrowok="t"/>
            </v:shape>
            <v:shape style="position:absolute;left:2103;top:2467;width:7837;height:550" coordorigin="2103,2467" coordsize="7837,550" path="m2103,2976l2204,2979,2306,2982,2408,2985,2510,2988,2612,2991,2713,2994,2815,2997,2916,3000,3017,3002,3118,3005,3219,3007,3320,3009,3420,3011,3520,3013,3620,3014,3720,3015,3819,3016,3919,3017,4017,3017,4067,3017,4116,3017,4214,3016,4312,3016,4409,3014,4506,3013,4602,3011,4698,3009,4794,3006,4889,3003,4983,2999,5077,2995,5171,2990,5264,2984,5356,2979,5453,2972,5554,2964,5655,2954,5756,2943,5858,2932,5959,2919,6060,2906,6161,2892,6262,2877,6362,2862,6462,2846,6561,2829,6660,2813,6758,2796,6855,2779,6952,2761,7048,2744,7142,2727,7236,2710,7282,2701,7374,2684,7465,2668,7555,2652,7643,2637,7729,2622,7814,2608,7898,2594,7980,2582,8060,2570,8138,2560,8214,2550,8834,2498,9379,2475,9782,2467,9939,2467e" filled="false" stroked="true" strokeweight="13.15474pt" strokecolor="#385d89">
              <v:path arrowok="t"/>
            </v:shape>
            <v:shape style="position:absolute;left:7561;top:681;width:420;height:397" coordorigin="7561,681" coordsize="420,397" path="m7875,793l7666,793,7666,1078,7875,1078,7875,793xm7770,681l7561,793,7980,793,7770,681xe" filled="true" fillcolor="#c00000" stroked="false">
              <v:path arrowok="t"/>
              <v:fill type="solid"/>
            </v:shape>
            <v:shape style="position:absolute;left:7531;top:672;width:480;height:413" coordorigin="7531,672" coordsize="480,413" path="m7653,793l7653,1084,7888,1084,7888,1078,7678,1078,7666,1071,7678,1071,7678,799,7666,799,7653,793xm7678,1071l7666,1071,7678,1078,7678,1071xm7863,1071l7678,1071,7678,1078,7863,1078,7863,1071xm7950,786l7863,786,7863,1078,7875,1071,7888,1071,7888,799,7875,799,7888,793,7962,793,7950,786xm7888,1071l7875,1071,7863,1078,7888,1078,7888,1071xm7770,672l7531,799,7653,799,7653,797,7570,797,7561,786,7591,786,7770,691,7762,686,7797,686,7770,672xm7678,793l7653,793,7666,799,7678,799,7678,793xm7888,793l7875,799,7888,799,7888,793xm7962,793l7888,793,7888,799,8010,799,8007,797,7971,797,7962,793xm7591,786l7561,786,7570,797,7591,786xm7678,786l7591,786,7570,797,7653,797,7653,793,7678,793,7678,786xm7797,686l7779,686,7770,691,7971,797,7980,786,7985,786,7797,686xm7985,786l7980,786,7971,797,8007,797,7985,786xm7779,686l7762,686,7770,691,7779,686xe" filled="true" fillcolor="#c00000" stroked="false">
              <v:path arrowok="t"/>
              <v:fill type="solid"/>
            </v:shape>
            <v:shape style="position:absolute;left:7570;top:1399;width:421;height:397" coordorigin="7570,1399" coordsize="421,397" path="m7990,1684l7570,1684,7780,1796,7990,1684xm7885,1399l7675,1399,7675,1684,7885,1684,7885,1399xe" filled="true" fillcolor="#001f5f" stroked="false">
              <v:path arrowok="t"/>
              <v:fill type="solid"/>
            </v:shape>
            <v:shape style="position:absolute;left:7539;top:1393;width:482;height:413" coordorigin="7539,1393" coordsize="482,413" path="m7662,1678l7539,1678,7780,1805,7807,1791,7771,1791,7780,1786,7600,1691,7570,1691,7579,1679,7662,1679,7662,1678xm7780,1786l7771,1791,7789,1791,7780,1786xm7981,1679l7780,1786,7789,1791,7807,1791,7996,1691,7990,1691,7981,1679xm7579,1679l7570,1691,7600,1691,7579,1679xm7662,1679l7579,1679,7600,1691,7688,1691,7688,1684,7662,1684,7662,1679xm7873,1399l7873,1691,7960,1691,7973,1684,7898,1684,7885,1678,7898,1678,7898,1406,7885,1406,7873,1399xm8017,1679l7981,1679,7990,1691,7996,1691,8017,1679xm7898,1393l7662,1393,7662,1684,7675,1678,7688,1678,7688,1406,7675,1406,7688,1399,7898,1399,7898,1393xm7688,1678l7675,1678,7662,1684,7688,1684,7688,1678xm7898,1678l7885,1678,7898,1684,7898,1678xm8021,1678l7898,1678,7898,1684,7973,1684,7981,1679,8017,1679,8021,1678xm7688,1399l7675,1406,7688,1406,7688,1399xm7873,1399l7688,1399,7688,1406,7873,1406,7873,1399xm7898,1399l7873,1399,7885,1406,7898,1406,7898,1399xe" filled="true" fillcolor="#001f5f" stroked="false">
              <v:path arrowok="t"/>
              <v:fill type="solid"/>
            </v:shape>
            <v:shape style="position:absolute;left:7696;top:2742;width:421;height:396" coordorigin="7696,2742" coordsize="421,396" path="m8116,3026l7696,3026,7906,3138,8116,3026xm8011,2742l7801,2742,7801,3026,8011,3026,8011,2742xe" filled="true" fillcolor="#001f5f" stroked="false">
              <v:path arrowok="t"/>
              <v:fill type="solid"/>
            </v:shape>
            <v:shape style="position:absolute;left:7665;top:2736;width:482;height:412" coordorigin="7665,2736" coordsize="482,412" path="m7788,3020l7665,3020,7906,3147,7933,3133,7897,3133,7906,3129,7726,3033,7696,3033,7705,3022,7788,3022,7788,3020xm7906,3129l7897,3133,7915,3133,7906,3129xm8107,3022l7906,3129,7915,3133,7933,3133,8121,3033,8116,3033,8107,3022xm7705,3022l7696,3033,7726,3033,7705,3022xm7788,3022l7705,3022,7726,3033,7813,3033,7813,3026,7788,3026,7788,3022xm7998,2742l7998,3033,8086,3033,8098,3026,8024,3026,8011,3020,8024,3020,8024,2749,8011,2749,7998,2742xm8143,3022l8107,3022,8116,3033,8121,3033,8143,3022xm8024,2736l7788,2736,7788,3026,7801,3020,7813,3020,7813,2749,7801,2749,7813,2742,8024,2742,8024,2736xm7813,3020l7801,3020,7788,3026,7813,3026,7813,3020xm8024,3020l8011,3020,8024,3026,8024,3020xm8147,3020l8024,3020,8024,3026,8098,3026,8107,3022,8143,3022,8147,3020xm7813,2742l7801,2749,7813,2749,7813,2742xm7998,2742l7813,2742,7813,2749,7998,2749,7998,2742xm8024,2742l7998,2742,8011,2749,8024,2749,8024,2742xe" filled="true" fillcolor="#001f5f" stroked="false">
              <v:path arrowok="t"/>
              <v:fill type="solid"/>
            </v:shape>
            <v:shape style="position:absolute;left:7693;top:2071;width:420;height:396" coordorigin="7693,2071" coordsize="420,396" path="m8007,2183l7797,2183,7797,2467,8007,2467,8007,2183xm7902,2071l7693,2183,8112,2183,7902,2071xe" filled="true" fillcolor="#c00000" stroked="false">
              <v:path arrowok="t"/>
              <v:fill type="solid"/>
            </v:shape>
            <v:shape style="position:absolute;left:7662;top:2062;width:480;height:412" coordorigin="7662,2062" coordsize="480,412" path="m7785,2183l7785,2474,8020,2474,8020,2467,7810,2467,7797,2460,7810,2460,7810,2189,7797,2189,7785,2183xm7810,2460l7797,2460,7810,2467,7810,2460xm7994,2460l7810,2460,7810,2467,7994,2467,7994,2460xm8081,2176l7994,2176,7994,2467,8007,2460,8020,2460,8020,2189,8007,2189,8020,2183,8094,2183,8081,2176xm8020,2460l8007,2460,7994,2467,8020,2467,8020,2460xm7902,2062l7662,2189,7785,2189,7785,2187,7702,2187,7693,2176,7723,2176,7902,2081,7893,2076,7929,2076,7902,2062xm7810,2183l7785,2183,7797,2189,7810,2189,7810,2183xm8020,2183l8007,2189,8020,2189,8020,2183xm8094,2183l8020,2183,8020,2189,8142,2189,8139,2187,8103,2187,8094,2183xm7723,2176l7693,2176,7702,2187,7723,2176xm7810,2176l7723,2176,7702,2187,7785,2187,7785,2183,7810,2183,7810,2176xm7929,2076l7911,2076,7902,2081,8103,2187,8112,2176,8117,2176,7929,2076xm8117,2176l8112,2176,8103,2187,8139,2187,8117,2176xm7911,2076l7893,2076,7902,2081,7911,2076xe" filled="true" fillcolor="#c00000" stroked="false">
              <v:path arrowok="t"/>
              <v:fill type="solid"/>
            </v:shape>
            <v:shape style="position:absolute;left:8564;top:399;width:1183;height:483" type="#_x0000_t202" filled="false" stroked="false">
              <v:textbox inset="0,0,0,0">
                <w:txbxContent>
                  <w:p>
                    <w:pPr>
                      <w:tabs>
                        <w:tab w:pos="890" w:val="left" w:leader="none"/>
                      </w:tabs>
                      <w:spacing w:line="106" w:lineRule="exact" w:before="0"/>
                      <w:ind w:left="0" w:right="0" w:firstLine="0"/>
                      <w:jc w:val="left"/>
                      <w:rPr>
                        <w:b/>
                        <w:sz w:val="10"/>
                      </w:rPr>
                    </w:pPr>
                    <w:r>
                      <w:rPr>
                        <w:b/>
                        <w:color w:val="C00000"/>
                        <w:w w:val="195"/>
                        <w:sz w:val="10"/>
                      </w:rPr>
                      <w:t>México</w:t>
                      <w:tab/>
                      <w:t>4.4</w:t>
                    </w:r>
                  </w:p>
                  <w:p>
                    <w:pPr>
                      <w:tabs>
                        <w:tab w:pos="866" w:val="left" w:leader="none"/>
                      </w:tabs>
                      <w:spacing w:before="11"/>
                      <w:ind w:left="0" w:right="0" w:firstLine="0"/>
                      <w:jc w:val="left"/>
                      <w:rPr>
                        <w:b/>
                        <w:sz w:val="10"/>
                      </w:rPr>
                    </w:pPr>
                    <w:r>
                      <w:rPr>
                        <w:b/>
                        <w:color w:val="C00000"/>
                        <w:w w:val="195"/>
                        <w:sz w:val="10"/>
                      </w:rPr>
                      <w:t>España</w:t>
                      <w:tab/>
                      <w:t>4.4</w:t>
                    </w:r>
                  </w:p>
                  <w:p>
                    <w:pPr>
                      <w:tabs>
                        <w:tab w:pos="908" w:val="left" w:leader="none"/>
                      </w:tabs>
                      <w:spacing w:before="11"/>
                      <w:ind w:left="0" w:right="0" w:firstLine="0"/>
                      <w:jc w:val="left"/>
                      <w:rPr>
                        <w:b/>
                        <w:sz w:val="10"/>
                      </w:rPr>
                    </w:pPr>
                    <w:r>
                      <w:rPr>
                        <w:b/>
                        <w:color w:val="C00000"/>
                        <w:w w:val="195"/>
                        <w:sz w:val="10"/>
                      </w:rPr>
                      <w:t>EUA</w:t>
                      <w:tab/>
                      <w:t>4.3</w:t>
                    </w:r>
                  </w:p>
                  <w:p>
                    <w:pPr>
                      <w:spacing w:line="114" w:lineRule="exact" w:before="11"/>
                      <w:ind w:left="0" w:right="0" w:firstLine="0"/>
                      <w:jc w:val="left"/>
                      <w:rPr>
                        <w:b/>
                        <w:sz w:val="10"/>
                      </w:rPr>
                    </w:pPr>
                    <w:r>
                      <w:rPr>
                        <w:b/>
                        <w:color w:val="C00000"/>
                        <w:w w:val="195"/>
                        <w:sz w:val="10"/>
                      </w:rPr>
                      <w:t>R. Unido 4.0</w:t>
                    </w:r>
                  </w:p>
                </w:txbxContent>
              </v:textbox>
              <w10:wrap type="none"/>
            </v:shape>
            <v:shape style="position:absolute;left:5880;top:872;width:1587;height:231" type="#_x0000_t202" filled="false" stroked="false">
              <v:textbox inset="0,0,0,0">
                <w:txbxContent>
                  <w:p>
                    <w:pPr>
                      <w:spacing w:line="106" w:lineRule="exact" w:before="0"/>
                      <w:ind w:left="0" w:right="0" w:firstLine="0"/>
                      <w:jc w:val="center"/>
                      <w:rPr>
                        <w:b/>
                        <w:sz w:val="10"/>
                      </w:rPr>
                    </w:pPr>
                    <w:r>
                      <w:rPr>
                        <w:b/>
                        <w:color w:val="C00000"/>
                        <w:w w:val="195"/>
                        <w:sz w:val="10"/>
                      </w:rPr>
                      <w:t>Extremadamente</w:t>
                    </w:r>
                  </w:p>
                  <w:p>
                    <w:pPr>
                      <w:spacing w:line="114" w:lineRule="exact" w:before="11"/>
                      <w:ind w:left="0" w:right="0" w:firstLine="0"/>
                      <w:jc w:val="center"/>
                      <w:rPr>
                        <w:b/>
                        <w:sz w:val="10"/>
                      </w:rPr>
                    </w:pPr>
                    <w:r>
                      <w:rPr>
                        <w:b/>
                        <w:color w:val="C00000"/>
                        <w:w w:val="195"/>
                        <w:sz w:val="10"/>
                      </w:rPr>
                      <w:t>corrupto</w:t>
                    </w:r>
                  </w:p>
                </w:txbxContent>
              </v:textbox>
              <w10:wrap type="none"/>
            </v:shape>
            <v:shape style="position:absolute;left:8205;top:1025;width:1530;height:448" type="#_x0000_t202" filled="false" stroked="false">
              <v:textbox inset="0,0,0,0">
                <w:txbxContent>
                  <w:p>
                    <w:pPr>
                      <w:spacing w:line="121" w:lineRule="exact" w:before="0"/>
                      <w:ind w:left="0" w:right="-6" w:firstLine="0"/>
                      <w:jc w:val="left"/>
                      <w:rPr>
                        <w:b/>
                        <w:sz w:val="12"/>
                      </w:rPr>
                    </w:pPr>
                    <w:r>
                      <w:rPr>
                        <w:b/>
                        <w:color w:val="FFFFFF"/>
                        <w:w w:val="185"/>
                        <w:sz w:val="12"/>
                      </w:rPr>
                      <w:t>Promedio </w:t>
                    </w:r>
                    <w:r>
                      <w:rPr>
                        <w:b/>
                        <w:color w:val="FFFFFF"/>
                        <w:spacing w:val="60"/>
                        <w:w w:val="185"/>
                        <w:sz w:val="12"/>
                      </w:rPr>
                      <w:t> </w:t>
                    </w:r>
                    <w:r>
                      <w:rPr>
                        <w:b/>
                        <w:color w:val="FFFFFF"/>
                        <w:w w:val="185"/>
                        <w:sz w:val="12"/>
                      </w:rPr>
                      <w:t>3.8</w:t>
                    </w:r>
                  </w:p>
                  <w:p>
                    <w:pPr>
                      <w:spacing w:line="240" w:lineRule="auto" w:before="0"/>
                      <w:rPr>
                        <w:sz w:val="12"/>
                      </w:rPr>
                    </w:pPr>
                  </w:p>
                  <w:p>
                    <w:pPr>
                      <w:spacing w:line="114" w:lineRule="exact" w:before="75"/>
                      <w:ind w:left="323" w:right="-6" w:firstLine="0"/>
                      <w:jc w:val="left"/>
                      <w:rPr>
                        <w:b/>
                        <w:sz w:val="10"/>
                      </w:rPr>
                    </w:pPr>
                    <w:r>
                      <w:rPr>
                        <w:b/>
                        <w:color w:val="001F5F"/>
                        <w:w w:val="195"/>
                        <w:sz w:val="10"/>
                      </w:rPr>
                      <w:t>Alemania 3.7</w:t>
                    </w:r>
                  </w:p>
                </w:txbxContent>
              </v:textbox>
              <w10:wrap type="none"/>
            </v:shape>
            <v:shape style="position:absolute;left:2341;top:1547;width:1866;height:118" type="#_x0000_t202" filled="false" stroked="false">
              <v:textbox inset="0,0,0,0">
                <w:txbxContent>
                  <w:p>
                    <w:pPr>
                      <w:spacing w:line="118" w:lineRule="exact" w:before="0"/>
                      <w:ind w:left="0" w:right="-17" w:firstLine="0"/>
                      <w:jc w:val="left"/>
                      <w:rPr>
                        <w:b/>
                        <w:sz w:val="12"/>
                      </w:rPr>
                    </w:pPr>
                    <w:r>
                      <w:rPr>
                        <w:b/>
                        <w:color w:val="FFFFFF"/>
                        <w:w w:val="185"/>
                        <w:sz w:val="12"/>
                      </w:rPr>
                      <w:t>Partidos políticos</w:t>
                    </w:r>
                  </w:p>
                </w:txbxContent>
              </v:textbox>
              <w10:wrap type="none"/>
            </v:shape>
            <v:shape style="position:absolute;left:6443;top:1585;width:809;height:231" type="#_x0000_t202" filled="false" stroked="false">
              <v:textbox inset="0,0,0,0">
                <w:txbxContent>
                  <w:p>
                    <w:pPr>
                      <w:spacing w:line="106" w:lineRule="exact" w:before="0"/>
                      <w:ind w:left="0" w:right="0" w:firstLine="0"/>
                      <w:jc w:val="center"/>
                      <w:rPr>
                        <w:b/>
                        <w:sz w:val="10"/>
                      </w:rPr>
                    </w:pPr>
                    <w:r>
                      <w:rPr>
                        <w:b/>
                        <w:color w:val="001F5F"/>
                        <w:w w:val="195"/>
                        <w:sz w:val="10"/>
                      </w:rPr>
                      <w:t>Nada</w:t>
                    </w:r>
                  </w:p>
                  <w:p>
                    <w:pPr>
                      <w:spacing w:line="114" w:lineRule="exact" w:before="11"/>
                      <w:ind w:left="0" w:right="0" w:firstLine="0"/>
                      <w:jc w:val="center"/>
                      <w:rPr>
                        <w:b/>
                        <w:sz w:val="10"/>
                      </w:rPr>
                    </w:pPr>
                    <w:r>
                      <w:rPr>
                        <w:b/>
                        <w:color w:val="001F5F"/>
                        <w:w w:val="195"/>
                        <w:sz w:val="10"/>
                      </w:rPr>
                      <w:t>corrupto</w:t>
                    </w:r>
                  </w:p>
                </w:txbxContent>
              </v:textbox>
              <w10:wrap type="none"/>
            </v:shape>
            <v:shape style="position:absolute;left:8628;top:1984;width:1125;height:231" type="#_x0000_t202" filled="false" stroked="false">
              <v:textbox inset="0,0,0,0">
                <w:txbxContent>
                  <w:p>
                    <w:pPr>
                      <w:spacing w:line="106" w:lineRule="exact" w:before="0"/>
                      <w:ind w:left="0" w:right="0" w:firstLine="0"/>
                      <w:jc w:val="left"/>
                      <w:rPr>
                        <w:b/>
                        <w:sz w:val="10"/>
                      </w:rPr>
                    </w:pPr>
                    <w:r>
                      <w:rPr>
                        <w:b/>
                        <w:color w:val="C00000"/>
                        <w:w w:val="195"/>
                        <w:sz w:val="10"/>
                      </w:rPr>
                      <w:t>México   4.4</w:t>
                    </w:r>
                  </w:p>
                  <w:p>
                    <w:pPr>
                      <w:tabs>
                        <w:tab w:pos="1124" w:val="right" w:leader="none"/>
                      </w:tabs>
                      <w:spacing w:line="114" w:lineRule="exact" w:before="11"/>
                      <w:ind w:left="0" w:right="0" w:firstLine="0"/>
                      <w:jc w:val="left"/>
                      <w:rPr>
                        <w:b/>
                        <w:sz w:val="10"/>
                      </w:rPr>
                    </w:pPr>
                    <w:r>
                      <w:rPr>
                        <w:b/>
                        <w:color w:val="C00000"/>
                        <w:w w:val="195"/>
                        <w:sz w:val="10"/>
                      </w:rPr>
                      <w:t>EUA</w:t>
                      <w:tab/>
                      <w:t>4.3</w:t>
                    </w:r>
                  </w:p>
                </w:txbxContent>
              </v:textbox>
              <w10:wrap type="none"/>
            </v:shape>
            <v:shape style="position:absolute;left:6149;top:2262;width:1587;height:231" type="#_x0000_t202" filled="false" stroked="false">
              <v:textbox inset="0,0,0,0">
                <w:txbxContent>
                  <w:p>
                    <w:pPr>
                      <w:spacing w:line="106" w:lineRule="exact" w:before="0"/>
                      <w:ind w:left="0" w:right="0" w:firstLine="0"/>
                      <w:jc w:val="center"/>
                      <w:rPr>
                        <w:b/>
                        <w:sz w:val="10"/>
                      </w:rPr>
                    </w:pPr>
                    <w:r>
                      <w:rPr>
                        <w:b/>
                        <w:color w:val="C00000"/>
                        <w:w w:val="195"/>
                        <w:sz w:val="10"/>
                      </w:rPr>
                      <w:t>Extremadamente</w:t>
                    </w:r>
                  </w:p>
                  <w:p>
                    <w:pPr>
                      <w:spacing w:line="114" w:lineRule="exact" w:before="11"/>
                      <w:ind w:left="0" w:right="1" w:firstLine="0"/>
                      <w:jc w:val="center"/>
                      <w:rPr>
                        <w:b/>
                        <w:sz w:val="10"/>
                      </w:rPr>
                    </w:pPr>
                    <w:r>
                      <w:rPr>
                        <w:b/>
                        <w:color w:val="C00000"/>
                        <w:w w:val="195"/>
                        <w:sz w:val="10"/>
                      </w:rPr>
                      <w:t>corrupto</w:t>
                    </w:r>
                  </w:p>
                </w:txbxContent>
              </v:textbox>
              <w10:wrap type="none"/>
            </v:shape>
            <v:shape style="position:absolute;left:8069;top:2236;width:1699;height:714" type="#_x0000_t202" filled="false" stroked="false">
              <v:textbox inset="0,0,0,0">
                <w:txbxContent>
                  <w:p>
                    <w:pPr>
                      <w:spacing w:line="106" w:lineRule="exact" w:before="0"/>
                      <w:ind w:left="558" w:right="-6" w:firstLine="0"/>
                      <w:jc w:val="left"/>
                      <w:rPr>
                        <w:b/>
                        <w:sz w:val="10"/>
                      </w:rPr>
                    </w:pPr>
                    <w:r>
                      <w:rPr>
                        <w:b/>
                        <w:color w:val="C00000"/>
                        <w:w w:val="195"/>
                        <w:sz w:val="10"/>
                      </w:rPr>
                      <w:t>R. Unido 3.8</w:t>
                    </w:r>
                  </w:p>
                  <w:p>
                    <w:pPr>
                      <w:spacing w:before="56"/>
                      <w:ind w:left="0" w:right="-6" w:firstLine="0"/>
                      <w:jc w:val="left"/>
                      <w:rPr>
                        <w:b/>
                        <w:sz w:val="12"/>
                      </w:rPr>
                    </w:pPr>
                    <w:r>
                      <w:rPr>
                        <w:b/>
                        <w:color w:val="FFFFFF"/>
                        <w:w w:val="185"/>
                        <w:sz w:val="12"/>
                      </w:rPr>
                      <w:t>Promedio </w:t>
                    </w:r>
                    <w:r>
                      <w:rPr>
                        <w:b/>
                        <w:color w:val="FFFFFF"/>
                        <w:spacing w:val="60"/>
                        <w:w w:val="185"/>
                        <w:sz w:val="12"/>
                      </w:rPr>
                      <w:t> </w:t>
                    </w:r>
                    <w:r>
                      <w:rPr>
                        <w:b/>
                        <w:color w:val="FFFFFF"/>
                        <w:w w:val="185"/>
                        <w:sz w:val="12"/>
                      </w:rPr>
                      <w:t>3.6</w:t>
                    </w:r>
                  </w:p>
                  <w:p>
                    <w:pPr>
                      <w:tabs>
                        <w:tab w:pos="1655" w:val="right" w:leader="none"/>
                      </w:tabs>
                      <w:spacing w:before="174"/>
                      <w:ind w:left="459" w:right="0" w:firstLine="0"/>
                      <w:jc w:val="left"/>
                      <w:rPr>
                        <w:b/>
                        <w:sz w:val="10"/>
                      </w:rPr>
                    </w:pPr>
                    <w:r>
                      <w:rPr>
                        <w:b/>
                        <w:color w:val="001F5F"/>
                        <w:w w:val="195"/>
                        <w:sz w:val="10"/>
                      </w:rPr>
                      <w:t>España</w:t>
                      <w:tab/>
                      <w:t>3.5</w:t>
                    </w:r>
                  </w:p>
                  <w:p>
                    <w:pPr>
                      <w:spacing w:line="114" w:lineRule="exact" w:before="11"/>
                      <w:ind w:left="459" w:right="-6" w:firstLine="0"/>
                      <w:jc w:val="left"/>
                      <w:rPr>
                        <w:b/>
                        <w:sz w:val="10"/>
                      </w:rPr>
                    </w:pPr>
                    <w:r>
                      <w:rPr>
                        <w:b/>
                        <w:color w:val="001F5F"/>
                        <w:w w:val="195"/>
                        <w:sz w:val="10"/>
                      </w:rPr>
                      <w:t>Alemania 3.1</w:t>
                    </w:r>
                  </w:p>
                </w:txbxContent>
              </v:textbox>
              <w10:wrap type="none"/>
            </v:shape>
            <v:shape style="position:absolute;left:2489;top:2932;width:2284;height:118" type="#_x0000_t202" filled="false" stroked="false">
              <v:textbox inset="0,0,0,0">
                <w:txbxContent>
                  <w:p>
                    <w:pPr>
                      <w:spacing w:line="118" w:lineRule="exact" w:before="0"/>
                      <w:ind w:left="0" w:right="-19" w:firstLine="0"/>
                      <w:jc w:val="left"/>
                      <w:rPr>
                        <w:b/>
                        <w:sz w:val="12"/>
                      </w:rPr>
                    </w:pPr>
                    <w:r>
                      <w:rPr>
                        <w:b/>
                        <w:color w:val="FFFFFF"/>
                        <w:w w:val="185"/>
                        <w:sz w:val="12"/>
                      </w:rPr>
                      <w:t>Congreso/Legislatura</w:t>
                    </w:r>
                  </w:p>
                </w:txbxContent>
              </v:textbox>
              <w10:wrap type="none"/>
            </v:shape>
            <v:shape style="position:absolute;left:6672;top:2930;width:810;height:231" type="#_x0000_t202" filled="false" stroked="false">
              <v:textbox inset="0,0,0,0">
                <w:txbxContent>
                  <w:p>
                    <w:pPr>
                      <w:spacing w:line="106" w:lineRule="exact" w:before="0"/>
                      <w:ind w:left="146" w:right="147" w:firstLine="0"/>
                      <w:jc w:val="center"/>
                      <w:rPr>
                        <w:b/>
                        <w:sz w:val="10"/>
                      </w:rPr>
                    </w:pPr>
                    <w:r>
                      <w:rPr>
                        <w:b/>
                        <w:color w:val="001F5F"/>
                        <w:w w:val="195"/>
                        <w:sz w:val="10"/>
                      </w:rPr>
                      <w:t>Nada</w:t>
                    </w:r>
                  </w:p>
                  <w:p>
                    <w:pPr>
                      <w:spacing w:line="114" w:lineRule="exact" w:before="11"/>
                      <w:ind w:left="-1" w:right="0" w:firstLine="0"/>
                      <w:jc w:val="center"/>
                      <w:rPr>
                        <w:b/>
                        <w:sz w:val="10"/>
                      </w:rPr>
                    </w:pPr>
                    <w:r>
                      <w:rPr>
                        <w:b/>
                        <w:color w:val="001F5F"/>
                        <w:spacing w:val="-1"/>
                        <w:w w:val="195"/>
                        <w:sz w:val="10"/>
                      </w:rPr>
                      <w:t>corrupto</w:t>
                    </w:r>
                  </w:p>
                </w:txbxContent>
              </v:textbox>
              <w10:wrap type="none"/>
            </v:shape>
            <w10:wrap type="topAndBottom"/>
          </v:group>
        </w:pict>
      </w:r>
    </w:p>
    <w:p>
      <w:pPr>
        <w:spacing w:before="0"/>
        <w:ind w:left="810" w:right="0" w:firstLine="0"/>
        <w:jc w:val="left"/>
        <w:rPr>
          <w:i/>
          <w:sz w:val="12"/>
        </w:rPr>
      </w:pPr>
      <w:r>
        <w:rPr>
          <w:sz w:val="12"/>
        </w:rPr>
        <w:t>FUENTE:     Transparency International, The Global Corruption Barometer 2010, data </w:t>
      </w:r>
      <w:r>
        <w:rPr>
          <w:i/>
          <w:sz w:val="12"/>
        </w:rPr>
        <w:t>set</w:t>
      </w:r>
    </w:p>
    <w:p>
      <w:pPr>
        <w:spacing w:before="20"/>
        <w:ind w:left="810" w:right="3954" w:firstLine="0"/>
        <w:jc w:val="left"/>
        <w:rPr>
          <w:sz w:val="12"/>
        </w:rPr>
      </w:pPr>
      <w:r>
        <w:rPr>
          <w:sz w:val="12"/>
        </w:rPr>
        <w:t>Disponible en: </w:t>
      </w:r>
      <w:hyperlink r:id="rId69">
        <w:r>
          <w:rPr>
            <w:sz w:val="12"/>
          </w:rPr>
          <w:t>http://www.transparency.org/policy_research/surveys_indices/gcb</w:t>
        </w:r>
      </w:hyperlink>
      <w:r>
        <w:rPr>
          <w:sz w:val="12"/>
        </w:rPr>
        <w:t> [Fecha de consulta: 19 de junio, 2015]</w:t>
      </w:r>
    </w:p>
    <w:p>
      <w:pPr>
        <w:spacing w:after="0"/>
        <w:jc w:val="left"/>
        <w:rPr>
          <w:sz w:val="12"/>
        </w:rPr>
        <w:sectPr>
          <w:pgSz w:w="12240" w:h="15840"/>
          <w:pgMar w:header="0" w:footer="1003" w:top="1360" w:bottom="1200" w:left="1600" w:right="1580"/>
        </w:sectPr>
      </w:pPr>
    </w:p>
    <w:p>
      <w:pPr>
        <w:pStyle w:val="BodyText"/>
        <w:spacing w:line="360" w:lineRule="auto" w:before="54"/>
        <w:ind w:left="182" w:right="115" w:firstLine="424"/>
        <w:jc w:val="both"/>
      </w:pPr>
      <w:r>
        <w:rPr/>
        <w:t>Los partidos políticos de México se perciben con el mismo nivel de corrupción que España, El Salvador e Irlanda, sólo fueron superados por Grecia e Israel. El</w:t>
      </w:r>
      <w:r>
        <w:rPr>
          <w:spacing w:val="-34"/>
        </w:rPr>
        <w:t> </w:t>
      </w:r>
      <w:r>
        <w:rPr/>
        <w:t>H. Congreso de la Unión del Estado Mexicano se percibe igual de corrupto que el de Nigeria, Mongolia y</w:t>
      </w:r>
      <w:r>
        <w:rPr>
          <w:spacing w:val="-13"/>
        </w:rPr>
        <w:t> </w:t>
      </w:r>
      <w:r>
        <w:rPr/>
        <w:t>Tanzania.</w:t>
      </w:r>
    </w:p>
    <w:p>
      <w:pPr>
        <w:pStyle w:val="BodyText"/>
        <w:spacing w:line="360" w:lineRule="auto" w:before="2"/>
        <w:ind w:left="182" w:right="127" w:firstLine="424"/>
        <w:jc w:val="both"/>
      </w:pPr>
      <w:r>
        <w:rPr/>
        <w:t>Por otra parte, Perú y Grecia, por ejemplo, son algunos de los países con una mayor precepción de corrupción que el H. Congreso de la Unión de México.</w:t>
      </w:r>
    </w:p>
    <w:p>
      <w:pPr>
        <w:pStyle w:val="BodyText"/>
      </w:pPr>
    </w:p>
    <w:p>
      <w:pPr>
        <w:pStyle w:val="BodyText"/>
      </w:pPr>
    </w:p>
    <w:p>
      <w:pPr>
        <w:spacing w:line="448" w:lineRule="auto" w:before="143" w:after="5"/>
        <w:ind w:left="3038" w:right="1470" w:hanging="863"/>
        <w:jc w:val="left"/>
        <w:rPr>
          <w:sz w:val="20"/>
        </w:rPr>
      </w:pPr>
      <w:bookmarkStart w:name="_bookmark29" w:id="40"/>
      <w:bookmarkEnd w:id="40"/>
      <w:r>
        <w:rPr/>
      </w:r>
      <w:r>
        <w:rPr>
          <w:sz w:val="20"/>
        </w:rPr>
        <w:t>Esquema 1.4. Barómetro global de la corrupción, 2010 (Policía y Negocios/Sector privado)</w:t>
      </w:r>
    </w:p>
    <w:p>
      <w:pPr>
        <w:pStyle w:val="BodyText"/>
        <w:ind w:left="115"/>
        <w:rPr>
          <w:sz w:val="20"/>
        </w:rPr>
      </w:pPr>
      <w:r>
        <w:rPr>
          <w:sz w:val="20"/>
        </w:rPr>
        <w:pict>
          <v:group style="width:431.1pt;height:182.4pt;mso-position-horizontal-relative:char;mso-position-vertical-relative:line" coordorigin="0,0" coordsize="8622,3648">
            <v:shape style="position:absolute;left:27;top:0;width:8594;height:3648" type="#_x0000_t75" stroked="false">
              <v:imagedata r:id="rId73" o:title=""/>
            </v:shape>
            <v:rect style="position:absolute;left:155;top:31;width:8426;height:3490" filled="true" fillcolor="#edebe0" stroked="false">
              <v:fill type="solid"/>
            </v:rect>
            <v:shape style="position:absolute;left:170;top:555;width:8018;height:708" coordorigin="170,555" coordsize="8018,708" path="m170,1209l275,1213,379,1217,483,1221,587,1225,691,1229,795,1233,899,1237,1003,1240,1106,1243,1210,1247,1313,1249,1416,1252,1518,1255,1621,1257,1723,1258,1825,1260,1927,1261,2028,1262,2129,1262,2180,1262,2230,1262,2331,1262,2430,1261,2530,1259,2629,1257,2728,1255,2826,1252,2924,1248,3021,1244,3118,1239,3214,1234,3310,1227,3405,1221,3499,1213,3598,1204,3701,1194,3805,1181,3909,1168,4012,1153,4116,1137,4219,1120,4323,1101,4426,1082,4528,1063,4630,1042,4732,1021,4833,1000,4933,978,5033,956,5132,933,5230,911,5327,889,5423,867,5470,856,5564,835,5657,814,5749,793,5839,773,5927,754,6014,736,6100,719,6184,703,6265,688,6346,674,6424,662,7058,594,7615,565,8027,555,8188,555e" filled="false" stroked="true" strokeweight="16.939938pt" strokecolor="#385d89">
              <v:path arrowok="t"/>
            </v:shape>
            <v:shape style="position:absolute;left:172;top:2345;width:8018;height:709" coordorigin="172,2345" coordsize="8018,709" path="m172,3000l276,3004,380,3008,485,3012,589,3016,693,3020,797,3024,900,3028,1004,3031,1108,3034,1211,3037,1314,3040,1417,3043,1520,3045,1623,3048,1725,3049,1827,3051,1929,3052,2030,3053,2131,3053,2181,3053,2232,3053,2332,3053,2432,3052,2532,3050,2631,3048,2729,3046,2828,3043,2925,3039,3023,3035,3119,3030,3216,3024,3311,3018,3406,3011,3501,3004,3600,2995,3703,2984,3807,2972,3910,2959,4014,2944,4117,2928,4221,2910,4324,2892,4427,2873,4530,2853,4632,2833,4734,2812,4835,2790,4935,2768,5035,2746,5133,2724,5231,2702,5328,2679,5424,2657,5472,2646,5566,2625,5659,2604,5750,2583,5840,2563,5929,2544,6016,2526,6101,2509,6185,2493,6267,2478,6347,2464,6425,2452,7060,2384,7617,2355,8029,2345,8190,2345e" filled="false" stroked="true" strokeweight="16.940123pt" strokecolor="#385d89">
              <v:path arrowok="t"/>
            </v:shape>
            <v:shape style="position:absolute;left:5766;top:969;width:431;height:511" coordorigin="5766,969" coordsize="431,511" path="m6196,1336l5766,1336,5981,1480,6196,1336xm6088,969l5873,969,5873,1336,6088,1336,6088,969xe" filled="true" fillcolor="#001f5f" stroked="false">
              <v:path arrowok="t"/>
              <v:fill type="solid"/>
            </v:shape>
            <v:shape style="position:absolute;left:5735;top:961;width:493;height:532" coordorigin="5735,961" coordsize="493,532" path="m5860,1328l5735,1328,5981,1492,6008,1474,5972,1474,5981,1468,5797,1345,5766,1345,5775,1330,5860,1330,5860,1328xm5981,1468l5972,1474,5990,1474,5981,1468xm6187,1330l5981,1468,5990,1474,6008,1474,6201,1345,6196,1345,6187,1330xm5775,1330l5766,1345,5797,1345,5775,1330xm5860,1330l5775,1330,5797,1345,5886,1345,5886,1336,5860,1336,5860,1330xm6076,969l6076,1345,6165,1345,6178,1336,6101,1336,6088,1328,6101,1328,6101,978,6088,978,6076,969xm6223,1330l6187,1330,6196,1345,6201,1345,6223,1330xm6101,961l5860,961,5860,1336,5873,1328,5886,1328,5886,978,5873,978,5886,969,6101,969,6101,961xm5886,1328l5873,1328,5860,1336,5886,1336,5886,1328xm6101,1328l6088,1328,6101,1336,6101,1328xm6227,1328l6101,1328,6101,1336,6178,1336,6187,1330,6223,1330,6227,1328xm5886,969l5873,978,5886,978,5886,969xm6076,969l5886,969,5886,978,6076,978,6076,969xm6101,969l6076,969,6088,978,6101,978,6101,969xe" filled="true" fillcolor="#001f5f" stroked="false">
              <v:path arrowok="t"/>
              <v:fill type="solid"/>
            </v:shape>
            <v:shape style="position:absolute;left:5788;top:2699;width:429;height:510" coordorigin="5788,2699" coordsize="429,510" path="m6217,3066l5788,3066,6003,3209,6217,3066xm6110,2699l5896,2699,5896,3066,6110,3066,6110,2699xe" filled="true" fillcolor="#001f5f" stroked="false">
              <v:path arrowok="t"/>
              <v:fill type="solid"/>
            </v:shape>
            <v:shape style="position:absolute;left:5757;top:2691;width:491;height:531" coordorigin="5757,2691" coordsize="491,531" path="m5883,3057l5757,3057,6003,3221,6030,3203,5994,3203,6003,3197,5819,3074,5788,3074,5797,3060,5883,3060,5883,3057xm6003,3197l5994,3203,6012,3203,6003,3197xm6208,3060l6003,3197,6012,3203,6030,3203,6222,3074,6217,3074,6208,3060xm5797,3060l5788,3074,5819,3074,5797,3060xm5883,3060l5797,3060,5819,3074,5908,3074,5908,3066,5883,3066,5883,3060xm6097,2699l6097,3074,6186,3074,6199,3066,6123,3066,6110,3057,6123,3057,6123,2708,6110,2708,6097,2699xm6244,3060l6208,3060,6217,3074,6222,3074,6244,3060xm6123,2691l5883,2691,5883,3066,5896,3057,5908,3057,5908,2708,5896,2708,5908,2699,6123,2699,6123,2691xm5908,3057l5896,3057,5883,3066,5908,3066,5908,3057xm6123,3057l6110,3057,6123,3066,6123,3057xm6248,3057l6123,3057,6123,3066,6199,3066,6208,3060,6244,3060,6248,3057xm5908,2699l5896,2708,5908,2708,5908,2699xm6097,2699l5908,2699,5908,2708,6097,2708,6097,2699xm6123,2699l6097,2699,6110,2708,6123,2708,6123,2699xe" filled="true" fillcolor="#001f5f" stroked="false">
              <v:path arrowok="t"/>
              <v:fill type="solid"/>
            </v:shape>
            <v:shape style="position:absolute;left:5769;top:44;width:431;height:511" coordorigin="5769,44" coordsize="431,511" path="m6091,188l5876,188,5876,555,6091,555,6091,188xm5984,44l5769,188,6199,188,5984,44xe" filled="true" fillcolor="#c00000" stroked="false">
              <v:path arrowok="t"/>
              <v:fill type="solid"/>
            </v:shape>
            <v:shape style="position:absolute;left:5738;top:32;width:493;height:532" coordorigin="5738,32" coordsize="493,532" path="m5863,188l5863,563,6104,563,6104,555,5889,555,5876,546,5889,546,5889,196,5876,196,5863,188xm5889,546l5876,546,5889,555,5889,546xm6079,546l5889,546,5889,555,6079,555,6079,546xm6168,179l6079,179,6079,555,6091,546,6104,546,6104,196,6091,196,6104,188,6181,188,6168,179xm6104,546l6091,546,6079,555,6104,555,6104,546xm5984,32l5738,196,5863,196,5863,194,5778,194,5769,179,5800,179,5984,56,5975,50,6011,50,5984,32xm5889,188l5863,188,5876,196,5889,196,5889,188xm6104,188l6091,196,6104,196,6104,188xm6181,188l6104,188,6104,196,6230,196,6226,194,6190,194,6181,188xm5800,179l5769,179,5778,194,5800,179xm5889,179l5800,179,5778,194,5863,194,5863,188,5889,188,5889,179xm6011,50l5993,50,5984,56,6190,194,6199,179,6204,179,6011,50xm6204,179l6199,179,6190,194,6226,194,6204,179xm5993,50l5975,50,5984,56,5993,50xe" filled="true" fillcolor="#c00000" stroked="false">
              <v:path arrowok="t"/>
              <v:fill type="solid"/>
            </v:shape>
            <v:shape style="position:absolute;left:5788;top:1827;width:429;height:511" coordorigin="5788,1827" coordsize="429,511" path="m6110,1970l5896,1970,5896,2338,6110,2338,6110,1970xm6003,1827l5788,1970,6217,1970,6003,1827xe" filled="true" fillcolor="#c00000" stroked="false">
              <v:path arrowok="t"/>
              <v:fill type="solid"/>
            </v:shape>
            <v:shape style="position:absolute;left:5757;top:1815;width:491;height:532" coordorigin="5757,1815" coordsize="491,532" path="m5883,1970l5883,2346,6123,2346,6123,2338,5908,2338,5896,2329,5908,2329,5908,1979,5896,1979,5883,1970xm5908,2329l5896,2329,5908,2338,5908,2329xm6097,2329l5908,2329,5908,2338,6097,2338,6097,2329xm6186,1962l6097,1962,6097,2338,6110,2329,6123,2329,6123,1979,6110,1979,6123,1970,6199,1970,6186,1962xm6123,2329l6110,2329,6097,2338,6123,2338,6123,2329xm6003,1815l5757,1979,5883,1979,5883,1976,5797,1976,5788,1962,5819,1962,6003,1839,5994,1833,6030,1833,6003,1815xm5908,1970l5883,1970,5896,1979,5908,1979,5908,1970xm6123,1970l6110,1979,6123,1979,6123,1970xm6199,1970l6123,1970,6123,1979,6248,1979,6244,1976,6208,1976,6199,1970xm5819,1962l5788,1962,5797,1976,5819,1962xm5908,1962l5819,1962,5797,1976,5883,1976,5883,1970,5908,1970,5908,1962xm6030,1833l6012,1833,6003,1839,6208,1976,6217,1962,6222,1962,6030,1833xm6222,1962l6217,1962,6208,1976,6244,1976,6222,1962xm6012,1833l5994,1833,6003,1839,6012,1833xe" filled="true" fillcolor="#c00000" stroked="false">
              <v:path arrowok="t"/>
              <v:fill type="solid"/>
            </v:shape>
            <v:shape style="position:absolute;left:4006;top:276;width:1624;height:298" type="#_x0000_t202" filled="false" stroked="false">
              <v:textbox inset="0,0,0,0">
                <w:txbxContent>
                  <w:p>
                    <w:pPr>
                      <w:spacing w:line="137" w:lineRule="exact" w:before="0"/>
                      <w:ind w:left="0" w:right="0" w:firstLine="0"/>
                      <w:jc w:val="center"/>
                      <w:rPr>
                        <w:b/>
                        <w:sz w:val="13"/>
                      </w:rPr>
                    </w:pPr>
                    <w:r>
                      <w:rPr>
                        <w:b/>
                        <w:color w:val="C00000"/>
                        <w:w w:val="155"/>
                        <w:sz w:val="13"/>
                      </w:rPr>
                      <w:t>Extremadamente</w:t>
                    </w:r>
                  </w:p>
                  <w:p>
                    <w:pPr>
                      <w:spacing w:line="148" w:lineRule="exact" w:before="12"/>
                      <w:ind w:left="0" w:right="1" w:firstLine="0"/>
                      <w:jc w:val="center"/>
                      <w:rPr>
                        <w:b/>
                        <w:sz w:val="13"/>
                      </w:rPr>
                    </w:pPr>
                    <w:r>
                      <w:rPr>
                        <w:b/>
                        <w:color w:val="C00000"/>
                        <w:w w:val="155"/>
                        <w:sz w:val="13"/>
                      </w:rPr>
                      <w:t>corrupto</w:t>
                    </w:r>
                  </w:p>
                </w:txbxContent>
              </v:textbox>
              <w10:wrap type="none"/>
            </v:shape>
            <v:shape style="position:absolute;left:6791;top:174;width:1192;height:135" type="#_x0000_t202" filled="false" stroked="false">
              <v:textbox inset="0,0,0,0">
                <w:txbxContent>
                  <w:p>
                    <w:pPr>
                      <w:tabs>
                        <w:tab w:pos="911" w:val="left" w:leader="none"/>
                      </w:tabs>
                      <w:spacing w:line="135" w:lineRule="exact" w:before="0"/>
                      <w:ind w:left="0" w:right="0" w:firstLine="0"/>
                      <w:jc w:val="left"/>
                      <w:rPr>
                        <w:b/>
                        <w:sz w:val="13"/>
                      </w:rPr>
                    </w:pPr>
                    <w:r>
                      <w:rPr>
                        <w:b/>
                        <w:color w:val="C00000"/>
                        <w:w w:val="155"/>
                        <w:sz w:val="13"/>
                      </w:rPr>
                      <w:t>México</w:t>
                      <w:tab/>
                      <w:t>4.4</w:t>
                    </w:r>
                  </w:p>
                </w:txbxContent>
              </v:textbox>
              <w10:wrap type="none"/>
            </v:shape>
            <v:shape style="position:absolute;left:416;top:1159;width:734;height:153" type="#_x0000_t202" filled="false" stroked="false">
              <v:textbox inset="0,0,0,0">
                <w:txbxContent>
                  <w:p>
                    <w:pPr>
                      <w:spacing w:line="152" w:lineRule="exact" w:before="0"/>
                      <w:ind w:left="0" w:right="-12" w:firstLine="0"/>
                      <w:jc w:val="left"/>
                      <w:rPr>
                        <w:b/>
                        <w:sz w:val="15"/>
                      </w:rPr>
                    </w:pPr>
                    <w:r>
                      <w:rPr>
                        <w:b/>
                        <w:color w:val="FFFFFF"/>
                        <w:w w:val="150"/>
                        <w:sz w:val="15"/>
                      </w:rPr>
                      <w:t>Policía</w:t>
                    </w:r>
                  </w:p>
                </w:txbxContent>
              </v:textbox>
              <w10:wrap type="none"/>
            </v:shape>
            <v:shape style="position:absolute;left:4684;top:1208;width:828;height:297" type="#_x0000_t202" filled="false" stroked="false">
              <v:textbox inset="0,0,0,0">
                <w:txbxContent>
                  <w:p>
                    <w:pPr>
                      <w:spacing w:line="137" w:lineRule="exact" w:before="0"/>
                      <w:ind w:left="0" w:right="0" w:firstLine="0"/>
                      <w:jc w:val="center"/>
                      <w:rPr>
                        <w:b/>
                        <w:sz w:val="13"/>
                      </w:rPr>
                    </w:pPr>
                    <w:r>
                      <w:rPr>
                        <w:b/>
                        <w:color w:val="001F5F"/>
                        <w:w w:val="155"/>
                        <w:sz w:val="13"/>
                      </w:rPr>
                      <w:t>Nada</w:t>
                    </w:r>
                  </w:p>
                  <w:p>
                    <w:pPr>
                      <w:spacing w:line="148" w:lineRule="exact" w:before="12"/>
                      <w:ind w:left="0" w:right="0" w:firstLine="0"/>
                      <w:jc w:val="center"/>
                      <w:rPr>
                        <w:b/>
                        <w:sz w:val="13"/>
                      </w:rPr>
                    </w:pPr>
                    <w:r>
                      <w:rPr>
                        <w:b/>
                        <w:color w:val="001F5F"/>
                        <w:spacing w:val="-1"/>
                        <w:w w:val="155"/>
                        <w:sz w:val="13"/>
                      </w:rPr>
                      <w:t>corrupto</w:t>
                    </w:r>
                  </w:p>
                </w:txbxContent>
              </v:textbox>
              <w10:wrap type="none"/>
            </v:shape>
            <v:shape style="position:absolute;left:6416;top:487;width:1603;height:771" type="#_x0000_t202" filled="false" stroked="false">
              <v:textbox inset="0,0,0,0">
                <w:txbxContent>
                  <w:p>
                    <w:pPr>
                      <w:spacing w:line="155" w:lineRule="exact" w:before="0"/>
                      <w:ind w:left="0" w:right="-18" w:firstLine="0"/>
                      <w:jc w:val="left"/>
                      <w:rPr>
                        <w:b/>
                        <w:sz w:val="15"/>
                      </w:rPr>
                    </w:pPr>
                    <w:r>
                      <w:rPr>
                        <w:b/>
                        <w:color w:val="FFFFFF"/>
                        <w:w w:val="150"/>
                        <w:sz w:val="15"/>
                      </w:rPr>
                      <w:t>Promedio   3.6</w:t>
                    </w:r>
                  </w:p>
                  <w:p>
                    <w:pPr>
                      <w:spacing w:line="240" w:lineRule="auto" w:before="6"/>
                      <w:rPr>
                        <w:sz w:val="12"/>
                      </w:rPr>
                    </w:pPr>
                  </w:p>
                  <w:p>
                    <w:pPr>
                      <w:spacing w:before="0"/>
                      <w:ind w:left="368" w:right="-18" w:firstLine="0"/>
                      <w:jc w:val="left"/>
                      <w:rPr>
                        <w:b/>
                        <w:sz w:val="13"/>
                      </w:rPr>
                    </w:pPr>
                    <w:r>
                      <w:rPr>
                        <w:b/>
                        <w:color w:val="001F5F"/>
                        <w:w w:val="155"/>
                        <w:sz w:val="13"/>
                      </w:rPr>
                      <w:t>Alemania 2.3</w:t>
                    </w:r>
                  </w:p>
                  <w:p>
                    <w:pPr>
                      <w:tabs>
                        <w:tab w:pos="1311" w:val="left" w:leader="none"/>
                      </w:tabs>
                      <w:spacing w:before="12"/>
                      <w:ind w:left="368" w:right="0" w:firstLine="0"/>
                      <w:jc w:val="left"/>
                      <w:rPr>
                        <w:b/>
                        <w:sz w:val="13"/>
                      </w:rPr>
                    </w:pPr>
                    <w:r>
                      <w:rPr>
                        <w:b/>
                        <w:color w:val="001F5F"/>
                        <w:w w:val="155"/>
                        <w:sz w:val="13"/>
                      </w:rPr>
                      <w:t>España</w:t>
                      <w:tab/>
                      <w:t>3.1</w:t>
                    </w:r>
                  </w:p>
                  <w:p>
                    <w:pPr>
                      <w:spacing w:line="148" w:lineRule="exact" w:before="12"/>
                      <w:ind w:left="368" w:right="-6" w:firstLine="0"/>
                      <w:jc w:val="left"/>
                      <w:rPr>
                        <w:b/>
                        <w:sz w:val="13"/>
                      </w:rPr>
                    </w:pPr>
                    <w:r>
                      <w:rPr>
                        <w:b/>
                        <w:color w:val="001F5F"/>
                        <w:w w:val="155"/>
                        <w:sz w:val="13"/>
                      </w:rPr>
                      <w:t>R. Unido  3.1</w:t>
                    </w:r>
                  </w:p>
                </w:txbxContent>
              </v:textbox>
              <w10:wrap type="none"/>
            </v:shape>
            <v:shape style="position:absolute;left:6784;top:1285;width:426;height:135" type="#_x0000_t202" filled="false" stroked="false">
              <v:textbox inset="0,0,0,0">
                <w:txbxContent>
                  <w:p>
                    <w:pPr>
                      <w:spacing w:line="135" w:lineRule="exact" w:before="0"/>
                      <w:ind w:left="0" w:right="-20" w:firstLine="0"/>
                      <w:jc w:val="left"/>
                      <w:rPr>
                        <w:b/>
                        <w:sz w:val="13"/>
                      </w:rPr>
                    </w:pPr>
                    <w:r>
                      <w:rPr>
                        <w:b/>
                        <w:color w:val="001F5F"/>
                        <w:w w:val="155"/>
                        <w:sz w:val="13"/>
                      </w:rPr>
                      <w:t>EUA</w:t>
                    </w:r>
                  </w:p>
                </w:txbxContent>
              </v:textbox>
              <w10:wrap type="none"/>
            </v:shape>
            <v:shape style="position:absolute;left:7712;top:1285;width:281;height:135" type="#_x0000_t202" filled="false" stroked="false">
              <v:textbox inset="0,0,0,0">
                <w:txbxContent>
                  <w:p>
                    <w:pPr>
                      <w:spacing w:line="135" w:lineRule="exact" w:before="0"/>
                      <w:ind w:left="0" w:right="-20" w:firstLine="0"/>
                      <w:jc w:val="left"/>
                      <w:rPr>
                        <w:b/>
                        <w:sz w:val="13"/>
                      </w:rPr>
                    </w:pPr>
                    <w:r>
                      <w:rPr>
                        <w:b/>
                        <w:color w:val="001F5F"/>
                        <w:w w:val="155"/>
                        <w:sz w:val="13"/>
                      </w:rPr>
                      <w:t>3.3</w:t>
                    </w:r>
                  </w:p>
                </w:txbxContent>
              </v:textbox>
              <w10:wrap type="none"/>
            </v:shape>
            <v:shape style="position:absolute;left:4162;top:2132;width:1623;height:297" type="#_x0000_t202" filled="false" stroked="false">
              <v:textbox inset="0,0,0,0">
                <w:txbxContent>
                  <w:p>
                    <w:pPr>
                      <w:spacing w:line="137" w:lineRule="exact" w:before="0"/>
                      <w:ind w:left="0" w:right="0" w:firstLine="0"/>
                      <w:jc w:val="center"/>
                      <w:rPr>
                        <w:b/>
                        <w:sz w:val="13"/>
                      </w:rPr>
                    </w:pPr>
                    <w:r>
                      <w:rPr>
                        <w:b/>
                        <w:color w:val="C00000"/>
                        <w:spacing w:val="-1"/>
                        <w:w w:val="155"/>
                        <w:sz w:val="13"/>
                      </w:rPr>
                      <w:t>Extremadamente</w:t>
                    </w:r>
                  </w:p>
                  <w:p>
                    <w:pPr>
                      <w:spacing w:line="148" w:lineRule="exact" w:before="12"/>
                      <w:ind w:left="0" w:right="1" w:firstLine="0"/>
                      <w:jc w:val="center"/>
                      <w:rPr>
                        <w:b/>
                        <w:sz w:val="13"/>
                      </w:rPr>
                    </w:pPr>
                    <w:r>
                      <w:rPr>
                        <w:b/>
                        <w:color w:val="C00000"/>
                        <w:w w:val="155"/>
                        <w:sz w:val="13"/>
                      </w:rPr>
                      <w:t>corrupto</w:t>
                    </w:r>
                  </w:p>
                </w:txbxContent>
              </v:textbox>
              <w10:wrap type="none"/>
            </v:shape>
            <v:shape style="position:absolute;left:6277;top:2278;width:1688;height:509" type="#_x0000_t202" filled="false" stroked="false">
              <v:textbox inset="0,0,0,0">
                <w:txbxContent>
                  <w:p>
                    <w:pPr>
                      <w:spacing w:line="155" w:lineRule="exact" w:before="0"/>
                      <w:ind w:left="0" w:right="-18" w:firstLine="0"/>
                      <w:jc w:val="left"/>
                      <w:rPr>
                        <w:b/>
                        <w:sz w:val="15"/>
                      </w:rPr>
                    </w:pPr>
                    <w:r>
                      <w:rPr>
                        <w:b/>
                        <w:color w:val="FFFFFF"/>
                        <w:w w:val="150"/>
                        <w:sz w:val="15"/>
                      </w:rPr>
                      <w:t>Promedio   3.2</w:t>
                    </w:r>
                  </w:p>
                  <w:p>
                    <w:pPr>
                      <w:spacing w:line="240" w:lineRule="auto" w:before="10"/>
                      <w:rPr>
                        <w:sz w:val="17"/>
                      </w:rPr>
                    </w:pPr>
                  </w:p>
                  <w:p>
                    <w:pPr>
                      <w:spacing w:line="148" w:lineRule="exact" w:before="0"/>
                      <w:ind w:left="453" w:right="-18" w:firstLine="0"/>
                      <w:jc w:val="left"/>
                      <w:rPr>
                        <w:b/>
                        <w:sz w:val="13"/>
                      </w:rPr>
                    </w:pPr>
                    <w:r>
                      <w:rPr>
                        <w:b/>
                        <w:color w:val="001F5F"/>
                        <w:w w:val="155"/>
                        <w:sz w:val="13"/>
                      </w:rPr>
                      <w:t>Alemania 3.3</w:t>
                    </w:r>
                  </w:p>
                </w:txbxContent>
              </v:textbox>
              <w10:wrap type="none"/>
            </v:shape>
            <v:shape style="position:absolute;left:567;top:2944;width:2675;height:153" type="#_x0000_t202" filled="false" stroked="false">
              <v:textbox inset="0,0,0,0">
                <w:txbxContent>
                  <w:p>
                    <w:pPr>
                      <w:spacing w:line="152" w:lineRule="exact" w:before="0"/>
                      <w:ind w:left="0" w:right="0" w:firstLine="0"/>
                      <w:jc w:val="left"/>
                      <w:rPr>
                        <w:b/>
                        <w:sz w:val="15"/>
                      </w:rPr>
                    </w:pPr>
                    <w:r>
                      <w:rPr>
                        <w:b/>
                        <w:color w:val="FFFFFF"/>
                        <w:w w:val="150"/>
                        <w:sz w:val="15"/>
                      </w:rPr>
                      <w:t>Negocios/Sector privado</w:t>
                    </w:r>
                  </w:p>
                </w:txbxContent>
              </v:textbox>
              <w10:wrap type="none"/>
            </v:shape>
            <v:shape style="position:absolute;left:4710;top:3001;width:828;height:297" type="#_x0000_t202" filled="false" stroked="false">
              <v:textbox inset="0,0,0,0">
                <w:txbxContent>
                  <w:p>
                    <w:pPr>
                      <w:spacing w:line="137" w:lineRule="exact" w:before="0"/>
                      <w:ind w:left="0" w:right="0" w:firstLine="0"/>
                      <w:jc w:val="center"/>
                      <w:rPr>
                        <w:b/>
                        <w:sz w:val="13"/>
                      </w:rPr>
                    </w:pPr>
                    <w:r>
                      <w:rPr>
                        <w:b/>
                        <w:color w:val="001F5F"/>
                        <w:w w:val="155"/>
                        <w:sz w:val="13"/>
                      </w:rPr>
                      <w:t>Nada</w:t>
                    </w:r>
                  </w:p>
                  <w:p>
                    <w:pPr>
                      <w:spacing w:line="148" w:lineRule="exact" w:before="12"/>
                      <w:ind w:left="0" w:right="0" w:firstLine="0"/>
                      <w:jc w:val="center"/>
                      <w:rPr>
                        <w:b/>
                        <w:sz w:val="13"/>
                      </w:rPr>
                    </w:pPr>
                    <w:r>
                      <w:rPr>
                        <w:b/>
                        <w:color w:val="001F5F"/>
                        <w:spacing w:val="-1"/>
                        <w:w w:val="155"/>
                        <w:sz w:val="13"/>
                      </w:rPr>
                      <w:t>corrupto</w:t>
                    </w:r>
                  </w:p>
                </w:txbxContent>
              </v:textbox>
              <w10:wrap type="none"/>
            </v:shape>
            <v:shape style="position:absolute;left:6730;top:2814;width:1266;height:622" type="#_x0000_t202" filled="false" stroked="false">
              <v:textbox inset="0,0,0,0">
                <w:txbxContent>
                  <w:p>
                    <w:pPr>
                      <w:tabs>
                        <w:tab w:pos="968" w:val="left" w:leader="none"/>
                      </w:tabs>
                      <w:spacing w:line="137" w:lineRule="exact" w:before="0"/>
                      <w:ind w:left="0" w:right="0" w:firstLine="0"/>
                      <w:jc w:val="left"/>
                      <w:rPr>
                        <w:b/>
                        <w:sz w:val="13"/>
                      </w:rPr>
                    </w:pPr>
                    <w:r>
                      <w:rPr>
                        <w:b/>
                        <w:color w:val="001F5F"/>
                        <w:w w:val="155"/>
                        <w:sz w:val="13"/>
                      </w:rPr>
                      <w:t>México</w:t>
                      <w:tab/>
                      <w:t>3.3</w:t>
                    </w:r>
                  </w:p>
                  <w:p>
                    <w:pPr>
                      <w:tabs>
                        <w:tab w:pos="943" w:val="left" w:leader="none"/>
                      </w:tabs>
                      <w:spacing w:before="13"/>
                      <w:ind w:left="0" w:right="0" w:firstLine="0"/>
                      <w:jc w:val="left"/>
                      <w:rPr>
                        <w:b/>
                        <w:sz w:val="13"/>
                      </w:rPr>
                    </w:pPr>
                    <w:r>
                      <w:rPr>
                        <w:b/>
                        <w:color w:val="001F5F"/>
                        <w:w w:val="155"/>
                        <w:sz w:val="13"/>
                      </w:rPr>
                      <w:t>España</w:t>
                      <w:tab/>
                      <w:t>3.5</w:t>
                    </w:r>
                  </w:p>
                  <w:p>
                    <w:pPr>
                      <w:tabs>
                        <w:tab w:pos="943" w:val="left" w:leader="none"/>
                      </w:tabs>
                      <w:spacing w:before="12"/>
                      <w:ind w:left="0" w:right="0" w:firstLine="0"/>
                      <w:jc w:val="left"/>
                      <w:rPr>
                        <w:b/>
                        <w:sz w:val="13"/>
                      </w:rPr>
                    </w:pPr>
                    <w:r>
                      <w:rPr>
                        <w:b/>
                        <w:color w:val="001F5F"/>
                        <w:w w:val="155"/>
                        <w:sz w:val="13"/>
                      </w:rPr>
                      <w:t>R. Unido</w:t>
                      <w:tab/>
                      <w:t>3.5</w:t>
                    </w:r>
                  </w:p>
                  <w:p>
                    <w:pPr>
                      <w:tabs>
                        <w:tab w:pos="985" w:val="left" w:leader="none"/>
                      </w:tabs>
                      <w:spacing w:line="148" w:lineRule="exact" w:before="12"/>
                      <w:ind w:left="0" w:right="0" w:firstLine="0"/>
                      <w:jc w:val="left"/>
                      <w:rPr>
                        <w:b/>
                        <w:sz w:val="13"/>
                      </w:rPr>
                    </w:pPr>
                    <w:r>
                      <w:rPr>
                        <w:b/>
                        <w:color w:val="001F5F"/>
                        <w:w w:val="155"/>
                        <w:sz w:val="13"/>
                      </w:rPr>
                      <w:t>EUA</w:t>
                      <w:tab/>
                      <w:t>3.6</w:t>
                    </w:r>
                  </w:p>
                </w:txbxContent>
              </v:textbox>
              <w10:wrap type="none"/>
            </v:shape>
          </v:group>
        </w:pict>
      </w:r>
      <w:r>
        <w:rPr>
          <w:sz w:val="20"/>
        </w:rPr>
      </w:r>
    </w:p>
    <w:p>
      <w:pPr>
        <w:spacing w:before="58"/>
        <w:ind w:left="890" w:right="226" w:firstLine="0"/>
        <w:jc w:val="left"/>
        <w:rPr>
          <w:i/>
          <w:sz w:val="12"/>
        </w:rPr>
      </w:pPr>
      <w:r>
        <w:rPr>
          <w:sz w:val="12"/>
        </w:rPr>
        <w:t>FUENTE:     Transparency International, The Global Corruption Barometer 2010, data </w:t>
      </w:r>
      <w:r>
        <w:rPr>
          <w:i/>
          <w:sz w:val="12"/>
        </w:rPr>
        <w:t>set</w:t>
      </w:r>
    </w:p>
    <w:p>
      <w:pPr>
        <w:spacing w:before="20"/>
        <w:ind w:left="890" w:right="3954" w:firstLine="0"/>
        <w:jc w:val="left"/>
        <w:rPr>
          <w:sz w:val="12"/>
        </w:rPr>
      </w:pPr>
      <w:r>
        <w:rPr>
          <w:sz w:val="12"/>
        </w:rPr>
        <w:t>Disponible en: </w:t>
      </w:r>
      <w:hyperlink r:id="rId69">
        <w:r>
          <w:rPr>
            <w:sz w:val="12"/>
          </w:rPr>
          <w:t>http://www.transparency.org/policy_research/surveys_indices/gcb</w:t>
        </w:r>
      </w:hyperlink>
      <w:r>
        <w:rPr>
          <w:sz w:val="12"/>
        </w:rPr>
        <w:t> [Fecha de consulta: 19 de junio, 2015]</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0" w:lineRule="auto" w:before="83"/>
        <w:ind w:left="182" w:right="115" w:firstLine="424"/>
        <w:jc w:val="both"/>
      </w:pPr>
      <w:r>
        <w:rPr/>
        <w:t>México comparte los mismos niveles de precepción de la corrupción en el sistema policial (policía) que Sierra Leona, Sudáfrica, Venezuela y Bangladesh; superados sólo por Paquistán, Nigeria y República Democrática del Congo, por ejemplo.</w:t>
      </w:r>
    </w:p>
    <w:p>
      <w:pPr>
        <w:pStyle w:val="BodyText"/>
      </w:pPr>
    </w:p>
    <w:p>
      <w:pPr>
        <w:pStyle w:val="BodyText"/>
        <w:spacing w:line="360" w:lineRule="auto" w:before="142"/>
        <w:ind w:left="182" w:right="125" w:firstLine="424"/>
        <w:jc w:val="both"/>
      </w:pPr>
      <w:r>
        <w:rPr/>
        <w:t>En la variable Negocios/Sector privado, la precepción de la corrupción en México fue calificada igual de corrupta que Sierra Leona, Turquía y Malasia; sin embargo, es la única variable donde a México se percibe menos corrupto que Estados Unidos, Reino Unido y España.</w:t>
      </w:r>
    </w:p>
    <w:p>
      <w:pPr>
        <w:spacing w:after="0" w:line="360" w:lineRule="auto"/>
        <w:jc w:val="both"/>
        <w:sectPr>
          <w:footerReference w:type="even" r:id="rId71"/>
          <w:footerReference w:type="default" r:id="rId72"/>
          <w:pgSz w:w="12240" w:h="15840"/>
          <w:pgMar w:footer="1003" w:header="0" w:top="1360" w:bottom="1200" w:left="1520" w:right="1580"/>
        </w:sectPr>
      </w:pPr>
    </w:p>
    <w:p>
      <w:pPr>
        <w:pStyle w:val="BodyText"/>
        <w:spacing w:line="362" w:lineRule="auto" w:before="54"/>
        <w:ind w:left="102" w:right="124" w:firstLine="424"/>
        <w:jc w:val="both"/>
      </w:pPr>
      <w:r>
        <w:rPr/>
        <w:t>Los funcionarios y servidores públicos de México obtuvieron la misma calificación en precepción de la corrupción que Pakistán y El Salvador.</w:t>
      </w:r>
    </w:p>
    <w:p>
      <w:pPr>
        <w:pStyle w:val="BodyText"/>
        <w:spacing w:line="360" w:lineRule="auto"/>
        <w:ind w:left="102" w:right="116" w:firstLine="424"/>
        <w:jc w:val="both"/>
      </w:pPr>
      <w:r>
        <w:rPr/>
        <w:t>En</w:t>
      </w:r>
      <w:r>
        <w:rPr>
          <w:spacing w:val="-14"/>
        </w:rPr>
        <w:t> </w:t>
      </w:r>
      <w:r>
        <w:rPr/>
        <w:t>la</w:t>
      </w:r>
      <w:r>
        <w:rPr>
          <w:spacing w:val="-14"/>
        </w:rPr>
        <w:t> </w:t>
      </w:r>
      <w:r>
        <w:rPr/>
        <w:t>variable</w:t>
      </w:r>
      <w:r>
        <w:rPr>
          <w:spacing w:val="-14"/>
        </w:rPr>
        <w:t> </w:t>
      </w:r>
      <w:r>
        <w:rPr/>
        <w:t>Sistema</w:t>
      </w:r>
      <w:r>
        <w:rPr>
          <w:spacing w:val="-16"/>
        </w:rPr>
        <w:t> </w:t>
      </w:r>
      <w:r>
        <w:rPr/>
        <w:t>judicial,</w:t>
      </w:r>
      <w:r>
        <w:rPr>
          <w:spacing w:val="-15"/>
        </w:rPr>
        <w:t> </w:t>
      </w:r>
      <w:r>
        <w:rPr/>
        <w:t>México</w:t>
      </w:r>
      <w:r>
        <w:rPr>
          <w:spacing w:val="-14"/>
        </w:rPr>
        <w:t> </w:t>
      </w:r>
      <w:r>
        <w:rPr/>
        <w:t>fue</w:t>
      </w:r>
      <w:r>
        <w:rPr>
          <w:spacing w:val="-14"/>
        </w:rPr>
        <w:t> </w:t>
      </w:r>
      <w:r>
        <w:rPr/>
        <w:t>mejor</w:t>
      </w:r>
      <w:r>
        <w:rPr>
          <w:spacing w:val="-15"/>
        </w:rPr>
        <w:t> </w:t>
      </w:r>
      <w:r>
        <w:rPr/>
        <w:t>calificado</w:t>
      </w:r>
      <w:r>
        <w:rPr>
          <w:spacing w:val="-14"/>
        </w:rPr>
        <w:t> </w:t>
      </w:r>
      <w:r>
        <w:rPr/>
        <w:t>que</w:t>
      </w:r>
      <w:r>
        <w:rPr>
          <w:spacing w:val="-14"/>
        </w:rPr>
        <w:t> </w:t>
      </w:r>
      <w:r>
        <w:rPr/>
        <w:t>Burundi,</w:t>
      </w:r>
      <w:r>
        <w:rPr>
          <w:spacing w:val="-8"/>
        </w:rPr>
        <w:t> </w:t>
      </w:r>
      <w:r>
        <w:rPr/>
        <w:t>Ucrania y</w:t>
      </w:r>
      <w:r>
        <w:rPr>
          <w:spacing w:val="-9"/>
        </w:rPr>
        <w:t> </w:t>
      </w:r>
      <w:r>
        <w:rPr/>
        <w:t>Perú,</w:t>
      </w:r>
      <w:r>
        <w:rPr>
          <w:spacing w:val="-6"/>
        </w:rPr>
        <w:t> </w:t>
      </w:r>
      <w:r>
        <w:rPr/>
        <w:t>sin</w:t>
      </w:r>
      <w:r>
        <w:rPr>
          <w:spacing w:val="-6"/>
        </w:rPr>
        <w:t> </w:t>
      </w:r>
      <w:r>
        <w:rPr/>
        <w:t>embargo,</w:t>
      </w:r>
      <w:r>
        <w:rPr>
          <w:spacing w:val="-6"/>
        </w:rPr>
        <w:t> </w:t>
      </w:r>
      <w:r>
        <w:rPr/>
        <w:t>obtuvo</w:t>
      </w:r>
      <w:r>
        <w:rPr>
          <w:spacing w:val="-6"/>
        </w:rPr>
        <w:t> </w:t>
      </w:r>
      <w:r>
        <w:rPr/>
        <w:t>la</w:t>
      </w:r>
      <w:r>
        <w:rPr>
          <w:spacing w:val="-6"/>
        </w:rPr>
        <w:t> </w:t>
      </w:r>
      <w:r>
        <w:rPr/>
        <w:t>mayor</w:t>
      </w:r>
      <w:r>
        <w:rPr>
          <w:spacing w:val="-7"/>
        </w:rPr>
        <w:t> </w:t>
      </w:r>
      <w:r>
        <w:rPr/>
        <w:t>percepción</w:t>
      </w:r>
      <w:r>
        <w:rPr>
          <w:spacing w:val="-6"/>
        </w:rPr>
        <w:t> </w:t>
      </w:r>
      <w:r>
        <w:rPr/>
        <w:t>de</w:t>
      </w:r>
      <w:r>
        <w:rPr>
          <w:spacing w:val="-6"/>
        </w:rPr>
        <w:t> </w:t>
      </w:r>
      <w:r>
        <w:rPr/>
        <w:t>corrupción</w:t>
      </w:r>
      <w:r>
        <w:rPr>
          <w:spacing w:val="-6"/>
        </w:rPr>
        <w:t> </w:t>
      </w:r>
      <w:r>
        <w:rPr/>
        <w:t>que</w:t>
      </w:r>
      <w:r>
        <w:rPr>
          <w:spacing w:val="-8"/>
        </w:rPr>
        <w:t> </w:t>
      </w:r>
      <w:r>
        <w:rPr/>
        <w:t>los</w:t>
      </w:r>
      <w:r>
        <w:rPr>
          <w:spacing w:val="-6"/>
        </w:rPr>
        <w:t> </w:t>
      </w:r>
      <w:r>
        <w:rPr/>
        <w:t>5</w:t>
      </w:r>
      <w:r>
        <w:rPr>
          <w:spacing w:val="-6"/>
        </w:rPr>
        <w:t> </w:t>
      </w:r>
      <w:r>
        <w:rPr/>
        <w:t>países</w:t>
      </w:r>
      <w:r>
        <w:rPr>
          <w:spacing w:val="-7"/>
        </w:rPr>
        <w:t> </w:t>
      </w:r>
      <w:r>
        <w:rPr/>
        <w:t>de estudio.</w:t>
      </w:r>
    </w:p>
    <w:p>
      <w:pPr>
        <w:pStyle w:val="BodyText"/>
      </w:pPr>
    </w:p>
    <w:p>
      <w:pPr>
        <w:pStyle w:val="BodyText"/>
      </w:pPr>
    </w:p>
    <w:p>
      <w:pPr>
        <w:pStyle w:val="BodyText"/>
      </w:pPr>
    </w:p>
    <w:p>
      <w:pPr>
        <w:pStyle w:val="BodyText"/>
        <w:spacing w:before="6"/>
        <w:rPr>
          <w:sz w:val="28"/>
        </w:rPr>
      </w:pPr>
    </w:p>
    <w:p>
      <w:pPr>
        <w:spacing w:line="448" w:lineRule="auto" w:before="0"/>
        <w:ind w:left="2197" w:right="0" w:hanging="101"/>
        <w:jc w:val="left"/>
        <w:rPr>
          <w:sz w:val="20"/>
        </w:rPr>
      </w:pPr>
      <w:bookmarkStart w:name="_bookmark30" w:id="41"/>
      <w:bookmarkEnd w:id="41"/>
      <w:r>
        <w:rPr/>
      </w:r>
      <w:r>
        <w:rPr>
          <w:sz w:val="20"/>
        </w:rPr>
        <w:t>Esquema 1.5. Barómetro global de la corrupción, 2010 (Funcionarios/Servidores públicos y sistema judicial)</w:t>
      </w:r>
    </w:p>
    <w:p>
      <w:pPr>
        <w:pStyle w:val="BodyText"/>
        <w:rPr>
          <w:sz w:val="20"/>
        </w:rPr>
      </w:pPr>
    </w:p>
    <w:p>
      <w:pPr>
        <w:pStyle w:val="BodyText"/>
        <w:spacing w:before="2"/>
        <w:rPr>
          <w:sz w:val="21"/>
        </w:rPr>
      </w:pPr>
      <w:r>
        <w:rPr/>
        <w:pict>
          <v:group style="position:absolute;margin-left:90.621078pt;margin-top:14.172324pt;width:425.15pt;height:187.6pt;mso-position-horizontal-relative:page;mso-position-vertical-relative:paragraph;z-index:5152;mso-wrap-distance-left:0;mso-wrap-distance-right:0" coordorigin="1812,283" coordsize="8503,3752">
            <v:shape style="position:absolute;left:1853;top:283;width:8462;height:3751" type="#_x0000_t75" stroked="false">
              <v:imagedata r:id="rId74" o:title=""/>
            </v:shape>
            <v:rect style="position:absolute;left:1980;top:315;width:8294;height:3626" filled="true" fillcolor="#edebe0" stroked="false">
              <v:fill type="solid"/>
            </v:rect>
            <v:shape style="position:absolute;left:1996;top:879;width:8025;height:763" coordorigin="1996,879" coordsize="8025,763" path="m1996,1584l2100,1588,2204,1593,2309,1597,2413,1601,2517,1606,2621,1610,2725,1614,2829,1617,2932,1621,3036,1624,3139,1628,3242,1630,3345,1633,3448,1635,3550,1637,3652,1639,3754,1640,3855,1641,3957,1641,4007,1641,4057,1641,4158,1641,4258,1640,4357,1638,4457,1636,4555,1633,4654,1630,4752,1626,4849,1621,4946,1616,5042,1610,5138,1604,5233,1596,5328,1588,5426,1579,5530,1567,5633,1554,5737,1539,5841,1523,5945,1506,6048,1488,6152,1468,6255,1447,6357,1426,6460,1404,6561,1381,6662,1358,6763,1335,6863,1311,6962,1287,7059,1263,7156,1239,7252,1215,7300,1204,7394,1180,7487,1158,7579,1136,7669,1114,7758,1094,7845,1074,7930,1055,8014,1038,8096,1022,8176,1007,8254,994,8889,922,9447,889,9859,879,10020,879e" filled="false" stroked="true" strokeweight="18.250240pt" strokecolor="#385d89">
              <v:path arrowok="t"/>
            </v:shape>
            <v:shape style="position:absolute;left:1997;top:2808;width:8025;height:764" coordorigin="1997,2808" coordsize="8025,764" path="m1997,3514l2102,3518,2206,3523,2310,3527,2414,3532,2519,3536,2623,3540,2726,3544,2830,3548,2934,3551,3037,3555,3141,3558,3244,3561,3347,3563,3449,3565,3552,3567,3654,3569,3755,3570,3857,3571,3958,3571,4008,3571,4059,3571,4159,3571,4259,3570,4359,3568,4458,3566,4557,3563,4655,3560,4753,3556,4851,3552,4947,3546,5044,3540,5139,3534,5235,3526,5329,3518,5428,3509,5531,3497,5635,3484,5739,3469,5843,3453,5946,3436,6050,3417,6153,3398,6256,3377,6359,3356,6461,3334,6563,3311,6664,3288,6764,3264,6864,3240,6963,3216,7061,3192,7158,3169,7254,3145,7301,3133,7396,3110,7489,3087,7580,3065,7670,3044,7759,3023,7846,3003,7932,2985,8016,2967,8098,2951,8178,2937,8256,2923,8891,2851,9448,2819,9861,2808,10022,2808e" filled="false" stroked="true" strokeweight="18.250417pt" strokecolor="#385d89">
              <v:path arrowok="t"/>
            </v:shape>
            <v:shape style="position:absolute;left:7596;top:1326;width:431;height:551" coordorigin="7596,1326" coordsize="431,551" path="m8026,1721l7596,1721,7811,1876,8026,1721xm7919,1326l7703,1326,7703,1721,7919,1721,7919,1326xe" filled="true" fillcolor="#001f5f" stroked="false">
              <v:path arrowok="t"/>
              <v:fill type="solid"/>
            </v:shape>
            <v:shape style="position:absolute;left:7565;top:1316;width:493;height:573" coordorigin="7565,1316" coordsize="493,573" path="m7691,1712l7565,1712,7811,1889,7838,1870,7802,1870,7811,1863,7627,1730,7596,1730,7605,1714,7691,1714,7691,1712xm7811,1863l7802,1870,7820,1870,7811,1863xm8017,1714l7811,1863,7820,1870,7838,1870,8032,1730,8026,1730,8017,1714xm7605,1714l7596,1730,7627,1730,7605,1714xm7691,1714l7605,1714,7627,1730,7716,1730,7716,1721,7691,1721,7691,1714xm7906,1326l7906,1730,7995,1730,8008,1721,7932,1721,7919,1712,7932,1712,7932,1335,7919,1335,7906,1326xm8054,1714l8017,1714,8026,1730,8032,1730,8054,1714xm7932,1316l7691,1316,7691,1721,7703,1712,7716,1712,7716,1335,7703,1335,7716,1326,7932,1326,7932,1316xm7716,1712l7703,1712,7691,1721,7716,1721,7716,1712xm7932,1712l7919,1712,7932,1721,7932,1712xm8058,1712l7932,1712,7932,1721,8008,1721,8017,1714,8054,1714,8058,1712xm7716,1326l7703,1335,7716,1335,7716,1326xm7906,1326l7716,1326,7716,1335,7906,1335,7906,1326xm7932,1326l7906,1326,7919,1335,7932,1335,7932,1326xe" filled="true" fillcolor="#001f5f" stroked="false">
              <v:path arrowok="t"/>
              <v:fill type="solid"/>
            </v:shape>
            <v:shape style="position:absolute;left:7640;top:3190;width:431;height:550" coordorigin="7640,3190" coordsize="431,550" path="m8070,3584l7640,3584,7855,3740,8070,3584xm7963,3190l7747,3190,7747,3584,7963,3584,7963,3190xe" filled="true" fillcolor="#001f5f" stroked="false">
              <v:path arrowok="t"/>
              <v:fill type="solid"/>
            </v:shape>
            <v:shape style="position:absolute;left:7609;top:3181;width:493;height:572" coordorigin="7609,3181" coordsize="493,572" path="m7735,3575l7609,3575,7855,3753,7882,3733,7846,3733,7855,3726,7671,3594,7640,3594,7649,3578,7735,3578,7735,3575xm7855,3726l7846,3733,7864,3733,7855,3726xm8061,3578l7855,3726,7864,3733,7882,3733,8076,3594,8070,3594,8061,3578xm7649,3578l7640,3594,7671,3594,7649,3578xm7735,3578l7649,3578,7671,3594,7760,3594,7760,3584,7735,3584,7735,3578xm7950,3190l7950,3594,8039,3594,8052,3584,7976,3584,7963,3575,7976,3575,7976,3199,7963,3199,7950,3190xm8098,3578l8061,3578,8070,3594,8076,3594,8098,3578xm7976,3181l7735,3181,7735,3584,7747,3575,7760,3575,7760,3199,7747,3199,7760,3190,7976,3190,7976,3181xm7760,3575l7747,3575,7735,3584,7760,3584,7760,3575xm7976,3575l7963,3575,7976,3584,7976,3575xm8102,3575l7976,3575,7976,3584,8052,3584,8061,3578,8098,3578,8102,3575xm7760,3190l7747,3199,7760,3199,7760,3190xm7950,3190l7760,3190,7760,3199,7950,3199,7950,3190xm7976,3190l7950,3190,7963,3199,7976,3199,7976,3190xe" filled="true" fillcolor="#001f5f" stroked="false">
              <v:path arrowok="t"/>
              <v:fill type="solid"/>
            </v:shape>
            <v:shape style="position:absolute;left:7603;top:328;width:431;height:551" coordorigin="7603,328" coordsize="431,551" path="m7926,483l7711,483,7711,879,7926,879,7926,483xm7819,328l7603,483,8034,483,7819,328xe" filled="true" fillcolor="#c00000" stroked="false">
              <v:path arrowok="t"/>
              <v:fill type="solid"/>
            </v:shape>
            <v:shape style="position:absolute;left:7572;top:315;width:493;height:573" coordorigin="7572,315" coordsize="493,573" path="m7698,483l7698,888,7939,888,7939,879,7724,879,7711,870,7724,870,7724,493,7711,493,7698,483xm7724,870l7711,870,7724,879,7724,870xm7913,870l7724,870,7724,879,7913,879,7913,870xm8003,474l7913,474,7913,879,7926,870,7939,870,7939,493,7926,493,7939,483,8016,483,8003,474xm7939,870l7926,870,7913,879,7939,879,7939,870xm7819,315l7572,493,7698,493,7698,490,7612,490,7603,474,7634,474,7819,341,7810,335,7846,335,7819,315xm7724,483l7698,483,7711,493,7724,493,7724,483xm7939,483l7926,493,7939,493,7939,483xm8016,483l7939,483,7939,493,8065,493,8061,490,8025,490,8016,483xm7634,474l7603,474,7612,490,7634,474xm7724,474l7634,474,7612,490,7698,490,7698,483,7724,483,7724,474xm7846,335l7828,335,7819,341,8025,490,8034,474,8039,474,7846,335xm8039,474l8034,474,8025,490,8061,490,8039,474xm7828,335l7810,335,7819,341,7828,335xe" filled="true" fillcolor="#c00000" stroked="false">
              <v:path arrowok="t"/>
              <v:fill type="solid"/>
            </v:shape>
            <v:shape style="position:absolute;left:7603;top:2258;width:431;height:550" coordorigin="7603,2258" coordsize="431,550" path="m7926,2414l7711,2414,7711,2808,7926,2808,7926,2414xm7819,2258l7603,2414,8034,2414,7819,2258xe" filled="true" fillcolor="#c00000" stroked="false">
              <v:path arrowok="t"/>
              <v:fill type="solid"/>
            </v:shape>
            <v:shape style="position:absolute;left:7572;top:2245;width:493;height:572" coordorigin="7572,2245" coordsize="493,572" path="m7698,2414l7698,2817,7939,2817,7939,2808,7724,2808,7711,2799,7724,2799,7724,2423,7711,2423,7698,2414xm7724,2799l7711,2799,7724,2808,7724,2799xm7913,2799l7724,2799,7724,2808,7913,2808,7913,2799xm8003,2404l7913,2404,7913,2808,7926,2799,7939,2799,7939,2423,7926,2423,7939,2414,8016,2414,8003,2404xm7939,2799l7926,2799,7913,2808,7939,2808,7939,2799xm7819,2245l7572,2423,7698,2423,7698,2420,7612,2420,7603,2404,7634,2404,7819,2272,7810,2265,7846,2265,7819,2245xm7724,2414l7698,2414,7711,2423,7724,2423,7724,2414xm7939,2414l7926,2423,7939,2423,7939,2414xm8016,2414l7939,2414,7939,2423,8065,2423,8061,2420,8025,2420,8016,2414xm7634,2404l7603,2404,7612,2420,7634,2404xm7724,2404l7634,2404,7612,2420,7698,2420,7698,2414,7724,2414,7724,2404xm7846,2265l7828,2265,7819,2272,8025,2420,8034,2404,8039,2404,7846,2265xm8039,2404l8034,2404,8025,2420,8061,2420,8039,2404xm7828,2265l7810,2265,7819,2272,7828,2265xe" filled="true" fillcolor="#c00000" stroked="false">
              <v:path arrowok="t"/>
              <v:fill type="solid"/>
            </v:shape>
            <v:shape style="position:absolute;left:5835;top:594;width:1625;height:321" type="#_x0000_t202" filled="false" stroked="false">
              <v:textbox inset="0,0,0,0">
                <w:txbxContent>
                  <w:p>
                    <w:pPr>
                      <w:spacing w:line="147" w:lineRule="exact" w:before="0"/>
                      <w:ind w:left="0" w:right="0" w:firstLine="0"/>
                      <w:jc w:val="center"/>
                      <w:rPr>
                        <w:b/>
                        <w:sz w:val="14"/>
                      </w:rPr>
                    </w:pPr>
                    <w:r>
                      <w:rPr>
                        <w:b/>
                        <w:color w:val="C00000"/>
                        <w:spacing w:val="-1"/>
                        <w:w w:val="145"/>
                        <w:sz w:val="14"/>
                      </w:rPr>
                      <w:t>Extremadamente</w:t>
                    </w:r>
                  </w:p>
                  <w:p>
                    <w:pPr>
                      <w:spacing w:line="159" w:lineRule="exact" w:before="14"/>
                      <w:ind w:left="0" w:right="0" w:firstLine="0"/>
                      <w:jc w:val="center"/>
                      <w:rPr>
                        <w:b/>
                        <w:sz w:val="14"/>
                      </w:rPr>
                    </w:pPr>
                    <w:r>
                      <w:rPr>
                        <w:b/>
                        <w:color w:val="C00000"/>
                        <w:w w:val="145"/>
                        <w:sz w:val="14"/>
                      </w:rPr>
                      <w:t>corrupto</w:t>
                    </w:r>
                  </w:p>
                </w:txbxContent>
              </v:textbox>
              <w10:wrap type="none"/>
            </v:shape>
            <v:shape style="position:absolute;left:8246;top:384;width:1578;height:903" type="#_x0000_t202" filled="false" stroked="false">
              <v:textbox inset="0,0,0,0">
                <w:txbxContent>
                  <w:p>
                    <w:pPr>
                      <w:tabs>
                        <w:tab w:pos="1281" w:val="left" w:leader="none"/>
                      </w:tabs>
                      <w:spacing w:line="147" w:lineRule="exact" w:before="0"/>
                      <w:ind w:left="369" w:right="0" w:firstLine="0"/>
                      <w:jc w:val="left"/>
                      <w:rPr>
                        <w:b/>
                        <w:sz w:val="14"/>
                      </w:rPr>
                    </w:pPr>
                    <w:r>
                      <w:rPr>
                        <w:b/>
                        <w:color w:val="C00000"/>
                        <w:w w:val="145"/>
                        <w:sz w:val="14"/>
                      </w:rPr>
                      <w:t>México</w:t>
                      <w:tab/>
                      <w:t>4.2</w:t>
                    </w:r>
                  </w:p>
                  <w:p>
                    <w:pPr>
                      <w:tabs>
                        <w:tab w:pos="1577" w:val="right" w:leader="none"/>
                      </w:tabs>
                      <w:spacing w:before="13"/>
                      <w:ind w:left="369" w:right="0" w:firstLine="0"/>
                      <w:jc w:val="left"/>
                      <w:rPr>
                        <w:b/>
                        <w:sz w:val="14"/>
                      </w:rPr>
                    </w:pPr>
                    <w:r>
                      <w:rPr>
                        <w:b/>
                        <w:color w:val="C00000"/>
                        <w:w w:val="145"/>
                        <w:sz w:val="14"/>
                      </w:rPr>
                      <w:t>EUA</w:t>
                      <w:tab/>
                      <w:t>3.8</w:t>
                    </w:r>
                  </w:p>
                  <w:p>
                    <w:pPr>
                      <w:tabs>
                        <w:tab w:pos="1554" w:val="right" w:leader="none"/>
                      </w:tabs>
                      <w:spacing w:before="82"/>
                      <w:ind w:left="0" w:right="0" w:firstLine="0"/>
                      <w:jc w:val="left"/>
                      <w:rPr>
                        <w:b/>
                        <w:sz w:val="16"/>
                      </w:rPr>
                    </w:pPr>
                    <w:r>
                      <w:rPr>
                        <w:b/>
                        <w:color w:val="FFFFFF"/>
                        <w:w w:val="140"/>
                        <w:sz w:val="16"/>
                      </w:rPr>
                      <w:t>Promedio</w:t>
                      <w:tab/>
                      <w:t>3.5</w:t>
                    </w:r>
                  </w:p>
                  <w:p>
                    <w:pPr>
                      <w:tabs>
                        <w:tab w:pos="1577" w:val="right" w:leader="none"/>
                      </w:tabs>
                      <w:spacing w:line="159" w:lineRule="exact" w:before="155"/>
                      <w:ind w:left="353" w:right="0" w:firstLine="0"/>
                      <w:jc w:val="left"/>
                      <w:rPr>
                        <w:b/>
                        <w:sz w:val="14"/>
                      </w:rPr>
                    </w:pPr>
                    <w:r>
                      <w:rPr>
                        <w:b/>
                        <w:color w:val="001F5F"/>
                        <w:w w:val="145"/>
                        <w:sz w:val="14"/>
                      </w:rPr>
                      <w:t>España</w:t>
                      <w:tab/>
                      <w:t>3.5</w:t>
                    </w:r>
                  </w:p>
                </w:txbxContent>
              </v:textbox>
              <w10:wrap type="none"/>
            </v:shape>
            <v:shape style="position:absolute;left:2241;top:1530;width:2706;height:164" type="#_x0000_t202" filled="false" stroked="false">
              <v:textbox inset="0,0,0,0">
                <w:txbxContent>
                  <w:p>
                    <w:pPr>
                      <w:spacing w:line="164" w:lineRule="exact" w:before="0"/>
                      <w:ind w:left="0" w:right="0" w:firstLine="0"/>
                      <w:jc w:val="left"/>
                      <w:rPr>
                        <w:b/>
                        <w:sz w:val="16"/>
                      </w:rPr>
                    </w:pPr>
                    <w:r>
                      <w:rPr>
                        <w:b/>
                        <w:color w:val="FFFFFF"/>
                        <w:w w:val="140"/>
                        <w:sz w:val="16"/>
                      </w:rPr>
                      <w:t>Funcionarios/S. públicos</w:t>
                    </w:r>
                  </w:p>
                </w:txbxContent>
              </v:textbox>
              <w10:wrap type="none"/>
            </v:shape>
            <v:shape style="position:absolute;left:8600;top:1317;width:1236;height:321" type="#_x0000_t202" filled="false" stroked="false">
              <v:textbox inset="0,0,0,0">
                <w:txbxContent>
                  <w:p>
                    <w:pPr>
                      <w:spacing w:line="147" w:lineRule="exact" w:before="0"/>
                      <w:ind w:left="0" w:right="-17" w:firstLine="0"/>
                      <w:jc w:val="left"/>
                      <w:rPr>
                        <w:b/>
                        <w:sz w:val="14"/>
                      </w:rPr>
                    </w:pPr>
                    <w:r>
                      <w:rPr>
                        <w:b/>
                        <w:color w:val="001F5F"/>
                        <w:w w:val="145"/>
                        <w:sz w:val="14"/>
                      </w:rPr>
                      <w:t>R. Unido 3.4</w:t>
                    </w:r>
                  </w:p>
                  <w:p>
                    <w:pPr>
                      <w:spacing w:line="159" w:lineRule="exact" w:before="13"/>
                      <w:ind w:left="0" w:right="-17" w:firstLine="0"/>
                      <w:jc w:val="left"/>
                      <w:rPr>
                        <w:b/>
                        <w:sz w:val="14"/>
                      </w:rPr>
                    </w:pPr>
                    <w:r>
                      <w:rPr>
                        <w:b/>
                        <w:color w:val="001F5F"/>
                        <w:w w:val="145"/>
                        <w:sz w:val="14"/>
                      </w:rPr>
                      <w:t>Alemania</w:t>
                    </w:r>
                    <w:r>
                      <w:rPr>
                        <w:b/>
                        <w:color w:val="001F5F"/>
                        <w:spacing w:val="-9"/>
                        <w:w w:val="145"/>
                        <w:sz w:val="14"/>
                      </w:rPr>
                      <w:t> </w:t>
                    </w:r>
                    <w:r>
                      <w:rPr>
                        <w:b/>
                        <w:color w:val="001F5F"/>
                        <w:w w:val="145"/>
                        <w:sz w:val="14"/>
                      </w:rPr>
                      <w:t>3.2</w:t>
                    </w:r>
                  </w:p>
                </w:txbxContent>
              </v:textbox>
              <w10:wrap type="none"/>
            </v:shape>
            <v:shape style="position:absolute;left:6401;top:1658;width:829;height:321" type="#_x0000_t202" filled="false" stroked="false">
              <v:textbox inset="0,0,0,0">
                <w:txbxContent>
                  <w:p>
                    <w:pPr>
                      <w:spacing w:line="148" w:lineRule="exact" w:before="0"/>
                      <w:ind w:left="0" w:right="0" w:firstLine="0"/>
                      <w:jc w:val="center"/>
                      <w:rPr>
                        <w:b/>
                        <w:sz w:val="14"/>
                      </w:rPr>
                    </w:pPr>
                    <w:r>
                      <w:rPr>
                        <w:b/>
                        <w:color w:val="001F5F"/>
                        <w:w w:val="145"/>
                        <w:sz w:val="14"/>
                      </w:rPr>
                      <w:t>Nada</w:t>
                    </w:r>
                  </w:p>
                  <w:p>
                    <w:pPr>
                      <w:spacing w:line="159" w:lineRule="exact" w:before="13"/>
                      <w:ind w:left="0" w:right="0" w:firstLine="0"/>
                      <w:jc w:val="center"/>
                      <w:rPr>
                        <w:b/>
                        <w:sz w:val="14"/>
                      </w:rPr>
                    </w:pPr>
                    <w:r>
                      <w:rPr>
                        <w:b/>
                        <w:color w:val="001F5F"/>
                        <w:spacing w:val="-1"/>
                        <w:w w:val="145"/>
                        <w:sz w:val="14"/>
                      </w:rPr>
                      <w:t>corrupto</w:t>
                    </w:r>
                  </w:p>
                </w:txbxContent>
              </v:textbox>
              <w10:wrap type="none"/>
            </v:shape>
            <v:shape style="position:absolute;left:6004;top:2524;width:1625;height:321" type="#_x0000_t202" filled="false" stroked="false">
              <v:textbox inset="0,0,0,0">
                <w:txbxContent>
                  <w:p>
                    <w:pPr>
                      <w:spacing w:line="147" w:lineRule="exact" w:before="0"/>
                      <w:ind w:left="0" w:right="0" w:firstLine="0"/>
                      <w:jc w:val="center"/>
                      <w:rPr>
                        <w:b/>
                        <w:sz w:val="14"/>
                      </w:rPr>
                    </w:pPr>
                    <w:r>
                      <w:rPr>
                        <w:b/>
                        <w:color w:val="C00000"/>
                        <w:spacing w:val="-1"/>
                        <w:w w:val="145"/>
                        <w:sz w:val="14"/>
                      </w:rPr>
                      <w:t>Extremadamente</w:t>
                    </w:r>
                  </w:p>
                  <w:p>
                    <w:pPr>
                      <w:spacing w:line="159" w:lineRule="exact" w:before="13"/>
                      <w:ind w:left="0" w:right="1" w:firstLine="0"/>
                      <w:jc w:val="center"/>
                      <w:rPr>
                        <w:b/>
                        <w:sz w:val="14"/>
                      </w:rPr>
                    </w:pPr>
                    <w:r>
                      <w:rPr>
                        <w:b/>
                        <w:color w:val="C00000"/>
                        <w:w w:val="145"/>
                        <w:sz w:val="14"/>
                      </w:rPr>
                      <w:t>corrupto</w:t>
                    </w:r>
                  </w:p>
                </w:txbxContent>
              </v:textbox>
              <w10:wrap type="none"/>
            </v:shape>
            <v:shape style="position:absolute;left:8107;top:2122;width:1734;height:1319" type="#_x0000_t202" filled="false" stroked="false">
              <v:textbox inset="0,0,0,0">
                <w:txbxContent>
                  <w:p>
                    <w:pPr>
                      <w:tabs>
                        <w:tab w:pos="1420" w:val="left" w:leader="none"/>
                      </w:tabs>
                      <w:spacing w:line="147" w:lineRule="exact" w:before="0"/>
                      <w:ind w:left="507" w:right="0" w:firstLine="0"/>
                      <w:jc w:val="left"/>
                      <w:rPr>
                        <w:b/>
                        <w:sz w:val="14"/>
                      </w:rPr>
                    </w:pPr>
                    <w:r>
                      <w:rPr>
                        <w:b/>
                        <w:color w:val="C00000"/>
                        <w:w w:val="145"/>
                        <w:sz w:val="14"/>
                      </w:rPr>
                      <w:t>México</w:t>
                      <w:tab/>
                      <w:t>4.3</w:t>
                    </w:r>
                  </w:p>
                  <w:p>
                    <w:pPr>
                      <w:tabs>
                        <w:tab w:pos="1718" w:val="right" w:leader="none"/>
                      </w:tabs>
                      <w:spacing w:before="13"/>
                      <w:ind w:left="507" w:right="0" w:firstLine="0"/>
                      <w:jc w:val="left"/>
                      <w:rPr>
                        <w:b/>
                        <w:sz w:val="14"/>
                      </w:rPr>
                    </w:pPr>
                    <w:r>
                      <w:rPr>
                        <w:b/>
                        <w:color w:val="C00000"/>
                        <w:w w:val="145"/>
                        <w:sz w:val="14"/>
                      </w:rPr>
                      <w:t>EUA</w:t>
                      <w:tab/>
                      <w:t>3.4</w:t>
                    </w:r>
                  </w:p>
                  <w:p>
                    <w:pPr>
                      <w:tabs>
                        <w:tab w:pos="1733" w:val="right" w:leader="none"/>
                      </w:tabs>
                      <w:spacing w:before="13"/>
                      <w:ind w:left="507" w:right="0" w:firstLine="0"/>
                      <w:jc w:val="left"/>
                      <w:rPr>
                        <w:b/>
                        <w:sz w:val="14"/>
                      </w:rPr>
                    </w:pPr>
                    <w:r>
                      <w:rPr>
                        <w:b/>
                        <w:color w:val="C00000"/>
                        <w:w w:val="145"/>
                        <w:sz w:val="14"/>
                      </w:rPr>
                      <w:t>España</w:t>
                      <w:tab/>
                      <w:t>3.4</w:t>
                    </w:r>
                  </w:p>
                  <w:p>
                    <w:pPr>
                      <w:tabs>
                        <w:tab w:pos="1554" w:val="right" w:leader="none"/>
                      </w:tabs>
                      <w:spacing w:before="99"/>
                      <w:ind w:left="0" w:right="0" w:firstLine="0"/>
                      <w:jc w:val="left"/>
                      <w:rPr>
                        <w:b/>
                        <w:sz w:val="16"/>
                      </w:rPr>
                    </w:pPr>
                    <w:r>
                      <w:rPr>
                        <w:b/>
                        <w:color w:val="FFFFFF"/>
                        <w:w w:val="140"/>
                        <w:sz w:val="16"/>
                      </w:rPr>
                      <w:t>Promedio</w:t>
                      <w:tab/>
                      <w:t>3.3</w:t>
                    </w:r>
                  </w:p>
                  <w:p>
                    <w:pPr>
                      <w:tabs>
                        <w:tab w:pos="1716" w:val="right" w:leader="none"/>
                      </w:tabs>
                      <w:spacing w:before="204"/>
                      <w:ind w:left="492" w:right="0" w:firstLine="0"/>
                      <w:jc w:val="left"/>
                      <w:rPr>
                        <w:b/>
                        <w:sz w:val="14"/>
                      </w:rPr>
                    </w:pPr>
                    <w:r>
                      <w:rPr>
                        <w:b/>
                        <w:color w:val="001F5F"/>
                        <w:w w:val="145"/>
                        <w:sz w:val="14"/>
                      </w:rPr>
                      <w:t>R.</w:t>
                    </w:r>
                    <w:r>
                      <w:rPr>
                        <w:b/>
                        <w:color w:val="001F5F"/>
                        <w:spacing w:val="-3"/>
                        <w:w w:val="145"/>
                        <w:sz w:val="14"/>
                      </w:rPr>
                      <w:t> </w:t>
                    </w:r>
                    <w:r>
                      <w:rPr>
                        <w:b/>
                        <w:color w:val="001F5F"/>
                        <w:w w:val="145"/>
                        <w:sz w:val="14"/>
                      </w:rPr>
                      <w:t>Unido</w:t>
                      <w:tab/>
                      <w:t>2.8</w:t>
                    </w:r>
                  </w:p>
                  <w:p>
                    <w:pPr>
                      <w:spacing w:line="159" w:lineRule="exact" w:before="13"/>
                      <w:ind w:left="492" w:right="-20" w:firstLine="0"/>
                      <w:jc w:val="left"/>
                      <w:rPr>
                        <w:b/>
                        <w:sz w:val="14"/>
                      </w:rPr>
                    </w:pPr>
                    <w:r>
                      <w:rPr>
                        <w:b/>
                        <w:color w:val="001F5F"/>
                        <w:w w:val="145"/>
                        <w:sz w:val="14"/>
                      </w:rPr>
                      <w:t>Alemania 2.4</w:t>
                    </w:r>
                  </w:p>
                </w:txbxContent>
              </v:textbox>
              <w10:wrap type="none"/>
            </v:shape>
            <v:shape style="position:absolute;left:2393;top:3454;width:1720;height:164" type="#_x0000_t202" filled="false" stroked="false">
              <v:textbox inset="0,0,0,0">
                <w:txbxContent>
                  <w:p>
                    <w:pPr>
                      <w:spacing w:line="164" w:lineRule="exact" w:before="0"/>
                      <w:ind w:left="0" w:right="0" w:firstLine="0"/>
                      <w:jc w:val="left"/>
                      <w:rPr>
                        <w:b/>
                        <w:sz w:val="16"/>
                      </w:rPr>
                    </w:pPr>
                    <w:r>
                      <w:rPr>
                        <w:b/>
                        <w:color w:val="FFFFFF"/>
                        <w:w w:val="140"/>
                        <w:sz w:val="16"/>
                      </w:rPr>
                      <w:t>Sistema judicial</w:t>
                    </w:r>
                  </w:p>
                </w:txbxContent>
              </v:textbox>
              <w10:wrap type="none"/>
            </v:shape>
            <v:shape style="position:absolute;left:6674;top:3529;width:830;height:321" type="#_x0000_t202" filled="false" stroked="false">
              <v:textbox inset="0,0,0,0">
                <w:txbxContent>
                  <w:p>
                    <w:pPr>
                      <w:spacing w:line="147" w:lineRule="exact" w:before="0"/>
                      <w:ind w:left="0" w:right="0" w:firstLine="0"/>
                      <w:jc w:val="center"/>
                      <w:rPr>
                        <w:b/>
                        <w:sz w:val="14"/>
                      </w:rPr>
                    </w:pPr>
                    <w:r>
                      <w:rPr>
                        <w:b/>
                        <w:color w:val="001F5F"/>
                        <w:w w:val="145"/>
                        <w:sz w:val="14"/>
                      </w:rPr>
                      <w:t>Nada</w:t>
                    </w:r>
                  </w:p>
                  <w:p>
                    <w:pPr>
                      <w:spacing w:line="159" w:lineRule="exact" w:before="14"/>
                      <w:ind w:left="0" w:right="0" w:firstLine="0"/>
                      <w:jc w:val="center"/>
                      <w:rPr>
                        <w:b/>
                        <w:sz w:val="14"/>
                      </w:rPr>
                    </w:pPr>
                    <w:r>
                      <w:rPr>
                        <w:b/>
                        <w:color w:val="001F5F"/>
                        <w:spacing w:val="-1"/>
                        <w:w w:val="145"/>
                        <w:sz w:val="14"/>
                      </w:rPr>
                      <w:t>corrupto</w:t>
                    </w:r>
                  </w:p>
                </w:txbxContent>
              </v:textbox>
              <w10:wrap type="none"/>
            </v:shape>
            <w10:wrap type="topAndBottom"/>
          </v:group>
        </w:pict>
      </w:r>
    </w:p>
    <w:p>
      <w:pPr>
        <w:pStyle w:val="BodyText"/>
        <w:spacing w:before="2"/>
        <w:rPr>
          <w:sz w:val="17"/>
        </w:rPr>
      </w:pPr>
    </w:p>
    <w:p>
      <w:pPr>
        <w:spacing w:before="0"/>
        <w:ind w:left="810" w:right="0" w:firstLine="0"/>
        <w:jc w:val="left"/>
        <w:rPr>
          <w:i/>
          <w:sz w:val="12"/>
        </w:rPr>
      </w:pPr>
      <w:r>
        <w:rPr>
          <w:sz w:val="12"/>
        </w:rPr>
        <w:t>FUENTE:     Transparency International, The Global Corruption Barometer 2010, data </w:t>
      </w:r>
      <w:r>
        <w:rPr>
          <w:i/>
          <w:sz w:val="12"/>
        </w:rPr>
        <w:t>set</w:t>
      </w:r>
    </w:p>
    <w:p>
      <w:pPr>
        <w:spacing w:before="20"/>
        <w:ind w:left="843" w:right="3955" w:hanging="34"/>
        <w:jc w:val="left"/>
        <w:rPr>
          <w:sz w:val="12"/>
        </w:rPr>
      </w:pPr>
      <w:r>
        <w:rPr>
          <w:sz w:val="12"/>
        </w:rPr>
        <w:t>Disponible en: </w:t>
      </w:r>
      <w:hyperlink r:id="rId69">
        <w:r>
          <w:rPr>
            <w:sz w:val="12"/>
          </w:rPr>
          <w:t>http://www.transparency.org/policy_research/surveys_indices/gcb</w:t>
        </w:r>
      </w:hyperlink>
      <w:r>
        <w:rPr>
          <w:sz w:val="12"/>
        </w:rPr>
        <w:t> [Fecha de consulta: 25 de junio, 2015]</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0" w:lineRule="auto" w:before="83"/>
        <w:ind w:left="102" w:right="123" w:firstLine="424"/>
        <w:jc w:val="right"/>
      </w:pPr>
      <w:r>
        <w:rPr/>
        <w:t>La</w:t>
      </w:r>
      <w:r>
        <w:rPr>
          <w:spacing w:val="31"/>
        </w:rPr>
        <w:t> </w:t>
      </w:r>
      <w:r>
        <w:rPr/>
        <w:t>encuesta</w:t>
      </w:r>
      <w:r>
        <w:rPr>
          <w:spacing w:val="29"/>
        </w:rPr>
        <w:t> </w:t>
      </w:r>
      <w:r>
        <w:rPr/>
        <w:t>afirmó</w:t>
      </w:r>
      <w:r>
        <w:rPr>
          <w:spacing w:val="31"/>
        </w:rPr>
        <w:t> </w:t>
      </w:r>
      <w:r>
        <w:rPr/>
        <w:t>que</w:t>
      </w:r>
      <w:r>
        <w:rPr>
          <w:spacing w:val="31"/>
        </w:rPr>
        <w:t> </w:t>
      </w:r>
      <w:r>
        <w:rPr/>
        <w:t>hay</w:t>
      </w:r>
      <w:r>
        <w:rPr>
          <w:spacing w:val="28"/>
        </w:rPr>
        <w:t> </w:t>
      </w:r>
      <w:r>
        <w:rPr/>
        <w:t>un</w:t>
      </w:r>
      <w:r>
        <w:rPr>
          <w:spacing w:val="29"/>
        </w:rPr>
        <w:t> </w:t>
      </w:r>
      <w:r>
        <w:rPr/>
        <w:t>aumento</w:t>
      </w:r>
      <w:r>
        <w:rPr>
          <w:spacing w:val="29"/>
        </w:rPr>
        <w:t> </w:t>
      </w:r>
      <w:r>
        <w:rPr/>
        <w:t>de</w:t>
      </w:r>
      <w:r>
        <w:rPr>
          <w:spacing w:val="31"/>
        </w:rPr>
        <w:t> </w:t>
      </w:r>
      <w:r>
        <w:rPr/>
        <w:t>los</w:t>
      </w:r>
      <w:r>
        <w:rPr>
          <w:spacing w:val="31"/>
        </w:rPr>
        <w:t> </w:t>
      </w:r>
      <w:r>
        <w:rPr/>
        <w:t>niveles</w:t>
      </w:r>
      <w:r>
        <w:rPr>
          <w:spacing w:val="31"/>
        </w:rPr>
        <w:t> </w:t>
      </w:r>
      <w:r>
        <w:rPr/>
        <w:t>de</w:t>
      </w:r>
      <w:r>
        <w:rPr>
          <w:spacing w:val="29"/>
        </w:rPr>
        <w:t> </w:t>
      </w:r>
      <w:r>
        <w:rPr/>
        <w:t>percepción</w:t>
      </w:r>
      <w:r>
        <w:rPr>
          <w:spacing w:val="29"/>
        </w:rPr>
        <w:t> </w:t>
      </w:r>
      <w:r>
        <w:rPr/>
        <w:t>de</w:t>
      </w:r>
      <w:r>
        <w:rPr>
          <w:spacing w:val="31"/>
        </w:rPr>
        <w:t> </w:t>
      </w:r>
      <w:r>
        <w:rPr/>
        <w:t>la</w:t>
      </w:r>
      <w:r>
        <w:rPr>
          <w:w w:val="99"/>
        </w:rPr>
        <w:t> </w:t>
      </w:r>
      <w:r>
        <w:rPr/>
        <w:t>corrupción</w:t>
      </w:r>
      <w:r>
        <w:rPr>
          <w:spacing w:val="39"/>
        </w:rPr>
        <w:t> </w:t>
      </w:r>
      <w:r>
        <w:rPr/>
        <w:t>con</w:t>
      </w:r>
      <w:r>
        <w:rPr>
          <w:spacing w:val="39"/>
        </w:rPr>
        <w:t> </w:t>
      </w:r>
      <w:r>
        <w:rPr/>
        <w:t>respecto</w:t>
      </w:r>
      <w:r>
        <w:rPr>
          <w:spacing w:val="39"/>
        </w:rPr>
        <w:t> </w:t>
      </w:r>
      <w:r>
        <w:rPr/>
        <w:t>de</w:t>
      </w:r>
      <w:r>
        <w:rPr>
          <w:spacing w:val="39"/>
        </w:rPr>
        <w:t> </w:t>
      </w:r>
      <w:r>
        <w:rPr/>
        <w:t>los</w:t>
      </w:r>
      <w:r>
        <w:rPr>
          <w:spacing w:val="38"/>
        </w:rPr>
        <w:t> </w:t>
      </w:r>
      <w:r>
        <w:rPr/>
        <w:t>tres</w:t>
      </w:r>
      <w:r>
        <w:rPr>
          <w:spacing w:val="38"/>
        </w:rPr>
        <w:t> </w:t>
      </w:r>
      <w:r>
        <w:rPr/>
        <w:t>años</w:t>
      </w:r>
      <w:r>
        <w:rPr>
          <w:spacing w:val="38"/>
        </w:rPr>
        <w:t> </w:t>
      </w:r>
      <w:r>
        <w:rPr/>
        <w:t>previos</w:t>
      </w:r>
      <w:r>
        <w:rPr>
          <w:spacing w:val="38"/>
        </w:rPr>
        <w:t> </w:t>
      </w:r>
      <w:r>
        <w:rPr/>
        <w:t>al</w:t>
      </w:r>
      <w:r>
        <w:rPr>
          <w:spacing w:val="37"/>
        </w:rPr>
        <w:t> </w:t>
      </w:r>
      <w:r>
        <w:rPr/>
        <w:t>estudio.</w:t>
      </w:r>
      <w:r>
        <w:rPr>
          <w:spacing w:val="39"/>
        </w:rPr>
        <w:t> </w:t>
      </w:r>
      <w:r>
        <w:rPr/>
        <w:t>En</w:t>
      </w:r>
      <w:r>
        <w:rPr>
          <w:spacing w:val="39"/>
        </w:rPr>
        <w:t> </w:t>
      </w:r>
      <w:r>
        <w:rPr/>
        <w:t>ese</w:t>
      </w:r>
      <w:r>
        <w:rPr>
          <w:spacing w:val="39"/>
        </w:rPr>
        <w:t> </w:t>
      </w:r>
      <w:r>
        <w:rPr/>
        <w:t>sentido,</w:t>
      </w:r>
      <w:r>
        <w:rPr>
          <w:spacing w:val="38"/>
        </w:rPr>
        <w:t> </w:t>
      </w:r>
      <w:r>
        <w:rPr/>
        <w:t>la</w:t>
      </w:r>
      <w:r>
        <w:rPr>
          <w:w w:val="99"/>
        </w:rPr>
        <w:t> </w:t>
      </w:r>
      <w:r>
        <w:rPr/>
        <w:t>organización</w:t>
      </w:r>
      <w:r>
        <w:rPr>
          <w:spacing w:val="-9"/>
        </w:rPr>
        <w:t> </w:t>
      </w:r>
      <w:r>
        <w:rPr/>
        <w:t>consideró</w:t>
      </w:r>
      <w:r>
        <w:rPr>
          <w:spacing w:val="-9"/>
        </w:rPr>
        <w:t> </w:t>
      </w:r>
      <w:r>
        <w:rPr/>
        <w:t>que</w:t>
      </w:r>
      <w:r>
        <w:rPr>
          <w:spacing w:val="-12"/>
        </w:rPr>
        <w:t> </w:t>
      </w:r>
      <w:r>
        <w:rPr/>
        <w:t>la</w:t>
      </w:r>
      <w:r>
        <w:rPr>
          <w:spacing w:val="-12"/>
        </w:rPr>
        <w:t> </w:t>
      </w:r>
      <w:r>
        <w:rPr/>
        <w:t>corrupción</w:t>
      </w:r>
      <w:r>
        <w:rPr>
          <w:spacing w:val="-14"/>
        </w:rPr>
        <w:t> </w:t>
      </w:r>
      <w:r>
        <w:rPr/>
        <w:t>frustra</w:t>
      </w:r>
      <w:r>
        <w:rPr>
          <w:spacing w:val="-10"/>
        </w:rPr>
        <w:t> </w:t>
      </w:r>
      <w:r>
        <w:rPr/>
        <w:t>el</w:t>
      </w:r>
      <w:r>
        <w:rPr>
          <w:spacing w:val="-13"/>
        </w:rPr>
        <w:t> </w:t>
      </w:r>
      <w:r>
        <w:rPr/>
        <w:t>acceso</w:t>
      </w:r>
      <w:r>
        <w:rPr>
          <w:spacing w:val="-12"/>
        </w:rPr>
        <w:t> </w:t>
      </w:r>
      <w:r>
        <w:rPr/>
        <w:t>a</w:t>
      </w:r>
      <w:r>
        <w:rPr>
          <w:spacing w:val="-12"/>
        </w:rPr>
        <w:t> </w:t>
      </w:r>
      <w:r>
        <w:rPr/>
        <w:t>servicios</w:t>
      </w:r>
      <w:r>
        <w:rPr>
          <w:spacing w:val="-10"/>
        </w:rPr>
        <w:t> </w:t>
      </w:r>
      <w:r>
        <w:rPr/>
        <w:t>básicos</w:t>
      </w:r>
      <w:r>
        <w:rPr>
          <w:spacing w:val="-12"/>
        </w:rPr>
        <w:t> </w:t>
      </w:r>
      <w:r>
        <w:rPr/>
        <w:t>y</w:t>
      </w:r>
      <w:r>
        <w:rPr>
          <w:spacing w:val="-13"/>
        </w:rPr>
        <w:t> </w:t>
      </w:r>
      <w:r>
        <w:rPr/>
        <w:t>que</w:t>
      </w:r>
      <w:r>
        <w:rPr>
          <w:w w:val="99"/>
        </w:rPr>
        <w:t> </w:t>
      </w:r>
      <w:r>
        <w:rPr/>
        <w:t>son las instituciones las encargadas de prevenir la corrupción y aplicar las</w:t>
      </w:r>
      <w:r>
        <w:rPr>
          <w:spacing w:val="-26"/>
        </w:rPr>
        <w:t> </w:t>
      </w:r>
      <w:r>
        <w:rPr/>
        <w:t>normas.</w:t>
      </w:r>
    </w:p>
    <w:p>
      <w:pPr>
        <w:pStyle w:val="BodyText"/>
        <w:spacing w:line="360" w:lineRule="auto" w:before="5"/>
        <w:ind w:left="102" w:right="121" w:firstLine="424"/>
        <w:jc w:val="both"/>
      </w:pPr>
      <w:r>
        <w:rPr/>
        <w:t>Del estudio se desprende que 1 de cada 2 encuestados (50%) considera que las medidas gubernamentales contra la corrupción son ineficientes, pero 1 de cada 4 (25%) de los encuestados también expresó su confianza en su gobierno para luchar contra la corrupción.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firstLine="427"/>
        <w:jc w:val="both"/>
      </w:pPr>
      <w:r>
        <w:rPr/>
        <w:t>El</w:t>
      </w:r>
      <w:r>
        <w:rPr>
          <w:spacing w:val="-19"/>
        </w:rPr>
        <w:t> </w:t>
      </w:r>
      <w:r>
        <w:rPr/>
        <w:t>informe</w:t>
      </w:r>
      <w:r>
        <w:rPr>
          <w:spacing w:val="-18"/>
        </w:rPr>
        <w:t> </w:t>
      </w:r>
      <w:r>
        <w:rPr/>
        <w:t>mencionó</w:t>
      </w:r>
      <w:r>
        <w:rPr>
          <w:spacing w:val="-18"/>
        </w:rPr>
        <w:t> </w:t>
      </w:r>
      <w:r>
        <w:rPr/>
        <w:t>que</w:t>
      </w:r>
      <w:r>
        <w:rPr>
          <w:spacing w:val="-18"/>
        </w:rPr>
        <w:t> </w:t>
      </w:r>
      <w:r>
        <w:rPr/>
        <w:t>las</w:t>
      </w:r>
      <w:r>
        <w:rPr>
          <w:spacing w:val="-18"/>
        </w:rPr>
        <w:t> </w:t>
      </w:r>
      <w:r>
        <w:rPr/>
        <w:t>personas</w:t>
      </w:r>
      <w:r>
        <w:rPr>
          <w:spacing w:val="-18"/>
        </w:rPr>
        <w:t> </w:t>
      </w:r>
      <w:r>
        <w:rPr/>
        <w:t>experimentan</w:t>
      </w:r>
      <w:r>
        <w:rPr>
          <w:spacing w:val="-20"/>
        </w:rPr>
        <w:t> </w:t>
      </w:r>
      <w:r>
        <w:rPr/>
        <w:t>un</w:t>
      </w:r>
      <w:r>
        <w:rPr>
          <w:spacing w:val="-18"/>
        </w:rPr>
        <w:t> </w:t>
      </w:r>
      <w:r>
        <w:rPr/>
        <w:t>sentido</w:t>
      </w:r>
      <w:r>
        <w:rPr>
          <w:spacing w:val="-18"/>
        </w:rPr>
        <w:t> </w:t>
      </w:r>
      <w:r>
        <w:rPr/>
        <w:t>de</w:t>
      </w:r>
      <w:r>
        <w:rPr>
          <w:spacing w:val="-18"/>
        </w:rPr>
        <w:t> </w:t>
      </w:r>
      <w:r>
        <w:rPr/>
        <w:t>compromiso, optimismo, e incluso solidaridad respecto de los objetivos centrales del gobierno y otros más consideran que los controles gubernamentales convierten al mismo gobierno en el agente principal en el combate a la</w:t>
      </w:r>
      <w:r>
        <w:rPr>
          <w:spacing w:val="-24"/>
        </w:rPr>
        <w:t> </w:t>
      </w:r>
      <w:r>
        <w:rPr/>
        <w:t>corrupción.</w:t>
      </w:r>
    </w:p>
    <w:p>
      <w:pPr>
        <w:pStyle w:val="BodyText"/>
      </w:pPr>
    </w:p>
    <w:p>
      <w:pPr>
        <w:pStyle w:val="BodyText"/>
        <w:spacing w:line="360" w:lineRule="auto" w:before="142"/>
        <w:ind w:left="102" w:right="117" w:firstLine="427"/>
        <w:jc w:val="both"/>
      </w:pPr>
      <w:r>
        <w:rPr/>
        <w:t>Una conclusión positiva, de acuerdo con Transparencia internacional, es que hay gran disposición del público para comprometerse a luchar contra la</w:t>
      </w:r>
      <w:r>
        <w:rPr>
          <w:spacing w:val="-33"/>
        </w:rPr>
        <w:t> </w:t>
      </w:r>
      <w:r>
        <w:rPr/>
        <w:t>corrupción. Este</w:t>
      </w:r>
      <w:r>
        <w:rPr>
          <w:spacing w:val="-6"/>
        </w:rPr>
        <w:t> </w:t>
      </w:r>
      <w:r>
        <w:rPr/>
        <w:t>compromiso</w:t>
      </w:r>
      <w:r>
        <w:rPr>
          <w:spacing w:val="-6"/>
        </w:rPr>
        <w:t> </w:t>
      </w:r>
      <w:r>
        <w:rPr/>
        <w:t>potencial</w:t>
      </w:r>
      <w:r>
        <w:rPr>
          <w:spacing w:val="-7"/>
        </w:rPr>
        <w:t> </w:t>
      </w:r>
      <w:r>
        <w:rPr/>
        <w:t>y</w:t>
      </w:r>
      <w:r>
        <w:rPr>
          <w:spacing w:val="-9"/>
        </w:rPr>
        <w:t> </w:t>
      </w:r>
      <w:r>
        <w:rPr/>
        <w:t>real,</w:t>
      </w:r>
      <w:r>
        <w:rPr>
          <w:spacing w:val="-7"/>
        </w:rPr>
        <w:t> </w:t>
      </w:r>
      <w:r>
        <w:rPr/>
        <w:t>resalta</w:t>
      </w:r>
      <w:r>
        <w:rPr>
          <w:spacing w:val="-6"/>
        </w:rPr>
        <w:t> </w:t>
      </w:r>
      <w:r>
        <w:rPr/>
        <w:t>la</w:t>
      </w:r>
      <w:r>
        <w:rPr>
          <w:spacing w:val="-6"/>
        </w:rPr>
        <w:t> </w:t>
      </w:r>
      <w:r>
        <w:rPr/>
        <w:t>importancia</w:t>
      </w:r>
      <w:r>
        <w:rPr>
          <w:spacing w:val="-6"/>
        </w:rPr>
        <w:t> </w:t>
      </w:r>
      <w:r>
        <w:rPr/>
        <w:t>de</w:t>
      </w:r>
      <w:r>
        <w:rPr>
          <w:spacing w:val="-6"/>
        </w:rPr>
        <w:t> </w:t>
      </w:r>
      <w:r>
        <w:rPr/>
        <w:t>la</w:t>
      </w:r>
      <w:r>
        <w:rPr>
          <w:spacing w:val="-6"/>
        </w:rPr>
        <w:t> </w:t>
      </w:r>
      <w:r>
        <w:rPr/>
        <w:t>rendición</w:t>
      </w:r>
      <w:r>
        <w:rPr>
          <w:spacing w:val="-6"/>
        </w:rPr>
        <w:t> </w:t>
      </w:r>
      <w:r>
        <w:rPr/>
        <w:t>de</w:t>
      </w:r>
      <w:r>
        <w:rPr>
          <w:spacing w:val="-6"/>
        </w:rPr>
        <w:t> </w:t>
      </w:r>
      <w:r>
        <w:rPr/>
        <w:t>cuentas, como medio para generar sistemas que rechacen el soborno y la</w:t>
      </w:r>
      <w:r>
        <w:rPr>
          <w:spacing w:val="-28"/>
        </w:rPr>
        <w:t> </w:t>
      </w:r>
      <w:r>
        <w:rPr/>
        <w:t>corrupción.</w:t>
      </w:r>
    </w:p>
    <w:p>
      <w:pPr>
        <w:pStyle w:val="BodyText"/>
      </w:pPr>
    </w:p>
    <w:p>
      <w:pPr>
        <w:spacing w:before="140"/>
        <w:ind w:left="102" w:right="0" w:firstLine="0"/>
        <w:jc w:val="both"/>
        <w:rPr>
          <w:i/>
          <w:sz w:val="24"/>
        </w:rPr>
      </w:pPr>
      <w:r>
        <w:rPr>
          <w:i/>
          <w:sz w:val="24"/>
        </w:rPr>
        <w:t>Transparencia</w:t>
      </w:r>
    </w:p>
    <w:p>
      <w:pPr>
        <w:pStyle w:val="BodyText"/>
        <w:rPr>
          <w:i/>
        </w:rPr>
      </w:pPr>
    </w:p>
    <w:p>
      <w:pPr>
        <w:pStyle w:val="BodyText"/>
        <w:rPr>
          <w:i/>
        </w:rPr>
      </w:pPr>
    </w:p>
    <w:p>
      <w:pPr>
        <w:pStyle w:val="ListParagraph"/>
        <w:numPr>
          <w:ilvl w:val="0"/>
          <w:numId w:val="38"/>
        </w:numPr>
        <w:tabs>
          <w:tab w:pos="383" w:val="left" w:leader="none"/>
        </w:tabs>
        <w:spacing w:line="240" w:lineRule="auto" w:before="0" w:after="0"/>
        <w:ind w:left="382" w:right="0" w:hanging="280"/>
        <w:jc w:val="both"/>
        <w:rPr>
          <w:i/>
          <w:sz w:val="24"/>
        </w:rPr>
      </w:pPr>
      <w:r>
        <w:rPr>
          <w:i/>
          <w:sz w:val="24"/>
        </w:rPr>
        <w:t>Indicador de Transparencia Presupuestaria,</w:t>
      </w:r>
      <w:r>
        <w:rPr>
          <w:i/>
          <w:spacing w:val="-18"/>
          <w:sz w:val="24"/>
        </w:rPr>
        <w:t> </w:t>
      </w:r>
      <w:r>
        <w:rPr>
          <w:i/>
          <w:sz w:val="24"/>
        </w:rPr>
        <w:t>2011</w:t>
      </w:r>
    </w:p>
    <w:p>
      <w:pPr>
        <w:pStyle w:val="BodyText"/>
        <w:spacing w:before="4"/>
        <w:rPr>
          <w:i/>
          <w:sz w:val="29"/>
        </w:rPr>
      </w:pPr>
    </w:p>
    <w:p>
      <w:pPr>
        <w:pStyle w:val="BodyText"/>
        <w:spacing w:line="360" w:lineRule="auto" w:before="1"/>
        <w:ind w:left="102" w:right="118"/>
        <w:jc w:val="both"/>
      </w:pPr>
      <w:r>
        <w:rPr/>
        <w:t>El documento </w:t>
      </w:r>
      <w:r>
        <w:rPr>
          <w:i/>
        </w:rPr>
        <w:t>Government at a Glance 2011 </w:t>
      </w:r>
      <w:r>
        <w:rPr/>
        <w:t>(Panorama de las Administraciones Públicas</w:t>
      </w:r>
      <w:r>
        <w:rPr>
          <w:spacing w:val="-14"/>
        </w:rPr>
        <w:t> </w:t>
      </w:r>
      <w:r>
        <w:rPr/>
        <w:t>2011)</w:t>
      </w:r>
      <w:r>
        <w:rPr>
          <w:spacing w:val="-15"/>
        </w:rPr>
        <w:t> </w:t>
      </w:r>
      <w:r>
        <w:rPr/>
        <w:t>de</w:t>
      </w:r>
      <w:r>
        <w:rPr>
          <w:spacing w:val="-13"/>
        </w:rPr>
        <w:t> </w:t>
      </w:r>
      <w:r>
        <w:rPr/>
        <w:t>la</w:t>
      </w:r>
      <w:r>
        <w:rPr>
          <w:spacing w:val="-13"/>
        </w:rPr>
        <w:t> </w:t>
      </w:r>
      <w:r>
        <w:rPr/>
        <w:t>OCDE</w:t>
      </w:r>
      <w:r>
        <w:rPr>
          <w:spacing w:val="-13"/>
        </w:rPr>
        <w:t> </w:t>
      </w:r>
      <w:r>
        <w:rPr/>
        <w:t>fue</w:t>
      </w:r>
      <w:r>
        <w:rPr>
          <w:spacing w:val="-13"/>
        </w:rPr>
        <w:t> </w:t>
      </w:r>
      <w:r>
        <w:rPr/>
        <w:t>publicado</w:t>
      </w:r>
      <w:r>
        <w:rPr>
          <w:spacing w:val="-13"/>
        </w:rPr>
        <w:t> </w:t>
      </w:r>
      <w:r>
        <w:rPr/>
        <w:t>en</w:t>
      </w:r>
      <w:r>
        <w:rPr>
          <w:spacing w:val="-13"/>
        </w:rPr>
        <w:t> </w:t>
      </w:r>
      <w:r>
        <w:rPr/>
        <w:t>agosto</w:t>
      </w:r>
      <w:r>
        <w:rPr>
          <w:spacing w:val="-13"/>
        </w:rPr>
        <w:t> </w:t>
      </w:r>
      <w:r>
        <w:rPr/>
        <w:t>de</w:t>
      </w:r>
      <w:r>
        <w:rPr>
          <w:spacing w:val="-13"/>
        </w:rPr>
        <w:t> </w:t>
      </w:r>
      <w:r>
        <w:rPr/>
        <w:t>2011</w:t>
      </w:r>
      <w:r>
        <w:rPr>
          <w:spacing w:val="-13"/>
        </w:rPr>
        <w:t> </w:t>
      </w:r>
      <w:r>
        <w:rPr/>
        <w:t>y</w:t>
      </w:r>
      <w:r>
        <w:rPr>
          <w:spacing w:val="-16"/>
        </w:rPr>
        <w:t> </w:t>
      </w:r>
      <w:r>
        <w:rPr/>
        <w:t>presentó</w:t>
      </w:r>
      <w:r>
        <w:rPr>
          <w:spacing w:val="-13"/>
        </w:rPr>
        <w:t> </w:t>
      </w:r>
      <w:r>
        <w:rPr/>
        <w:t>información relativa a la transparencia en el gobierno, reducción de la corrupción y la malversación de fondos para 32 países miembros de la</w:t>
      </w:r>
      <w:r>
        <w:rPr>
          <w:spacing w:val="-20"/>
        </w:rPr>
        <w:t> </w:t>
      </w:r>
      <w:r>
        <w:rPr/>
        <w:t>organización.</w:t>
      </w:r>
    </w:p>
    <w:p>
      <w:pPr>
        <w:pStyle w:val="BodyText"/>
      </w:pPr>
    </w:p>
    <w:p>
      <w:pPr>
        <w:pStyle w:val="BodyText"/>
        <w:spacing w:line="360" w:lineRule="auto" w:before="139"/>
        <w:ind w:left="102" w:right="118" w:firstLine="427"/>
        <w:jc w:val="both"/>
      </w:pPr>
      <w:r>
        <w:rPr/>
        <w:t>La OCDE mencionó que las recientes crisis globales han sido causadas principalmente por fallas en la regulación y en la supervisión de las autoridades públicas, así como por deficiencias en la gestión de riesgos y de la intervención</w:t>
      </w:r>
      <w:r>
        <w:rPr>
          <w:spacing w:val="-32"/>
        </w:rPr>
        <w:t> </w:t>
      </w:r>
      <w:r>
        <w:rPr/>
        <w:t>del gobierno en el sector privado, y de cómo se ha cuestionado la función de los mercados y el papel de los</w:t>
      </w:r>
      <w:r>
        <w:rPr>
          <w:spacing w:val="-14"/>
        </w:rPr>
        <w:t> </w:t>
      </w:r>
      <w:r>
        <w:rPr/>
        <w:t>gobiernos.</w:t>
      </w:r>
    </w:p>
    <w:p>
      <w:pPr>
        <w:pStyle w:val="BodyText"/>
      </w:pPr>
    </w:p>
    <w:p>
      <w:pPr>
        <w:pStyle w:val="BodyText"/>
        <w:spacing w:line="360" w:lineRule="auto" w:before="142"/>
        <w:ind w:left="102" w:right="115" w:firstLine="427"/>
        <w:jc w:val="both"/>
      </w:pPr>
      <w:r>
        <w:rPr/>
        <w:t>Lo anterior ha llevado a plantear cambios en la arquitectura global del</w:t>
      </w:r>
      <w:r>
        <w:rPr>
          <w:spacing w:val="-38"/>
        </w:rPr>
        <w:t> </w:t>
      </w:r>
      <w:r>
        <w:rPr/>
        <w:t>gobierno y en la redefinición del papel del Estado en el mercado mediante las políticas públicas, reduciendo el riesgo de fraude, corrupción y malversación de fondos públicos</w:t>
      </w:r>
      <w:r>
        <w:rPr>
          <w:spacing w:val="-12"/>
        </w:rPr>
        <w:t> </w:t>
      </w:r>
      <w:r>
        <w:rPr/>
        <w:t>para</w:t>
      </w:r>
      <w:r>
        <w:rPr>
          <w:spacing w:val="-9"/>
        </w:rPr>
        <w:t> </w:t>
      </w:r>
      <w:r>
        <w:rPr/>
        <w:t>restaurar</w:t>
      </w:r>
      <w:r>
        <w:rPr>
          <w:spacing w:val="-12"/>
        </w:rPr>
        <w:t> </w:t>
      </w:r>
      <w:r>
        <w:rPr/>
        <w:t>la</w:t>
      </w:r>
      <w:r>
        <w:rPr>
          <w:spacing w:val="-11"/>
        </w:rPr>
        <w:t> </w:t>
      </w:r>
      <w:r>
        <w:rPr/>
        <w:t>confianza</w:t>
      </w:r>
      <w:r>
        <w:rPr>
          <w:spacing w:val="-11"/>
        </w:rPr>
        <w:t> </w:t>
      </w:r>
      <w:r>
        <w:rPr/>
        <w:t>de</w:t>
      </w:r>
      <w:r>
        <w:rPr>
          <w:spacing w:val="-11"/>
        </w:rPr>
        <w:t> </w:t>
      </w:r>
      <w:r>
        <w:rPr/>
        <w:t>los</w:t>
      </w:r>
      <w:r>
        <w:rPr>
          <w:spacing w:val="-9"/>
        </w:rPr>
        <w:t> </w:t>
      </w:r>
      <w:r>
        <w:rPr/>
        <w:t>ciudadanos:</w:t>
      </w:r>
      <w:r>
        <w:rPr>
          <w:spacing w:val="-7"/>
        </w:rPr>
        <w:t> </w:t>
      </w:r>
      <w:r>
        <w:rPr/>
        <w:t>El</w:t>
      </w:r>
      <w:r>
        <w:rPr>
          <w:spacing w:val="-14"/>
        </w:rPr>
        <w:t> </w:t>
      </w:r>
      <w:r>
        <w:rPr/>
        <w:t>marco</w:t>
      </w:r>
      <w:r>
        <w:rPr>
          <w:spacing w:val="-11"/>
        </w:rPr>
        <w:t> </w:t>
      </w:r>
      <w:r>
        <w:rPr/>
        <w:t>jurídico</w:t>
      </w:r>
      <w:r>
        <w:rPr>
          <w:spacing w:val="-11"/>
        </w:rPr>
        <w:t> </w:t>
      </w:r>
      <w:r>
        <w:rPr/>
        <w:t>del</w:t>
      </w:r>
      <w:r>
        <w:rPr>
          <w:spacing w:val="-12"/>
        </w:rPr>
        <w:t> </w:t>
      </w:r>
      <w:r>
        <w:rPr/>
        <w:t>acceso a la información pública, las normas sobre la divulgación de los posibles conflictos de intereses y el desempeño de los organismos públicos encargados de la transparencia y acceso a la</w:t>
      </w:r>
      <w:r>
        <w:rPr>
          <w:spacing w:val="-13"/>
        </w:rPr>
        <w:t> </w:t>
      </w:r>
      <w:r>
        <w:rPr/>
        <w:t>Información.</w:t>
      </w:r>
    </w:p>
    <w:p>
      <w:pPr>
        <w:spacing w:after="0" w:line="360" w:lineRule="auto"/>
        <w:jc w:val="both"/>
        <w:sectPr>
          <w:footerReference w:type="even" r:id="rId75"/>
          <w:footerReference w:type="default" r:id="rId76"/>
          <w:pgSz w:w="12240" w:h="15840"/>
          <w:pgMar w:footer="1003" w:header="0" w:top="1360" w:bottom="1200" w:left="1600" w:right="1580"/>
          <w:pgNumType w:start="52"/>
        </w:sectPr>
      </w:pPr>
    </w:p>
    <w:p>
      <w:pPr>
        <w:pStyle w:val="BodyText"/>
        <w:spacing w:line="360" w:lineRule="auto" w:before="54"/>
        <w:ind w:left="102" w:right="116" w:firstLine="427"/>
        <w:jc w:val="both"/>
      </w:pPr>
      <w:r>
        <w:rPr/>
        <w:t>El</w:t>
      </w:r>
      <w:r>
        <w:rPr>
          <w:spacing w:val="-12"/>
        </w:rPr>
        <w:t> </w:t>
      </w:r>
      <w:r>
        <w:rPr/>
        <w:t>indicador</w:t>
      </w:r>
      <w:r>
        <w:rPr>
          <w:spacing w:val="-14"/>
        </w:rPr>
        <w:t> </w:t>
      </w:r>
      <w:r>
        <w:rPr/>
        <w:t>pretende</w:t>
      </w:r>
      <w:r>
        <w:rPr>
          <w:spacing w:val="-14"/>
        </w:rPr>
        <w:t> </w:t>
      </w:r>
      <w:r>
        <w:rPr/>
        <w:t>mostrar</w:t>
      </w:r>
      <w:r>
        <w:rPr>
          <w:spacing w:val="-15"/>
        </w:rPr>
        <w:t> </w:t>
      </w:r>
      <w:r>
        <w:rPr/>
        <w:t>que</w:t>
      </w:r>
      <w:r>
        <w:rPr>
          <w:spacing w:val="-10"/>
        </w:rPr>
        <w:t> </w:t>
      </w:r>
      <w:r>
        <w:rPr/>
        <w:t>los</w:t>
      </w:r>
      <w:r>
        <w:rPr>
          <w:spacing w:val="-13"/>
        </w:rPr>
        <w:t> </w:t>
      </w:r>
      <w:r>
        <w:rPr/>
        <w:t>congresos</w:t>
      </w:r>
      <w:r>
        <w:rPr>
          <w:spacing w:val="-12"/>
        </w:rPr>
        <w:t> </w:t>
      </w:r>
      <w:r>
        <w:rPr/>
        <w:t>(parlamentos)</w:t>
      </w:r>
      <w:r>
        <w:rPr>
          <w:spacing w:val="-15"/>
        </w:rPr>
        <w:t> </w:t>
      </w:r>
      <w:r>
        <w:rPr/>
        <w:t>de</w:t>
      </w:r>
      <w:r>
        <w:rPr>
          <w:spacing w:val="-13"/>
        </w:rPr>
        <w:t> </w:t>
      </w:r>
      <w:r>
        <w:rPr/>
        <w:t>los</w:t>
      </w:r>
      <w:r>
        <w:rPr>
          <w:spacing w:val="-11"/>
        </w:rPr>
        <w:t> </w:t>
      </w:r>
      <w:r>
        <w:rPr/>
        <w:t>países</w:t>
      </w:r>
      <w:r>
        <w:rPr>
          <w:spacing w:val="-14"/>
        </w:rPr>
        <w:t> </w:t>
      </w:r>
      <w:r>
        <w:rPr/>
        <w:t>de la OCDE tienen la capacidad para garantizar la transparencia en el proceso presupuestario y asegurar la mejor asignación de los recursos públicos. Para ello, la OCDE presentó información sobre oficinas especializadas de investigación presupuestaria</w:t>
      </w:r>
      <w:r>
        <w:rPr>
          <w:spacing w:val="-12"/>
        </w:rPr>
        <w:t> </w:t>
      </w:r>
      <w:r>
        <w:rPr/>
        <w:t>en</w:t>
      </w:r>
      <w:r>
        <w:rPr>
          <w:spacing w:val="-12"/>
        </w:rPr>
        <w:t> </w:t>
      </w:r>
      <w:r>
        <w:rPr/>
        <w:t>el</w:t>
      </w:r>
      <w:r>
        <w:rPr>
          <w:spacing w:val="-11"/>
        </w:rPr>
        <w:t> </w:t>
      </w:r>
      <w:r>
        <w:rPr/>
        <w:t>congreso</w:t>
      </w:r>
      <w:r>
        <w:rPr>
          <w:spacing w:val="-12"/>
        </w:rPr>
        <w:t> </w:t>
      </w:r>
      <w:r>
        <w:rPr/>
        <w:t>o</w:t>
      </w:r>
      <w:r>
        <w:rPr>
          <w:spacing w:val="-12"/>
        </w:rPr>
        <w:t> </w:t>
      </w:r>
      <w:r>
        <w:rPr/>
        <w:t>parlamento,</w:t>
      </w:r>
      <w:r>
        <w:rPr>
          <w:spacing w:val="-14"/>
        </w:rPr>
        <w:t> </w:t>
      </w:r>
      <w:r>
        <w:rPr/>
        <w:t>el</w:t>
      </w:r>
      <w:r>
        <w:rPr>
          <w:spacing w:val="-11"/>
        </w:rPr>
        <w:t> </w:t>
      </w:r>
      <w:r>
        <w:rPr/>
        <w:t>tiempo</w:t>
      </w:r>
      <w:r>
        <w:rPr>
          <w:spacing w:val="-12"/>
        </w:rPr>
        <w:t> </w:t>
      </w:r>
      <w:r>
        <w:rPr/>
        <w:t>de</w:t>
      </w:r>
      <w:r>
        <w:rPr>
          <w:spacing w:val="-12"/>
        </w:rPr>
        <w:t> </w:t>
      </w:r>
      <w:r>
        <w:rPr/>
        <w:t>revisión</w:t>
      </w:r>
      <w:r>
        <w:rPr>
          <w:spacing w:val="-9"/>
        </w:rPr>
        <w:t> </w:t>
      </w:r>
      <w:r>
        <w:rPr/>
        <w:t>y</w:t>
      </w:r>
      <w:r>
        <w:rPr>
          <w:spacing w:val="-15"/>
        </w:rPr>
        <w:t> </w:t>
      </w:r>
      <w:r>
        <w:rPr/>
        <w:t>su</w:t>
      </w:r>
      <w:r>
        <w:rPr>
          <w:spacing w:val="-9"/>
        </w:rPr>
        <w:t> </w:t>
      </w:r>
      <w:r>
        <w:rPr/>
        <w:t>oportunidad. Los resultados se presentan en el cuadro</w:t>
      </w:r>
      <w:r>
        <w:rPr>
          <w:spacing w:val="-21"/>
        </w:rPr>
        <w:t> </w:t>
      </w:r>
      <w:r>
        <w:rPr/>
        <w:t>siguiente:</w:t>
      </w:r>
    </w:p>
    <w:p>
      <w:pPr>
        <w:pStyle w:val="BodyText"/>
      </w:pPr>
    </w:p>
    <w:p>
      <w:pPr>
        <w:pStyle w:val="BodyText"/>
      </w:pPr>
    </w:p>
    <w:p>
      <w:pPr>
        <w:spacing w:before="158"/>
        <w:ind w:left="966" w:right="0" w:firstLine="0"/>
        <w:jc w:val="left"/>
        <w:rPr>
          <w:sz w:val="20"/>
        </w:rPr>
      </w:pPr>
      <w:bookmarkStart w:name="_bookmark31" w:id="42"/>
      <w:bookmarkEnd w:id="42"/>
      <w:r>
        <w:rPr/>
      </w:r>
      <w:r>
        <w:rPr>
          <w:sz w:val="20"/>
        </w:rPr>
        <w:t>Cuadro 1.9. Oficinas legislativas de análisis del presupuesto, 2000, 2003 y 2007</w:t>
      </w:r>
    </w:p>
    <w:p>
      <w:pPr>
        <w:pStyle w:val="BodyText"/>
        <w:spacing w:before="7"/>
        <w:rPr>
          <w:sz w:val="17"/>
        </w:rPr>
      </w:pPr>
    </w:p>
    <w:tbl>
      <w:tblPr>
        <w:tblW w:w="0" w:type="auto"/>
        <w:jc w:val="left"/>
        <w:tblInd w:w="18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16"/>
        <w:gridCol w:w="711"/>
        <w:gridCol w:w="814"/>
        <w:gridCol w:w="1049"/>
        <w:gridCol w:w="1560"/>
        <w:gridCol w:w="2794"/>
      </w:tblGrid>
      <w:tr>
        <w:trPr>
          <w:trHeight w:val="720" w:hRule="exact"/>
        </w:trPr>
        <w:tc>
          <w:tcPr>
            <w:tcW w:w="1716" w:type="dxa"/>
            <w:vMerge w:val="restart"/>
          </w:tcPr>
          <w:p>
            <w:pPr>
              <w:pStyle w:val="TableParagraph"/>
              <w:rPr>
                <w:sz w:val="20"/>
              </w:rPr>
            </w:pPr>
          </w:p>
          <w:p>
            <w:pPr>
              <w:pStyle w:val="TableParagraph"/>
              <w:spacing w:before="161"/>
              <w:ind w:left="527"/>
              <w:rPr>
                <w:b/>
                <w:sz w:val="20"/>
              </w:rPr>
            </w:pPr>
            <w:r>
              <w:rPr>
                <w:b/>
                <w:sz w:val="20"/>
              </w:rPr>
              <w:t>Países</w:t>
            </w:r>
          </w:p>
        </w:tc>
        <w:tc>
          <w:tcPr>
            <w:tcW w:w="2573" w:type="dxa"/>
            <w:gridSpan w:val="3"/>
          </w:tcPr>
          <w:p>
            <w:pPr>
              <w:pStyle w:val="TableParagraph"/>
              <w:ind w:left="165" w:right="168" w:firstLine="1"/>
              <w:jc w:val="center"/>
              <w:rPr>
                <w:b/>
                <w:sz w:val="20"/>
              </w:rPr>
            </w:pPr>
            <w:r>
              <w:rPr>
                <w:b/>
                <w:sz w:val="20"/>
              </w:rPr>
              <w:t>Cuentan con oficina especializada en el congreso o parlamento</w:t>
            </w:r>
          </w:p>
        </w:tc>
        <w:tc>
          <w:tcPr>
            <w:tcW w:w="1560" w:type="dxa"/>
            <w:vMerge w:val="restart"/>
          </w:tcPr>
          <w:p>
            <w:pPr>
              <w:pStyle w:val="TableParagraph"/>
              <w:spacing w:before="160"/>
              <w:ind w:left="165" w:right="168" w:firstLine="2"/>
              <w:jc w:val="center"/>
              <w:rPr>
                <w:b/>
                <w:sz w:val="20"/>
              </w:rPr>
            </w:pPr>
            <w:r>
              <w:rPr>
                <w:b/>
                <w:sz w:val="20"/>
              </w:rPr>
              <w:t>meses de revisión del </w:t>
            </w:r>
            <w:r>
              <w:rPr>
                <w:b/>
                <w:spacing w:val="-1"/>
                <w:sz w:val="20"/>
              </w:rPr>
              <w:t>presupuesto</w:t>
            </w:r>
          </w:p>
        </w:tc>
        <w:tc>
          <w:tcPr>
            <w:tcW w:w="2794" w:type="dxa"/>
            <w:vMerge w:val="restart"/>
          </w:tcPr>
          <w:p>
            <w:pPr>
              <w:pStyle w:val="TableParagraph"/>
              <w:rPr>
                <w:sz w:val="20"/>
              </w:rPr>
            </w:pPr>
          </w:p>
          <w:p>
            <w:pPr>
              <w:pStyle w:val="TableParagraph"/>
              <w:spacing w:before="161"/>
              <w:ind w:left="115"/>
              <w:rPr>
                <w:b/>
                <w:sz w:val="20"/>
              </w:rPr>
            </w:pPr>
            <w:r>
              <w:rPr>
                <w:b/>
                <w:sz w:val="20"/>
              </w:rPr>
              <w:t>Oportunidad de la revisión</w:t>
            </w:r>
          </w:p>
        </w:tc>
      </w:tr>
      <w:tr>
        <w:trPr>
          <w:trHeight w:val="329" w:hRule="exact"/>
        </w:trPr>
        <w:tc>
          <w:tcPr>
            <w:tcW w:w="1716" w:type="dxa"/>
            <w:vMerge/>
          </w:tcPr>
          <w:p>
            <w:pPr/>
          </w:p>
        </w:tc>
        <w:tc>
          <w:tcPr>
            <w:tcW w:w="711" w:type="dxa"/>
          </w:tcPr>
          <w:p>
            <w:pPr>
              <w:pStyle w:val="TableParagraph"/>
              <w:spacing w:before="31"/>
              <w:ind w:left="98" w:right="98"/>
              <w:jc w:val="center"/>
              <w:rPr>
                <w:b/>
                <w:sz w:val="20"/>
              </w:rPr>
            </w:pPr>
            <w:r>
              <w:rPr>
                <w:b/>
                <w:sz w:val="20"/>
              </w:rPr>
              <w:t>2000</w:t>
            </w:r>
          </w:p>
        </w:tc>
        <w:tc>
          <w:tcPr>
            <w:tcW w:w="814" w:type="dxa"/>
          </w:tcPr>
          <w:p>
            <w:pPr>
              <w:pStyle w:val="TableParagraph"/>
              <w:spacing w:before="31"/>
              <w:ind w:left="149" w:right="149"/>
              <w:jc w:val="center"/>
              <w:rPr>
                <w:b/>
                <w:sz w:val="20"/>
              </w:rPr>
            </w:pPr>
            <w:r>
              <w:rPr>
                <w:b/>
                <w:sz w:val="20"/>
              </w:rPr>
              <w:t>2003</w:t>
            </w:r>
          </w:p>
        </w:tc>
        <w:tc>
          <w:tcPr>
            <w:tcW w:w="1049" w:type="dxa"/>
          </w:tcPr>
          <w:p>
            <w:pPr>
              <w:pStyle w:val="TableParagraph"/>
              <w:spacing w:before="31"/>
              <w:ind w:left="267" w:right="267"/>
              <w:jc w:val="center"/>
              <w:rPr>
                <w:b/>
                <w:sz w:val="20"/>
              </w:rPr>
            </w:pPr>
            <w:r>
              <w:rPr>
                <w:b/>
                <w:sz w:val="20"/>
              </w:rPr>
              <w:t>2007</w:t>
            </w:r>
          </w:p>
        </w:tc>
        <w:tc>
          <w:tcPr>
            <w:tcW w:w="1560" w:type="dxa"/>
            <w:vMerge/>
          </w:tcPr>
          <w:p>
            <w:pPr/>
          </w:p>
        </w:tc>
        <w:tc>
          <w:tcPr>
            <w:tcW w:w="2794" w:type="dxa"/>
            <w:vMerge/>
          </w:tcPr>
          <w:p>
            <w:pPr/>
          </w:p>
        </w:tc>
      </w:tr>
      <w:tr>
        <w:trPr>
          <w:trHeight w:val="259" w:hRule="exact"/>
        </w:trPr>
        <w:tc>
          <w:tcPr>
            <w:tcW w:w="1716" w:type="dxa"/>
          </w:tcPr>
          <w:p>
            <w:pPr>
              <w:pStyle w:val="TableParagraph"/>
              <w:spacing w:line="230" w:lineRule="exact"/>
              <w:ind w:left="57"/>
              <w:rPr>
                <w:sz w:val="20"/>
              </w:rPr>
            </w:pPr>
            <w:r>
              <w:rPr>
                <w:sz w:val="20"/>
              </w:rPr>
              <w:t>Alemania</w:t>
            </w:r>
          </w:p>
        </w:tc>
        <w:tc>
          <w:tcPr>
            <w:tcW w:w="711" w:type="dxa"/>
          </w:tcPr>
          <w:p>
            <w:pPr>
              <w:pStyle w:val="TableParagraph"/>
              <w:spacing w:line="230" w:lineRule="exact"/>
              <w:ind w:left="98" w:right="98"/>
              <w:jc w:val="center"/>
              <w:rPr>
                <w:sz w:val="20"/>
              </w:rPr>
            </w:pPr>
            <w:r>
              <w:rPr>
                <w:sz w:val="20"/>
              </w:rPr>
              <w:t>no</w:t>
            </w:r>
          </w:p>
        </w:tc>
        <w:tc>
          <w:tcPr>
            <w:tcW w:w="814" w:type="dxa"/>
          </w:tcPr>
          <w:p>
            <w:pPr>
              <w:pStyle w:val="TableParagraph"/>
              <w:spacing w:line="230" w:lineRule="exact"/>
              <w:ind w:left="149" w:right="149"/>
              <w:jc w:val="center"/>
              <w:rPr>
                <w:sz w:val="20"/>
              </w:rPr>
            </w:pPr>
            <w:r>
              <w:rPr>
                <w:sz w:val="20"/>
              </w:rPr>
              <w:t>no</w:t>
            </w:r>
          </w:p>
        </w:tc>
        <w:tc>
          <w:tcPr>
            <w:tcW w:w="1049" w:type="dxa"/>
          </w:tcPr>
          <w:p>
            <w:pPr>
              <w:pStyle w:val="TableParagraph"/>
              <w:spacing w:line="230" w:lineRule="exact"/>
              <w:ind w:left="267" w:right="267"/>
              <w:jc w:val="center"/>
              <w:rPr>
                <w:sz w:val="20"/>
              </w:rPr>
            </w:pPr>
            <w:r>
              <w:rPr>
                <w:sz w:val="20"/>
              </w:rPr>
              <w:t>no</w:t>
            </w:r>
          </w:p>
        </w:tc>
        <w:tc>
          <w:tcPr>
            <w:tcW w:w="1560" w:type="dxa"/>
          </w:tcPr>
          <w:p>
            <w:pPr>
              <w:pStyle w:val="TableParagraph"/>
              <w:spacing w:line="230" w:lineRule="exact"/>
              <w:jc w:val="center"/>
              <w:rPr>
                <w:sz w:val="20"/>
              </w:rPr>
            </w:pPr>
            <w:r>
              <w:rPr>
                <w:w w:val="99"/>
                <w:sz w:val="20"/>
              </w:rPr>
              <w:t>4</w:t>
            </w:r>
          </w:p>
        </w:tc>
        <w:tc>
          <w:tcPr>
            <w:tcW w:w="2794" w:type="dxa"/>
          </w:tcPr>
          <w:p>
            <w:pPr>
              <w:pStyle w:val="TableParagraph"/>
              <w:spacing w:line="230" w:lineRule="exact"/>
              <w:ind w:left="343"/>
              <w:rPr>
                <w:sz w:val="20"/>
              </w:rPr>
            </w:pPr>
            <w:r>
              <w:rPr>
                <w:sz w:val="20"/>
              </w:rPr>
              <w:t>Previo al ejercicio fiscal</w:t>
            </w:r>
          </w:p>
        </w:tc>
      </w:tr>
      <w:tr>
        <w:trPr>
          <w:trHeight w:val="262" w:hRule="exact"/>
        </w:trPr>
        <w:tc>
          <w:tcPr>
            <w:tcW w:w="1716" w:type="dxa"/>
          </w:tcPr>
          <w:p>
            <w:pPr>
              <w:pStyle w:val="TableParagraph"/>
              <w:spacing w:line="230" w:lineRule="exact"/>
              <w:ind w:left="57"/>
              <w:rPr>
                <w:sz w:val="20"/>
              </w:rPr>
            </w:pPr>
            <w:r>
              <w:rPr>
                <w:sz w:val="20"/>
              </w:rPr>
              <w:t>España</w:t>
            </w:r>
          </w:p>
        </w:tc>
        <w:tc>
          <w:tcPr>
            <w:tcW w:w="711" w:type="dxa"/>
          </w:tcPr>
          <w:p>
            <w:pPr>
              <w:pStyle w:val="TableParagraph"/>
              <w:spacing w:line="230" w:lineRule="exact"/>
              <w:ind w:left="98" w:right="98"/>
              <w:jc w:val="center"/>
              <w:rPr>
                <w:sz w:val="20"/>
              </w:rPr>
            </w:pPr>
            <w:r>
              <w:rPr>
                <w:sz w:val="20"/>
              </w:rPr>
              <w:t>no</w:t>
            </w:r>
          </w:p>
        </w:tc>
        <w:tc>
          <w:tcPr>
            <w:tcW w:w="814" w:type="dxa"/>
          </w:tcPr>
          <w:p>
            <w:pPr>
              <w:pStyle w:val="TableParagraph"/>
              <w:spacing w:line="230" w:lineRule="exact"/>
              <w:ind w:left="149" w:right="149"/>
              <w:jc w:val="center"/>
              <w:rPr>
                <w:sz w:val="20"/>
              </w:rPr>
            </w:pPr>
            <w:r>
              <w:rPr>
                <w:sz w:val="20"/>
              </w:rPr>
              <w:t>no</w:t>
            </w:r>
          </w:p>
        </w:tc>
        <w:tc>
          <w:tcPr>
            <w:tcW w:w="1049" w:type="dxa"/>
          </w:tcPr>
          <w:p>
            <w:pPr>
              <w:pStyle w:val="TableParagraph"/>
              <w:spacing w:line="230" w:lineRule="exact"/>
              <w:ind w:left="267" w:right="267"/>
              <w:jc w:val="center"/>
              <w:rPr>
                <w:sz w:val="20"/>
              </w:rPr>
            </w:pPr>
            <w:r>
              <w:rPr>
                <w:sz w:val="20"/>
              </w:rPr>
              <w:t>no</w:t>
            </w:r>
          </w:p>
        </w:tc>
        <w:tc>
          <w:tcPr>
            <w:tcW w:w="1560" w:type="dxa"/>
          </w:tcPr>
          <w:p>
            <w:pPr>
              <w:pStyle w:val="TableParagraph"/>
              <w:spacing w:line="230" w:lineRule="exact"/>
              <w:jc w:val="center"/>
              <w:rPr>
                <w:sz w:val="20"/>
              </w:rPr>
            </w:pPr>
            <w:r>
              <w:rPr>
                <w:w w:val="99"/>
                <w:sz w:val="20"/>
              </w:rPr>
              <w:t>2</w:t>
            </w:r>
          </w:p>
        </w:tc>
        <w:tc>
          <w:tcPr>
            <w:tcW w:w="2794" w:type="dxa"/>
          </w:tcPr>
          <w:p>
            <w:pPr>
              <w:pStyle w:val="TableParagraph"/>
              <w:spacing w:line="230" w:lineRule="exact"/>
              <w:ind w:left="343"/>
              <w:rPr>
                <w:sz w:val="20"/>
              </w:rPr>
            </w:pPr>
            <w:r>
              <w:rPr>
                <w:sz w:val="20"/>
              </w:rPr>
              <w:t>Previo al ejercicio fiscal</w:t>
            </w:r>
          </w:p>
        </w:tc>
      </w:tr>
      <w:tr>
        <w:trPr>
          <w:trHeight w:val="259" w:hRule="exact"/>
        </w:trPr>
        <w:tc>
          <w:tcPr>
            <w:tcW w:w="1716" w:type="dxa"/>
          </w:tcPr>
          <w:p>
            <w:pPr>
              <w:pStyle w:val="TableParagraph"/>
              <w:spacing w:line="227" w:lineRule="exact"/>
              <w:ind w:left="57"/>
              <w:rPr>
                <w:sz w:val="20"/>
              </w:rPr>
            </w:pPr>
            <w:r>
              <w:rPr>
                <w:sz w:val="20"/>
              </w:rPr>
              <w:t>Estados Unidos</w:t>
            </w:r>
          </w:p>
        </w:tc>
        <w:tc>
          <w:tcPr>
            <w:tcW w:w="711" w:type="dxa"/>
          </w:tcPr>
          <w:p>
            <w:pPr>
              <w:pStyle w:val="TableParagraph"/>
              <w:spacing w:line="227" w:lineRule="exact"/>
              <w:ind w:left="98" w:right="97"/>
              <w:jc w:val="center"/>
              <w:rPr>
                <w:sz w:val="20"/>
              </w:rPr>
            </w:pPr>
            <w:r>
              <w:rPr>
                <w:sz w:val="20"/>
              </w:rPr>
              <w:t>si</w:t>
            </w:r>
          </w:p>
        </w:tc>
        <w:tc>
          <w:tcPr>
            <w:tcW w:w="814" w:type="dxa"/>
          </w:tcPr>
          <w:p>
            <w:pPr>
              <w:pStyle w:val="TableParagraph"/>
              <w:spacing w:line="227" w:lineRule="exact"/>
              <w:ind w:left="149" w:right="149"/>
              <w:jc w:val="center"/>
              <w:rPr>
                <w:sz w:val="20"/>
              </w:rPr>
            </w:pPr>
            <w:r>
              <w:rPr>
                <w:sz w:val="20"/>
              </w:rPr>
              <w:t>si</w:t>
            </w:r>
          </w:p>
        </w:tc>
        <w:tc>
          <w:tcPr>
            <w:tcW w:w="1049" w:type="dxa"/>
          </w:tcPr>
          <w:p>
            <w:pPr>
              <w:pStyle w:val="TableParagraph"/>
              <w:spacing w:line="227" w:lineRule="exact"/>
              <w:ind w:left="267" w:right="263"/>
              <w:jc w:val="center"/>
              <w:rPr>
                <w:sz w:val="20"/>
              </w:rPr>
            </w:pPr>
            <w:r>
              <w:rPr>
                <w:sz w:val="20"/>
              </w:rPr>
              <w:t>si</w:t>
            </w:r>
          </w:p>
        </w:tc>
        <w:tc>
          <w:tcPr>
            <w:tcW w:w="1560" w:type="dxa"/>
          </w:tcPr>
          <w:p>
            <w:pPr>
              <w:pStyle w:val="TableParagraph"/>
              <w:spacing w:line="227" w:lineRule="exact"/>
              <w:jc w:val="center"/>
              <w:rPr>
                <w:sz w:val="20"/>
              </w:rPr>
            </w:pPr>
            <w:r>
              <w:rPr>
                <w:w w:val="99"/>
                <w:sz w:val="20"/>
              </w:rPr>
              <w:t>8</w:t>
            </w:r>
          </w:p>
        </w:tc>
        <w:tc>
          <w:tcPr>
            <w:tcW w:w="2794" w:type="dxa"/>
          </w:tcPr>
          <w:p>
            <w:pPr>
              <w:pStyle w:val="TableParagraph"/>
              <w:spacing w:line="227" w:lineRule="exact"/>
              <w:ind w:left="343"/>
              <w:rPr>
                <w:sz w:val="20"/>
              </w:rPr>
            </w:pPr>
            <w:r>
              <w:rPr>
                <w:sz w:val="20"/>
              </w:rPr>
              <w:t>Previo al ejercicio fiscal</w:t>
            </w:r>
          </w:p>
        </w:tc>
      </w:tr>
      <w:tr>
        <w:trPr>
          <w:trHeight w:val="259" w:hRule="exact"/>
        </w:trPr>
        <w:tc>
          <w:tcPr>
            <w:tcW w:w="1716" w:type="dxa"/>
          </w:tcPr>
          <w:p>
            <w:pPr>
              <w:pStyle w:val="TableParagraph"/>
              <w:spacing w:line="227" w:lineRule="exact"/>
              <w:ind w:left="57"/>
              <w:rPr>
                <w:b/>
                <w:sz w:val="20"/>
              </w:rPr>
            </w:pPr>
            <w:r>
              <w:rPr>
                <w:b/>
                <w:sz w:val="20"/>
              </w:rPr>
              <w:t>México</w:t>
            </w:r>
          </w:p>
        </w:tc>
        <w:tc>
          <w:tcPr>
            <w:tcW w:w="711" w:type="dxa"/>
          </w:tcPr>
          <w:p>
            <w:pPr>
              <w:pStyle w:val="TableParagraph"/>
              <w:spacing w:line="227" w:lineRule="exact"/>
              <w:ind w:left="97" w:right="98"/>
              <w:jc w:val="center"/>
              <w:rPr>
                <w:b/>
                <w:sz w:val="20"/>
              </w:rPr>
            </w:pPr>
            <w:r>
              <w:rPr>
                <w:b/>
                <w:sz w:val="20"/>
              </w:rPr>
              <w:t>si</w:t>
            </w:r>
          </w:p>
        </w:tc>
        <w:tc>
          <w:tcPr>
            <w:tcW w:w="814" w:type="dxa"/>
          </w:tcPr>
          <w:p>
            <w:pPr>
              <w:pStyle w:val="TableParagraph"/>
              <w:spacing w:line="227" w:lineRule="exact"/>
              <w:ind w:left="146" w:right="149"/>
              <w:jc w:val="center"/>
              <w:rPr>
                <w:b/>
                <w:sz w:val="20"/>
              </w:rPr>
            </w:pPr>
            <w:r>
              <w:rPr>
                <w:b/>
                <w:sz w:val="20"/>
              </w:rPr>
              <w:t>si</w:t>
            </w:r>
          </w:p>
        </w:tc>
        <w:tc>
          <w:tcPr>
            <w:tcW w:w="1049" w:type="dxa"/>
          </w:tcPr>
          <w:p>
            <w:pPr>
              <w:pStyle w:val="TableParagraph"/>
              <w:spacing w:line="227" w:lineRule="exact"/>
              <w:ind w:left="267" w:right="267"/>
              <w:jc w:val="center"/>
              <w:rPr>
                <w:b/>
                <w:sz w:val="20"/>
              </w:rPr>
            </w:pPr>
            <w:r>
              <w:rPr>
                <w:b/>
                <w:sz w:val="20"/>
              </w:rPr>
              <w:t>si</w:t>
            </w:r>
          </w:p>
        </w:tc>
        <w:tc>
          <w:tcPr>
            <w:tcW w:w="1560" w:type="dxa"/>
          </w:tcPr>
          <w:p>
            <w:pPr>
              <w:pStyle w:val="TableParagraph"/>
              <w:spacing w:line="227" w:lineRule="exact"/>
              <w:jc w:val="center"/>
              <w:rPr>
                <w:b/>
                <w:sz w:val="20"/>
              </w:rPr>
            </w:pPr>
            <w:r>
              <w:rPr>
                <w:b/>
                <w:w w:val="99"/>
                <w:sz w:val="20"/>
              </w:rPr>
              <w:t>2</w:t>
            </w:r>
          </w:p>
        </w:tc>
        <w:tc>
          <w:tcPr>
            <w:tcW w:w="2794" w:type="dxa"/>
          </w:tcPr>
          <w:p>
            <w:pPr>
              <w:pStyle w:val="TableParagraph"/>
              <w:spacing w:line="227" w:lineRule="exact"/>
              <w:ind w:left="247"/>
              <w:rPr>
                <w:b/>
                <w:sz w:val="20"/>
              </w:rPr>
            </w:pPr>
            <w:r>
              <w:rPr>
                <w:b/>
                <w:sz w:val="20"/>
              </w:rPr>
              <w:t>Previo al ejercicio fiscal</w:t>
            </w:r>
          </w:p>
        </w:tc>
      </w:tr>
      <w:tr>
        <w:trPr>
          <w:trHeight w:val="259" w:hRule="exact"/>
        </w:trPr>
        <w:tc>
          <w:tcPr>
            <w:tcW w:w="1716" w:type="dxa"/>
          </w:tcPr>
          <w:p>
            <w:pPr>
              <w:pStyle w:val="TableParagraph"/>
              <w:spacing w:line="230" w:lineRule="exact"/>
              <w:ind w:left="57"/>
              <w:rPr>
                <w:sz w:val="20"/>
              </w:rPr>
            </w:pPr>
            <w:r>
              <w:rPr>
                <w:sz w:val="20"/>
              </w:rPr>
              <w:t>Reino Unido</w:t>
            </w:r>
          </w:p>
        </w:tc>
        <w:tc>
          <w:tcPr>
            <w:tcW w:w="711" w:type="dxa"/>
          </w:tcPr>
          <w:p>
            <w:pPr>
              <w:pStyle w:val="TableParagraph"/>
              <w:spacing w:line="230" w:lineRule="exact"/>
              <w:ind w:left="98" w:right="98"/>
              <w:jc w:val="center"/>
              <w:rPr>
                <w:sz w:val="20"/>
              </w:rPr>
            </w:pPr>
            <w:r>
              <w:rPr>
                <w:sz w:val="20"/>
              </w:rPr>
              <w:t>no</w:t>
            </w:r>
          </w:p>
        </w:tc>
        <w:tc>
          <w:tcPr>
            <w:tcW w:w="814" w:type="dxa"/>
          </w:tcPr>
          <w:p>
            <w:pPr>
              <w:pStyle w:val="TableParagraph"/>
              <w:spacing w:line="230" w:lineRule="exact"/>
              <w:ind w:left="149" w:right="149"/>
              <w:jc w:val="center"/>
              <w:rPr>
                <w:sz w:val="20"/>
              </w:rPr>
            </w:pPr>
            <w:r>
              <w:rPr>
                <w:sz w:val="20"/>
              </w:rPr>
              <w:t>si</w:t>
            </w:r>
          </w:p>
        </w:tc>
        <w:tc>
          <w:tcPr>
            <w:tcW w:w="1049" w:type="dxa"/>
          </w:tcPr>
          <w:p>
            <w:pPr>
              <w:pStyle w:val="TableParagraph"/>
              <w:spacing w:line="230" w:lineRule="exact"/>
              <w:ind w:left="267" w:right="263"/>
              <w:jc w:val="center"/>
              <w:rPr>
                <w:sz w:val="20"/>
              </w:rPr>
            </w:pPr>
            <w:r>
              <w:rPr>
                <w:sz w:val="20"/>
              </w:rPr>
              <w:t>si</w:t>
            </w:r>
          </w:p>
        </w:tc>
        <w:tc>
          <w:tcPr>
            <w:tcW w:w="1560" w:type="dxa"/>
          </w:tcPr>
          <w:p>
            <w:pPr>
              <w:pStyle w:val="TableParagraph"/>
              <w:spacing w:line="230" w:lineRule="exact"/>
              <w:jc w:val="center"/>
              <w:rPr>
                <w:sz w:val="20"/>
              </w:rPr>
            </w:pPr>
            <w:r>
              <w:rPr>
                <w:w w:val="99"/>
                <w:sz w:val="20"/>
              </w:rPr>
              <w:t>2</w:t>
            </w:r>
          </w:p>
        </w:tc>
        <w:tc>
          <w:tcPr>
            <w:tcW w:w="2794" w:type="dxa"/>
          </w:tcPr>
          <w:p>
            <w:pPr>
              <w:pStyle w:val="TableParagraph"/>
              <w:spacing w:line="230" w:lineRule="exact"/>
              <w:ind w:left="271"/>
              <w:rPr>
                <w:sz w:val="20"/>
              </w:rPr>
            </w:pPr>
            <w:r>
              <w:rPr>
                <w:sz w:val="20"/>
              </w:rPr>
              <w:t>Durante el ejercicio fiscal</w:t>
            </w:r>
          </w:p>
        </w:tc>
      </w:tr>
    </w:tbl>
    <w:p>
      <w:pPr>
        <w:pStyle w:val="BodyText"/>
        <w:spacing w:before="1"/>
        <w:rPr>
          <w:sz w:val="13"/>
        </w:rPr>
      </w:pPr>
    </w:p>
    <w:p>
      <w:pPr>
        <w:tabs>
          <w:tab w:pos="1517" w:val="left" w:leader="none"/>
        </w:tabs>
        <w:spacing w:before="1"/>
        <w:ind w:left="670" w:right="0" w:firstLine="0"/>
        <w:jc w:val="left"/>
        <w:rPr>
          <w:sz w:val="12"/>
        </w:rPr>
      </w:pPr>
      <w:r>
        <w:rPr>
          <w:sz w:val="12"/>
        </w:rPr>
        <w:t>FUENTE:</w:t>
        <w:tab/>
        <w:t>Elaboración propia con base</w:t>
      </w:r>
      <w:r>
        <w:rPr>
          <w:spacing w:val="-9"/>
          <w:sz w:val="12"/>
        </w:rPr>
        <w:t> </w:t>
      </w:r>
      <w:r>
        <w:rPr>
          <w:sz w:val="12"/>
        </w:rPr>
        <w:t>en:</w:t>
      </w:r>
    </w:p>
    <w:p>
      <w:pPr>
        <w:spacing w:before="15"/>
        <w:ind w:left="1518" w:right="0" w:firstLine="0"/>
        <w:jc w:val="left"/>
        <w:rPr>
          <w:sz w:val="12"/>
        </w:rPr>
      </w:pPr>
      <w:r>
        <w:rPr>
          <w:sz w:val="12"/>
        </w:rPr>
        <w:t>OECD, </w:t>
      </w:r>
      <w:r>
        <w:rPr>
          <w:i/>
          <w:sz w:val="12"/>
        </w:rPr>
        <w:t>Government at a Glance 2011, </w:t>
      </w:r>
      <w:r>
        <w:rPr>
          <w:sz w:val="12"/>
        </w:rPr>
        <w:t>p. 65 (consulta en línea).</w:t>
      </w:r>
    </w:p>
    <w:p>
      <w:pPr>
        <w:spacing w:before="13"/>
        <w:ind w:left="1518" w:right="4599" w:firstLine="0"/>
        <w:jc w:val="left"/>
        <w:rPr>
          <w:sz w:val="12"/>
        </w:rPr>
      </w:pPr>
      <w:r>
        <w:rPr>
          <w:sz w:val="12"/>
        </w:rPr>
        <w:t>Disponible en: </w:t>
      </w:r>
      <w:hyperlink r:id="rId77">
        <w:r>
          <w:rPr>
            <w:sz w:val="12"/>
          </w:rPr>
          <w:t>http://dx.doi.org/10.1787/888932389873</w:t>
        </w:r>
      </w:hyperlink>
      <w:r>
        <w:rPr>
          <w:sz w:val="12"/>
        </w:rPr>
        <w:t> [Fecha de consulta: 26 de junio, 2015]</w:t>
      </w:r>
    </w:p>
    <w:p>
      <w:pPr>
        <w:pStyle w:val="BodyText"/>
        <w:rPr>
          <w:sz w:val="12"/>
        </w:rPr>
      </w:pPr>
    </w:p>
    <w:p>
      <w:pPr>
        <w:pStyle w:val="BodyText"/>
        <w:rPr>
          <w:sz w:val="12"/>
        </w:rPr>
      </w:pPr>
    </w:p>
    <w:p>
      <w:pPr>
        <w:pStyle w:val="BodyText"/>
        <w:rPr>
          <w:sz w:val="12"/>
        </w:rPr>
      </w:pPr>
    </w:p>
    <w:p>
      <w:pPr>
        <w:pStyle w:val="BodyText"/>
        <w:spacing w:before="10"/>
        <w:rPr>
          <w:sz w:val="10"/>
        </w:rPr>
      </w:pPr>
    </w:p>
    <w:p>
      <w:pPr>
        <w:pStyle w:val="BodyText"/>
        <w:spacing w:line="360" w:lineRule="auto"/>
        <w:ind w:left="102" w:right="117" w:firstLine="427"/>
        <w:jc w:val="both"/>
      </w:pPr>
      <w:r>
        <w:rPr/>
        <w:t>La OCDE aseguró que legislaturas requieren información confiable e</w:t>
      </w:r>
      <w:r>
        <w:rPr>
          <w:spacing w:val="-34"/>
        </w:rPr>
        <w:t> </w:t>
      </w:r>
      <w:r>
        <w:rPr/>
        <w:t>imparcial, así como una fuerte capacidad analítica para participar más propiamente en el proceso presupuestario. El informe mencionó que existe la tendencia a establecer unidades especializadas de investigación presupuestaria dentro de los congresos, éstas varían en términos de tamaño, componentes y funciones básicas, pero todas convergen</w:t>
      </w:r>
      <w:r>
        <w:rPr>
          <w:spacing w:val="-9"/>
        </w:rPr>
        <w:t> </w:t>
      </w:r>
      <w:r>
        <w:rPr/>
        <w:t>en</w:t>
      </w:r>
      <w:r>
        <w:rPr>
          <w:spacing w:val="-9"/>
        </w:rPr>
        <w:t> </w:t>
      </w:r>
      <w:r>
        <w:rPr/>
        <w:t>simplificar</w:t>
      </w:r>
      <w:r>
        <w:rPr>
          <w:spacing w:val="-11"/>
        </w:rPr>
        <w:t> </w:t>
      </w:r>
      <w:r>
        <w:rPr/>
        <w:t>el</w:t>
      </w:r>
      <w:r>
        <w:rPr>
          <w:spacing w:val="-11"/>
        </w:rPr>
        <w:t> </w:t>
      </w:r>
      <w:r>
        <w:rPr/>
        <w:t>presupuesto,</w:t>
      </w:r>
      <w:r>
        <w:rPr>
          <w:spacing w:val="-10"/>
        </w:rPr>
        <w:t> </w:t>
      </w:r>
      <w:r>
        <w:rPr/>
        <w:t>eliminar</w:t>
      </w:r>
      <w:r>
        <w:rPr>
          <w:spacing w:val="-11"/>
        </w:rPr>
        <w:t> </w:t>
      </w:r>
      <w:r>
        <w:rPr/>
        <w:t>el</w:t>
      </w:r>
      <w:r>
        <w:rPr>
          <w:spacing w:val="-11"/>
        </w:rPr>
        <w:t> </w:t>
      </w:r>
      <w:r>
        <w:rPr/>
        <w:t>monopolio</w:t>
      </w:r>
      <w:r>
        <w:rPr>
          <w:spacing w:val="-9"/>
        </w:rPr>
        <w:t> </w:t>
      </w:r>
      <w:r>
        <w:rPr/>
        <w:t>de</w:t>
      </w:r>
      <w:r>
        <w:rPr>
          <w:spacing w:val="-9"/>
        </w:rPr>
        <w:t> </w:t>
      </w:r>
      <w:r>
        <w:rPr/>
        <w:t>la</w:t>
      </w:r>
      <w:r>
        <w:rPr>
          <w:spacing w:val="-12"/>
        </w:rPr>
        <w:t> </w:t>
      </w:r>
      <w:r>
        <w:rPr/>
        <w:t>información</w:t>
      </w:r>
      <w:r>
        <w:rPr>
          <w:spacing w:val="-9"/>
        </w:rPr>
        <w:t> </w:t>
      </w:r>
      <w:r>
        <w:rPr/>
        <w:t>del Poder Ejecutivo en el proceso presupuestario, y mejorar la credibilidad del presupuesto y de la rendición de</w:t>
      </w:r>
      <w:r>
        <w:rPr>
          <w:spacing w:val="-14"/>
        </w:rPr>
        <w:t> </w:t>
      </w:r>
      <w:r>
        <w:rPr/>
        <w:t>cuentas.</w:t>
      </w:r>
    </w:p>
    <w:p>
      <w:pPr>
        <w:spacing w:after="0" w:line="360" w:lineRule="auto"/>
        <w:jc w:val="both"/>
        <w:sectPr>
          <w:pgSz w:w="12240" w:h="15840"/>
          <w:pgMar w:header="0" w:footer="1003" w:top="1360" w:bottom="1200" w:left="1600" w:right="1580"/>
        </w:sectPr>
      </w:pPr>
    </w:p>
    <w:p>
      <w:pPr>
        <w:spacing w:before="55"/>
        <w:ind w:left="200" w:right="0" w:firstLine="0"/>
        <w:jc w:val="left"/>
        <w:rPr>
          <w:sz w:val="20"/>
        </w:rPr>
      </w:pPr>
      <w:bookmarkStart w:name="_bookmark32" w:id="43"/>
      <w:bookmarkEnd w:id="43"/>
      <w:r>
        <w:rPr/>
      </w:r>
      <w:r>
        <w:rPr>
          <w:sz w:val="20"/>
        </w:rPr>
        <w:t>Grafica 1.5. Tiempo para la discusión legislativa del presupuesto en los países de la OCDE, 2007</w:t>
      </w:r>
    </w:p>
    <w:p>
      <w:pPr>
        <w:pStyle w:val="BodyText"/>
        <w:spacing w:before="9"/>
        <w:rPr>
          <w:sz w:val="17"/>
        </w:rPr>
      </w:pPr>
    </w:p>
    <w:p>
      <w:pPr>
        <w:tabs>
          <w:tab w:pos="4717" w:val="left" w:leader="none"/>
        </w:tabs>
        <w:spacing w:before="83"/>
        <w:ind w:left="2811" w:right="0" w:firstLine="0"/>
        <w:jc w:val="left"/>
        <w:rPr>
          <w:sz w:val="15"/>
        </w:rPr>
      </w:pPr>
      <w:r>
        <w:rPr/>
        <w:pict>
          <v:group style="position:absolute;margin-left:215.116364pt;margin-top:6.571714pt;width:6.2pt;height:4.350pt;mso-position-horizontal-relative:page;mso-position-vertical-relative:paragraph;z-index:-350704" coordorigin="4302,131" coordsize="124,87">
            <v:line style="position:absolute" from="4340,175" to="4388,175" stroked="true" strokeweight="3.798061pt" strokecolor="#7e7e7e"/>
            <v:rect style="position:absolute;left:4340;top:137;width:48;height:76" filled="false" stroked="true" strokeweight=".463739pt" strokecolor="#c0c0c0"/>
            <w10:wrap type="none"/>
          </v:group>
        </w:pict>
      </w:r>
      <w:r>
        <w:rPr/>
        <w:pict>
          <v:shape style="position:absolute;margin-left:311.927734pt;margin-top:6.213717pt;width:2.8pt;height:4.45pt;mso-position-horizontal-relative:page;mso-position-vertical-relative:paragraph;z-index:-350680" coordorigin="6239,124" coordsize="56,89" path="m6266,124l6239,169,6266,213,6294,169,6266,124xe" filled="true" fillcolor="#548ed4" stroked="false">
            <v:path arrowok="t"/>
            <v:fill type="solid"/>
            <w10:wrap type="none"/>
          </v:shape>
        </w:pict>
      </w:r>
      <w:r>
        <w:rPr>
          <w:w w:val="65"/>
          <w:sz w:val="15"/>
        </w:rPr>
        <w:t>Presupuesto presentado</w:t>
      </w:r>
      <w:r>
        <w:rPr>
          <w:spacing w:val="-20"/>
          <w:w w:val="65"/>
          <w:sz w:val="15"/>
        </w:rPr>
        <w:t> </w:t>
      </w:r>
      <w:r>
        <w:rPr>
          <w:w w:val="65"/>
          <w:sz w:val="15"/>
        </w:rPr>
        <w:t>al</w:t>
      </w:r>
      <w:r>
        <w:rPr>
          <w:spacing w:val="-10"/>
          <w:w w:val="65"/>
          <w:sz w:val="15"/>
        </w:rPr>
        <w:t> </w:t>
      </w:r>
      <w:r>
        <w:rPr>
          <w:w w:val="65"/>
          <w:sz w:val="15"/>
        </w:rPr>
        <w:t>Congreso</w:t>
        <w:tab/>
        <w:t>Presupuesto</w:t>
      </w:r>
      <w:r>
        <w:rPr>
          <w:spacing w:val="-9"/>
          <w:w w:val="65"/>
          <w:sz w:val="15"/>
        </w:rPr>
        <w:t> </w:t>
      </w:r>
      <w:r>
        <w:rPr>
          <w:w w:val="65"/>
          <w:sz w:val="15"/>
        </w:rPr>
        <w:t>aprobado</w:t>
      </w:r>
      <w:r>
        <w:rPr>
          <w:spacing w:val="-9"/>
          <w:w w:val="65"/>
          <w:sz w:val="15"/>
        </w:rPr>
        <w:t> </w:t>
      </w:r>
      <w:r>
        <w:rPr>
          <w:w w:val="65"/>
          <w:sz w:val="15"/>
        </w:rPr>
        <w:t>por</w:t>
      </w:r>
      <w:r>
        <w:rPr>
          <w:spacing w:val="-11"/>
          <w:w w:val="65"/>
          <w:sz w:val="15"/>
        </w:rPr>
        <w:t> </w:t>
      </w:r>
      <w:r>
        <w:rPr>
          <w:w w:val="65"/>
          <w:sz w:val="15"/>
        </w:rPr>
        <w:t>el</w:t>
      </w:r>
      <w:r>
        <w:rPr>
          <w:spacing w:val="-9"/>
          <w:w w:val="65"/>
          <w:sz w:val="15"/>
        </w:rPr>
        <w:t> </w:t>
      </w:r>
      <w:r>
        <w:rPr>
          <w:w w:val="65"/>
          <w:sz w:val="15"/>
        </w:rPr>
        <w:t>Congreso</w:t>
      </w:r>
    </w:p>
    <w:p>
      <w:pPr>
        <w:pStyle w:val="BodyText"/>
        <w:spacing w:before="2"/>
        <w:rPr>
          <w:sz w:val="16"/>
        </w:rPr>
      </w:pPr>
    </w:p>
    <w:p>
      <w:pPr>
        <w:spacing w:before="83"/>
        <w:ind w:left="395" w:right="102" w:firstLine="0"/>
        <w:jc w:val="center"/>
        <w:rPr>
          <w:b/>
          <w:sz w:val="15"/>
        </w:rPr>
      </w:pPr>
      <w:r>
        <w:rPr/>
        <w:pict>
          <v:shape style="position:absolute;margin-left:112.771935pt;margin-top:6.133171pt;width:39.1pt;height:46.05pt;mso-position-horizontal-relative:page;mso-position-vertical-relative:paragraph;z-index:-350800" type="#_x0000_t202" filled="false" stroked="false">
            <v:textbox inset="0,0,0,0">
              <w:txbxContent>
                <w:p>
                  <w:pPr>
                    <w:spacing w:line="143" w:lineRule="exact" w:before="0"/>
                    <w:ind w:left="0" w:right="0" w:firstLine="0"/>
                    <w:jc w:val="right"/>
                    <w:rPr>
                      <w:sz w:val="14"/>
                    </w:rPr>
                  </w:pPr>
                  <w:r>
                    <w:rPr>
                      <w:w w:val="60"/>
                      <w:sz w:val="14"/>
                    </w:rPr>
                    <w:t>12</w:t>
                  </w:r>
                </w:p>
              </w:txbxContent>
            </v:textbox>
            <w10:wrap type="none"/>
          </v:shape>
        </w:pict>
      </w:r>
      <w:r>
        <w:rPr/>
        <w:pict>
          <v:group style="position:absolute;margin-left:158.238037pt;margin-top:.253179pt;width:338.3pt;height:209.25pt;mso-position-horizontal-relative:page;mso-position-vertical-relative:paragraph;z-index:-350728" coordorigin="3165,5" coordsize="6766,4185">
            <v:shape style="position:absolute;left:2027;top:8585;width:12473;height:2963" coordorigin="2027,8585" coordsize="12473,2963" path="m3324,2670l9924,2670m3320,2044l9920,2044m3320,1423l9920,1423m3320,790l9920,790m3320,170l9920,170e" filled="false" stroked="true" strokeweight=".515064pt" strokecolor="#000000">
              <v:path arrowok="t"/>
              <v:stroke dashstyle="dash"/>
            </v:shape>
            <v:rect style="position:absolute;left:3324;top:12;width:6600;height:3279" filled="false" stroked="true" strokeweight=".586313pt" strokecolor="#000000"/>
            <v:shape style="position:absolute;left:2035;top:8398;width:12465;height:3886" coordorigin="2035,8398" coordsize="12465,3886" path="m3324,3291l3324,12m3324,3291l3348,3291m3324,2670l3348,2670m3324,2037l3348,2037m3324,1417l3348,1417m3324,796l3348,796m3324,176l3348,176m3324,3291l9924,3291e" filled="false" stroked="true" strokeweight=".515064pt" strokecolor="#7e7e7e">
              <v:path arrowok="t"/>
            </v:shape>
            <v:shape style="position:absolute;left:2230;top:8593;width:11685;height:3136" coordorigin="2230,8593" coordsize="11685,3136" path="m3427,2202l3427,2354m3633,2202l3633,2506m3840,2037l3840,2354m4046,1569l4046,2202m4253,2354l4253,2506m4459,2202l4459,2506m4666,2202l4666,2670m4865,2202l4865,2670m5071,2037l5071,2506m5278,2202l5278,2822m5484,2202l5484,2354m5691,2037l5691,2506m5897,2202l5897,2506m6104,176l6104,2202m6310,1569l6310,2354m6517,2037l6517,2506m6723,2037l6723,2354m6930,2202l6930,2506m7136,2202l7136,2506m7343,2202l7343,2506m7549,2037l7549,2506m7756,1733l7756,2354m7962,2202l7962,2506m8169,2037l8169,2506m8375,2202l8375,2506m8582,2037l8582,2354m8788,2037l8788,2506m8995,2202l8995,2506m9201,2202l9201,2670m9408,2037l9408,2506m9614,1569l9614,1885e" filled="false" stroked="true" strokeweight="2.575322pt" strokecolor="#c00000">
              <v:path arrowok="t"/>
            </v:shape>
            <v:line style="position:absolute" from="9821,2037" to="9821,3291" stroked="true" strokeweight="1.985594pt" strokecolor="#c00000"/>
            <v:line style="position:absolute" from="3425,2306" to="3425,2420" stroked="true" strokeweight="3.971187pt" strokecolor="#7e7e7e"/>
            <v:rect style="position:absolute;left:3386;top:2306;width:79;height:114" filled="false" stroked="true" strokeweight=".47473pt" strokecolor="#c0c0c0"/>
            <v:line style="position:absolute" from="3631,2462" to="3631,2576" stroked="true" strokeweight="3.971187pt" strokecolor="#7e7e7e"/>
            <v:rect style="position:absolute;left:3592;top:2462;width:79;height:114" filled="false" stroked="true" strokeweight=".47473pt" strokecolor="#c0c0c0"/>
            <v:line style="position:absolute" from="3838,2306" to="3838,2420" stroked="true" strokeweight="3.971187pt" strokecolor="#7e7e7e"/>
            <v:rect style="position:absolute;left:3798;top:2306;width:79;height:114" filled="false" stroked="true" strokeweight=".47473pt" strokecolor="#c0c0c0"/>
            <v:line style="position:absolute" from="4044,2150" to="4044,2264" stroked="true" strokeweight="3.971187pt" strokecolor="#7e7e7e"/>
            <v:rect style="position:absolute;left:4004;top:2150;width:79;height:114" filled="false" stroked="true" strokeweight=".47473pt" strokecolor="#c0c0c0"/>
            <v:line style="position:absolute" from="4250,2462" to="4250,2576" stroked="true" strokeweight="3.971187pt" strokecolor="#7e7e7e"/>
            <v:rect style="position:absolute;left:4210;top:2462;width:79;height:114" filled="false" stroked="true" strokeweight=".47473pt" strokecolor="#c0c0c0"/>
            <v:line style="position:absolute" from="4456,2462" to="4456,2576" stroked="true" strokeweight="3.971187pt" strokecolor="#7e7e7e"/>
            <v:rect style="position:absolute;left:4417;top:2462;width:79;height:114" filled="false" stroked="true" strokeweight=".47473pt" strokecolor="#c0c0c0"/>
            <v:line style="position:absolute" from="4663,2618" to="4663,2732" stroked="true" strokeweight="3.971187pt" strokecolor="#7e7e7e"/>
            <v:rect style="position:absolute;left:4623;top:2618;width:79;height:114" filled="false" stroked="true" strokeweight=".47473pt" strokecolor="#c0c0c0"/>
            <v:line style="position:absolute" from="4869,2618" to="4869,2732" stroked="true" strokeweight="3.971187pt" strokecolor="#7e7e7e"/>
            <v:rect style="position:absolute;left:4829;top:2618;width:79;height:114" filled="false" stroked="true" strokeweight=".47473pt" strokecolor="#c0c0c0"/>
            <v:line style="position:absolute" from="5075,2462" to="5075,2576" stroked="true" strokeweight="3.971187pt" strokecolor="#7e7e7e"/>
            <v:rect style="position:absolute;left:5035;top:2462;width:79;height:114" filled="false" stroked="true" strokeweight=".47473pt" strokecolor="#c0c0c0"/>
            <v:line style="position:absolute" from="5281,2774" to="5281,2888" stroked="true" strokeweight="3.971187pt" strokecolor="#7e7e7e"/>
            <v:rect style="position:absolute;left:5242;top:2774;width:79;height:114" filled="false" stroked="true" strokeweight=".47473pt" strokecolor="#c0c0c0"/>
            <v:line style="position:absolute" from="5488,2306" to="5488,2420" stroked="true" strokeweight="3.971187pt" strokecolor="#7e7e7e"/>
            <v:rect style="position:absolute;left:5448;top:2306;width:79;height:114" filled="false" stroked="true" strokeweight=".47473pt" strokecolor="#c0c0c0"/>
            <v:line style="position:absolute" from="5694,2462" to="5694,2576" stroked="true" strokeweight="3.971187pt" strokecolor="#7e7e7e"/>
            <v:rect style="position:absolute;left:5654;top:2462;width:79;height:114" filled="false" stroked="true" strokeweight=".47473pt" strokecolor="#c0c0c0"/>
            <v:line style="position:absolute" from="5900,2462" to="5900,2576" stroked="true" strokeweight="3.971187pt" strokecolor="#7e7e7e"/>
            <v:rect style="position:absolute;left:5860;top:2462;width:79;height:114" filled="false" stroked="true" strokeweight=".47473pt" strokecolor="#c0c0c0"/>
            <v:line style="position:absolute" from="6106,2150" to="6106,2264" stroked="true" strokeweight="3.971187pt" strokecolor="#7e7e7e"/>
            <v:rect style="position:absolute;left:6067;top:2150;width:79;height:114" filled="false" stroked="true" strokeweight=".47473pt" strokecolor="#c0c0c0"/>
            <v:line style="position:absolute" from="6313,2306" to="6313,2420" stroked="true" strokeweight="3.971187pt" strokecolor="#7e7e7e"/>
            <v:rect style="position:absolute;left:6273;top:2306;width:79;height:114" filled="false" stroked="true" strokeweight=".47473pt" strokecolor="#c0c0c0"/>
            <v:line style="position:absolute" from="6519,2462" to="6519,2576" stroked="true" strokeweight="3.971187pt" strokecolor="#7e7e7e"/>
            <v:rect style="position:absolute;left:6479;top:2462;width:79;height:114" filled="false" stroked="true" strokeweight=".47473pt" strokecolor="#c0c0c0"/>
            <v:line style="position:absolute" from="6725,2306" to="6725,2420" stroked="true" strokeweight="3.971187pt" strokecolor="#7e7e7e"/>
            <v:rect style="position:absolute;left:6685;top:2306;width:79;height:114" filled="false" stroked="true" strokeweight=".47473pt" strokecolor="#c0c0c0"/>
            <v:line style="position:absolute" from="6931,2462" to="6931,2576" stroked="true" strokeweight="3.971187pt" strokecolor="#7e7e7e"/>
            <v:rect style="position:absolute;left:6892;top:2462;width:79;height:114" filled="false" stroked="true" strokeweight=".47473pt" strokecolor="#c0c0c0"/>
            <v:line style="position:absolute" from="7137,2462" to="7137,2576" stroked="true" strokeweight="3.971187pt" strokecolor="#7e7e7e"/>
            <v:rect style="position:absolute;left:7098;top:2462;width:79;height:114" filled="false" stroked="true" strokeweight=".47473pt" strokecolor="#c0c0c0"/>
            <v:line style="position:absolute" from="7344,2462" to="7344,2576" stroked="true" strokeweight="3.971187pt" strokecolor="#7e7e7e"/>
            <v:rect style="position:absolute;left:7304;top:2462;width:79;height:114" filled="false" stroked="true" strokeweight=".47473pt" strokecolor="#c0c0c0"/>
            <v:line style="position:absolute" from="7550,2462" to="7550,2576" stroked="true" strokeweight="3.971187pt" strokecolor="#7e7e7e"/>
            <v:rect style="position:absolute;left:7510;top:2462;width:79;height:114" filled="false" stroked="true" strokeweight=".47473pt" strokecolor="#c0c0c0"/>
            <v:line style="position:absolute" from="7756,2306" to="7756,2420" stroked="true" strokeweight="3.971187pt" strokecolor="#7e7e7e"/>
            <v:rect style="position:absolute;left:7716;top:2306;width:79;height:114" filled="false" stroked="true" strokeweight=".47473pt" strokecolor="#c0c0c0"/>
            <v:line style="position:absolute" from="7962,2462" to="7962,2576" stroked="true" strokeweight="3.971187pt" strokecolor="#7e7e7e"/>
            <v:rect style="position:absolute;left:7923;top:2462;width:79;height:114" filled="false" stroked="true" strokeweight=".47473pt" strokecolor="#c0c0c0"/>
            <v:line style="position:absolute" from="8169,2462" to="8169,2576" stroked="true" strokeweight="3.971187pt" strokecolor="#7e7e7e"/>
            <v:rect style="position:absolute;left:8129;top:2462;width:79;height:114" filled="false" stroked="true" strokeweight=".47473pt" strokecolor="#c0c0c0"/>
            <v:line style="position:absolute" from="8375,2462" to="8375,2576" stroked="true" strokeweight="3.971187pt" strokecolor="#7e7e7e"/>
            <v:rect style="position:absolute;left:8335;top:2462;width:79;height:114" filled="false" stroked="true" strokeweight=".47473pt" strokecolor="#c0c0c0"/>
            <v:line style="position:absolute" from="8581,2306" to="8581,2420" stroked="true" strokeweight="3.971187pt" strokecolor="#7e7e7e"/>
            <v:rect style="position:absolute;left:8541;top:2306;width:79;height:114" filled="false" stroked="true" strokeweight=".47473pt" strokecolor="#c0c0c0"/>
            <v:line style="position:absolute" from="8787,2462" to="8787,2576" stroked="true" strokeweight="3.971187pt" strokecolor="#7e7e7e"/>
            <v:rect style="position:absolute;left:8748;top:2462;width:79;height:114" filled="false" stroked="true" strokeweight=".47473pt" strokecolor="#c0c0c0"/>
            <v:line style="position:absolute" from="8994,2462" to="8994,2576" stroked="true" strokeweight="3.971187pt" strokecolor="#7e7e7e"/>
            <v:rect style="position:absolute;left:8954;top:2462;width:79;height:114" filled="false" stroked="true" strokeweight=".47473pt" strokecolor="#c0c0c0"/>
            <v:line style="position:absolute" from="9200,2618" to="9200,2732" stroked="true" strokeweight="3.971187pt" strokecolor="#7e7e7e"/>
            <v:rect style="position:absolute;left:9160;top:2618;width:79;height:114" filled="false" stroked="true" strokeweight=".47473pt" strokecolor="#c0c0c0"/>
            <v:line style="position:absolute" from="9406,2462" to="9406,2576" stroked="true" strokeweight="3.971187pt" strokecolor="#7e7e7e"/>
            <v:rect style="position:absolute;left:9366;top:2462;width:79;height:114" filled="false" stroked="true" strokeweight=".47473pt" strokecolor="#c0c0c0"/>
            <v:line style="position:absolute" from="9612,1838" to="9612,1952" stroked="true" strokeweight="3.971187pt" strokecolor="#7e7e7e"/>
            <v:rect style="position:absolute;left:9573;top:1838;width:79;height:114" filled="false" stroked="true" strokeweight=".47473pt" strokecolor="#c0c0c0"/>
            <v:line style="position:absolute" from="9819,3242" to="9819,3356" stroked="true" strokeweight="3.971187pt" strokecolor="#7e7e7e"/>
            <v:rect style="position:absolute;left:9779;top:3242;width:79;height:114" filled="false" stroked="true" strokeweight=".47473pt" strokecolor="#c0c0c0"/>
            <v:shape style="position:absolute;left:3366;top:91;width:6505;height:2348" coordorigin="3366,91" coordsize="6505,2348" path="m3477,2201l3421,2118,3366,2201,3421,2283,3477,2201m3683,2201l3628,2118,3572,2201,3628,2283,3683,2201m3889,2045l3834,1963,3778,2045,3834,2127,3889,2045m4096,1577l4040,1495,3984,1577,4040,1659,4096,1577m4302,2357l4246,2274,4191,2357,4246,2439,4302,2357m4508,2201l4452,2118,4397,2201,4452,2283,4508,2201m4714,2201l4659,2118,4603,2201,4659,2283,4714,2201m4921,2201l4865,2118,4809,2201,4865,2283,4921,2201m5127,2045l5071,1963,5016,2045,5071,2127,5127,2045m5333,2201l5277,2118,5222,2201,5277,2283,5333,2201m5539,2201l5484,2118,5428,2201,5484,2283,5539,2201m5745,2045l5690,1963,5634,2045,5690,2127,5745,2045m5952,2201l5896,2118,5840,2201,5896,2283,5952,2201m6158,174l6102,91,6047,174,6102,256,6158,174m6364,1577l6309,1495,6253,1577,6309,1659,6364,1577m6570,2045l6515,1963,6459,2045,6515,2127,6570,2045m6777,2045l6721,1963,6665,2045,6721,2127,6777,2045m6983,2201l6927,2118,6872,2201,6927,2283,6983,2201m7189,2201l7134,2118,7078,2201,7134,2283,7189,2201m7395,2201l7340,2118,7284,2201,7340,2283,7395,2201m7602,2045l7546,1963,7490,2045,7546,2127,7602,2045m7808,1733l7752,1651,7697,1733,7752,1815,7808,1733m8014,2201l7958,2118,7903,2201,7958,2283,8014,2201m8220,2045l8165,1963,8109,2045,8165,2127,8220,2045m8427,2201l8371,2118,8315,2201,8371,2283,8427,2201m8839,2045l8783,1963,8728,2045,8783,2127,8839,2045m9045,2201l8990,2118,8934,2201,8990,2283,9045,2201m9251,2201l9196,2118,9140,2201,9196,2283,9251,2201m9458,2045l9402,1963,9346,2045,9402,2127,9458,2045m9664,1577l9608,1495,9553,1577,9608,1659,9664,1577m9870,2045l9815,1963,9759,2045,9815,2127,9870,2045e" filled="true" fillcolor="#548ed4" stroked="false">
              <v:path arrowok="t"/>
              <v:fill type="solid"/>
            </v:shape>
            <v:shape style="position:absolute;left:8522;top:1961;width:112;height:165" coordorigin="8522,1961" coordsize="112,165" path="m8578,1961l8522,2044,8578,2126,8633,2044,8578,1961xe" filled="true" fillcolor="#ff0000" stroked="false">
              <v:path arrowok="t"/>
              <v:fill type="solid"/>
            </v:shape>
            <v:shape style="position:absolute;left:3180;top:3389;width:1717;height:800" type="#_x0000_t75" stroked="false">
              <v:imagedata r:id="rId78" o:title=""/>
            </v:shape>
            <v:shape style="position:absolute;left:4846;top:3410;width:256;height:378" type="#_x0000_t75" stroked="false">
              <v:imagedata r:id="rId79" o:title=""/>
            </v:shape>
            <v:shape style="position:absolute;left:5017;top:3392;width:1316;height:480" type="#_x0000_t75" stroked="false">
              <v:imagedata r:id="rId80" o:title=""/>
            </v:shape>
            <v:shape style="position:absolute;left:6372;top:3407;width:582;height:312" type="#_x0000_t75" stroked="false">
              <v:imagedata r:id="rId81" o:title=""/>
            </v:shape>
            <v:shape style="position:absolute;left:6780;top:3411;width:379;height:583" coordorigin="6780,3411" coordsize="379,583" path="m6785,3914l6780,3924,6824,3993,6834,3976,6824,3976,6785,3914xm6846,3941l6824,3976,6834,3976,6851,3949,6846,3941xm6830,3882l6825,3890,6845,3922,6847,3926,6849,3927,6850,3929,6852,3931,6854,3932,6858,3934,6860,3932,6862,3932,6865,3931,6867,3927,6869,3926,6872,3921,6856,3921,6854,3919,6853,3917,6851,3914,6848,3911,6830,3882xm6851,3848l6845,3858,6863,3885,6865,3889,6867,3894,6869,3899,6869,3902,6868,3907,6868,3911,6867,3914,6863,3919,6862,3921,6872,3921,6873,3919,6874,3911,6873,3900,6883,3900,6851,3848xm6883,3900l6873,3900,6878,3907,6883,3900xm6863,3830l6856,3841,6882,3848,6887,3894,6894,3882,6890,3850,6914,3850,6917,3845,6888,3838,6888,3836,6879,3836,6878,3835,6875,3835,6863,3830xm6914,3850l6894,3850,6910,3857,6914,3850xm6884,3796l6878,3806,6880,3826,6880,3830,6881,3836,6888,3836,6884,3796xm6914,3750l6909,3754,6905,3760,6900,3767,6898,3776,6899,3794,6901,3803,6907,3811,6912,3819,6918,3824,6929,3824,6934,3821,6939,3813,6921,3813,6917,3809,6914,3804,6918,3797,6910,3797,6907,3792,6906,3787,6906,3776,6907,3772,6909,3767,6912,3764,6915,3762,6935,3762,6931,3755,6925,3752,6914,3750xm6942,3774l6936,3782,6938,3787,6938,3792,6938,3796,6937,3799,6936,3803,6934,3806,6932,3811,6928,3813,6939,3813,6942,3808,6944,3801,6945,3794,6946,3787,6945,3781,6942,3774xm6935,3762l6922,3762,6924,3764,6927,3769,6910,3797,6918,3797,6937,3767,6936,3764,6935,3762xm6931,3721l6926,3728,6958,3781,6964,3772,6947,3745,6944,3740,6942,3737,6940,3730,6940,3728,6935,3728,6931,3721xm6963,3710l6952,3710,6954,3713,6956,3716,6977,3750,6983,3742,6964,3711,6963,3710xm6950,3696l6947,3698,6945,3698,6942,3701,6940,3705,6938,3708,6936,3711,6936,3716,6935,3720,6935,3725,6935,3728,6940,3728,6940,3727,6941,3720,6942,3716,6944,3715,6946,3711,6948,3710,6963,3710,6961,3706,6959,3701,6959,3700,6955,3700,6950,3696xm6982,3679l6969,3679,6971,3681,6972,3681,6974,3684,6976,3688,6996,3720,7002,3711,6982,3679xm6972,3667l6965,3667,6962,3669,6955,3681,6953,3689,6955,3700,6959,3700,6959,3691,6960,3688,6962,3684,6964,3681,6965,3681,6967,3679,6982,3679,6980,3676,6976,3669,6972,3667xm6970,3620l6964,3629,7009,3700,7014,3691,7010,3684,7020,3684,7024,3678,7012,3678,7005,3676,7001,3673,6997,3666,6994,3659,6991,3654,6991,3646,6986,3646,6970,3620xm7020,3684l7010,3684,7015,3686,7020,3684xm7019,3627l6999,3627,7007,3629,7011,3632,7015,3639,7019,3646,7021,3651,7022,3664,7021,3667,7018,3673,7016,3676,7012,3678,7024,3678,7027,3673,7029,3664,7029,3656,7028,3647,7025,3637,7019,3627xm7002,3615l6999,3617,6994,3619,6992,3622,6990,3625,6987,3630,6985,3637,6986,3646,6991,3646,6991,3640,6992,3637,6994,3632,6996,3629,6999,3627,7019,3627,7018,3625,7015,3622,7007,3617,7002,3615xm7045,3637l7041,3637,7043,3639,7045,3637xm7016,3586l7010,3595,7030,3627,7032,3630,7034,3632,7036,3634,7039,3637,7048,3637,7050,3635,7052,3632,7054,3630,7057,3625,7041,3625,7039,3624,7038,3622,7036,3619,7016,3586xm7036,3553l7031,3563,7051,3593,7052,3598,7054,3603,7054,3607,7054,3612,7053,3615,7052,3619,7049,3624,7047,3625,7057,3625,7058,3624,7060,3615,7059,3605,7068,3605,7036,3553xm7068,3605l7059,3605,7063,3612,7068,3605xm7049,3532l7044,3541,7076,3592,7082,3583,7065,3556,7062,3553,7061,3549,7059,3546,7058,3543,7058,3541,7054,3541,7049,3532xm7106,3554l7100,3563,7104,3568,7107,3570,7113,3568,7120,3558,7108,3558,7106,3554xm7126,3517l7115,3517,7119,3522,7121,3526,7122,3529,7123,3532,7123,3536,7123,3539,7123,3543,7121,3548,7119,3551,7114,3558,7120,3558,7130,3543,7131,3537,7131,3532,7128,3522,7126,3517xm7093,3463l7088,3472,7092,3477,7086,3477,7081,3478,7075,3490,7073,3495,7072,3500,7072,3505,7072,3512,7075,3524,7077,3529,7085,3541,7090,3544,7101,3548,7106,3544,7110,3537,7112,3536,7101,3536,7094,3534,7090,3531,7086,3524,7082,3517,7080,3512,7079,3500,7080,3495,7082,3492,7085,3489,7088,3487,7107,3487,7093,3463xm7062,3516l7059,3516,7057,3519,7055,3521,7054,3522,7053,3526,7052,3531,7053,3536,7054,3541,7058,3541,7058,3539,7059,3534,7059,3532,7060,3531,7062,3529,7064,3527,7066,3526,7062,3516xm7107,3487l7095,3487,7099,3490,7103,3497,7107,3504,7110,3509,7110,3521,7109,3526,7106,3529,7104,3534,7101,3536,7112,3536,7114,3532,7115,3524,7115,3517,7126,3517,7125,3516,7107,3487xm7139,3411l7128,3411,7122,3414,7118,3421,7114,3426,7112,3435,7111,3451,7114,3462,7120,3472,7125,3480,7131,3483,7142,3485,7147,3482,7152,3473,7141,3473,7134,3472,7129,3468,7125,3462,7121,3456,7119,3450,7119,3438,7120,3433,7123,3428,7125,3423,7129,3421,7148,3421,7144,3414,7139,3411xm7148,3421l7129,3421,7136,3423,7140,3426,7144,3431,7148,3438,7151,3445,7151,3451,7151,3456,7150,3463,7147,3467,7144,3472,7141,3473,7152,3473,7154,3470,7156,3465,7158,3453,7158,3446,7157,3441,7156,3435,7154,3429,7148,3421xe" filled="true" fillcolor="#000000" stroked="false">
              <v:path arrowok="t"/>
              <v:fill type="solid"/>
            </v:shape>
            <v:shape style="position:absolute;left:7125;top:3420;width:233;height:351" type="#_x0000_t75" stroked="false">
              <v:imagedata r:id="rId82" o:title=""/>
            </v:shape>
            <v:shape style="position:absolute;left:7298;top:3406;width:694;height:708" type="#_x0000_t75" stroked="false">
              <v:imagedata r:id="rId83" o:title=""/>
            </v:shape>
            <v:shape style="position:absolute;left:7939;top:3409;width:256;height:380" type="#_x0000_t75" stroked="false">
              <v:imagedata r:id="rId84" o:title=""/>
            </v:shape>
            <v:shape style="position:absolute;left:8123;top:3390;width:1717;height:744" type="#_x0000_t75" stroked="false">
              <v:imagedata r:id="rId85" o:title=""/>
            </v:shape>
            <v:shape style="position:absolute;left:3165;top:252;width:111;height:3254" coordorigin="3165,252" coordsize="111,3254" path="m3220,327l3208,360,3201,3506,3224,3506,3232,394,3232,360,3220,327xm3234,290l3232,290,3232,360,3255,423,3262,426,3273,415,3275,403,3234,290xm3220,252l3168,394,3165,403,3167,414,3172,420,3178,425,3185,422,3189,413,3208,360,3208,290,3234,290,3220,252xm3232,299l3210,299,3231,299,3220,327,3232,360,3232,299xm3232,290l3208,290,3208,360,3220,327,3210,299,3232,299,3232,290xm3210,299l3220,327,3231,299,3210,299xe" filled="true" fillcolor="#ff0000" stroked="false">
              <v:path arrowok="t"/>
              <v:fill type="solid"/>
            </v:shape>
            <v:shape style="position:absolute;left:9529;top:1976;width:54;height:153" type="#_x0000_t202" filled="false" stroked="false">
              <v:textbox inset="0,0,0,0">
                <w:txbxContent>
                  <w:p>
                    <w:pPr>
                      <w:spacing w:line="152" w:lineRule="exact" w:before="0"/>
                      <w:ind w:left="0" w:right="0" w:firstLine="0"/>
                      <w:jc w:val="left"/>
                      <w:rPr>
                        <w:b/>
                        <w:sz w:val="15"/>
                      </w:rPr>
                    </w:pPr>
                    <w:r>
                      <w:rPr>
                        <w:b/>
                        <w:color w:val="FF0000"/>
                        <w:w w:val="63"/>
                        <w:sz w:val="15"/>
                      </w:rPr>
                      <w:t>8</w:t>
                    </w:r>
                  </w:p>
                </w:txbxContent>
              </v:textbox>
              <w10:wrap type="none"/>
            </v:shape>
            <v:shape style="position:absolute;left:9513;top:2445;width:54;height:153" type="#_x0000_t202" filled="false" stroked="false">
              <v:textbox inset="0,0,0,0">
                <w:txbxContent>
                  <w:p>
                    <w:pPr>
                      <w:spacing w:line="152" w:lineRule="exact" w:before="0"/>
                      <w:ind w:left="0" w:right="0" w:firstLine="0"/>
                      <w:jc w:val="left"/>
                      <w:rPr>
                        <w:sz w:val="15"/>
                      </w:rPr>
                    </w:pPr>
                    <w:r>
                      <w:rPr>
                        <w:w w:val="63"/>
                        <w:sz w:val="15"/>
                      </w:rPr>
                      <w:t>5</w:t>
                    </w:r>
                  </w:p>
                </w:txbxContent>
              </v:textbox>
              <w10:wrap type="none"/>
            </v:shape>
            <w10:wrap type="none"/>
          </v:group>
        </w:pict>
      </w:r>
      <w:r>
        <w:rPr/>
        <w:pict>
          <v:group style="position:absolute;margin-left:112.771935pt;margin-top:7.226466pt;width:35.75pt;height:44.95pt;mso-position-horizontal-relative:page;mso-position-vertical-relative:paragraph;z-index:5344" coordorigin="2255,145" coordsize="715,899">
            <v:rect style="position:absolute;left:2255;top:145;width:715;height:899" filled="true" fillcolor="#ffffff" stroked="false">
              <v:fill type="solid"/>
            </v:rect>
            <v:shape style="position:absolute;left:2255;top:145;width:715;height:899" type="#_x0000_t202" filled="false" stroked="false">
              <v:textbox inset="0,0,0,0">
                <w:txbxContent>
                  <w:p>
                    <w:pPr>
                      <w:spacing w:line="232" w:lineRule="auto" w:before="71"/>
                      <w:ind w:left="78" w:right="70" w:hanging="5"/>
                      <w:jc w:val="center"/>
                      <w:rPr>
                        <w:sz w:val="14"/>
                      </w:rPr>
                    </w:pPr>
                    <w:r>
                      <w:rPr>
                        <w:w w:val="55"/>
                        <w:sz w:val="14"/>
                      </w:rPr>
                      <w:t>Núm. de meses </w:t>
                    </w:r>
                    <w:r>
                      <w:rPr>
                        <w:w w:val="50"/>
                        <w:sz w:val="14"/>
                      </w:rPr>
                      <w:t>después del inicio </w:t>
                    </w:r>
                    <w:r>
                      <w:rPr>
                        <w:w w:val="60"/>
                        <w:sz w:val="14"/>
                      </w:rPr>
                      <w:t>del ejercicio fiscal</w:t>
                    </w:r>
                  </w:p>
                </w:txbxContent>
              </v:textbox>
              <w10:wrap type="none"/>
            </v:shape>
            <w10:wrap type="none"/>
          </v:group>
        </w:pict>
      </w:r>
      <w:r>
        <w:rPr>
          <w:b/>
          <w:color w:val="FF0000"/>
          <w:w w:val="75"/>
          <w:sz w:val="15"/>
        </w:rPr>
        <w:t>20</w:t>
      </w:r>
    </w:p>
    <w:p>
      <w:pPr>
        <w:pStyle w:val="BodyText"/>
        <w:rPr>
          <w:b/>
          <w:sz w:val="20"/>
        </w:rPr>
      </w:pPr>
    </w:p>
    <w:p>
      <w:pPr>
        <w:pStyle w:val="BodyText"/>
        <w:spacing w:before="6"/>
        <w:rPr>
          <w:b/>
          <w:sz w:val="18"/>
        </w:rPr>
      </w:pPr>
    </w:p>
    <w:p>
      <w:pPr>
        <w:spacing w:before="0"/>
        <w:ind w:left="1375" w:right="0" w:firstLine="0"/>
        <w:jc w:val="left"/>
        <w:rPr>
          <w:sz w:val="14"/>
        </w:rPr>
      </w:pPr>
      <w:r>
        <w:rPr>
          <w:w w:val="62"/>
          <w:sz w:val="14"/>
        </w:rPr>
        <w:t>8</w:t>
      </w:r>
    </w:p>
    <w:p>
      <w:pPr>
        <w:pStyle w:val="BodyText"/>
        <w:rPr>
          <w:sz w:val="20"/>
        </w:rPr>
      </w:pPr>
    </w:p>
    <w:p>
      <w:pPr>
        <w:pStyle w:val="BodyText"/>
        <w:spacing w:before="4"/>
        <w:rPr>
          <w:sz w:val="16"/>
        </w:rPr>
      </w:pPr>
    </w:p>
    <w:p>
      <w:pPr>
        <w:spacing w:after="0"/>
        <w:rPr>
          <w:sz w:val="16"/>
        </w:rPr>
        <w:sectPr>
          <w:pgSz w:w="12240" w:h="15840"/>
          <w:pgMar w:header="0" w:footer="1003" w:top="1360" w:bottom="1200" w:left="1600" w:right="1580"/>
        </w:sectPr>
      </w:pPr>
    </w:p>
    <w:p>
      <w:pPr>
        <w:spacing w:before="82"/>
        <w:ind w:left="0" w:right="177" w:firstLine="0"/>
        <w:jc w:val="right"/>
        <w:rPr>
          <w:sz w:val="14"/>
        </w:rPr>
      </w:pPr>
      <w:r>
        <w:rPr>
          <w:w w:val="62"/>
          <w:sz w:val="14"/>
        </w:rPr>
        <w:t>4</w:t>
      </w:r>
    </w:p>
    <w:p>
      <w:pPr>
        <w:pStyle w:val="BodyText"/>
        <w:rPr>
          <w:sz w:val="14"/>
        </w:rPr>
      </w:pPr>
    </w:p>
    <w:p>
      <w:pPr>
        <w:spacing w:line="152" w:lineRule="exact" w:before="118"/>
        <w:ind w:left="1213" w:right="-7" w:firstLine="0"/>
        <w:jc w:val="left"/>
        <w:rPr>
          <w:sz w:val="14"/>
        </w:rPr>
      </w:pPr>
      <w:r>
        <w:rPr>
          <w:w w:val="55"/>
          <w:sz w:val="14"/>
        </w:rPr>
        <w:t>Comienzo </w:t>
      </w:r>
      <w:r>
        <w:rPr>
          <w:w w:val="50"/>
          <w:sz w:val="14"/>
        </w:rPr>
        <w:t>del ejercicio </w:t>
      </w:r>
      <w:r>
        <w:rPr>
          <w:w w:val="60"/>
          <w:sz w:val="14"/>
        </w:rPr>
        <w:t>Fiscal</w:t>
      </w:r>
    </w:p>
    <w:p>
      <w:pPr>
        <w:pStyle w:val="BodyText"/>
        <w:spacing w:before="4"/>
        <w:rPr>
          <w:sz w:val="18"/>
        </w:rPr>
      </w:pPr>
      <w:r>
        <w:rPr/>
        <w:br w:type="column"/>
      </w:r>
      <w:r>
        <w:rPr>
          <w:sz w:val="18"/>
        </w:rPr>
      </w:r>
    </w:p>
    <w:p>
      <w:pPr>
        <w:spacing w:before="1"/>
        <w:ind w:left="0" w:right="151" w:firstLine="0"/>
        <w:jc w:val="right"/>
        <w:rPr>
          <w:b/>
          <w:sz w:val="15"/>
        </w:rPr>
      </w:pPr>
      <w:r>
        <w:rPr>
          <w:b/>
          <w:color w:val="FF0000"/>
          <w:w w:val="65"/>
          <w:sz w:val="15"/>
        </w:rPr>
        <w:t>11</w:t>
      </w:r>
    </w:p>
    <w:p>
      <w:pPr>
        <w:pStyle w:val="BodyText"/>
        <w:rPr>
          <w:b/>
          <w:sz w:val="14"/>
        </w:rPr>
      </w:pPr>
    </w:p>
    <w:p>
      <w:pPr>
        <w:pStyle w:val="BodyText"/>
        <w:spacing w:before="8"/>
        <w:rPr>
          <w:b/>
          <w:sz w:val="11"/>
        </w:rPr>
      </w:pPr>
    </w:p>
    <w:p>
      <w:pPr>
        <w:spacing w:line="164" w:lineRule="exact" w:before="1"/>
        <w:ind w:left="307" w:right="0" w:firstLine="0"/>
        <w:jc w:val="center"/>
        <w:rPr>
          <w:b/>
          <w:sz w:val="15"/>
        </w:rPr>
      </w:pPr>
      <w:r>
        <w:rPr>
          <w:b/>
          <w:color w:val="FF0000"/>
          <w:w w:val="63"/>
          <w:sz w:val="15"/>
        </w:rPr>
        <w:t>8</w:t>
      </w:r>
    </w:p>
    <w:p>
      <w:pPr>
        <w:tabs>
          <w:tab w:pos="603" w:val="left" w:leader="none"/>
        </w:tabs>
        <w:spacing w:line="156" w:lineRule="exact" w:before="0"/>
        <w:ind w:left="0" w:right="220" w:firstLine="0"/>
        <w:jc w:val="right"/>
        <w:rPr>
          <w:sz w:val="15"/>
        </w:rPr>
      </w:pPr>
      <w:r>
        <w:rPr>
          <w:b/>
          <w:color w:val="FF0000"/>
          <w:w w:val="75"/>
          <w:sz w:val="15"/>
        </w:rPr>
        <w:t>7   </w:t>
      </w:r>
      <w:r>
        <w:rPr>
          <w:b/>
          <w:color w:val="FF0000"/>
          <w:spacing w:val="15"/>
          <w:w w:val="75"/>
          <w:sz w:val="15"/>
        </w:rPr>
        <w:t> </w:t>
      </w:r>
      <w:r>
        <w:rPr>
          <w:b/>
          <w:color w:val="FF0000"/>
          <w:w w:val="75"/>
          <w:sz w:val="15"/>
        </w:rPr>
        <w:t>7</w:t>
        <w:tab/>
      </w:r>
      <w:r>
        <w:rPr>
          <w:w w:val="60"/>
          <w:sz w:val="15"/>
        </w:rPr>
        <w:t>7</w:t>
      </w:r>
    </w:p>
    <w:p>
      <w:pPr>
        <w:tabs>
          <w:tab w:pos="704" w:val="left" w:leader="none"/>
          <w:tab w:pos="1132" w:val="left" w:leader="none"/>
        </w:tabs>
        <w:spacing w:line="164" w:lineRule="exact" w:before="0"/>
        <w:ind w:left="291" w:right="0" w:firstLine="0"/>
        <w:jc w:val="center"/>
        <w:rPr>
          <w:b/>
          <w:sz w:val="15"/>
        </w:rPr>
      </w:pPr>
      <w:r>
        <w:rPr>
          <w:w w:val="75"/>
          <w:sz w:val="15"/>
        </w:rPr>
        <w:t>6</w:t>
        <w:tab/>
        <w:t>6</w:t>
        <w:tab/>
      </w:r>
      <w:r>
        <w:rPr>
          <w:b/>
          <w:color w:val="FF0000"/>
          <w:w w:val="60"/>
          <w:sz w:val="15"/>
        </w:rPr>
        <w:t>6</w:t>
      </w:r>
    </w:p>
    <w:p>
      <w:pPr>
        <w:pStyle w:val="BodyText"/>
        <w:rPr>
          <w:b/>
          <w:sz w:val="14"/>
        </w:rPr>
      </w:pPr>
      <w:r>
        <w:rPr/>
        <w:br w:type="column"/>
      </w:r>
      <w:r>
        <w:rPr>
          <w:b/>
          <w:sz w:val="14"/>
        </w:rPr>
      </w:r>
    </w:p>
    <w:p>
      <w:pPr>
        <w:pStyle w:val="BodyText"/>
        <w:rPr>
          <w:b/>
          <w:sz w:val="14"/>
        </w:rPr>
      </w:pPr>
    </w:p>
    <w:p>
      <w:pPr>
        <w:pStyle w:val="BodyText"/>
        <w:rPr>
          <w:b/>
          <w:sz w:val="14"/>
        </w:rPr>
      </w:pPr>
    </w:p>
    <w:p>
      <w:pPr>
        <w:pStyle w:val="BodyText"/>
        <w:spacing w:before="2"/>
        <w:rPr>
          <w:b/>
          <w:sz w:val="17"/>
        </w:rPr>
      </w:pPr>
    </w:p>
    <w:p>
      <w:pPr>
        <w:spacing w:line="164" w:lineRule="exact" w:before="0"/>
        <w:ind w:left="0" w:right="0" w:firstLine="0"/>
        <w:jc w:val="right"/>
        <w:rPr>
          <w:b/>
          <w:sz w:val="15"/>
        </w:rPr>
      </w:pPr>
      <w:r>
        <w:rPr>
          <w:b/>
          <w:color w:val="FF0000"/>
          <w:w w:val="63"/>
          <w:sz w:val="15"/>
        </w:rPr>
        <w:t>8</w:t>
      </w:r>
    </w:p>
    <w:p>
      <w:pPr>
        <w:spacing w:line="164" w:lineRule="exact" w:before="0"/>
        <w:ind w:left="113" w:right="0" w:firstLine="0"/>
        <w:jc w:val="left"/>
        <w:rPr>
          <w:b/>
          <w:sz w:val="15"/>
        </w:rPr>
      </w:pPr>
      <w:r>
        <w:rPr>
          <w:b/>
          <w:color w:val="FF0000"/>
          <w:w w:val="75"/>
          <w:sz w:val="15"/>
        </w:rPr>
        <w:t>7    7    7</w:t>
      </w:r>
    </w:p>
    <w:p>
      <w:pPr>
        <w:pStyle w:val="BodyText"/>
        <w:spacing w:before="4"/>
        <w:rPr>
          <w:b/>
          <w:sz w:val="18"/>
        </w:rPr>
      </w:pPr>
      <w:r>
        <w:rPr/>
        <w:br w:type="column"/>
      </w:r>
      <w:r>
        <w:rPr>
          <w:b/>
          <w:sz w:val="18"/>
        </w:rPr>
      </w:r>
    </w:p>
    <w:p>
      <w:pPr>
        <w:spacing w:before="1"/>
        <w:ind w:left="0" w:right="357" w:firstLine="0"/>
        <w:jc w:val="right"/>
        <w:rPr>
          <w:b/>
          <w:sz w:val="15"/>
        </w:rPr>
      </w:pPr>
      <w:r>
        <w:rPr>
          <w:b/>
          <w:color w:val="FF0000"/>
          <w:w w:val="65"/>
          <w:sz w:val="15"/>
        </w:rPr>
        <w:t>11</w:t>
      </w:r>
    </w:p>
    <w:p>
      <w:pPr>
        <w:pStyle w:val="BodyText"/>
        <w:rPr>
          <w:b/>
          <w:sz w:val="14"/>
        </w:rPr>
      </w:pPr>
    </w:p>
    <w:p>
      <w:pPr>
        <w:pStyle w:val="BodyText"/>
        <w:spacing w:before="8"/>
        <w:rPr>
          <w:b/>
          <w:sz w:val="11"/>
        </w:rPr>
      </w:pPr>
    </w:p>
    <w:p>
      <w:pPr>
        <w:tabs>
          <w:tab w:pos="1352" w:val="left" w:leader="none"/>
        </w:tabs>
        <w:spacing w:line="164" w:lineRule="exact" w:before="1"/>
        <w:ind w:left="526" w:right="0" w:firstLine="0"/>
        <w:jc w:val="left"/>
        <w:rPr>
          <w:b/>
          <w:sz w:val="15"/>
        </w:rPr>
      </w:pPr>
      <w:r>
        <w:rPr>
          <w:b/>
          <w:color w:val="FF0000"/>
          <w:w w:val="75"/>
          <w:sz w:val="15"/>
        </w:rPr>
        <w:t>8</w:t>
        <w:tab/>
        <w:t>8   </w:t>
      </w:r>
      <w:r>
        <w:rPr>
          <w:b/>
          <w:color w:val="FF0000"/>
          <w:spacing w:val="8"/>
          <w:w w:val="75"/>
          <w:sz w:val="15"/>
        </w:rPr>
        <w:t> </w:t>
      </w:r>
      <w:r>
        <w:rPr>
          <w:b/>
          <w:color w:val="FF0000"/>
          <w:w w:val="75"/>
          <w:sz w:val="15"/>
        </w:rPr>
        <w:t>8</w:t>
      </w:r>
    </w:p>
    <w:p>
      <w:pPr>
        <w:tabs>
          <w:tab w:pos="732" w:val="left" w:leader="none"/>
        </w:tabs>
        <w:spacing w:line="156" w:lineRule="exact" w:before="0"/>
        <w:ind w:left="113" w:right="0" w:firstLine="0"/>
        <w:jc w:val="left"/>
        <w:rPr>
          <w:sz w:val="15"/>
        </w:rPr>
      </w:pPr>
      <w:r>
        <w:rPr>
          <w:b/>
          <w:color w:val="FF0000"/>
          <w:w w:val="75"/>
          <w:sz w:val="15"/>
        </w:rPr>
        <w:t>7   </w:t>
      </w:r>
      <w:r>
        <w:rPr>
          <w:b/>
          <w:color w:val="FF0000"/>
          <w:spacing w:val="15"/>
          <w:w w:val="75"/>
          <w:sz w:val="15"/>
        </w:rPr>
        <w:t> </w:t>
      </w:r>
      <w:r>
        <w:rPr>
          <w:b/>
          <w:color w:val="FF0000"/>
          <w:w w:val="75"/>
          <w:sz w:val="15"/>
        </w:rPr>
        <w:t>7</w:t>
        <w:tab/>
        <w:t>7  </w:t>
      </w:r>
      <w:r>
        <w:rPr>
          <w:b/>
          <w:color w:val="FF0000"/>
          <w:spacing w:val="24"/>
          <w:w w:val="75"/>
          <w:sz w:val="15"/>
        </w:rPr>
        <w:t> </w:t>
      </w:r>
      <w:r>
        <w:rPr>
          <w:w w:val="75"/>
          <w:sz w:val="15"/>
        </w:rPr>
        <w:t>7</w:t>
      </w:r>
    </w:p>
    <w:p>
      <w:pPr>
        <w:tabs>
          <w:tab w:pos="1129" w:val="left" w:leader="none"/>
          <w:tab w:pos="1542" w:val="left" w:leader="none"/>
        </w:tabs>
        <w:spacing w:line="164" w:lineRule="exact" w:before="0"/>
        <w:ind w:left="304" w:right="0" w:firstLine="0"/>
        <w:jc w:val="left"/>
        <w:rPr>
          <w:sz w:val="15"/>
        </w:rPr>
      </w:pPr>
      <w:r>
        <w:rPr>
          <w:w w:val="75"/>
          <w:sz w:val="15"/>
        </w:rPr>
        <w:t>6</w:t>
        <w:tab/>
        <w:t>6</w:t>
        <w:tab/>
        <w:t>6</w:t>
      </w:r>
    </w:p>
    <w:p>
      <w:pPr>
        <w:pStyle w:val="BodyText"/>
        <w:rPr>
          <w:sz w:val="14"/>
        </w:rPr>
      </w:pPr>
      <w:r>
        <w:rPr/>
        <w:br w:type="column"/>
      </w:r>
      <w:r>
        <w:rPr>
          <w:sz w:val="14"/>
        </w:rPr>
      </w:r>
    </w:p>
    <w:p>
      <w:pPr>
        <w:pStyle w:val="BodyText"/>
        <w:spacing w:before="11"/>
        <w:rPr>
          <w:sz w:val="17"/>
        </w:rPr>
      </w:pPr>
    </w:p>
    <w:p>
      <w:pPr>
        <w:spacing w:before="0"/>
        <w:ind w:left="0" w:right="151" w:firstLine="0"/>
        <w:jc w:val="right"/>
        <w:rPr>
          <w:b/>
          <w:sz w:val="15"/>
        </w:rPr>
      </w:pPr>
      <w:r>
        <w:rPr>
          <w:b/>
          <w:color w:val="FF0000"/>
          <w:w w:val="65"/>
          <w:sz w:val="15"/>
        </w:rPr>
        <w:t>10</w:t>
      </w:r>
    </w:p>
    <w:p>
      <w:pPr>
        <w:pStyle w:val="BodyText"/>
        <w:spacing w:before="2"/>
        <w:rPr>
          <w:b/>
          <w:sz w:val="12"/>
        </w:rPr>
      </w:pPr>
    </w:p>
    <w:p>
      <w:pPr>
        <w:spacing w:line="164" w:lineRule="exact" w:before="0"/>
        <w:ind w:left="319" w:right="0" w:firstLine="0"/>
        <w:jc w:val="center"/>
        <w:rPr>
          <w:b/>
          <w:sz w:val="15"/>
        </w:rPr>
      </w:pPr>
      <w:r>
        <w:rPr>
          <w:b/>
          <w:color w:val="FF0000"/>
          <w:w w:val="63"/>
          <w:sz w:val="15"/>
        </w:rPr>
        <w:t>8</w:t>
      </w:r>
    </w:p>
    <w:p>
      <w:pPr>
        <w:tabs>
          <w:tab w:pos="1145" w:val="left" w:leader="none"/>
        </w:tabs>
        <w:spacing w:line="156" w:lineRule="exact" w:before="0"/>
        <w:ind w:left="113" w:right="0" w:firstLine="0"/>
        <w:jc w:val="left"/>
        <w:rPr>
          <w:b/>
          <w:sz w:val="15"/>
        </w:rPr>
      </w:pPr>
      <w:r>
        <w:rPr>
          <w:b/>
          <w:color w:val="FF0000"/>
          <w:w w:val="75"/>
          <w:sz w:val="15"/>
        </w:rPr>
        <w:t>7   </w:t>
      </w:r>
      <w:r>
        <w:rPr>
          <w:b/>
          <w:color w:val="FF0000"/>
          <w:spacing w:val="16"/>
          <w:w w:val="75"/>
          <w:sz w:val="15"/>
        </w:rPr>
        <w:t> </w:t>
      </w:r>
      <w:r>
        <w:rPr>
          <w:b/>
          <w:color w:val="FF0000"/>
          <w:w w:val="75"/>
          <w:sz w:val="15"/>
        </w:rPr>
        <w:t>7   </w:t>
      </w:r>
      <w:r>
        <w:rPr>
          <w:b/>
          <w:color w:val="FF0000"/>
          <w:spacing w:val="16"/>
          <w:w w:val="75"/>
          <w:sz w:val="15"/>
        </w:rPr>
        <w:t> </w:t>
      </w:r>
      <w:r>
        <w:rPr>
          <w:b/>
          <w:color w:val="FF0000"/>
          <w:w w:val="75"/>
          <w:sz w:val="15"/>
        </w:rPr>
        <w:t>7</w:t>
        <w:tab/>
      </w:r>
      <w:r>
        <w:rPr>
          <w:b/>
          <w:color w:val="FF0000"/>
          <w:w w:val="60"/>
          <w:sz w:val="15"/>
        </w:rPr>
        <w:t>7</w:t>
      </w:r>
    </w:p>
    <w:p>
      <w:pPr>
        <w:spacing w:line="164" w:lineRule="exact" w:before="0"/>
        <w:ind w:left="0" w:right="220" w:firstLine="0"/>
        <w:jc w:val="right"/>
        <w:rPr>
          <w:sz w:val="15"/>
        </w:rPr>
      </w:pPr>
      <w:r>
        <w:rPr>
          <w:w w:val="63"/>
          <w:sz w:val="15"/>
        </w:rPr>
        <w:t>6</w:t>
      </w:r>
    </w:p>
    <w:p>
      <w:pPr>
        <w:pStyle w:val="BodyText"/>
        <w:spacing w:before="4"/>
        <w:rPr>
          <w:sz w:val="18"/>
        </w:rPr>
      </w:pPr>
      <w:r>
        <w:rPr/>
        <w:br w:type="column"/>
      </w:r>
      <w:r>
        <w:rPr>
          <w:sz w:val="18"/>
        </w:rPr>
      </w:r>
    </w:p>
    <w:p>
      <w:pPr>
        <w:spacing w:before="1"/>
        <w:ind w:left="1524" w:right="789" w:firstLine="0"/>
        <w:jc w:val="center"/>
        <w:rPr>
          <w:b/>
          <w:sz w:val="15"/>
        </w:rPr>
      </w:pPr>
      <w:r>
        <w:rPr>
          <w:b/>
          <w:color w:val="FF0000"/>
          <w:w w:val="75"/>
          <w:sz w:val="15"/>
        </w:rPr>
        <w:t>11</w:t>
      </w:r>
    </w:p>
    <w:p>
      <w:pPr>
        <w:pStyle w:val="BodyText"/>
        <w:spacing w:before="1"/>
        <w:rPr>
          <w:b/>
          <w:sz w:val="12"/>
        </w:rPr>
      </w:pPr>
    </w:p>
    <w:p>
      <w:pPr>
        <w:spacing w:line="164" w:lineRule="exact" w:before="1"/>
        <w:ind w:left="655" w:right="0" w:firstLine="0"/>
        <w:jc w:val="center"/>
        <w:rPr>
          <w:sz w:val="15"/>
        </w:rPr>
      </w:pPr>
      <w:r>
        <w:rPr>
          <w:w w:val="63"/>
          <w:sz w:val="15"/>
        </w:rPr>
        <w:t>9</w:t>
      </w:r>
    </w:p>
    <w:p>
      <w:pPr>
        <w:tabs>
          <w:tab w:pos="525" w:val="left" w:leader="none"/>
          <w:tab w:pos="1764" w:val="left" w:leader="none"/>
        </w:tabs>
        <w:spacing w:line="156" w:lineRule="exact" w:before="0"/>
        <w:ind w:left="113" w:right="0" w:firstLine="0"/>
        <w:jc w:val="left"/>
        <w:rPr>
          <w:b/>
          <w:sz w:val="15"/>
        </w:rPr>
      </w:pPr>
      <w:r>
        <w:rPr>
          <w:b/>
          <w:color w:val="FF0000"/>
          <w:w w:val="75"/>
          <w:sz w:val="15"/>
        </w:rPr>
        <w:t>8</w:t>
        <w:tab/>
        <w:t>8   </w:t>
      </w:r>
      <w:r>
        <w:rPr>
          <w:b/>
          <w:color w:val="FF0000"/>
          <w:spacing w:val="15"/>
          <w:w w:val="75"/>
          <w:sz w:val="15"/>
        </w:rPr>
        <w:t> </w:t>
      </w:r>
      <w:r>
        <w:rPr>
          <w:b/>
          <w:color w:val="FF0000"/>
          <w:w w:val="75"/>
          <w:sz w:val="15"/>
        </w:rPr>
        <w:t>8</w:t>
        <w:tab/>
        <w:t>8</w:t>
      </w:r>
    </w:p>
    <w:p>
      <w:pPr>
        <w:tabs>
          <w:tab w:pos="939" w:val="left" w:leader="none"/>
        </w:tabs>
        <w:spacing w:line="156" w:lineRule="exact" w:before="0"/>
        <w:ind w:left="319" w:right="0" w:firstLine="0"/>
        <w:jc w:val="left"/>
        <w:rPr>
          <w:b/>
          <w:sz w:val="15"/>
        </w:rPr>
      </w:pPr>
      <w:r>
        <w:rPr>
          <w:b/>
          <w:color w:val="FF0000"/>
          <w:w w:val="75"/>
          <w:sz w:val="15"/>
        </w:rPr>
        <w:t>7</w:t>
        <w:tab/>
        <w:t>7   </w:t>
      </w:r>
      <w:r>
        <w:rPr>
          <w:b/>
          <w:color w:val="FF0000"/>
          <w:spacing w:val="8"/>
          <w:w w:val="75"/>
          <w:sz w:val="15"/>
        </w:rPr>
        <w:t> </w:t>
      </w:r>
      <w:r>
        <w:rPr>
          <w:b/>
          <w:color w:val="FF0000"/>
          <w:w w:val="75"/>
          <w:sz w:val="15"/>
        </w:rPr>
        <w:t>7</w:t>
      </w:r>
    </w:p>
    <w:p>
      <w:pPr>
        <w:spacing w:line="164" w:lineRule="exact" w:before="0"/>
        <w:ind w:left="510" w:right="0" w:firstLine="0"/>
        <w:jc w:val="left"/>
        <w:rPr>
          <w:sz w:val="15"/>
        </w:rPr>
      </w:pPr>
      <w:r>
        <w:rPr>
          <w:w w:val="63"/>
          <w:sz w:val="15"/>
        </w:rPr>
        <w:t>6</w:t>
      </w:r>
    </w:p>
    <w:p>
      <w:pPr>
        <w:spacing w:after="0" w:line="164" w:lineRule="exact"/>
        <w:jc w:val="left"/>
        <w:rPr>
          <w:sz w:val="15"/>
        </w:rPr>
        <w:sectPr>
          <w:type w:val="continuous"/>
          <w:pgSz w:w="12240" w:h="15840"/>
          <w:pgMar w:top="0" w:bottom="280" w:left="1600" w:right="1580"/>
          <w:cols w:num="6" w:equalWidth="0">
            <w:col w:w="1596" w:space="40"/>
            <w:col w:w="1187" w:space="40"/>
            <w:col w:w="786" w:space="40"/>
            <w:col w:w="1612" w:space="40"/>
            <w:col w:w="1199" w:space="40"/>
            <w:col w:w="2480"/>
          </w:cols>
        </w:sectPr>
      </w:pPr>
    </w:p>
    <w:p>
      <w:pPr>
        <w:pStyle w:val="BodyText"/>
        <w:rPr>
          <w:sz w:val="15"/>
        </w:rPr>
      </w:pPr>
    </w:p>
    <w:p>
      <w:pPr>
        <w:spacing w:line="136" w:lineRule="exact" w:before="0"/>
        <w:ind w:left="0" w:right="0" w:firstLine="0"/>
        <w:jc w:val="right"/>
        <w:rPr>
          <w:sz w:val="14"/>
        </w:rPr>
      </w:pPr>
      <w:r>
        <w:rPr>
          <w:w w:val="62"/>
          <w:sz w:val="14"/>
        </w:rPr>
        <w:t>4</w:t>
      </w:r>
    </w:p>
    <w:p>
      <w:pPr>
        <w:spacing w:line="131" w:lineRule="exact" w:before="0"/>
        <w:ind w:left="736" w:right="89" w:hanging="16"/>
        <w:jc w:val="left"/>
        <w:rPr>
          <w:sz w:val="14"/>
        </w:rPr>
      </w:pPr>
      <w:r>
        <w:rPr>
          <w:w w:val="55"/>
          <w:sz w:val="14"/>
        </w:rPr>
        <w:t>Núm. de meses</w:t>
      </w:r>
    </w:p>
    <w:p>
      <w:pPr>
        <w:spacing w:line="152" w:lineRule="exact" w:before="5"/>
        <w:ind w:left="784" w:right="89" w:hanging="48"/>
        <w:jc w:val="left"/>
        <w:rPr>
          <w:sz w:val="14"/>
        </w:rPr>
      </w:pPr>
      <w:r>
        <w:rPr>
          <w:w w:val="55"/>
          <w:sz w:val="14"/>
        </w:rPr>
        <w:t>antes del inicio </w:t>
      </w:r>
      <w:r>
        <w:rPr>
          <w:w w:val="50"/>
          <w:sz w:val="14"/>
        </w:rPr>
        <w:t>del ejercicio</w:t>
      </w:r>
    </w:p>
    <w:p>
      <w:pPr>
        <w:tabs>
          <w:tab w:pos="1406" w:val="right" w:leader="none"/>
        </w:tabs>
        <w:spacing w:line="164" w:lineRule="exact" w:before="0"/>
        <w:ind w:left="887" w:right="0" w:firstLine="0"/>
        <w:jc w:val="left"/>
        <w:rPr>
          <w:sz w:val="14"/>
        </w:rPr>
      </w:pPr>
      <w:r>
        <w:rPr>
          <w:w w:val="65"/>
          <w:sz w:val="14"/>
        </w:rPr>
        <w:t>fiscal</w:t>
      </w:r>
      <w:r>
        <w:rPr>
          <w:w w:val="65"/>
          <w:position w:val="1"/>
          <w:sz w:val="14"/>
        </w:rPr>
        <w:tab/>
        <w:t>8</w:t>
      </w:r>
    </w:p>
    <w:p>
      <w:pPr>
        <w:tabs>
          <w:tab w:pos="1305" w:val="left" w:leader="none"/>
          <w:tab w:pos="2130" w:val="left" w:leader="none"/>
          <w:tab w:pos="2750" w:val="left" w:leader="none"/>
        </w:tabs>
        <w:spacing w:line="148" w:lineRule="exact" w:before="0"/>
        <w:ind w:left="685" w:right="0" w:firstLine="0"/>
        <w:jc w:val="center"/>
        <w:rPr>
          <w:sz w:val="15"/>
        </w:rPr>
      </w:pPr>
      <w:r>
        <w:rPr/>
        <w:br w:type="column"/>
      </w:r>
      <w:r>
        <w:rPr>
          <w:w w:val="75"/>
          <w:sz w:val="15"/>
        </w:rPr>
        <w:t>5</w:t>
        <w:tab/>
        <w:t>5   </w:t>
      </w:r>
      <w:r>
        <w:rPr>
          <w:spacing w:val="15"/>
          <w:w w:val="75"/>
          <w:sz w:val="15"/>
        </w:rPr>
        <w:t> </w:t>
      </w:r>
      <w:r>
        <w:rPr>
          <w:w w:val="75"/>
          <w:sz w:val="15"/>
        </w:rPr>
        <w:t>5</w:t>
        <w:tab/>
        <w:t>5</w:t>
        <w:tab/>
        <w:t>5   </w:t>
      </w:r>
      <w:r>
        <w:rPr>
          <w:spacing w:val="8"/>
          <w:w w:val="75"/>
          <w:sz w:val="15"/>
        </w:rPr>
        <w:t> </w:t>
      </w:r>
      <w:r>
        <w:rPr>
          <w:w w:val="75"/>
          <w:sz w:val="15"/>
        </w:rPr>
        <w:t>5</w:t>
      </w:r>
    </w:p>
    <w:p>
      <w:pPr>
        <w:spacing w:line="156" w:lineRule="exact" w:before="0"/>
        <w:ind w:left="685" w:right="0" w:firstLine="0"/>
        <w:jc w:val="center"/>
        <w:rPr>
          <w:sz w:val="15"/>
        </w:rPr>
      </w:pPr>
      <w:r>
        <w:rPr>
          <w:w w:val="75"/>
          <w:sz w:val="15"/>
        </w:rPr>
        <w:t>4    4</w:t>
      </w:r>
    </w:p>
    <w:p>
      <w:pPr>
        <w:spacing w:line="164" w:lineRule="exact" w:before="0"/>
        <w:ind w:left="0" w:right="617" w:firstLine="0"/>
        <w:jc w:val="right"/>
        <w:rPr>
          <w:sz w:val="15"/>
        </w:rPr>
      </w:pPr>
      <w:r>
        <w:rPr>
          <w:w w:val="63"/>
          <w:sz w:val="15"/>
        </w:rPr>
        <w:t>3</w:t>
      </w:r>
    </w:p>
    <w:p>
      <w:pPr>
        <w:tabs>
          <w:tab w:pos="938" w:val="left" w:leader="none"/>
        </w:tabs>
        <w:spacing w:line="157" w:lineRule="exact" w:before="0"/>
        <w:ind w:left="526" w:right="0" w:firstLine="0"/>
        <w:jc w:val="left"/>
        <w:rPr>
          <w:sz w:val="15"/>
        </w:rPr>
      </w:pPr>
      <w:r>
        <w:rPr/>
        <w:br w:type="column"/>
      </w:r>
      <w:r>
        <w:rPr>
          <w:w w:val="75"/>
          <w:sz w:val="15"/>
        </w:rPr>
        <w:t>5</w:t>
        <w:tab/>
        <w:t>5    5    5    </w:t>
      </w:r>
      <w:r>
        <w:rPr>
          <w:spacing w:val="14"/>
          <w:w w:val="75"/>
          <w:sz w:val="15"/>
        </w:rPr>
        <w:t> </w:t>
      </w:r>
      <w:r>
        <w:rPr>
          <w:w w:val="75"/>
          <w:sz w:val="15"/>
        </w:rPr>
        <w:t>5</w:t>
      </w:r>
    </w:p>
    <w:p>
      <w:pPr>
        <w:tabs>
          <w:tab w:pos="1145" w:val="left" w:leader="none"/>
        </w:tabs>
        <w:spacing w:line="148" w:lineRule="exact" w:before="0"/>
        <w:ind w:left="319" w:right="0" w:firstLine="0"/>
        <w:jc w:val="left"/>
        <w:rPr>
          <w:sz w:val="15"/>
        </w:rPr>
      </w:pPr>
      <w:r>
        <w:rPr/>
        <w:br w:type="column"/>
      </w:r>
      <w:r>
        <w:rPr>
          <w:w w:val="75"/>
          <w:sz w:val="15"/>
        </w:rPr>
        <w:t>5   </w:t>
      </w:r>
      <w:r>
        <w:rPr>
          <w:spacing w:val="16"/>
          <w:w w:val="75"/>
          <w:sz w:val="15"/>
        </w:rPr>
        <w:t> </w:t>
      </w:r>
      <w:r>
        <w:rPr>
          <w:w w:val="75"/>
          <w:sz w:val="15"/>
        </w:rPr>
        <w:t>5   </w:t>
      </w:r>
      <w:r>
        <w:rPr>
          <w:spacing w:val="16"/>
          <w:w w:val="75"/>
          <w:sz w:val="15"/>
        </w:rPr>
        <w:t> </w:t>
      </w:r>
      <w:r>
        <w:rPr>
          <w:w w:val="75"/>
          <w:sz w:val="15"/>
        </w:rPr>
        <w:t>5</w:t>
        <w:tab/>
        <w:t>5   </w:t>
      </w:r>
      <w:r>
        <w:rPr>
          <w:spacing w:val="8"/>
          <w:w w:val="75"/>
          <w:sz w:val="15"/>
        </w:rPr>
        <w:t> </w:t>
      </w:r>
      <w:r>
        <w:rPr>
          <w:w w:val="75"/>
          <w:sz w:val="15"/>
        </w:rPr>
        <w:t>5</w:t>
      </w:r>
    </w:p>
    <w:p>
      <w:pPr>
        <w:spacing w:line="164" w:lineRule="exact" w:before="0"/>
        <w:ind w:left="258" w:right="0" w:firstLine="0"/>
        <w:jc w:val="center"/>
        <w:rPr>
          <w:sz w:val="15"/>
        </w:rPr>
      </w:pPr>
      <w:r>
        <w:rPr>
          <w:w w:val="63"/>
          <w:sz w:val="15"/>
        </w:rPr>
        <w:t>4</w:t>
      </w:r>
    </w:p>
    <w:p>
      <w:pPr>
        <w:pStyle w:val="BodyText"/>
        <w:rPr>
          <w:sz w:val="14"/>
        </w:rPr>
      </w:pPr>
    </w:p>
    <w:p>
      <w:pPr>
        <w:pStyle w:val="BodyText"/>
        <w:rPr>
          <w:sz w:val="14"/>
        </w:rPr>
      </w:pPr>
    </w:p>
    <w:p>
      <w:pPr>
        <w:pStyle w:val="BodyText"/>
        <w:spacing w:before="4"/>
        <w:rPr>
          <w:sz w:val="11"/>
        </w:rPr>
      </w:pPr>
    </w:p>
    <w:p>
      <w:pPr>
        <w:spacing w:before="0"/>
        <w:ind w:left="0" w:right="678" w:firstLine="0"/>
        <w:jc w:val="right"/>
        <w:rPr>
          <w:sz w:val="15"/>
        </w:rPr>
      </w:pPr>
      <w:r>
        <w:rPr>
          <w:w w:val="63"/>
          <w:sz w:val="15"/>
        </w:rPr>
        <w:t>0</w:t>
      </w:r>
    </w:p>
    <w:p>
      <w:pPr>
        <w:spacing w:after="0"/>
        <w:jc w:val="right"/>
        <w:rPr>
          <w:sz w:val="15"/>
        </w:rPr>
        <w:sectPr>
          <w:type w:val="continuous"/>
          <w:pgSz w:w="12240" w:h="15840"/>
          <w:pgMar w:top="0" w:bottom="280" w:left="1600" w:right="1580"/>
          <w:cols w:num="4" w:equalWidth="0">
            <w:col w:w="1408" w:space="40"/>
            <w:col w:w="3010" w:space="40"/>
            <w:col w:w="1612" w:space="40"/>
            <w:col w:w="291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p>
      <w:pPr>
        <w:spacing w:line="264" w:lineRule="auto" w:before="95"/>
        <w:ind w:left="810" w:right="4980" w:firstLine="0"/>
        <w:jc w:val="left"/>
        <w:rPr>
          <w:sz w:val="12"/>
        </w:rPr>
      </w:pPr>
      <w:r>
        <w:rPr>
          <w:sz w:val="12"/>
        </w:rPr>
        <w:t>FUENTE: OECD, </w:t>
      </w:r>
      <w:r>
        <w:rPr>
          <w:i/>
          <w:sz w:val="12"/>
        </w:rPr>
        <w:t>Government at a Glance 2011</w:t>
      </w:r>
      <w:r>
        <w:rPr>
          <w:sz w:val="12"/>
        </w:rPr>
        <w:t>, p. 137. Disponible en: </w:t>
      </w:r>
      <w:hyperlink r:id="rId86">
        <w:r>
          <w:rPr>
            <w:sz w:val="12"/>
          </w:rPr>
          <w:t>http://dx.doi.org/10.1787/888932390937</w:t>
        </w:r>
      </w:hyperlink>
      <w:r>
        <w:rPr>
          <w:sz w:val="12"/>
        </w:rPr>
        <w:t> [Fecha de Consulta:5 de julio, 2015]</w:t>
      </w:r>
    </w:p>
    <w:p>
      <w:pPr>
        <w:spacing w:line="264" w:lineRule="auto" w:before="0"/>
        <w:ind w:left="810" w:right="116" w:firstLine="0"/>
        <w:jc w:val="both"/>
        <w:rPr>
          <w:sz w:val="12"/>
        </w:rPr>
      </w:pPr>
      <w:r>
        <w:rPr>
          <w:sz w:val="12"/>
        </w:rPr>
        <w:t>Nota: De acuerdo con la reforma constitucional del 2004 de México, el plazo para que el Ejecutivo presente el presupuesto es el 8 de septiembre y debe ser</w:t>
      </w:r>
      <w:r>
        <w:rPr>
          <w:spacing w:val="-4"/>
          <w:sz w:val="12"/>
        </w:rPr>
        <w:t> </w:t>
      </w:r>
      <w:r>
        <w:rPr>
          <w:sz w:val="12"/>
        </w:rPr>
        <w:t>aprobado</w:t>
      </w:r>
      <w:r>
        <w:rPr>
          <w:spacing w:val="-7"/>
          <w:sz w:val="12"/>
        </w:rPr>
        <w:t> </w:t>
      </w:r>
      <w:r>
        <w:rPr>
          <w:sz w:val="12"/>
        </w:rPr>
        <w:t>por</w:t>
      </w:r>
      <w:r>
        <w:rPr>
          <w:spacing w:val="-6"/>
          <w:sz w:val="12"/>
        </w:rPr>
        <w:t> </w:t>
      </w:r>
      <w:r>
        <w:rPr>
          <w:sz w:val="12"/>
        </w:rPr>
        <w:t>el</w:t>
      </w:r>
      <w:r>
        <w:rPr>
          <w:spacing w:val="-3"/>
          <w:sz w:val="12"/>
        </w:rPr>
        <w:t> </w:t>
      </w:r>
      <w:r>
        <w:rPr>
          <w:sz w:val="12"/>
        </w:rPr>
        <w:t>Congreso</w:t>
      </w:r>
      <w:r>
        <w:rPr>
          <w:spacing w:val="-4"/>
          <w:sz w:val="12"/>
        </w:rPr>
        <w:t> </w:t>
      </w:r>
      <w:r>
        <w:rPr>
          <w:sz w:val="12"/>
        </w:rPr>
        <w:t>antes</w:t>
      </w:r>
      <w:r>
        <w:rPr>
          <w:spacing w:val="-7"/>
          <w:sz w:val="12"/>
        </w:rPr>
        <w:t> </w:t>
      </w:r>
      <w:r>
        <w:rPr>
          <w:sz w:val="12"/>
        </w:rPr>
        <w:t>del</w:t>
      </w:r>
      <w:r>
        <w:rPr>
          <w:spacing w:val="-5"/>
          <w:sz w:val="12"/>
        </w:rPr>
        <w:t> </w:t>
      </w:r>
      <w:r>
        <w:rPr>
          <w:sz w:val="12"/>
        </w:rPr>
        <w:t>15</w:t>
      </w:r>
      <w:r>
        <w:rPr>
          <w:spacing w:val="-4"/>
          <w:sz w:val="12"/>
        </w:rPr>
        <w:t> </w:t>
      </w:r>
      <w:r>
        <w:rPr>
          <w:sz w:val="12"/>
        </w:rPr>
        <w:t>de</w:t>
      </w:r>
      <w:r>
        <w:rPr>
          <w:spacing w:val="-7"/>
          <w:sz w:val="12"/>
        </w:rPr>
        <w:t> </w:t>
      </w:r>
      <w:r>
        <w:rPr>
          <w:sz w:val="12"/>
        </w:rPr>
        <w:t>noviembre.</w:t>
      </w:r>
      <w:r>
        <w:rPr>
          <w:spacing w:val="-4"/>
          <w:sz w:val="12"/>
        </w:rPr>
        <w:t> </w:t>
      </w:r>
      <w:r>
        <w:rPr>
          <w:sz w:val="12"/>
        </w:rPr>
        <w:t>De</w:t>
      </w:r>
      <w:r>
        <w:rPr>
          <w:spacing w:val="-7"/>
          <w:sz w:val="12"/>
        </w:rPr>
        <w:t> </w:t>
      </w:r>
      <w:r>
        <w:rPr>
          <w:sz w:val="12"/>
        </w:rPr>
        <w:t>acuerdo</w:t>
      </w:r>
      <w:r>
        <w:rPr>
          <w:spacing w:val="-7"/>
          <w:sz w:val="12"/>
        </w:rPr>
        <w:t> </w:t>
      </w:r>
      <w:r>
        <w:rPr>
          <w:sz w:val="12"/>
        </w:rPr>
        <w:t>con</w:t>
      </w:r>
      <w:r>
        <w:rPr>
          <w:spacing w:val="-9"/>
          <w:sz w:val="12"/>
        </w:rPr>
        <w:t> </w:t>
      </w:r>
      <w:r>
        <w:rPr>
          <w:sz w:val="12"/>
        </w:rPr>
        <w:t>la</w:t>
      </w:r>
      <w:r>
        <w:rPr>
          <w:spacing w:val="-7"/>
          <w:sz w:val="12"/>
        </w:rPr>
        <w:t> </w:t>
      </w:r>
      <w:r>
        <w:rPr>
          <w:sz w:val="12"/>
        </w:rPr>
        <w:t>Ley</w:t>
      </w:r>
      <w:r>
        <w:rPr>
          <w:spacing w:val="-7"/>
          <w:sz w:val="12"/>
        </w:rPr>
        <w:t> </w:t>
      </w:r>
      <w:r>
        <w:rPr>
          <w:sz w:val="12"/>
        </w:rPr>
        <w:t>Federal</w:t>
      </w:r>
      <w:r>
        <w:rPr>
          <w:spacing w:val="-5"/>
          <w:sz w:val="12"/>
        </w:rPr>
        <w:t> </w:t>
      </w:r>
      <w:r>
        <w:rPr>
          <w:sz w:val="12"/>
        </w:rPr>
        <w:t>de</w:t>
      </w:r>
      <w:r>
        <w:rPr>
          <w:spacing w:val="-7"/>
          <w:sz w:val="12"/>
        </w:rPr>
        <w:t> </w:t>
      </w:r>
      <w:r>
        <w:rPr>
          <w:sz w:val="12"/>
        </w:rPr>
        <w:t>Presupuesto</w:t>
      </w:r>
      <w:r>
        <w:rPr>
          <w:spacing w:val="-6"/>
          <w:sz w:val="12"/>
        </w:rPr>
        <w:t> </w:t>
      </w:r>
      <w:r>
        <w:rPr>
          <w:sz w:val="12"/>
        </w:rPr>
        <w:t>y</w:t>
      </w:r>
      <w:r>
        <w:rPr>
          <w:spacing w:val="-5"/>
          <w:sz w:val="12"/>
        </w:rPr>
        <w:t> </w:t>
      </w:r>
      <w:r>
        <w:rPr>
          <w:sz w:val="12"/>
        </w:rPr>
        <w:t>Responsabilidad</w:t>
      </w:r>
      <w:r>
        <w:rPr>
          <w:spacing w:val="-4"/>
          <w:sz w:val="12"/>
        </w:rPr>
        <w:t> </w:t>
      </w:r>
      <w:r>
        <w:rPr>
          <w:sz w:val="12"/>
        </w:rPr>
        <w:t>Hacendaria</w:t>
      </w:r>
      <w:r>
        <w:rPr>
          <w:spacing w:val="-4"/>
          <w:sz w:val="12"/>
        </w:rPr>
        <w:t> </w:t>
      </w:r>
      <w:r>
        <w:rPr>
          <w:sz w:val="12"/>
        </w:rPr>
        <w:t>de</w:t>
      </w:r>
      <w:r>
        <w:rPr>
          <w:spacing w:val="-4"/>
          <w:sz w:val="12"/>
        </w:rPr>
        <w:t> </w:t>
      </w:r>
      <w:r>
        <w:rPr>
          <w:sz w:val="12"/>
        </w:rPr>
        <w:t>2006,</w:t>
      </w:r>
      <w:r>
        <w:rPr>
          <w:spacing w:val="-4"/>
          <w:sz w:val="12"/>
        </w:rPr>
        <w:t> </w:t>
      </w:r>
      <w:r>
        <w:rPr>
          <w:sz w:val="12"/>
        </w:rPr>
        <w:t>cuando hay un cambio de Gobierno Federal (cada seis años) el presupuesto debe ser presentado al Congreso a más tardar el 15 de diciembre y ser aprobado antes del 31 de</w:t>
      </w:r>
      <w:r>
        <w:rPr>
          <w:spacing w:val="-8"/>
          <w:sz w:val="12"/>
        </w:rPr>
        <w:t> </w:t>
      </w:r>
      <w:r>
        <w:rPr>
          <w:sz w:val="12"/>
        </w:rPr>
        <w:t>diciembre.</w:t>
      </w:r>
    </w:p>
    <w:p>
      <w:pPr>
        <w:pStyle w:val="BodyText"/>
        <w:rPr>
          <w:sz w:val="12"/>
        </w:rPr>
      </w:pPr>
    </w:p>
    <w:p>
      <w:pPr>
        <w:pStyle w:val="BodyText"/>
        <w:rPr>
          <w:sz w:val="12"/>
        </w:rPr>
      </w:pPr>
    </w:p>
    <w:p>
      <w:pPr>
        <w:pStyle w:val="BodyText"/>
        <w:rPr>
          <w:sz w:val="12"/>
        </w:rPr>
      </w:pPr>
    </w:p>
    <w:p>
      <w:pPr>
        <w:pStyle w:val="BodyText"/>
        <w:spacing w:before="7"/>
        <w:rPr>
          <w:sz w:val="11"/>
        </w:rPr>
      </w:pPr>
    </w:p>
    <w:p>
      <w:pPr>
        <w:pStyle w:val="BodyText"/>
        <w:spacing w:line="360" w:lineRule="auto"/>
        <w:ind w:left="102" w:right="119" w:firstLine="427"/>
        <w:jc w:val="both"/>
      </w:pPr>
      <w:r>
        <w:rPr/>
        <w:t>Se observó que los congresos de Estados Unidos y Alemania cuentan con el mayor tiempo para la revisión, análisis y corrección de las propuestas presupuestarias (con 8 y 5 meses aproximadamente) antes del inicio del ejercicio fiscal. En México, el Congreso dispone de un tiempo aproximado de 3 meses previos al inicio del ejercicio fiscal para la revisión, análisis y</w:t>
      </w:r>
      <w:r>
        <w:rPr>
          <w:spacing w:val="-47"/>
        </w:rPr>
        <w:t> </w:t>
      </w:r>
      <w:r>
        <w:rPr/>
        <w:t>los ajustes pertinentes al proyecto de presupuesto (al igual que Reino Unido y</w:t>
      </w:r>
      <w:r>
        <w:rPr>
          <w:spacing w:val="-18"/>
        </w:rPr>
        <w:t> </w:t>
      </w:r>
      <w:r>
        <w:rPr/>
        <w:t>España).</w:t>
      </w:r>
    </w:p>
    <w:p>
      <w:pPr>
        <w:pStyle w:val="BodyText"/>
        <w:spacing w:line="360" w:lineRule="auto" w:before="5"/>
        <w:ind w:left="102" w:right="123" w:firstLine="427"/>
        <w:jc w:val="both"/>
      </w:pPr>
      <w:r>
        <w:rPr/>
        <w:t>La OCDE recomendó efectuar mejores prácticas en transparencia presupuestaria;</w:t>
      </w:r>
      <w:r>
        <w:rPr>
          <w:spacing w:val="-7"/>
        </w:rPr>
        <w:t> </w:t>
      </w:r>
      <w:r>
        <w:rPr/>
        <w:t>por</w:t>
      </w:r>
      <w:r>
        <w:rPr>
          <w:spacing w:val="-8"/>
        </w:rPr>
        <w:t> </w:t>
      </w:r>
      <w:r>
        <w:rPr/>
        <w:t>ejemplo,</w:t>
      </w:r>
      <w:r>
        <w:rPr>
          <w:spacing w:val="-7"/>
        </w:rPr>
        <w:t> </w:t>
      </w:r>
      <w:r>
        <w:rPr/>
        <w:t>que</w:t>
      </w:r>
      <w:r>
        <w:rPr>
          <w:spacing w:val="-7"/>
        </w:rPr>
        <w:t> </w:t>
      </w:r>
      <w:r>
        <w:rPr/>
        <w:t>el</w:t>
      </w:r>
      <w:r>
        <w:rPr>
          <w:spacing w:val="-8"/>
        </w:rPr>
        <w:t> </w:t>
      </w:r>
      <w:r>
        <w:rPr/>
        <w:t>proyecto</w:t>
      </w:r>
      <w:r>
        <w:rPr>
          <w:spacing w:val="-7"/>
        </w:rPr>
        <w:t> </w:t>
      </w:r>
      <w:r>
        <w:rPr/>
        <w:t>de</w:t>
      </w:r>
      <w:r>
        <w:rPr>
          <w:spacing w:val="-7"/>
        </w:rPr>
        <w:t> </w:t>
      </w:r>
      <w:r>
        <w:rPr/>
        <w:t>presupuesto</w:t>
      </w:r>
      <w:r>
        <w:rPr>
          <w:spacing w:val="-7"/>
        </w:rPr>
        <w:t> </w:t>
      </w:r>
      <w:r>
        <w:rPr/>
        <w:t>del</w:t>
      </w:r>
      <w:r>
        <w:rPr>
          <w:spacing w:val="-8"/>
        </w:rPr>
        <w:t> </w:t>
      </w:r>
      <w:r>
        <w:rPr/>
        <w:t>ejecutivo</w:t>
      </w:r>
      <w:r>
        <w:rPr>
          <w:spacing w:val="-5"/>
        </w:rPr>
        <w:t> </w:t>
      </w:r>
      <w:r>
        <w:rPr/>
        <w:t>debe</w:t>
      </w:r>
      <w:r>
        <w:rPr>
          <w:spacing w:val="-5"/>
        </w:rPr>
        <w:t> </w:t>
      </w:r>
      <w:r>
        <w:rPr/>
        <w:t>ser presentado</w:t>
      </w:r>
      <w:r>
        <w:rPr>
          <w:spacing w:val="-12"/>
        </w:rPr>
        <w:t> </w:t>
      </w:r>
      <w:r>
        <w:rPr/>
        <w:t>con</w:t>
      </w:r>
      <w:r>
        <w:rPr>
          <w:spacing w:val="-12"/>
        </w:rPr>
        <w:t> </w:t>
      </w:r>
      <w:r>
        <w:rPr/>
        <w:t>suficiente</w:t>
      </w:r>
      <w:r>
        <w:rPr>
          <w:spacing w:val="-11"/>
        </w:rPr>
        <w:t> </w:t>
      </w:r>
      <w:r>
        <w:rPr/>
        <w:t>antelación</w:t>
      </w:r>
      <w:r>
        <w:rPr>
          <w:spacing w:val="-11"/>
        </w:rPr>
        <w:t> </w:t>
      </w:r>
      <w:r>
        <w:rPr/>
        <w:t>para</w:t>
      </w:r>
      <w:r>
        <w:rPr>
          <w:spacing w:val="-12"/>
        </w:rPr>
        <w:t> </w:t>
      </w:r>
      <w:r>
        <w:rPr/>
        <w:t>permitir</w:t>
      </w:r>
      <w:r>
        <w:rPr>
          <w:spacing w:val="-14"/>
        </w:rPr>
        <w:t> </w:t>
      </w:r>
      <w:r>
        <w:rPr/>
        <w:t>la</w:t>
      </w:r>
      <w:r>
        <w:rPr>
          <w:spacing w:val="-12"/>
        </w:rPr>
        <w:t> </w:t>
      </w:r>
      <w:r>
        <w:rPr/>
        <w:t>adecuada</w:t>
      </w:r>
      <w:r>
        <w:rPr>
          <w:spacing w:val="-12"/>
        </w:rPr>
        <w:t> </w:t>
      </w:r>
      <w:r>
        <w:rPr/>
        <w:t>revisión</w:t>
      </w:r>
      <w:r>
        <w:rPr>
          <w:spacing w:val="-12"/>
        </w:rPr>
        <w:t> </w:t>
      </w:r>
      <w:r>
        <w:rPr/>
        <w:t>por</w:t>
      </w:r>
      <w:r>
        <w:rPr>
          <w:spacing w:val="-13"/>
        </w:rPr>
        <w:t> </w:t>
      </w:r>
      <w:r>
        <w:rPr/>
        <w:t>parte</w:t>
      </w:r>
      <w:r>
        <w:rPr>
          <w:spacing w:val="-14"/>
        </w:rPr>
        <w:t> </w:t>
      </w:r>
      <w:r>
        <w:rPr/>
        <w:t>de la legislatura. Esto es particularmente importante con el fin de garantizar que los comités legislativos tengan tiempo suficiente para la revisión, el debate y la propuesta de</w:t>
      </w:r>
      <w:r>
        <w:rPr>
          <w:spacing w:val="-10"/>
        </w:rPr>
        <w:t> </w:t>
      </w:r>
      <w:r>
        <w:rPr/>
        <w:t>reformas.</w:t>
      </w:r>
    </w:p>
    <w:p>
      <w:pPr>
        <w:spacing w:after="0" w:line="360" w:lineRule="auto"/>
        <w:jc w:val="both"/>
        <w:sectPr>
          <w:type w:val="continuous"/>
          <w:pgSz w:w="12240" w:h="15840"/>
          <w:pgMar w:top="0" w:bottom="280" w:left="1600" w:right="1580"/>
        </w:sectPr>
      </w:pPr>
    </w:p>
    <w:p>
      <w:pPr>
        <w:pStyle w:val="BodyText"/>
        <w:spacing w:line="360" w:lineRule="auto" w:before="54"/>
        <w:ind w:left="102" w:right="124" w:firstLine="427"/>
        <w:jc w:val="both"/>
      </w:pPr>
      <w:r>
        <w:rPr/>
        <w:t>La presentación del proyecto no debería ser menor de tres meses antes de iniciar el año fiscal y el presupuesto debe ser aprobado por la legislatura antes de iniciar dicho año.</w:t>
      </w:r>
    </w:p>
    <w:p>
      <w:pPr>
        <w:pStyle w:val="BodyText"/>
      </w:pPr>
    </w:p>
    <w:p>
      <w:pPr>
        <w:pStyle w:val="ListParagraph"/>
        <w:numPr>
          <w:ilvl w:val="0"/>
          <w:numId w:val="38"/>
        </w:numPr>
        <w:tabs>
          <w:tab w:pos="383" w:val="left" w:leader="none"/>
        </w:tabs>
        <w:spacing w:line="240" w:lineRule="auto" w:before="139" w:after="0"/>
        <w:ind w:left="382" w:right="0" w:hanging="280"/>
        <w:jc w:val="left"/>
        <w:rPr>
          <w:i/>
          <w:sz w:val="24"/>
        </w:rPr>
      </w:pPr>
      <w:r>
        <w:rPr>
          <w:i/>
          <w:sz w:val="24"/>
        </w:rPr>
        <w:t>Índice de Presupuesto Abierto,</w:t>
      </w:r>
      <w:r>
        <w:rPr>
          <w:i/>
          <w:spacing w:val="-15"/>
          <w:sz w:val="24"/>
        </w:rPr>
        <w:t> </w:t>
      </w:r>
      <w:r>
        <w:rPr>
          <w:i/>
          <w:sz w:val="24"/>
        </w:rPr>
        <w:t>2012</w:t>
      </w:r>
    </w:p>
    <w:p>
      <w:pPr>
        <w:pStyle w:val="BodyText"/>
        <w:rPr>
          <w:i/>
        </w:rPr>
      </w:pPr>
    </w:p>
    <w:p>
      <w:pPr>
        <w:pStyle w:val="BodyText"/>
        <w:rPr>
          <w:i/>
        </w:rPr>
      </w:pPr>
    </w:p>
    <w:p>
      <w:pPr>
        <w:pStyle w:val="BodyText"/>
        <w:spacing w:line="360" w:lineRule="auto"/>
        <w:ind w:left="102" w:right="116" w:firstLine="427"/>
        <w:jc w:val="both"/>
      </w:pPr>
      <w:r>
        <w:rPr/>
        <w:t>En enero de 2013, </w:t>
      </w:r>
      <w:r>
        <w:rPr>
          <w:i/>
        </w:rPr>
        <w:t>International Budget Partnership. Open Budgets, </w:t>
      </w:r>
      <w:r>
        <w:rPr/>
        <w:t>publicó su informe bienal </w:t>
      </w:r>
      <w:r>
        <w:rPr>
          <w:i/>
        </w:rPr>
        <w:t>The Open Budget Survey 2012 </w:t>
      </w:r>
      <w:r>
        <w:rPr/>
        <w:t>(Encuesta de Presupuesto abierto) con base en la cual calculó el Índice de Presupuesto Abierto. El documento se orientó a medir el grado de disponibilidad de la información presupuestaria, con la finalidad de que la sociedad pueda juzgar si los recursos públicos se están administrando en forma eficiente.</w:t>
      </w:r>
    </w:p>
    <w:p>
      <w:pPr>
        <w:pStyle w:val="BodyText"/>
      </w:pPr>
    </w:p>
    <w:p>
      <w:pPr>
        <w:pStyle w:val="BodyText"/>
        <w:spacing w:line="360" w:lineRule="auto" w:before="142"/>
        <w:ind w:left="102" w:right="115" w:firstLine="427"/>
        <w:jc w:val="both"/>
      </w:pPr>
      <w:r>
        <w:rPr/>
        <w:t>Con</w:t>
      </w:r>
      <w:r>
        <w:rPr>
          <w:spacing w:val="-7"/>
        </w:rPr>
        <w:t> </w:t>
      </w:r>
      <w:r>
        <w:rPr/>
        <w:t>el</w:t>
      </w:r>
      <w:r>
        <w:rPr>
          <w:spacing w:val="-10"/>
        </w:rPr>
        <w:t> </w:t>
      </w:r>
      <w:r>
        <w:rPr/>
        <w:t>objetivo</w:t>
      </w:r>
      <w:r>
        <w:rPr>
          <w:spacing w:val="-7"/>
        </w:rPr>
        <w:t> </w:t>
      </w:r>
      <w:r>
        <w:rPr/>
        <w:t>de</w:t>
      </w:r>
      <w:r>
        <w:rPr>
          <w:spacing w:val="-8"/>
        </w:rPr>
        <w:t> </w:t>
      </w:r>
      <w:r>
        <w:rPr/>
        <w:t>promover</w:t>
      </w:r>
      <w:r>
        <w:rPr>
          <w:spacing w:val="-8"/>
        </w:rPr>
        <w:t> </w:t>
      </w:r>
      <w:r>
        <w:rPr/>
        <w:t>la</w:t>
      </w:r>
      <w:r>
        <w:rPr>
          <w:spacing w:val="-9"/>
        </w:rPr>
        <w:t> </w:t>
      </w:r>
      <w:r>
        <w:rPr/>
        <w:t>adopción</w:t>
      </w:r>
      <w:r>
        <w:rPr>
          <w:spacing w:val="-8"/>
        </w:rPr>
        <w:t> </w:t>
      </w:r>
      <w:r>
        <w:rPr/>
        <w:t>de</w:t>
      </w:r>
      <w:r>
        <w:rPr>
          <w:spacing w:val="-7"/>
        </w:rPr>
        <w:t> </w:t>
      </w:r>
      <w:r>
        <w:rPr/>
        <w:t>las</w:t>
      </w:r>
      <w:r>
        <w:rPr>
          <w:spacing w:val="-9"/>
        </w:rPr>
        <w:t> </w:t>
      </w:r>
      <w:r>
        <w:rPr/>
        <w:t>mejores</w:t>
      </w:r>
      <w:r>
        <w:rPr>
          <w:spacing w:val="-9"/>
        </w:rPr>
        <w:t> </w:t>
      </w:r>
      <w:r>
        <w:rPr/>
        <w:t>prácticas</w:t>
      </w:r>
      <w:r>
        <w:rPr>
          <w:spacing w:val="-9"/>
        </w:rPr>
        <w:t> </w:t>
      </w:r>
      <w:r>
        <w:rPr/>
        <w:t>en</w:t>
      </w:r>
      <w:r>
        <w:rPr>
          <w:spacing w:val="-8"/>
        </w:rPr>
        <w:t> </w:t>
      </w:r>
      <w:r>
        <w:rPr/>
        <w:t>materia</w:t>
      </w:r>
      <w:r>
        <w:rPr>
          <w:spacing w:val="-8"/>
        </w:rPr>
        <w:t> </w:t>
      </w:r>
      <w:r>
        <w:rPr/>
        <w:t>de finanzas</w:t>
      </w:r>
      <w:r>
        <w:rPr>
          <w:spacing w:val="-8"/>
        </w:rPr>
        <w:t> </w:t>
      </w:r>
      <w:r>
        <w:rPr/>
        <w:t>públicas,</w:t>
      </w:r>
      <w:r>
        <w:rPr>
          <w:spacing w:val="-7"/>
        </w:rPr>
        <w:t> </w:t>
      </w:r>
      <w:r>
        <w:rPr/>
        <w:t>la</w:t>
      </w:r>
      <w:r>
        <w:rPr>
          <w:spacing w:val="-10"/>
        </w:rPr>
        <w:t> </w:t>
      </w:r>
      <w:r>
        <w:rPr/>
        <w:t>organización</w:t>
      </w:r>
      <w:r>
        <w:rPr>
          <w:spacing w:val="-7"/>
        </w:rPr>
        <w:t> </w:t>
      </w:r>
      <w:r>
        <w:rPr/>
        <w:t>internacional</w:t>
      </w:r>
      <w:r>
        <w:rPr>
          <w:spacing w:val="-8"/>
        </w:rPr>
        <w:t> </w:t>
      </w:r>
      <w:r>
        <w:rPr/>
        <w:t>resaltó</w:t>
      </w:r>
      <w:r>
        <w:rPr>
          <w:spacing w:val="-7"/>
        </w:rPr>
        <w:t> </w:t>
      </w:r>
      <w:r>
        <w:rPr/>
        <w:t>la</w:t>
      </w:r>
      <w:r>
        <w:rPr>
          <w:spacing w:val="-7"/>
        </w:rPr>
        <w:t> </w:t>
      </w:r>
      <w:r>
        <w:rPr/>
        <w:t>importancia</w:t>
      </w:r>
      <w:r>
        <w:rPr>
          <w:spacing w:val="-7"/>
        </w:rPr>
        <w:t> </w:t>
      </w:r>
      <w:r>
        <w:rPr/>
        <w:t>de</w:t>
      </w:r>
      <w:r>
        <w:rPr>
          <w:spacing w:val="-9"/>
        </w:rPr>
        <w:t> </w:t>
      </w:r>
      <w:r>
        <w:rPr/>
        <w:t>contar</w:t>
      </w:r>
      <w:r>
        <w:rPr>
          <w:spacing w:val="-8"/>
        </w:rPr>
        <w:t> </w:t>
      </w:r>
      <w:r>
        <w:rPr/>
        <w:t>con una sociedad participativa, también consideró primordial contar con un congreso responsable e instituciones de fiscalización sólidas. Lo anterior, de acuerdo con la organización, puede reducir la corrupción y orientar los recursos hacia la disminución de la</w:t>
      </w:r>
      <w:r>
        <w:rPr>
          <w:spacing w:val="-10"/>
        </w:rPr>
        <w:t> </w:t>
      </w:r>
      <w:r>
        <w:rPr/>
        <w:t>pobreza.</w:t>
      </w:r>
    </w:p>
    <w:p>
      <w:pPr>
        <w:pStyle w:val="BodyText"/>
      </w:pPr>
    </w:p>
    <w:p>
      <w:pPr>
        <w:pStyle w:val="BodyText"/>
        <w:spacing w:line="360" w:lineRule="auto" w:before="142"/>
        <w:ind w:left="102" w:right="121" w:firstLine="427"/>
        <w:jc w:val="both"/>
      </w:pPr>
      <w:r>
        <w:rPr/>
        <w:t>La escala de medición es de 0 a 100 puntos, donde valores altos implican que la información disponible es extensa, mientras que valores 0 y cercanos, poca o nula información. Los resultados muestran que México ha mejorado en presentar información presupuestaria, pasando de 50 puntos en 2006 a 61 en 201</w:t>
      </w:r>
    </w:p>
    <w:p>
      <w:pPr>
        <w:spacing w:after="0" w:line="360" w:lineRule="auto"/>
        <w:jc w:val="both"/>
        <w:sectPr>
          <w:pgSz w:w="12240" w:h="15840"/>
          <w:pgMar w:header="0" w:footer="1003" w:top="1360" w:bottom="1200" w:left="1600" w:right="1580"/>
        </w:sectPr>
      </w:pPr>
    </w:p>
    <w:p>
      <w:pPr>
        <w:spacing w:before="55"/>
        <w:ind w:left="2000" w:right="0" w:firstLine="0"/>
        <w:jc w:val="left"/>
        <w:rPr>
          <w:sz w:val="20"/>
        </w:rPr>
      </w:pPr>
      <w:r>
        <w:rPr/>
        <w:pict>
          <v:group style="position:absolute;margin-left:107.87999pt;margin-top:24.371502pt;width:393pt;height:221.4pt;mso-position-horizontal-relative:page;mso-position-vertical-relative:paragraph;z-index:-350608" coordorigin="2158,487" coordsize="7860,4428">
            <v:shape style="position:absolute;left:2158;top:487;width:7860;height:4428" type="#_x0000_t75" stroked="false">
              <v:imagedata r:id="rId87" o:title=""/>
            </v:shape>
            <v:shape style="position:absolute;left:3690;top:1271;width:4936;height:1230" coordorigin="3690,1271" coordsize="4936,1230" path="m7227,1729l7227,1728,7227,1728,7227,1729m8486,1370l8435,1348,8261,1274,8250,1271,8239,1271,8228,1275,8221,1282,8217,1290,8217,1298,8222,1306,8231,1312,8316,1348,3690,1348,3690,1392,8315,1392,8367,1370,8231,1428,8222,1433,8217,1441,8217,1449,8221,1458,8228,1464,8239,1468,8250,1468,8261,1466,8435,1392,8486,1370m8595,1878l8371,1782,8360,1779,8348,1779,8338,1783,8330,1789,8326,1798,8327,1806,8332,1814,8341,1819,8423,1855,8335,1853,8208,1849,8084,1844,7964,1837,7849,1829,7793,1825,7688,1815,7638,1810,7567,1802,7502,1794,7461,1788,7442,1785,7405,1779,7371,1773,7355,1770,7340,1767,7313,1760,7300,1757,7289,1754,7278,1751,7268,1748,7259,1745,7251,1742,7247,1740,7244,1739,7239,1737,7234,1734,7231,1732,7230,1732,7229,1731,7229,1731,7228,1730,7227,1730,7227,1729,7227,1728,7227,1729,7227,1729,7227,1729,7227,1730,7227,1730,7227,1729,7228,1730,7227,1729,7227,1728,7227,1728,7227,1728,7226,1728,7227,1728,7226,1728,7226,1728,7226,1728,7226,1728,7226,1728,7226,1728,7226,1728,7226,1728,7226,1728,7226,1728,7226,1728,7227,1728,7226,1727,7226,1726,7226,1725,7225,1721,7224,1718,7222,1715,7220,1713,7215,1708,7213,1707,7205,1702,7204,1702,7203,1701,7201,1700,7191,1696,7178,1692,7171,1690,7171,1739,7171,1738,7171,1738,7171,1738,7171,1738,7171,1738,7171,1738,7171,1739,7171,1690,7165,1688,7149,1684,7131,1681,7112,1677,7090,1674,7067,1670,7042,1667,7014,1663,6985,1660,6922,1653,6852,1647,6774,1641,6647,1631,6404,1617,6069,1601,5426,1579,4709,1564,3955,1559,3954,1603,4258,1604,4855,1611,5559,1627,6182,1650,6501,1666,6727,1681,6845,1691,6946,1700,7005,1707,7031,1710,7056,1714,7078,1717,7099,1720,7117,1724,7133,1727,7146,1730,7157,1733,7166,1736,7168,1737,7168,1737,7168,1737,7168,1737,7168,1737,7167,1736,7168,1735,7168,1737,7170,1738,7168,1737,7168,1737,7168,1737,7168,1739,7170,1743,7171,1745,7171,1746,7172,1747,7175,1751,7175,1752,7176,1752,7177,1753,7181,1757,7187,1762,7195,1767,7203,1772,7212,1776,7221,1780,7231,1784,7242,1788,7254,1791,7266,1795,7279,1799,7293,1802,7308,1805,7323,1809,7339,1812,7373,1819,7409,1825,7429,1828,7469,1834,7490,1837,7535,1843,7605,1851,7680,1859,7732,1864,7842,1873,7958,1881,8079,1887,8205,1893,8398,1898,8427,1899,8340,1936,8331,1941,8329,1945,8314,1940,8303,1938,8291,1939,8281,1943,8274,1950,8271,1958,8273,1966,8278,1974,8288,1979,8375,2011,5168,2169,5172,2213,8379,2055,8298,2095,8290,2101,8286,2109,8286,2117,8290,2126,8299,2132,8309,2135,8321,2135,8332,2131,8547,2025,8495,2006,8387,1966,8544,1900,8595,1878m8625,2402l8574,2380,8401,2306,8390,2303,8378,2303,8368,2307,8360,2314,8356,2322,8357,2330,8362,2338,8371,2344,8455,2380,6657,2380,6657,2424,8455,2424,8506,2402,8371,2460,8362,2466,8357,2473,8356,2482,8360,2490,8368,2496,8378,2500,8390,2501,8401,2498,8574,2424,8625,2402e" filled="true" fillcolor="#497dba" stroked="false">
              <v:path arrowok="t"/>
              <v:fill type="solid"/>
            </v:shape>
            <w10:wrap type="none"/>
          </v:group>
        </w:pict>
      </w:r>
      <w:bookmarkStart w:name="_bookmark33" w:id="44"/>
      <w:bookmarkEnd w:id="44"/>
      <w:r>
        <w:rPr/>
      </w:r>
      <w:r>
        <w:rPr>
          <w:sz w:val="20"/>
        </w:rPr>
        <w:t>Esquema 1.6. Índice de Presupuesto Abierto, 2006-2012</w:t>
      </w:r>
    </w:p>
    <w:p>
      <w:pPr>
        <w:pStyle w:val="BodyText"/>
        <w:spacing w:before="3"/>
        <w:rPr>
          <w:sz w:val="17"/>
        </w:rPr>
      </w:pPr>
    </w:p>
    <w:tbl>
      <w:tblPr>
        <w:tblW w:w="0" w:type="auto"/>
        <w:jc w:val="left"/>
        <w:tblInd w:w="600" w:type="dxa"/>
        <w:tblBorders>
          <w:top w:val="single" w:sz="5" w:space="0" w:color="FFFFFF"/>
          <w:left w:val="single" w:sz="5" w:space="0" w:color="FFFFFF"/>
          <w:bottom w:val="single" w:sz="5" w:space="0" w:color="FFFFFF"/>
          <w:right w:val="single" w:sz="5" w:space="0" w:color="FFFFFF"/>
          <w:insideH w:val="single" w:sz="5" w:space="0" w:color="FFFFFF"/>
          <w:insideV w:val="single" w:sz="5" w:space="0" w:color="FFFFFF"/>
        </w:tblBorders>
        <w:tblLayout w:type="fixed"/>
        <w:tblCellMar>
          <w:top w:w="0" w:type="dxa"/>
          <w:left w:w="0" w:type="dxa"/>
          <w:bottom w:w="0" w:type="dxa"/>
          <w:right w:w="0" w:type="dxa"/>
        </w:tblCellMar>
        <w:tblLook w:val="01E0"/>
      </w:tblPr>
      <w:tblGrid>
        <w:gridCol w:w="1250"/>
        <w:gridCol w:w="279"/>
        <w:gridCol w:w="615"/>
        <w:gridCol w:w="914"/>
        <w:gridCol w:w="1529"/>
        <w:gridCol w:w="1529"/>
        <w:gridCol w:w="1649"/>
      </w:tblGrid>
      <w:tr>
        <w:trPr>
          <w:trHeight w:val="594" w:hRule="exact"/>
        </w:trPr>
        <w:tc>
          <w:tcPr>
            <w:tcW w:w="1529" w:type="dxa"/>
            <w:gridSpan w:val="2"/>
            <w:tcBorders>
              <w:top w:val="single" w:sz="3" w:space="0" w:color="FFFFFF"/>
              <w:bottom w:val="single" w:sz="10" w:space="0" w:color="FFFFFF"/>
            </w:tcBorders>
            <w:shd w:val="clear" w:color="auto" w:fill="205868"/>
          </w:tcPr>
          <w:p>
            <w:pPr>
              <w:pStyle w:val="TableParagraph"/>
              <w:spacing w:before="6"/>
              <w:rPr>
                <w:sz w:val="18"/>
              </w:rPr>
            </w:pPr>
          </w:p>
          <w:p>
            <w:pPr>
              <w:pStyle w:val="TableParagraph"/>
              <w:spacing w:before="1"/>
              <w:ind w:left="527" w:right="528"/>
              <w:jc w:val="center"/>
              <w:rPr>
                <w:b/>
                <w:sz w:val="14"/>
              </w:rPr>
            </w:pPr>
            <w:r>
              <w:rPr>
                <w:b/>
                <w:color w:val="FFFFFF"/>
                <w:w w:val="135"/>
                <w:sz w:val="14"/>
              </w:rPr>
              <w:t>2006</w:t>
            </w:r>
          </w:p>
        </w:tc>
        <w:tc>
          <w:tcPr>
            <w:tcW w:w="1529" w:type="dxa"/>
            <w:gridSpan w:val="2"/>
            <w:tcBorders>
              <w:top w:val="single" w:sz="3" w:space="0" w:color="FFFFFF"/>
              <w:bottom w:val="single" w:sz="10" w:space="0" w:color="FFFFFF"/>
            </w:tcBorders>
            <w:shd w:val="clear" w:color="auto" w:fill="205868"/>
          </w:tcPr>
          <w:p>
            <w:pPr>
              <w:pStyle w:val="TableParagraph"/>
              <w:spacing w:before="6"/>
              <w:rPr>
                <w:sz w:val="18"/>
              </w:rPr>
            </w:pPr>
          </w:p>
          <w:p>
            <w:pPr>
              <w:pStyle w:val="TableParagraph"/>
              <w:spacing w:before="1"/>
              <w:ind w:left="393" w:right="394"/>
              <w:jc w:val="center"/>
              <w:rPr>
                <w:b/>
                <w:sz w:val="14"/>
              </w:rPr>
            </w:pPr>
            <w:r>
              <w:rPr>
                <w:b/>
                <w:color w:val="FFFFFF"/>
                <w:w w:val="135"/>
                <w:sz w:val="14"/>
              </w:rPr>
              <w:t>2008</w:t>
            </w:r>
          </w:p>
        </w:tc>
        <w:tc>
          <w:tcPr>
            <w:tcW w:w="1529" w:type="dxa"/>
            <w:tcBorders>
              <w:top w:val="single" w:sz="3" w:space="0" w:color="FFFFFF"/>
              <w:bottom w:val="single" w:sz="10" w:space="0" w:color="FFFFFF"/>
            </w:tcBorders>
            <w:shd w:val="clear" w:color="auto" w:fill="205868"/>
          </w:tcPr>
          <w:p>
            <w:pPr>
              <w:pStyle w:val="TableParagraph"/>
              <w:spacing w:before="6"/>
              <w:rPr>
                <w:sz w:val="18"/>
              </w:rPr>
            </w:pPr>
          </w:p>
          <w:p>
            <w:pPr>
              <w:pStyle w:val="TableParagraph"/>
              <w:spacing w:before="1"/>
              <w:ind w:left="395" w:right="394"/>
              <w:jc w:val="center"/>
              <w:rPr>
                <w:b/>
                <w:sz w:val="14"/>
              </w:rPr>
            </w:pPr>
            <w:r>
              <w:rPr>
                <w:b/>
                <w:color w:val="FFFFFF"/>
                <w:w w:val="135"/>
                <w:sz w:val="14"/>
              </w:rPr>
              <w:t>2010</w:t>
            </w:r>
          </w:p>
        </w:tc>
        <w:tc>
          <w:tcPr>
            <w:tcW w:w="1529" w:type="dxa"/>
            <w:tcBorders>
              <w:top w:val="single" w:sz="3" w:space="0" w:color="FFFFFF"/>
              <w:bottom w:val="single" w:sz="10" w:space="0" w:color="FFFFFF"/>
            </w:tcBorders>
            <w:shd w:val="clear" w:color="auto" w:fill="205868"/>
          </w:tcPr>
          <w:p>
            <w:pPr>
              <w:pStyle w:val="TableParagraph"/>
              <w:spacing w:before="6"/>
              <w:rPr>
                <w:sz w:val="18"/>
              </w:rPr>
            </w:pPr>
          </w:p>
          <w:p>
            <w:pPr>
              <w:pStyle w:val="TableParagraph"/>
              <w:spacing w:before="1"/>
              <w:ind w:left="546" w:right="272"/>
              <w:rPr>
                <w:b/>
                <w:sz w:val="14"/>
              </w:rPr>
            </w:pPr>
            <w:r>
              <w:rPr>
                <w:b/>
                <w:color w:val="FFFFFF"/>
                <w:w w:val="135"/>
                <w:sz w:val="14"/>
              </w:rPr>
              <w:t>2012</w:t>
            </w:r>
          </w:p>
        </w:tc>
        <w:tc>
          <w:tcPr>
            <w:tcW w:w="1649" w:type="dxa"/>
            <w:tcBorders>
              <w:top w:val="single" w:sz="3" w:space="0" w:color="FFFFFF"/>
              <w:bottom w:val="single" w:sz="10" w:space="0" w:color="FFFFFF"/>
            </w:tcBorders>
            <w:shd w:val="clear" w:color="auto" w:fill="205868"/>
          </w:tcPr>
          <w:p>
            <w:pPr>
              <w:pStyle w:val="TableParagraph"/>
              <w:spacing w:before="3"/>
              <w:rPr>
                <w:sz w:val="11"/>
              </w:rPr>
            </w:pPr>
          </w:p>
          <w:p>
            <w:pPr>
              <w:pStyle w:val="TableParagraph"/>
              <w:spacing w:line="249" w:lineRule="auto"/>
              <w:ind w:left="170" w:right="83" w:hanging="76"/>
              <w:rPr>
                <w:b/>
                <w:sz w:val="14"/>
              </w:rPr>
            </w:pPr>
            <w:r>
              <w:rPr>
                <w:b/>
                <w:color w:val="FFFFFF"/>
                <w:w w:val="135"/>
                <w:sz w:val="14"/>
              </w:rPr>
              <w:t>Clasificación de la información</w:t>
            </w:r>
          </w:p>
        </w:tc>
      </w:tr>
      <w:tr>
        <w:trPr>
          <w:trHeight w:val="231" w:hRule="exact"/>
        </w:trPr>
        <w:tc>
          <w:tcPr>
            <w:tcW w:w="1250" w:type="dxa"/>
            <w:tcBorders>
              <w:top w:val="single" w:sz="10" w:space="0" w:color="FFFFFF"/>
              <w:bottom w:val="nil"/>
              <w:right w:val="nil"/>
            </w:tcBorders>
            <w:shd w:val="clear" w:color="auto" w:fill="D0D7E8"/>
          </w:tcPr>
          <w:p>
            <w:pPr>
              <w:pStyle w:val="TableParagraph"/>
              <w:spacing w:before="33"/>
              <w:ind w:right="219"/>
              <w:jc w:val="right"/>
              <w:rPr>
                <w:b/>
                <w:sz w:val="14"/>
              </w:rPr>
            </w:pPr>
            <w:r>
              <w:rPr>
                <w:b/>
                <w:w w:val="135"/>
                <w:sz w:val="14"/>
              </w:rPr>
              <w:t>Reino</w:t>
            </w:r>
          </w:p>
        </w:tc>
        <w:tc>
          <w:tcPr>
            <w:tcW w:w="279" w:type="dxa"/>
            <w:tcBorders>
              <w:top w:val="single" w:sz="10" w:space="0" w:color="FFFFFF"/>
              <w:left w:val="nil"/>
              <w:bottom w:val="nil"/>
            </w:tcBorders>
            <w:shd w:val="clear" w:color="auto" w:fill="D0D7E8"/>
          </w:tcPr>
          <w:p>
            <w:pPr/>
          </w:p>
        </w:tc>
        <w:tc>
          <w:tcPr>
            <w:tcW w:w="615" w:type="dxa"/>
            <w:tcBorders>
              <w:top w:val="single" w:sz="10" w:space="0" w:color="FFFFFF"/>
              <w:bottom w:val="nil"/>
              <w:right w:val="nil"/>
            </w:tcBorders>
            <w:shd w:val="clear" w:color="auto" w:fill="D0D7E8"/>
          </w:tcPr>
          <w:p>
            <w:pPr>
              <w:pStyle w:val="TableParagraph"/>
              <w:spacing w:before="76"/>
              <w:ind w:left="24"/>
              <w:rPr>
                <w:b/>
                <w:sz w:val="12"/>
              </w:rPr>
            </w:pPr>
            <w:r>
              <w:rPr>
                <w:b/>
                <w:color w:val="001F5F"/>
                <w:spacing w:val="-1"/>
                <w:w w:val="139"/>
                <w:sz w:val="12"/>
              </w:rPr>
              <w:t>8</w:t>
            </w:r>
          </w:p>
        </w:tc>
        <w:tc>
          <w:tcPr>
            <w:tcW w:w="914" w:type="dxa"/>
            <w:tcBorders>
              <w:top w:val="single" w:sz="10" w:space="0" w:color="FFFFFF"/>
              <w:left w:val="nil"/>
              <w:bottom w:val="nil"/>
            </w:tcBorders>
            <w:shd w:val="clear" w:color="auto" w:fill="D0D7E8"/>
          </w:tcPr>
          <w:p>
            <w:pPr>
              <w:pStyle w:val="TableParagraph"/>
              <w:spacing w:before="73"/>
              <w:ind w:right="305"/>
              <w:jc w:val="right"/>
              <w:rPr>
                <w:b/>
                <w:sz w:val="12"/>
              </w:rPr>
            </w:pPr>
            <w:r>
              <w:rPr>
                <w:b/>
                <w:color w:val="001F5F"/>
                <w:w w:val="140"/>
                <w:sz w:val="12"/>
              </w:rPr>
              <w:t>88</w:t>
            </w:r>
          </w:p>
        </w:tc>
        <w:tc>
          <w:tcPr>
            <w:tcW w:w="1529" w:type="dxa"/>
            <w:tcBorders>
              <w:top w:val="single" w:sz="10" w:space="0" w:color="FFFFFF"/>
              <w:bottom w:val="nil"/>
            </w:tcBorders>
            <w:shd w:val="clear" w:color="auto" w:fill="D0D7E8"/>
          </w:tcPr>
          <w:p>
            <w:pPr>
              <w:pStyle w:val="TableParagraph"/>
              <w:spacing w:before="82"/>
              <w:ind w:left="841" w:right="272"/>
              <w:rPr>
                <w:b/>
                <w:sz w:val="12"/>
              </w:rPr>
            </w:pPr>
            <w:r>
              <w:rPr>
                <w:b/>
                <w:color w:val="001F5F"/>
                <w:w w:val="140"/>
                <w:sz w:val="12"/>
              </w:rPr>
              <w:t>87</w:t>
            </w:r>
          </w:p>
        </w:tc>
        <w:tc>
          <w:tcPr>
            <w:tcW w:w="1529" w:type="dxa"/>
            <w:tcBorders>
              <w:top w:val="single" w:sz="10" w:space="0" w:color="FFFFFF"/>
              <w:bottom w:val="nil"/>
            </w:tcBorders>
            <w:shd w:val="clear" w:color="auto" w:fill="D0D7E8"/>
          </w:tcPr>
          <w:p>
            <w:pPr>
              <w:pStyle w:val="TableParagraph"/>
              <w:spacing w:before="59"/>
              <w:ind w:left="840" w:right="272"/>
              <w:rPr>
                <w:b/>
                <w:sz w:val="12"/>
              </w:rPr>
            </w:pPr>
            <w:r>
              <w:rPr>
                <w:b/>
                <w:color w:val="001F5F"/>
                <w:w w:val="140"/>
                <w:sz w:val="12"/>
              </w:rPr>
              <w:t>88</w:t>
            </w:r>
          </w:p>
        </w:tc>
        <w:tc>
          <w:tcPr>
            <w:tcW w:w="1649" w:type="dxa"/>
            <w:tcBorders>
              <w:top w:val="single" w:sz="10" w:space="0" w:color="FFFFFF"/>
              <w:bottom w:val="nil"/>
            </w:tcBorders>
            <w:shd w:val="clear" w:color="auto" w:fill="205868"/>
          </w:tcPr>
          <w:p>
            <w:pPr/>
          </w:p>
        </w:tc>
      </w:tr>
      <w:tr>
        <w:trPr>
          <w:trHeight w:val="318" w:hRule="exact"/>
        </w:trPr>
        <w:tc>
          <w:tcPr>
            <w:tcW w:w="1250" w:type="dxa"/>
            <w:tcBorders>
              <w:top w:val="nil"/>
              <w:bottom w:val="nil"/>
              <w:right w:val="nil"/>
            </w:tcBorders>
            <w:shd w:val="clear" w:color="auto" w:fill="D0D7E8"/>
          </w:tcPr>
          <w:p>
            <w:pPr>
              <w:pStyle w:val="TableParagraph"/>
              <w:spacing w:line="143" w:lineRule="exact"/>
              <w:ind w:right="214"/>
              <w:jc w:val="right"/>
              <w:rPr>
                <w:b/>
                <w:sz w:val="14"/>
              </w:rPr>
            </w:pPr>
            <w:r>
              <w:rPr>
                <w:b/>
                <w:w w:val="135"/>
                <w:sz w:val="14"/>
              </w:rPr>
              <w:t>Unido</w:t>
            </w:r>
          </w:p>
        </w:tc>
        <w:tc>
          <w:tcPr>
            <w:tcW w:w="279" w:type="dxa"/>
            <w:tcBorders>
              <w:top w:val="nil"/>
              <w:left w:val="nil"/>
              <w:bottom w:val="nil"/>
            </w:tcBorders>
            <w:shd w:val="clear" w:color="auto" w:fill="D0D7E8"/>
          </w:tcPr>
          <w:p>
            <w:pPr/>
          </w:p>
        </w:tc>
        <w:tc>
          <w:tcPr>
            <w:tcW w:w="615" w:type="dxa"/>
            <w:tcBorders>
              <w:top w:val="nil"/>
              <w:bottom w:val="nil"/>
              <w:right w:val="nil"/>
            </w:tcBorders>
            <w:shd w:val="clear" w:color="auto" w:fill="D0D7E8"/>
          </w:tcPr>
          <w:p>
            <w:pPr>
              <w:pStyle w:val="TableParagraph"/>
              <w:spacing w:before="2"/>
              <w:rPr>
                <w:sz w:val="14"/>
              </w:rPr>
            </w:pPr>
          </w:p>
          <w:p>
            <w:pPr>
              <w:pStyle w:val="TableParagraph"/>
              <w:spacing w:before="1"/>
              <w:ind w:left="35"/>
              <w:rPr>
                <w:b/>
                <w:sz w:val="12"/>
              </w:rPr>
            </w:pPr>
            <w:r>
              <w:rPr>
                <w:b/>
                <w:color w:val="001F5F"/>
                <w:w w:val="140"/>
                <w:sz w:val="12"/>
              </w:rPr>
              <w:t>81</w:t>
            </w:r>
          </w:p>
        </w:tc>
        <w:tc>
          <w:tcPr>
            <w:tcW w:w="914" w:type="dxa"/>
            <w:tcBorders>
              <w:top w:val="nil"/>
              <w:left w:val="nil"/>
              <w:bottom w:val="nil"/>
            </w:tcBorders>
            <w:shd w:val="clear" w:color="auto" w:fill="D0D7E8"/>
          </w:tcPr>
          <w:p>
            <w:pPr>
              <w:pStyle w:val="TableParagraph"/>
              <w:spacing w:before="93"/>
              <w:ind w:right="332"/>
              <w:jc w:val="right"/>
              <w:rPr>
                <w:b/>
                <w:sz w:val="12"/>
              </w:rPr>
            </w:pPr>
            <w:r>
              <w:rPr>
                <w:b/>
                <w:color w:val="001F5F"/>
                <w:w w:val="140"/>
                <w:sz w:val="12"/>
              </w:rPr>
              <w:t>82</w:t>
            </w:r>
          </w:p>
        </w:tc>
        <w:tc>
          <w:tcPr>
            <w:tcW w:w="1529" w:type="dxa"/>
            <w:tcBorders>
              <w:top w:val="nil"/>
              <w:bottom w:val="nil"/>
            </w:tcBorders>
            <w:shd w:val="clear" w:color="auto" w:fill="D0D7E8"/>
          </w:tcPr>
          <w:p>
            <w:pPr>
              <w:pStyle w:val="TableParagraph"/>
              <w:spacing w:before="103"/>
              <w:ind w:left="841" w:right="272"/>
              <w:rPr>
                <w:b/>
                <w:sz w:val="12"/>
              </w:rPr>
            </w:pPr>
            <w:r>
              <w:rPr>
                <w:b/>
                <w:color w:val="001F5F"/>
                <w:w w:val="140"/>
                <w:sz w:val="12"/>
              </w:rPr>
              <w:t>82</w:t>
            </w:r>
          </w:p>
        </w:tc>
        <w:tc>
          <w:tcPr>
            <w:tcW w:w="1529" w:type="dxa"/>
            <w:tcBorders>
              <w:top w:val="nil"/>
              <w:bottom w:val="nil"/>
            </w:tcBorders>
            <w:shd w:val="clear" w:color="auto" w:fill="D0D7E8"/>
          </w:tcPr>
          <w:p>
            <w:pPr/>
          </w:p>
        </w:tc>
        <w:tc>
          <w:tcPr>
            <w:tcW w:w="1649" w:type="dxa"/>
            <w:tcBorders>
              <w:top w:val="nil"/>
              <w:bottom w:val="nil"/>
            </w:tcBorders>
            <w:shd w:val="clear" w:color="auto" w:fill="205868"/>
          </w:tcPr>
          <w:p>
            <w:pPr>
              <w:pStyle w:val="TableParagraph"/>
              <w:spacing w:before="3"/>
              <w:ind w:left="454" w:right="83"/>
              <w:rPr>
                <w:b/>
                <w:sz w:val="14"/>
              </w:rPr>
            </w:pPr>
            <w:r>
              <w:rPr>
                <w:b/>
                <w:color w:val="FFFFFF"/>
                <w:w w:val="135"/>
                <w:sz w:val="14"/>
              </w:rPr>
              <w:t>Extensa</w:t>
            </w:r>
          </w:p>
          <w:p>
            <w:pPr>
              <w:pStyle w:val="TableParagraph"/>
              <w:spacing w:before="9"/>
              <w:ind w:left="493" w:right="83"/>
              <w:rPr>
                <w:b/>
                <w:sz w:val="10"/>
              </w:rPr>
            </w:pPr>
            <w:r>
              <w:rPr>
                <w:b/>
                <w:color w:val="FFFFFF"/>
                <w:w w:val="145"/>
                <w:sz w:val="10"/>
              </w:rPr>
              <w:t>(81 a 100)</w:t>
            </w:r>
          </w:p>
        </w:tc>
      </w:tr>
      <w:tr>
        <w:trPr>
          <w:trHeight w:val="203" w:hRule="exact"/>
        </w:trPr>
        <w:tc>
          <w:tcPr>
            <w:tcW w:w="1250" w:type="dxa"/>
            <w:tcBorders>
              <w:top w:val="nil"/>
              <w:bottom w:val="single" w:sz="3" w:space="0" w:color="FFFFFF"/>
              <w:right w:val="nil"/>
            </w:tcBorders>
            <w:shd w:val="clear" w:color="auto" w:fill="D0D7E8"/>
          </w:tcPr>
          <w:p>
            <w:pPr>
              <w:pStyle w:val="TableParagraph"/>
              <w:spacing w:line="161" w:lineRule="exact"/>
              <w:ind w:right="279"/>
              <w:jc w:val="right"/>
              <w:rPr>
                <w:b/>
                <w:sz w:val="14"/>
              </w:rPr>
            </w:pPr>
            <w:r>
              <w:rPr>
                <w:b/>
                <w:w w:val="135"/>
                <w:sz w:val="14"/>
              </w:rPr>
              <w:t>EUA</w:t>
            </w:r>
          </w:p>
        </w:tc>
        <w:tc>
          <w:tcPr>
            <w:tcW w:w="279" w:type="dxa"/>
            <w:tcBorders>
              <w:top w:val="nil"/>
              <w:left w:val="nil"/>
              <w:bottom w:val="single" w:sz="3" w:space="0" w:color="FFFFFF"/>
            </w:tcBorders>
            <w:shd w:val="clear" w:color="auto" w:fill="D0D7E8"/>
          </w:tcPr>
          <w:p>
            <w:pPr/>
          </w:p>
        </w:tc>
        <w:tc>
          <w:tcPr>
            <w:tcW w:w="615" w:type="dxa"/>
            <w:tcBorders>
              <w:top w:val="nil"/>
              <w:bottom w:val="single" w:sz="3" w:space="0" w:color="FFFFFF"/>
              <w:right w:val="nil"/>
            </w:tcBorders>
            <w:shd w:val="clear" w:color="auto" w:fill="D0D7E8"/>
          </w:tcPr>
          <w:p>
            <w:pPr/>
          </w:p>
        </w:tc>
        <w:tc>
          <w:tcPr>
            <w:tcW w:w="914" w:type="dxa"/>
            <w:tcBorders>
              <w:top w:val="nil"/>
              <w:left w:val="nil"/>
              <w:bottom w:val="single" w:sz="3" w:space="0" w:color="FFFFFF"/>
            </w:tcBorders>
            <w:shd w:val="clear" w:color="auto" w:fill="D0D7E8"/>
          </w:tcPr>
          <w:p>
            <w:pPr/>
          </w:p>
        </w:tc>
        <w:tc>
          <w:tcPr>
            <w:tcW w:w="1529" w:type="dxa"/>
            <w:tcBorders>
              <w:top w:val="nil"/>
              <w:bottom w:val="single" w:sz="3" w:space="0" w:color="FFFFFF"/>
            </w:tcBorders>
            <w:shd w:val="clear" w:color="auto" w:fill="D0D7E8"/>
          </w:tcPr>
          <w:p>
            <w:pPr/>
          </w:p>
        </w:tc>
        <w:tc>
          <w:tcPr>
            <w:tcW w:w="1529" w:type="dxa"/>
            <w:tcBorders>
              <w:top w:val="nil"/>
              <w:bottom w:val="single" w:sz="3" w:space="0" w:color="FFFFFF"/>
            </w:tcBorders>
            <w:shd w:val="clear" w:color="auto" w:fill="D0D7E8"/>
          </w:tcPr>
          <w:p>
            <w:pPr>
              <w:pStyle w:val="TableParagraph"/>
              <w:spacing w:before="26"/>
              <w:ind w:right="415"/>
              <w:jc w:val="right"/>
              <w:rPr>
                <w:b/>
                <w:sz w:val="12"/>
              </w:rPr>
            </w:pPr>
            <w:r>
              <w:rPr>
                <w:b/>
                <w:color w:val="001F5F"/>
                <w:w w:val="140"/>
                <w:sz w:val="12"/>
              </w:rPr>
              <w:t>79</w:t>
            </w:r>
          </w:p>
        </w:tc>
        <w:tc>
          <w:tcPr>
            <w:tcW w:w="1649" w:type="dxa"/>
            <w:tcBorders>
              <w:top w:val="nil"/>
              <w:bottom w:val="single" w:sz="3" w:space="0" w:color="FFFFFF"/>
            </w:tcBorders>
            <w:shd w:val="clear" w:color="auto" w:fill="205868"/>
          </w:tcPr>
          <w:p>
            <w:pPr/>
          </w:p>
        </w:tc>
      </w:tr>
      <w:tr>
        <w:trPr>
          <w:trHeight w:val="753" w:hRule="exact"/>
        </w:trPr>
        <w:tc>
          <w:tcPr>
            <w:tcW w:w="1529" w:type="dxa"/>
            <w:gridSpan w:val="2"/>
            <w:tcBorders>
              <w:top w:val="single" w:sz="3" w:space="0" w:color="FFFFFF"/>
              <w:bottom w:val="nil"/>
              <w:right w:val="single" w:sz="18" w:space="0" w:color="C00000"/>
            </w:tcBorders>
            <w:shd w:val="clear" w:color="auto" w:fill="E9ECF4"/>
          </w:tcPr>
          <w:p>
            <w:pPr/>
          </w:p>
        </w:tc>
        <w:tc>
          <w:tcPr>
            <w:tcW w:w="1529" w:type="dxa"/>
            <w:gridSpan w:val="2"/>
            <w:tcBorders>
              <w:top w:val="single" w:sz="3" w:space="0" w:color="FFFFFF"/>
              <w:left w:val="single" w:sz="18" w:space="0" w:color="C00000"/>
              <w:bottom w:val="nil"/>
              <w:right w:val="single" w:sz="18" w:space="0" w:color="C00000"/>
            </w:tcBorders>
            <w:shd w:val="clear" w:color="auto" w:fill="E9ECF4"/>
          </w:tcPr>
          <w:p>
            <w:pPr>
              <w:pStyle w:val="TableParagraph"/>
              <w:spacing w:before="4"/>
              <w:rPr>
                <w:sz w:val="13"/>
              </w:rPr>
            </w:pPr>
          </w:p>
          <w:p>
            <w:pPr>
              <w:pStyle w:val="TableParagraph"/>
              <w:spacing w:before="1"/>
              <w:ind w:right="-20"/>
              <w:jc w:val="right"/>
              <w:rPr>
                <w:b/>
                <w:sz w:val="12"/>
              </w:rPr>
            </w:pPr>
            <w:r>
              <w:rPr>
                <w:b/>
                <w:color w:val="001F5F"/>
                <w:w w:val="140"/>
                <w:sz w:val="12"/>
              </w:rPr>
              <w:t>64</w:t>
            </w:r>
          </w:p>
          <w:p>
            <w:pPr>
              <w:pStyle w:val="TableParagraph"/>
              <w:spacing w:before="1"/>
              <w:ind w:left="321"/>
              <w:rPr>
                <w:b/>
                <w:sz w:val="14"/>
              </w:rPr>
            </w:pPr>
            <w:r>
              <w:rPr>
                <w:b/>
                <w:w w:val="135"/>
                <w:sz w:val="14"/>
              </w:rPr>
              <w:t>Alemania</w:t>
            </w:r>
          </w:p>
        </w:tc>
        <w:tc>
          <w:tcPr>
            <w:tcW w:w="1529" w:type="dxa"/>
            <w:tcBorders>
              <w:top w:val="single" w:sz="3" w:space="0" w:color="FFFFFF"/>
              <w:left w:val="single" w:sz="18" w:space="0" w:color="C00000"/>
              <w:bottom w:val="nil"/>
              <w:right w:val="single" w:sz="18" w:space="0" w:color="C00000"/>
            </w:tcBorders>
            <w:shd w:val="clear" w:color="auto" w:fill="E9ECF4"/>
          </w:tcPr>
          <w:p>
            <w:pPr>
              <w:pStyle w:val="TableParagraph"/>
              <w:spacing w:before="48"/>
              <w:ind w:left="872"/>
              <w:rPr>
                <w:b/>
                <w:sz w:val="12"/>
              </w:rPr>
            </w:pPr>
            <w:r>
              <w:rPr>
                <w:b/>
                <w:color w:val="001F5F"/>
                <w:w w:val="140"/>
                <w:sz w:val="12"/>
              </w:rPr>
              <w:t>68</w:t>
            </w:r>
          </w:p>
          <w:p>
            <w:pPr>
              <w:pStyle w:val="TableParagraph"/>
              <w:spacing w:before="10"/>
              <w:rPr>
                <w:sz w:val="16"/>
              </w:rPr>
            </w:pPr>
          </w:p>
          <w:p>
            <w:pPr>
              <w:pStyle w:val="TableParagraph"/>
              <w:spacing w:line="109" w:lineRule="exact"/>
              <w:ind w:right="43"/>
              <w:jc w:val="right"/>
              <w:rPr>
                <w:b/>
                <w:sz w:val="12"/>
              </w:rPr>
            </w:pPr>
            <w:r>
              <w:rPr>
                <w:b/>
                <w:color w:val="001F5F"/>
                <w:w w:val="139"/>
                <w:sz w:val="12"/>
              </w:rPr>
              <w:t>6</w:t>
            </w:r>
          </w:p>
          <w:p>
            <w:pPr>
              <w:pStyle w:val="TableParagraph"/>
              <w:spacing w:line="132" w:lineRule="exact"/>
              <w:ind w:left="404"/>
              <w:rPr>
                <w:b/>
                <w:sz w:val="14"/>
              </w:rPr>
            </w:pPr>
            <w:r>
              <w:rPr>
                <w:b/>
                <w:w w:val="135"/>
                <w:sz w:val="14"/>
              </w:rPr>
              <w:t>España</w:t>
            </w:r>
          </w:p>
        </w:tc>
        <w:tc>
          <w:tcPr>
            <w:tcW w:w="1529" w:type="dxa"/>
            <w:tcBorders>
              <w:top w:val="single" w:sz="3" w:space="0" w:color="FFFFFF"/>
              <w:left w:val="single" w:sz="18" w:space="0" w:color="C00000"/>
              <w:bottom w:val="single" w:sz="18" w:space="0" w:color="C00000"/>
              <w:right w:val="single" w:sz="18" w:space="0" w:color="C00000"/>
            </w:tcBorders>
            <w:shd w:val="clear" w:color="auto" w:fill="E9ECF4"/>
          </w:tcPr>
          <w:p>
            <w:pPr>
              <w:pStyle w:val="TableParagraph"/>
              <w:spacing w:before="48"/>
              <w:ind w:left="901"/>
              <w:rPr>
                <w:b/>
                <w:sz w:val="12"/>
              </w:rPr>
            </w:pPr>
            <w:r>
              <w:rPr>
                <w:b/>
                <w:color w:val="001F5F"/>
                <w:w w:val="140"/>
                <w:sz w:val="12"/>
              </w:rPr>
              <w:t>71</w:t>
            </w:r>
          </w:p>
          <w:p>
            <w:pPr>
              <w:pStyle w:val="TableParagraph"/>
              <w:spacing w:before="7"/>
              <w:rPr>
                <w:sz w:val="17"/>
              </w:rPr>
            </w:pPr>
          </w:p>
          <w:p>
            <w:pPr>
              <w:pStyle w:val="TableParagraph"/>
              <w:ind w:left="942"/>
              <w:rPr>
                <w:b/>
                <w:sz w:val="12"/>
              </w:rPr>
            </w:pPr>
            <w:r>
              <w:rPr>
                <w:b/>
                <w:color w:val="001F5F"/>
                <w:w w:val="140"/>
                <w:sz w:val="12"/>
              </w:rPr>
              <w:t>63</w:t>
            </w:r>
          </w:p>
        </w:tc>
        <w:tc>
          <w:tcPr>
            <w:tcW w:w="1649" w:type="dxa"/>
            <w:tcBorders>
              <w:top w:val="single" w:sz="3" w:space="0" w:color="FFFFFF"/>
              <w:left w:val="single" w:sz="18" w:space="0" w:color="C00000"/>
              <w:bottom w:val="single" w:sz="18" w:space="0" w:color="C00000"/>
            </w:tcBorders>
            <w:shd w:val="clear" w:color="auto" w:fill="205868"/>
          </w:tcPr>
          <w:p>
            <w:pPr>
              <w:pStyle w:val="TableParagraph"/>
              <w:rPr>
                <w:sz w:val="20"/>
              </w:rPr>
            </w:pPr>
          </w:p>
          <w:p>
            <w:pPr>
              <w:pStyle w:val="TableParagraph"/>
              <w:ind w:left="228" w:right="238"/>
              <w:jc w:val="center"/>
              <w:rPr>
                <w:b/>
                <w:sz w:val="14"/>
              </w:rPr>
            </w:pPr>
            <w:r>
              <w:rPr>
                <w:b/>
                <w:color w:val="FFFFFF"/>
                <w:w w:val="135"/>
                <w:sz w:val="14"/>
              </w:rPr>
              <w:t>Significativa</w:t>
            </w:r>
          </w:p>
          <w:p>
            <w:pPr>
              <w:pStyle w:val="TableParagraph"/>
              <w:spacing w:before="9"/>
              <w:ind w:left="226" w:right="238"/>
              <w:jc w:val="center"/>
              <w:rPr>
                <w:b/>
                <w:sz w:val="10"/>
              </w:rPr>
            </w:pPr>
            <w:r>
              <w:rPr>
                <w:b/>
                <w:color w:val="FFFFFF"/>
                <w:w w:val="145"/>
                <w:sz w:val="10"/>
              </w:rPr>
              <w:t>(61 a 80)</w:t>
            </w:r>
          </w:p>
        </w:tc>
      </w:tr>
      <w:tr>
        <w:trPr>
          <w:trHeight w:val="753" w:hRule="exact"/>
        </w:trPr>
        <w:tc>
          <w:tcPr>
            <w:tcW w:w="1529" w:type="dxa"/>
            <w:gridSpan w:val="2"/>
            <w:tcBorders>
              <w:top w:val="nil"/>
              <w:bottom w:val="single" w:sz="3" w:space="0" w:color="FFFFFF"/>
              <w:right w:val="single" w:sz="18" w:space="0" w:color="C00000"/>
            </w:tcBorders>
            <w:shd w:val="clear" w:color="auto" w:fill="D0D7E8"/>
          </w:tcPr>
          <w:p>
            <w:pPr>
              <w:pStyle w:val="TableParagraph"/>
              <w:tabs>
                <w:tab w:pos="1453" w:val="right" w:leader="none"/>
              </w:tabs>
              <w:spacing w:before="380"/>
              <w:ind w:left="435"/>
              <w:rPr>
                <w:b/>
                <w:sz w:val="12"/>
              </w:rPr>
            </w:pPr>
            <w:r>
              <w:rPr>
                <w:b/>
                <w:color w:val="C00000"/>
                <w:w w:val="140"/>
                <w:sz w:val="14"/>
              </w:rPr>
              <w:t>México</w:t>
            </w:r>
            <w:r>
              <w:rPr>
                <w:b/>
                <w:color w:val="C00000"/>
                <w:w w:val="140"/>
                <w:position w:val="2"/>
                <w:sz w:val="12"/>
              </w:rPr>
              <w:tab/>
              <w:t>5</w:t>
            </w:r>
          </w:p>
        </w:tc>
        <w:tc>
          <w:tcPr>
            <w:tcW w:w="1529" w:type="dxa"/>
            <w:gridSpan w:val="2"/>
            <w:tcBorders>
              <w:top w:val="nil"/>
              <w:left w:val="single" w:sz="18" w:space="0" w:color="C00000"/>
              <w:bottom w:val="single" w:sz="3" w:space="0" w:color="FFFFFF"/>
              <w:right w:val="single" w:sz="18" w:space="0" w:color="C00000"/>
            </w:tcBorders>
            <w:shd w:val="clear" w:color="auto" w:fill="D0D7E8"/>
          </w:tcPr>
          <w:p>
            <w:pPr>
              <w:pStyle w:val="TableParagraph"/>
              <w:spacing w:before="10"/>
              <w:rPr>
                <w:sz w:val="12"/>
              </w:rPr>
            </w:pPr>
          </w:p>
          <w:p>
            <w:pPr>
              <w:pStyle w:val="TableParagraph"/>
              <w:ind w:left="912"/>
              <w:rPr>
                <w:b/>
                <w:sz w:val="12"/>
              </w:rPr>
            </w:pPr>
            <w:r>
              <w:rPr>
                <w:b/>
                <w:color w:val="C00000"/>
                <w:w w:val="140"/>
                <w:sz w:val="12"/>
              </w:rPr>
              <w:t>55</w:t>
            </w:r>
          </w:p>
        </w:tc>
        <w:tc>
          <w:tcPr>
            <w:tcW w:w="1529" w:type="dxa"/>
            <w:tcBorders>
              <w:top w:val="nil"/>
              <w:left w:val="single" w:sz="18" w:space="0" w:color="C00000"/>
              <w:bottom w:val="single" w:sz="3" w:space="0" w:color="FFFFFF"/>
              <w:right w:val="single" w:sz="18" w:space="0" w:color="C00000"/>
            </w:tcBorders>
            <w:shd w:val="clear" w:color="auto" w:fill="D0D7E8"/>
          </w:tcPr>
          <w:p>
            <w:pPr>
              <w:pStyle w:val="TableParagraph"/>
              <w:spacing w:before="2"/>
              <w:rPr>
                <w:sz w:val="10"/>
              </w:rPr>
            </w:pPr>
          </w:p>
          <w:p>
            <w:pPr>
              <w:pStyle w:val="TableParagraph"/>
              <w:ind w:right="268"/>
              <w:jc w:val="right"/>
              <w:rPr>
                <w:b/>
                <w:sz w:val="12"/>
              </w:rPr>
            </w:pPr>
            <w:r>
              <w:rPr>
                <w:b/>
                <w:color w:val="C00000"/>
                <w:w w:val="140"/>
                <w:sz w:val="12"/>
              </w:rPr>
              <w:t>52</w:t>
            </w:r>
          </w:p>
        </w:tc>
        <w:tc>
          <w:tcPr>
            <w:tcW w:w="1529" w:type="dxa"/>
            <w:tcBorders>
              <w:top w:val="single" w:sz="18" w:space="0" w:color="C00000"/>
              <w:left w:val="single" w:sz="18" w:space="0" w:color="C00000"/>
              <w:bottom w:val="single" w:sz="3" w:space="0" w:color="FFFFFF"/>
              <w:right w:val="single" w:sz="18" w:space="0" w:color="C00000"/>
            </w:tcBorders>
            <w:shd w:val="clear" w:color="auto" w:fill="D0D7E8"/>
          </w:tcPr>
          <w:p>
            <w:pPr>
              <w:pStyle w:val="TableParagraph"/>
              <w:spacing w:line="52" w:lineRule="exact"/>
              <w:ind w:right="415"/>
              <w:jc w:val="right"/>
              <w:rPr>
                <w:b/>
                <w:sz w:val="12"/>
              </w:rPr>
            </w:pPr>
            <w:r>
              <w:rPr>
                <w:b/>
                <w:color w:val="C00000"/>
                <w:w w:val="140"/>
                <w:sz w:val="12"/>
              </w:rPr>
              <w:t>61</w:t>
            </w:r>
          </w:p>
        </w:tc>
        <w:tc>
          <w:tcPr>
            <w:tcW w:w="1649" w:type="dxa"/>
            <w:tcBorders>
              <w:top w:val="single" w:sz="18" w:space="0" w:color="C00000"/>
              <w:left w:val="single" w:sz="18" w:space="0" w:color="C00000"/>
              <w:bottom w:val="single" w:sz="3" w:space="0" w:color="FFFFFF"/>
            </w:tcBorders>
            <w:shd w:val="clear" w:color="auto" w:fill="205868"/>
          </w:tcPr>
          <w:p>
            <w:pPr>
              <w:pStyle w:val="TableParagraph"/>
              <w:spacing w:before="5"/>
              <w:rPr>
                <w:sz w:val="18"/>
              </w:rPr>
            </w:pPr>
          </w:p>
          <w:p>
            <w:pPr>
              <w:pStyle w:val="TableParagraph"/>
              <w:spacing w:before="1"/>
              <w:ind w:left="475"/>
              <w:rPr>
                <w:b/>
                <w:sz w:val="14"/>
              </w:rPr>
            </w:pPr>
            <w:r>
              <w:rPr>
                <w:b/>
                <w:color w:val="FFFFFF"/>
                <w:w w:val="135"/>
                <w:sz w:val="14"/>
              </w:rPr>
              <w:t>Escasa</w:t>
            </w:r>
          </w:p>
          <w:p>
            <w:pPr>
              <w:pStyle w:val="TableParagraph"/>
              <w:spacing w:before="9"/>
              <w:ind w:left="517"/>
              <w:rPr>
                <w:b/>
                <w:sz w:val="10"/>
              </w:rPr>
            </w:pPr>
            <w:r>
              <w:rPr>
                <w:b/>
                <w:color w:val="FFFFFF"/>
                <w:w w:val="145"/>
                <w:sz w:val="10"/>
              </w:rPr>
              <w:t>(41 a 60)</w:t>
            </w:r>
          </w:p>
        </w:tc>
      </w:tr>
      <w:tr>
        <w:trPr>
          <w:trHeight w:val="540" w:hRule="exact"/>
        </w:trPr>
        <w:tc>
          <w:tcPr>
            <w:tcW w:w="1529" w:type="dxa"/>
            <w:gridSpan w:val="2"/>
            <w:vMerge w:val="restart"/>
            <w:tcBorders>
              <w:top w:val="single" w:sz="3" w:space="0" w:color="FFFFFF"/>
            </w:tcBorders>
            <w:shd w:val="clear" w:color="auto" w:fill="E9ECF4"/>
          </w:tcPr>
          <w:p>
            <w:pPr/>
          </w:p>
        </w:tc>
        <w:tc>
          <w:tcPr>
            <w:tcW w:w="1529" w:type="dxa"/>
            <w:gridSpan w:val="2"/>
            <w:vMerge w:val="restart"/>
            <w:tcBorders>
              <w:top w:val="single" w:sz="3" w:space="0" w:color="FFFFFF"/>
            </w:tcBorders>
            <w:shd w:val="clear" w:color="auto" w:fill="E9ECF4"/>
          </w:tcPr>
          <w:p>
            <w:pPr/>
          </w:p>
        </w:tc>
        <w:tc>
          <w:tcPr>
            <w:tcW w:w="1529" w:type="dxa"/>
            <w:vMerge w:val="restart"/>
            <w:tcBorders>
              <w:top w:val="single" w:sz="3" w:space="0" w:color="FFFFFF"/>
            </w:tcBorders>
            <w:shd w:val="clear" w:color="auto" w:fill="E9ECF4"/>
          </w:tcPr>
          <w:p>
            <w:pPr/>
          </w:p>
        </w:tc>
        <w:tc>
          <w:tcPr>
            <w:tcW w:w="1529" w:type="dxa"/>
            <w:tcBorders>
              <w:top w:val="single" w:sz="3" w:space="0" w:color="FFFFFF"/>
              <w:bottom w:val="nil"/>
            </w:tcBorders>
            <w:shd w:val="clear" w:color="auto" w:fill="E9ECF4"/>
          </w:tcPr>
          <w:p>
            <w:pPr>
              <w:pStyle w:val="TableParagraph"/>
              <w:rPr>
                <w:sz w:val="8"/>
              </w:rPr>
            </w:pPr>
          </w:p>
          <w:p>
            <w:pPr>
              <w:pStyle w:val="TableParagraph"/>
              <w:spacing w:before="6"/>
              <w:rPr>
                <w:sz w:val="11"/>
              </w:rPr>
            </w:pPr>
          </w:p>
          <w:p>
            <w:pPr>
              <w:pStyle w:val="TableParagraph"/>
              <w:spacing w:line="273" w:lineRule="auto" w:before="1"/>
              <w:ind w:left="397" w:right="394"/>
              <w:jc w:val="center"/>
              <w:rPr>
                <w:sz w:val="8"/>
              </w:rPr>
            </w:pPr>
            <w:r>
              <w:rPr>
                <w:w w:val="150"/>
                <w:sz w:val="8"/>
              </w:rPr>
              <w:t>Sierra Leona Venezuela Ecuador</w:t>
            </w:r>
          </w:p>
        </w:tc>
        <w:tc>
          <w:tcPr>
            <w:tcW w:w="1649" w:type="dxa"/>
            <w:tcBorders>
              <w:top w:val="single" w:sz="3" w:space="0" w:color="FFFFFF"/>
              <w:bottom w:val="nil"/>
            </w:tcBorders>
            <w:shd w:val="clear" w:color="auto" w:fill="205868"/>
          </w:tcPr>
          <w:p>
            <w:pPr>
              <w:pStyle w:val="TableParagraph"/>
              <w:rPr>
                <w:sz w:val="20"/>
              </w:rPr>
            </w:pPr>
          </w:p>
          <w:p>
            <w:pPr>
              <w:pStyle w:val="TableParagraph"/>
              <w:spacing w:before="1"/>
              <w:ind w:left="492" w:right="83"/>
              <w:rPr>
                <w:b/>
                <w:sz w:val="14"/>
              </w:rPr>
            </w:pPr>
            <w:r>
              <w:rPr>
                <w:b/>
                <w:color w:val="FFFFFF"/>
                <w:w w:val="135"/>
                <w:sz w:val="14"/>
              </w:rPr>
              <w:t>Mínima</w:t>
            </w:r>
          </w:p>
          <w:p>
            <w:pPr>
              <w:pStyle w:val="TableParagraph"/>
              <w:spacing w:before="9"/>
              <w:ind w:left="533" w:right="83"/>
              <w:rPr>
                <w:b/>
                <w:sz w:val="10"/>
              </w:rPr>
            </w:pPr>
            <w:r>
              <w:rPr>
                <w:b/>
                <w:color w:val="FFFFFF"/>
                <w:w w:val="145"/>
                <w:sz w:val="10"/>
              </w:rPr>
              <w:t>(21 a 40)</w:t>
            </w:r>
          </w:p>
        </w:tc>
      </w:tr>
      <w:tr>
        <w:trPr>
          <w:trHeight w:val="213" w:hRule="exact"/>
        </w:trPr>
        <w:tc>
          <w:tcPr>
            <w:tcW w:w="1529" w:type="dxa"/>
            <w:gridSpan w:val="2"/>
            <w:vMerge/>
            <w:tcBorders>
              <w:bottom w:val="single" w:sz="3" w:space="0" w:color="FFFFFF"/>
            </w:tcBorders>
            <w:shd w:val="clear" w:color="auto" w:fill="E9ECF4"/>
          </w:tcPr>
          <w:p>
            <w:pPr/>
          </w:p>
        </w:tc>
        <w:tc>
          <w:tcPr>
            <w:tcW w:w="1529" w:type="dxa"/>
            <w:gridSpan w:val="2"/>
            <w:vMerge/>
            <w:tcBorders>
              <w:bottom w:val="single" w:sz="3" w:space="0" w:color="FFFFFF"/>
            </w:tcBorders>
            <w:shd w:val="clear" w:color="auto" w:fill="E9ECF4"/>
          </w:tcPr>
          <w:p>
            <w:pPr/>
          </w:p>
        </w:tc>
        <w:tc>
          <w:tcPr>
            <w:tcW w:w="1529" w:type="dxa"/>
            <w:vMerge/>
            <w:tcBorders>
              <w:bottom w:val="single" w:sz="3" w:space="0" w:color="FFFFFF"/>
            </w:tcBorders>
            <w:shd w:val="clear" w:color="auto" w:fill="E9ECF4"/>
          </w:tcPr>
          <w:p>
            <w:pPr/>
          </w:p>
        </w:tc>
        <w:tc>
          <w:tcPr>
            <w:tcW w:w="1529" w:type="dxa"/>
            <w:tcBorders>
              <w:top w:val="nil"/>
              <w:bottom w:val="single" w:sz="3" w:space="0" w:color="FFFFFF"/>
            </w:tcBorders>
            <w:shd w:val="clear" w:color="auto" w:fill="E9ECF4"/>
          </w:tcPr>
          <w:p>
            <w:pPr>
              <w:pStyle w:val="TableParagraph"/>
              <w:spacing w:before="4"/>
              <w:ind w:left="575" w:right="272"/>
              <w:rPr>
                <w:sz w:val="8"/>
              </w:rPr>
            </w:pPr>
            <w:r>
              <w:rPr>
                <w:w w:val="150"/>
                <w:sz w:val="8"/>
              </w:rPr>
              <w:t>Angola</w:t>
            </w:r>
          </w:p>
        </w:tc>
        <w:tc>
          <w:tcPr>
            <w:tcW w:w="1649" w:type="dxa"/>
            <w:tcBorders>
              <w:top w:val="nil"/>
              <w:bottom w:val="single" w:sz="3" w:space="0" w:color="FFFFFF"/>
            </w:tcBorders>
            <w:shd w:val="clear" w:color="auto" w:fill="205868"/>
          </w:tcPr>
          <w:p>
            <w:pPr/>
          </w:p>
        </w:tc>
      </w:tr>
      <w:tr>
        <w:trPr>
          <w:trHeight w:val="392" w:hRule="exact"/>
        </w:trPr>
        <w:tc>
          <w:tcPr>
            <w:tcW w:w="1529" w:type="dxa"/>
            <w:gridSpan w:val="2"/>
            <w:vMerge w:val="restart"/>
            <w:tcBorders>
              <w:top w:val="single" w:sz="3" w:space="0" w:color="FFFFFF"/>
            </w:tcBorders>
            <w:shd w:val="clear" w:color="auto" w:fill="D0D7E8"/>
          </w:tcPr>
          <w:p>
            <w:pPr/>
          </w:p>
        </w:tc>
        <w:tc>
          <w:tcPr>
            <w:tcW w:w="1529" w:type="dxa"/>
            <w:gridSpan w:val="2"/>
            <w:vMerge w:val="restart"/>
            <w:tcBorders>
              <w:top w:val="single" w:sz="3" w:space="0" w:color="FFFFFF"/>
            </w:tcBorders>
            <w:shd w:val="clear" w:color="auto" w:fill="D0D7E8"/>
          </w:tcPr>
          <w:p>
            <w:pPr/>
          </w:p>
        </w:tc>
        <w:tc>
          <w:tcPr>
            <w:tcW w:w="1529" w:type="dxa"/>
            <w:vMerge w:val="restart"/>
            <w:tcBorders>
              <w:top w:val="single" w:sz="3" w:space="0" w:color="FFFFFF"/>
            </w:tcBorders>
            <w:shd w:val="clear" w:color="auto" w:fill="D0D7E8"/>
          </w:tcPr>
          <w:p>
            <w:pPr/>
          </w:p>
        </w:tc>
        <w:tc>
          <w:tcPr>
            <w:tcW w:w="1529" w:type="dxa"/>
            <w:tcBorders>
              <w:top w:val="single" w:sz="3" w:space="0" w:color="FFFFFF"/>
              <w:bottom w:val="nil"/>
            </w:tcBorders>
            <w:shd w:val="clear" w:color="auto" w:fill="D0D7E8"/>
          </w:tcPr>
          <w:p>
            <w:pPr>
              <w:pStyle w:val="TableParagraph"/>
              <w:rPr>
                <w:sz w:val="8"/>
              </w:rPr>
            </w:pPr>
          </w:p>
          <w:p>
            <w:pPr>
              <w:pStyle w:val="TableParagraph"/>
              <w:rPr>
                <w:sz w:val="7"/>
              </w:rPr>
            </w:pPr>
          </w:p>
          <w:p>
            <w:pPr>
              <w:pStyle w:val="TableParagraph"/>
              <w:spacing w:line="273" w:lineRule="auto"/>
              <w:ind w:left="371" w:right="272" w:firstLine="233"/>
              <w:rPr>
                <w:sz w:val="8"/>
              </w:rPr>
            </w:pPr>
            <w:r>
              <w:rPr>
                <w:w w:val="150"/>
                <w:sz w:val="8"/>
              </w:rPr>
              <w:t>China Arabia Saudita</w:t>
            </w:r>
          </w:p>
        </w:tc>
        <w:tc>
          <w:tcPr>
            <w:tcW w:w="1649" w:type="dxa"/>
            <w:tcBorders>
              <w:top w:val="single" w:sz="3" w:space="0" w:color="FFFFFF"/>
              <w:bottom w:val="nil"/>
            </w:tcBorders>
            <w:shd w:val="clear" w:color="auto" w:fill="205868"/>
          </w:tcPr>
          <w:p>
            <w:pPr>
              <w:pStyle w:val="TableParagraph"/>
              <w:spacing w:before="1"/>
              <w:rPr>
                <w:sz w:val="20"/>
              </w:rPr>
            </w:pPr>
          </w:p>
          <w:p>
            <w:pPr>
              <w:pStyle w:val="TableParagraph"/>
              <w:ind w:left="269" w:right="265"/>
              <w:jc w:val="center"/>
              <w:rPr>
                <w:b/>
                <w:sz w:val="14"/>
              </w:rPr>
            </w:pPr>
            <w:r>
              <w:rPr>
                <w:b/>
                <w:color w:val="FFFFFF"/>
                <w:w w:val="135"/>
                <w:sz w:val="14"/>
              </w:rPr>
              <w:t>Poca o nula</w:t>
            </w:r>
          </w:p>
        </w:tc>
      </w:tr>
      <w:tr>
        <w:trPr>
          <w:trHeight w:val="360" w:hRule="exact"/>
        </w:trPr>
        <w:tc>
          <w:tcPr>
            <w:tcW w:w="1529" w:type="dxa"/>
            <w:gridSpan w:val="2"/>
            <w:vMerge/>
            <w:tcBorders>
              <w:bottom w:val="single" w:sz="3" w:space="0" w:color="FFFFFF"/>
            </w:tcBorders>
            <w:shd w:val="clear" w:color="auto" w:fill="D0D7E8"/>
          </w:tcPr>
          <w:p>
            <w:pPr/>
          </w:p>
        </w:tc>
        <w:tc>
          <w:tcPr>
            <w:tcW w:w="1529" w:type="dxa"/>
            <w:gridSpan w:val="2"/>
            <w:vMerge/>
            <w:tcBorders>
              <w:bottom w:val="single" w:sz="3" w:space="0" w:color="FFFFFF"/>
            </w:tcBorders>
            <w:shd w:val="clear" w:color="auto" w:fill="D0D7E8"/>
          </w:tcPr>
          <w:p>
            <w:pPr/>
          </w:p>
        </w:tc>
        <w:tc>
          <w:tcPr>
            <w:tcW w:w="1529" w:type="dxa"/>
            <w:vMerge/>
            <w:tcBorders>
              <w:bottom w:val="single" w:sz="3" w:space="0" w:color="FFFFFF"/>
            </w:tcBorders>
            <w:shd w:val="clear" w:color="auto" w:fill="D0D7E8"/>
          </w:tcPr>
          <w:p>
            <w:pPr/>
          </w:p>
        </w:tc>
        <w:tc>
          <w:tcPr>
            <w:tcW w:w="1529" w:type="dxa"/>
            <w:tcBorders>
              <w:top w:val="nil"/>
              <w:bottom w:val="single" w:sz="3" w:space="0" w:color="FFFFFF"/>
            </w:tcBorders>
            <w:shd w:val="clear" w:color="auto" w:fill="D0D7E8"/>
          </w:tcPr>
          <w:p>
            <w:pPr>
              <w:pStyle w:val="TableParagraph"/>
              <w:spacing w:line="273" w:lineRule="auto"/>
              <w:ind w:left="609" w:right="608" w:hanging="2"/>
              <w:jc w:val="center"/>
              <w:rPr>
                <w:sz w:val="8"/>
              </w:rPr>
            </w:pPr>
            <w:r>
              <w:rPr>
                <w:w w:val="150"/>
                <w:sz w:val="8"/>
              </w:rPr>
              <w:t>Irak </w:t>
            </w:r>
            <w:r>
              <w:rPr>
                <w:w w:val="145"/>
                <w:sz w:val="8"/>
              </w:rPr>
              <w:t>Qatar</w:t>
            </w:r>
          </w:p>
        </w:tc>
        <w:tc>
          <w:tcPr>
            <w:tcW w:w="1649" w:type="dxa"/>
            <w:tcBorders>
              <w:top w:val="nil"/>
              <w:bottom w:val="single" w:sz="3" w:space="0" w:color="FFFFFF"/>
            </w:tcBorders>
            <w:shd w:val="clear" w:color="auto" w:fill="205868"/>
          </w:tcPr>
          <w:p>
            <w:pPr>
              <w:pStyle w:val="TableParagraph"/>
              <w:spacing w:before="13"/>
              <w:ind w:left="268" w:right="265"/>
              <w:jc w:val="center"/>
              <w:rPr>
                <w:b/>
                <w:sz w:val="10"/>
              </w:rPr>
            </w:pPr>
            <w:r>
              <w:rPr>
                <w:b/>
                <w:color w:val="FFFFFF"/>
                <w:w w:val="145"/>
                <w:sz w:val="10"/>
              </w:rPr>
              <w:t>(0 a 20)</w:t>
            </w:r>
          </w:p>
        </w:tc>
      </w:tr>
    </w:tbl>
    <w:p>
      <w:pPr>
        <w:pStyle w:val="BodyText"/>
        <w:spacing w:before="3"/>
        <w:rPr>
          <w:sz w:val="17"/>
        </w:rPr>
      </w:pPr>
    </w:p>
    <w:p>
      <w:pPr>
        <w:spacing w:before="1"/>
        <w:ind w:left="1518" w:right="0" w:firstLine="0"/>
        <w:jc w:val="left"/>
        <w:rPr>
          <w:i/>
          <w:sz w:val="12"/>
        </w:rPr>
      </w:pPr>
      <w:r>
        <w:rPr>
          <w:sz w:val="12"/>
        </w:rPr>
        <w:t>FUENTE:     Elaboración propia con base en: International Budget Partnership, </w:t>
      </w:r>
      <w:r>
        <w:rPr>
          <w:i/>
          <w:sz w:val="12"/>
        </w:rPr>
        <w:t>Open Budget Survey 2012.</w:t>
      </w:r>
    </w:p>
    <w:p>
      <w:pPr>
        <w:spacing w:before="1"/>
        <w:ind w:left="2226" w:right="4599" w:firstLine="0"/>
        <w:jc w:val="left"/>
        <w:rPr>
          <w:sz w:val="12"/>
        </w:rPr>
      </w:pPr>
      <w:r>
        <w:rPr>
          <w:i/>
          <w:sz w:val="12"/>
        </w:rPr>
        <w:t>Open Budgets. Transformlives</w:t>
      </w:r>
      <w:r>
        <w:rPr>
          <w:sz w:val="12"/>
        </w:rPr>
        <w:t>, pp.50-51. [Fecha de consulta: 10 de julio, 2015]</w:t>
      </w:r>
    </w:p>
    <w:p>
      <w:pPr>
        <w:spacing w:before="1"/>
        <w:ind w:left="2226" w:right="0" w:firstLine="0"/>
        <w:jc w:val="left"/>
        <w:rPr>
          <w:sz w:val="12"/>
        </w:rPr>
      </w:pPr>
      <w:r>
        <w:rPr>
          <w:sz w:val="12"/>
        </w:rPr>
        <w:t>Disponible en: </w:t>
      </w:r>
      <w:hyperlink r:id="rId88">
        <w:r>
          <w:rPr>
            <w:sz w:val="12"/>
          </w:rPr>
          <w:t>http://internationalbudget.org/wp-content/uploads/OBI2012-Report-English.pdf</w:t>
        </w:r>
      </w:hyperlink>
    </w:p>
    <w:p>
      <w:pPr>
        <w:pStyle w:val="BodyText"/>
        <w:rPr>
          <w:sz w:val="12"/>
        </w:rPr>
      </w:pPr>
    </w:p>
    <w:p>
      <w:pPr>
        <w:pStyle w:val="BodyText"/>
        <w:rPr>
          <w:sz w:val="12"/>
        </w:rPr>
      </w:pPr>
    </w:p>
    <w:p>
      <w:pPr>
        <w:pStyle w:val="BodyText"/>
        <w:rPr>
          <w:sz w:val="12"/>
        </w:rPr>
      </w:pPr>
    </w:p>
    <w:p>
      <w:pPr>
        <w:pStyle w:val="BodyText"/>
        <w:spacing w:line="360" w:lineRule="auto"/>
        <w:ind w:left="102" w:right="99"/>
        <w:jc w:val="both"/>
      </w:pPr>
      <w:r>
        <w:rPr/>
        <w:t>La ONG destaca que México ha logrado avances importantes en presentar información presupuestaria y considera que los elementos que podrían coadyuvar en mejorar aún más la apertura presupuestaria en el país son los siguientes:</w:t>
      </w:r>
    </w:p>
    <w:p>
      <w:pPr>
        <w:pStyle w:val="BodyText"/>
      </w:pPr>
    </w:p>
    <w:p>
      <w:pPr>
        <w:pStyle w:val="ListParagraph"/>
        <w:numPr>
          <w:ilvl w:val="1"/>
          <w:numId w:val="38"/>
        </w:numPr>
        <w:tabs>
          <w:tab w:pos="822" w:val="left" w:leader="none"/>
        </w:tabs>
        <w:spacing w:line="360" w:lineRule="auto" w:before="142" w:after="0"/>
        <w:ind w:left="822" w:right="104" w:hanging="360"/>
        <w:jc w:val="left"/>
        <w:rPr>
          <w:sz w:val="24"/>
        </w:rPr>
      </w:pPr>
      <w:r>
        <w:rPr>
          <w:sz w:val="24"/>
        </w:rPr>
        <w:t>Facultar al Congreso para modificar el presupuesto a inicios del ejercicio presupuestal y en el transcurso del</w:t>
      </w:r>
      <w:r>
        <w:rPr>
          <w:spacing w:val="-16"/>
          <w:sz w:val="24"/>
        </w:rPr>
        <w:t> </w:t>
      </w:r>
      <w:r>
        <w:rPr>
          <w:sz w:val="24"/>
        </w:rPr>
        <w:t>año.</w:t>
      </w:r>
    </w:p>
    <w:p>
      <w:pPr>
        <w:pStyle w:val="ListParagraph"/>
        <w:numPr>
          <w:ilvl w:val="1"/>
          <w:numId w:val="38"/>
        </w:numPr>
        <w:tabs>
          <w:tab w:pos="822" w:val="left" w:leader="none"/>
        </w:tabs>
        <w:spacing w:line="360" w:lineRule="auto" w:before="5" w:after="0"/>
        <w:ind w:left="822" w:right="100" w:hanging="360"/>
        <w:jc w:val="left"/>
        <w:rPr>
          <w:sz w:val="24"/>
        </w:rPr>
      </w:pPr>
      <w:r>
        <w:rPr>
          <w:sz w:val="24"/>
        </w:rPr>
        <w:t>Que</w:t>
      </w:r>
      <w:r>
        <w:rPr>
          <w:spacing w:val="-12"/>
          <w:sz w:val="24"/>
        </w:rPr>
        <w:t> </w:t>
      </w:r>
      <w:r>
        <w:rPr>
          <w:sz w:val="24"/>
        </w:rPr>
        <w:t>la</w:t>
      </w:r>
      <w:r>
        <w:rPr>
          <w:spacing w:val="-12"/>
          <w:sz w:val="24"/>
        </w:rPr>
        <w:t> </w:t>
      </w:r>
      <w:r>
        <w:rPr>
          <w:sz w:val="24"/>
        </w:rPr>
        <w:t>Entidad</w:t>
      </w:r>
      <w:r>
        <w:rPr>
          <w:spacing w:val="-12"/>
          <w:sz w:val="24"/>
        </w:rPr>
        <w:t> </w:t>
      </w:r>
      <w:r>
        <w:rPr>
          <w:sz w:val="24"/>
        </w:rPr>
        <w:t>de</w:t>
      </w:r>
      <w:r>
        <w:rPr>
          <w:spacing w:val="-12"/>
          <w:sz w:val="24"/>
        </w:rPr>
        <w:t> </w:t>
      </w:r>
      <w:r>
        <w:rPr>
          <w:sz w:val="24"/>
        </w:rPr>
        <w:t>Fiscalización</w:t>
      </w:r>
      <w:r>
        <w:rPr>
          <w:spacing w:val="-9"/>
          <w:sz w:val="24"/>
        </w:rPr>
        <w:t> </w:t>
      </w:r>
      <w:r>
        <w:rPr>
          <w:sz w:val="24"/>
        </w:rPr>
        <w:t>emita</w:t>
      </w:r>
      <w:r>
        <w:rPr>
          <w:spacing w:val="-12"/>
          <w:sz w:val="24"/>
        </w:rPr>
        <w:t> </w:t>
      </w:r>
      <w:r>
        <w:rPr>
          <w:sz w:val="24"/>
        </w:rPr>
        <w:t>informes</w:t>
      </w:r>
      <w:r>
        <w:rPr>
          <w:spacing w:val="-13"/>
          <w:sz w:val="24"/>
        </w:rPr>
        <w:t> </w:t>
      </w:r>
      <w:r>
        <w:rPr>
          <w:sz w:val="24"/>
        </w:rPr>
        <w:t>de</w:t>
      </w:r>
      <w:r>
        <w:rPr>
          <w:spacing w:val="-12"/>
          <w:sz w:val="24"/>
        </w:rPr>
        <w:t> </w:t>
      </w:r>
      <w:r>
        <w:rPr>
          <w:sz w:val="24"/>
        </w:rPr>
        <w:t>auditoría</w:t>
      </w:r>
      <w:r>
        <w:rPr>
          <w:spacing w:val="-12"/>
          <w:sz w:val="24"/>
        </w:rPr>
        <w:t> </w:t>
      </w:r>
      <w:r>
        <w:rPr>
          <w:sz w:val="24"/>
        </w:rPr>
        <w:t>y</w:t>
      </w:r>
      <w:r>
        <w:rPr>
          <w:spacing w:val="-15"/>
          <w:sz w:val="24"/>
        </w:rPr>
        <w:t> </w:t>
      </w:r>
      <w:r>
        <w:rPr>
          <w:sz w:val="24"/>
        </w:rPr>
        <w:t>de</w:t>
      </w:r>
      <w:r>
        <w:rPr>
          <w:spacing w:val="-12"/>
          <w:sz w:val="24"/>
        </w:rPr>
        <w:t> </w:t>
      </w:r>
      <w:r>
        <w:rPr>
          <w:sz w:val="24"/>
        </w:rPr>
        <w:t>seguimiento de mayor calidad y que éstos sean</w:t>
      </w:r>
      <w:r>
        <w:rPr>
          <w:spacing w:val="-20"/>
          <w:sz w:val="24"/>
        </w:rPr>
        <w:t> </w:t>
      </w:r>
      <w:r>
        <w:rPr>
          <w:sz w:val="24"/>
        </w:rPr>
        <w:t>oportunos.</w:t>
      </w:r>
    </w:p>
    <w:p>
      <w:pPr>
        <w:pStyle w:val="ListParagraph"/>
        <w:numPr>
          <w:ilvl w:val="1"/>
          <w:numId w:val="38"/>
        </w:numPr>
        <w:tabs>
          <w:tab w:pos="822" w:val="left" w:leader="none"/>
        </w:tabs>
        <w:spacing w:line="240" w:lineRule="auto" w:before="5" w:after="0"/>
        <w:ind w:left="822" w:right="0" w:hanging="360"/>
        <w:jc w:val="left"/>
        <w:rPr>
          <w:sz w:val="24"/>
        </w:rPr>
      </w:pPr>
      <w:r>
        <w:rPr>
          <w:sz w:val="24"/>
        </w:rPr>
        <w:t>Ampliar la participación</w:t>
      </w:r>
      <w:r>
        <w:rPr>
          <w:spacing w:val="-10"/>
          <w:sz w:val="24"/>
        </w:rPr>
        <w:t> </w:t>
      </w:r>
      <w:r>
        <w:rPr>
          <w:sz w:val="24"/>
        </w:rPr>
        <w:t>pública.</w:t>
      </w:r>
    </w:p>
    <w:p>
      <w:pPr>
        <w:pStyle w:val="BodyText"/>
      </w:pPr>
    </w:p>
    <w:p>
      <w:pPr>
        <w:pStyle w:val="BodyText"/>
      </w:pPr>
    </w:p>
    <w:p>
      <w:pPr>
        <w:pStyle w:val="BodyText"/>
        <w:spacing w:line="360" w:lineRule="auto" w:before="200"/>
        <w:ind w:left="102" w:right="105"/>
        <w:jc w:val="both"/>
      </w:pPr>
      <w:r>
        <w:rPr/>
        <w:t>La transparencia es una condición necesaria, pero no es suficiente para mejorar la gobernabilidad, se requiere ampliar las oportunidades para que la ciudadanía amplíe su participación en todo el ciclo presupuestario.</w:t>
      </w:r>
    </w:p>
    <w:p>
      <w:pPr>
        <w:spacing w:before="202"/>
        <w:ind w:left="102" w:right="0" w:firstLine="0"/>
        <w:jc w:val="both"/>
        <w:rPr>
          <w:i/>
          <w:sz w:val="24"/>
        </w:rPr>
      </w:pPr>
      <w:r>
        <w:rPr>
          <w:i/>
          <w:sz w:val="24"/>
        </w:rPr>
        <w:t>Calidad institucional</w:t>
      </w:r>
    </w:p>
    <w:p>
      <w:pPr>
        <w:pStyle w:val="ListParagraph"/>
        <w:numPr>
          <w:ilvl w:val="0"/>
          <w:numId w:val="39"/>
        </w:numPr>
        <w:tabs>
          <w:tab w:pos="383" w:val="left" w:leader="none"/>
        </w:tabs>
        <w:spacing w:line="240" w:lineRule="auto" w:before="137" w:after="0"/>
        <w:ind w:left="382" w:right="0" w:hanging="280"/>
        <w:jc w:val="both"/>
        <w:rPr>
          <w:i/>
          <w:sz w:val="24"/>
        </w:rPr>
      </w:pPr>
      <w:r>
        <w:rPr>
          <w:i/>
          <w:sz w:val="24"/>
        </w:rPr>
        <w:t>Índice de Calidad Institucional,</w:t>
      </w:r>
      <w:r>
        <w:rPr>
          <w:i/>
          <w:spacing w:val="-6"/>
          <w:sz w:val="24"/>
        </w:rPr>
        <w:t> </w:t>
      </w:r>
      <w:r>
        <w:rPr>
          <w:i/>
          <w:sz w:val="24"/>
        </w:rPr>
        <w:t>2012</w:t>
      </w:r>
    </w:p>
    <w:p>
      <w:pPr>
        <w:spacing w:after="0" w:line="240" w:lineRule="auto"/>
        <w:jc w:val="both"/>
        <w:rPr>
          <w:sz w:val="24"/>
        </w:rPr>
        <w:sectPr>
          <w:pgSz w:w="12240" w:h="15840"/>
          <w:pgMar w:header="0" w:footer="1003" w:top="1360" w:bottom="1200" w:left="1600" w:right="1600"/>
        </w:sectPr>
      </w:pPr>
    </w:p>
    <w:p>
      <w:pPr>
        <w:pStyle w:val="BodyText"/>
        <w:spacing w:line="360" w:lineRule="auto" w:before="69"/>
        <w:ind w:left="122" w:right="116"/>
        <w:jc w:val="both"/>
      </w:pPr>
      <w:r>
        <w:rPr/>
        <w:t>El índice publicado por la ONG CIIMA es un agregado de 8 indicadores</w:t>
      </w:r>
      <w:r>
        <w:rPr>
          <w:position w:val="8"/>
          <w:sz w:val="16"/>
        </w:rPr>
        <w:t>35 </w:t>
      </w:r>
      <w:r>
        <w:rPr/>
        <w:t>que son promediados</w:t>
      </w:r>
      <w:r>
        <w:rPr>
          <w:spacing w:val="-16"/>
        </w:rPr>
        <w:t> </w:t>
      </w:r>
      <w:r>
        <w:rPr/>
        <w:t>en</w:t>
      </w:r>
      <w:r>
        <w:rPr>
          <w:spacing w:val="-15"/>
        </w:rPr>
        <w:t> </w:t>
      </w:r>
      <w:r>
        <w:rPr/>
        <w:t>cada</w:t>
      </w:r>
      <w:r>
        <w:rPr>
          <w:spacing w:val="-18"/>
        </w:rPr>
        <w:t> </w:t>
      </w:r>
      <w:r>
        <w:rPr/>
        <w:t>uno</w:t>
      </w:r>
      <w:r>
        <w:rPr>
          <w:spacing w:val="-18"/>
        </w:rPr>
        <w:t> </w:t>
      </w:r>
      <w:r>
        <w:rPr/>
        <w:t>de</w:t>
      </w:r>
      <w:r>
        <w:rPr>
          <w:spacing w:val="-16"/>
        </w:rPr>
        <w:t> </w:t>
      </w:r>
      <w:r>
        <w:rPr/>
        <w:t>los</w:t>
      </w:r>
      <w:r>
        <w:rPr>
          <w:spacing w:val="-18"/>
        </w:rPr>
        <w:t> </w:t>
      </w:r>
      <w:r>
        <w:rPr/>
        <w:t>191</w:t>
      </w:r>
      <w:r>
        <w:rPr>
          <w:spacing w:val="-18"/>
        </w:rPr>
        <w:t> </w:t>
      </w:r>
      <w:r>
        <w:rPr/>
        <w:t>países</w:t>
      </w:r>
      <w:r>
        <w:rPr>
          <w:spacing w:val="-19"/>
        </w:rPr>
        <w:t> </w:t>
      </w:r>
      <w:r>
        <w:rPr/>
        <w:t>analizados.</w:t>
      </w:r>
      <w:r>
        <w:rPr>
          <w:spacing w:val="-16"/>
        </w:rPr>
        <w:t> </w:t>
      </w:r>
      <w:r>
        <w:rPr/>
        <w:t>En</w:t>
      </w:r>
      <w:r>
        <w:rPr>
          <w:spacing w:val="-16"/>
        </w:rPr>
        <w:t> </w:t>
      </w:r>
      <w:r>
        <w:rPr/>
        <w:t>el</w:t>
      </w:r>
      <w:r>
        <w:rPr>
          <w:spacing w:val="-17"/>
        </w:rPr>
        <w:t> </w:t>
      </w:r>
      <w:r>
        <w:rPr/>
        <w:t>estudio</w:t>
      </w:r>
      <w:r>
        <w:rPr>
          <w:spacing w:val="-16"/>
        </w:rPr>
        <w:t> </w:t>
      </w:r>
      <w:r>
        <w:rPr/>
        <w:t>se</w:t>
      </w:r>
      <w:r>
        <w:rPr>
          <w:spacing w:val="-16"/>
        </w:rPr>
        <w:t> </w:t>
      </w:r>
      <w:r>
        <w:rPr/>
        <w:t>consideran como instituciones a las normas que regulan las relaciones entre los individuos y</w:t>
      </w:r>
      <w:r>
        <w:rPr>
          <w:spacing w:val="-27"/>
        </w:rPr>
        <w:t> </w:t>
      </w:r>
      <w:r>
        <w:rPr/>
        <w:t>la sociedad, con el objetivo de ahorrar costos de</w:t>
      </w:r>
      <w:r>
        <w:rPr>
          <w:spacing w:val="-21"/>
        </w:rPr>
        <w:t> </w:t>
      </w:r>
      <w:r>
        <w:rPr/>
        <w:t>información.</w:t>
      </w:r>
    </w:p>
    <w:p>
      <w:pPr>
        <w:pStyle w:val="BodyText"/>
        <w:spacing w:line="360" w:lineRule="auto" w:before="2"/>
        <w:ind w:left="122" w:right="115" w:firstLine="427"/>
        <w:jc w:val="both"/>
      </w:pPr>
      <w:r>
        <w:rPr/>
        <w:t>Las puntuaciones cercanas a 1 indican un mejor desempeño en el respeto a “las reglas” de política y mercado (calidad institucional) y 0 un mal desempeño. México ocupó la posición 87 de las 191 posiciones (0.5146 puntos), Respecto de los dos estudios previos (2010 y 2011), México retrocedió en total 5 posiciones, lo que manifiesta una menor calidad institucional durante el tiempo.</w:t>
      </w:r>
    </w:p>
    <w:p>
      <w:pPr>
        <w:pStyle w:val="BodyText"/>
        <w:spacing w:before="7"/>
        <w:rPr>
          <w:sz w:val="30"/>
        </w:rPr>
      </w:pPr>
    </w:p>
    <w:p>
      <w:pPr>
        <w:spacing w:before="1"/>
        <w:ind w:left="2357" w:right="50" w:firstLine="0"/>
        <w:jc w:val="left"/>
        <w:rPr>
          <w:sz w:val="20"/>
        </w:rPr>
      </w:pPr>
      <w:bookmarkStart w:name="_bookmark34" w:id="45"/>
      <w:bookmarkEnd w:id="45"/>
      <w:r>
        <w:rPr/>
      </w:r>
      <w:r>
        <w:rPr>
          <w:sz w:val="20"/>
        </w:rPr>
        <w:t>Cuadro 1.10. Índice de calidad institucional, 2012</w:t>
      </w:r>
    </w:p>
    <w:p>
      <w:pPr>
        <w:pStyle w:val="BodyText"/>
        <w:spacing w:before="4"/>
        <w:rPr>
          <w:sz w:val="17"/>
        </w:rPr>
      </w:pPr>
    </w:p>
    <w:tbl>
      <w:tblPr>
        <w:tblW w:w="0" w:type="auto"/>
        <w:jc w:val="left"/>
        <w:tblInd w:w="1096" w:type="dxa"/>
        <w:tblBorders>
          <w:top w:val="single" w:sz="12" w:space="0" w:color="D9D9D9"/>
          <w:left w:val="single" w:sz="12" w:space="0" w:color="D9D9D9"/>
          <w:bottom w:val="single" w:sz="12" w:space="0" w:color="D9D9D9"/>
          <w:right w:val="single" w:sz="12" w:space="0" w:color="D9D9D9"/>
          <w:insideH w:val="single" w:sz="12" w:space="0" w:color="D9D9D9"/>
          <w:insideV w:val="single" w:sz="12" w:space="0" w:color="D9D9D9"/>
        </w:tblBorders>
        <w:tblLayout w:type="fixed"/>
        <w:tblCellMar>
          <w:top w:w="0" w:type="dxa"/>
          <w:left w:w="0" w:type="dxa"/>
          <w:bottom w:w="0" w:type="dxa"/>
          <w:right w:w="0" w:type="dxa"/>
        </w:tblCellMar>
        <w:tblLook w:val="01E0"/>
      </w:tblPr>
      <w:tblGrid>
        <w:gridCol w:w="2029"/>
        <w:gridCol w:w="1229"/>
        <w:gridCol w:w="1200"/>
        <w:gridCol w:w="1200"/>
        <w:gridCol w:w="1201"/>
      </w:tblGrid>
      <w:tr>
        <w:trPr>
          <w:trHeight w:val="314" w:hRule="exact"/>
        </w:trPr>
        <w:tc>
          <w:tcPr>
            <w:tcW w:w="2029" w:type="dxa"/>
            <w:vMerge w:val="restart"/>
          </w:tcPr>
          <w:p>
            <w:pPr>
              <w:pStyle w:val="TableParagraph"/>
              <w:spacing w:before="179"/>
              <w:ind w:left="774" w:right="774"/>
              <w:jc w:val="center"/>
              <w:rPr>
                <w:b/>
                <w:sz w:val="20"/>
              </w:rPr>
            </w:pPr>
            <w:r>
              <w:rPr>
                <w:b/>
                <w:sz w:val="20"/>
              </w:rPr>
              <w:t>País</w:t>
            </w:r>
          </w:p>
        </w:tc>
        <w:tc>
          <w:tcPr>
            <w:tcW w:w="1229" w:type="dxa"/>
            <w:vMerge w:val="restart"/>
          </w:tcPr>
          <w:p>
            <w:pPr>
              <w:pStyle w:val="TableParagraph"/>
              <w:spacing w:before="136"/>
              <w:ind w:left="403" w:hanging="348"/>
              <w:rPr>
                <w:b/>
                <w:sz w:val="20"/>
              </w:rPr>
            </w:pPr>
            <w:r>
              <w:rPr>
                <w:b/>
                <w:w w:val="95"/>
                <w:sz w:val="20"/>
              </w:rPr>
              <w:t>Puntuación </w:t>
            </w:r>
            <w:r>
              <w:rPr>
                <w:b/>
                <w:sz w:val="20"/>
              </w:rPr>
              <w:t>2012</w:t>
            </w:r>
          </w:p>
        </w:tc>
        <w:tc>
          <w:tcPr>
            <w:tcW w:w="3601" w:type="dxa"/>
            <w:gridSpan w:val="3"/>
          </w:tcPr>
          <w:p>
            <w:pPr>
              <w:pStyle w:val="TableParagraph"/>
              <w:spacing w:before="50"/>
              <w:ind w:left="1348" w:right="1350"/>
              <w:jc w:val="center"/>
              <w:rPr>
                <w:b/>
                <w:sz w:val="20"/>
              </w:rPr>
            </w:pPr>
            <w:r>
              <w:rPr>
                <w:b/>
                <w:sz w:val="20"/>
              </w:rPr>
              <w:t>Posición</w:t>
            </w:r>
          </w:p>
        </w:tc>
      </w:tr>
      <w:tr>
        <w:trPr>
          <w:trHeight w:val="314" w:hRule="exact"/>
        </w:trPr>
        <w:tc>
          <w:tcPr>
            <w:tcW w:w="2029" w:type="dxa"/>
            <w:vMerge/>
          </w:tcPr>
          <w:p>
            <w:pPr/>
          </w:p>
        </w:tc>
        <w:tc>
          <w:tcPr>
            <w:tcW w:w="1229" w:type="dxa"/>
            <w:vMerge/>
          </w:tcPr>
          <w:p>
            <w:pPr/>
          </w:p>
        </w:tc>
        <w:tc>
          <w:tcPr>
            <w:tcW w:w="1200" w:type="dxa"/>
          </w:tcPr>
          <w:p>
            <w:pPr>
              <w:pStyle w:val="TableParagraph"/>
              <w:spacing w:before="50"/>
              <w:ind w:left="127" w:right="130"/>
              <w:jc w:val="center"/>
              <w:rPr>
                <w:b/>
                <w:sz w:val="20"/>
              </w:rPr>
            </w:pPr>
            <w:r>
              <w:rPr>
                <w:b/>
                <w:sz w:val="20"/>
              </w:rPr>
              <w:t>2010</w:t>
            </w:r>
          </w:p>
        </w:tc>
        <w:tc>
          <w:tcPr>
            <w:tcW w:w="1200" w:type="dxa"/>
          </w:tcPr>
          <w:p>
            <w:pPr>
              <w:pStyle w:val="TableParagraph"/>
              <w:spacing w:before="50"/>
              <w:ind w:left="342" w:right="344"/>
              <w:jc w:val="center"/>
              <w:rPr>
                <w:b/>
                <w:sz w:val="20"/>
              </w:rPr>
            </w:pPr>
            <w:r>
              <w:rPr>
                <w:b/>
                <w:sz w:val="20"/>
              </w:rPr>
              <w:t>2011</w:t>
            </w:r>
          </w:p>
        </w:tc>
        <w:tc>
          <w:tcPr>
            <w:tcW w:w="1201" w:type="dxa"/>
          </w:tcPr>
          <w:p>
            <w:pPr>
              <w:pStyle w:val="TableParagraph"/>
              <w:spacing w:before="50"/>
              <w:ind w:left="341" w:right="344"/>
              <w:jc w:val="center"/>
              <w:rPr>
                <w:b/>
                <w:sz w:val="20"/>
              </w:rPr>
            </w:pPr>
            <w:r>
              <w:rPr>
                <w:b/>
                <w:sz w:val="20"/>
              </w:rPr>
              <w:t>2012</w:t>
            </w:r>
          </w:p>
        </w:tc>
      </w:tr>
      <w:tr>
        <w:trPr>
          <w:trHeight w:val="300" w:hRule="exact"/>
        </w:trPr>
        <w:tc>
          <w:tcPr>
            <w:tcW w:w="2029" w:type="dxa"/>
          </w:tcPr>
          <w:p>
            <w:pPr>
              <w:pStyle w:val="TableParagraph"/>
              <w:spacing w:before="38"/>
              <w:ind w:left="57"/>
              <w:rPr>
                <w:sz w:val="20"/>
              </w:rPr>
            </w:pPr>
            <w:r>
              <w:rPr>
                <w:sz w:val="20"/>
              </w:rPr>
              <w:t>Dinamarca</w:t>
            </w:r>
          </w:p>
        </w:tc>
        <w:tc>
          <w:tcPr>
            <w:tcW w:w="1229" w:type="dxa"/>
          </w:tcPr>
          <w:p>
            <w:pPr>
              <w:pStyle w:val="TableParagraph"/>
              <w:spacing w:before="38"/>
              <w:ind w:left="273" w:right="275"/>
              <w:jc w:val="center"/>
              <w:rPr>
                <w:sz w:val="20"/>
              </w:rPr>
            </w:pPr>
            <w:r>
              <w:rPr>
                <w:sz w:val="20"/>
              </w:rPr>
              <w:t>0.9637</w:t>
            </w:r>
          </w:p>
        </w:tc>
        <w:tc>
          <w:tcPr>
            <w:tcW w:w="1200" w:type="dxa"/>
          </w:tcPr>
          <w:p>
            <w:pPr>
              <w:pStyle w:val="TableParagraph"/>
              <w:spacing w:before="38"/>
              <w:jc w:val="center"/>
              <w:rPr>
                <w:sz w:val="20"/>
              </w:rPr>
            </w:pPr>
            <w:r>
              <w:rPr>
                <w:w w:val="99"/>
                <w:sz w:val="20"/>
              </w:rPr>
              <w:t>1</w:t>
            </w:r>
          </w:p>
        </w:tc>
        <w:tc>
          <w:tcPr>
            <w:tcW w:w="1200" w:type="dxa"/>
          </w:tcPr>
          <w:p>
            <w:pPr>
              <w:pStyle w:val="TableParagraph"/>
              <w:spacing w:before="38"/>
              <w:jc w:val="center"/>
              <w:rPr>
                <w:sz w:val="20"/>
              </w:rPr>
            </w:pPr>
            <w:r>
              <w:rPr>
                <w:w w:val="99"/>
                <w:sz w:val="20"/>
              </w:rPr>
              <w:t>1</w:t>
            </w:r>
          </w:p>
        </w:tc>
        <w:tc>
          <w:tcPr>
            <w:tcW w:w="1201" w:type="dxa"/>
          </w:tcPr>
          <w:p>
            <w:pPr>
              <w:pStyle w:val="TableParagraph"/>
              <w:spacing w:before="38"/>
              <w:jc w:val="center"/>
              <w:rPr>
                <w:sz w:val="20"/>
              </w:rPr>
            </w:pPr>
            <w:r>
              <w:rPr>
                <w:w w:val="99"/>
                <w:sz w:val="20"/>
              </w:rPr>
              <w:t>2</w:t>
            </w:r>
          </w:p>
        </w:tc>
      </w:tr>
      <w:tr>
        <w:trPr>
          <w:trHeight w:val="286" w:hRule="exact"/>
        </w:trPr>
        <w:tc>
          <w:tcPr>
            <w:tcW w:w="2029" w:type="dxa"/>
          </w:tcPr>
          <w:p>
            <w:pPr>
              <w:pStyle w:val="TableParagraph"/>
              <w:spacing w:before="23"/>
              <w:ind w:left="57"/>
              <w:rPr>
                <w:sz w:val="20"/>
              </w:rPr>
            </w:pPr>
            <w:r>
              <w:rPr>
                <w:sz w:val="20"/>
              </w:rPr>
              <w:t>Nueva Zelanda</w:t>
            </w:r>
          </w:p>
        </w:tc>
        <w:tc>
          <w:tcPr>
            <w:tcW w:w="1229" w:type="dxa"/>
          </w:tcPr>
          <w:p>
            <w:pPr>
              <w:pStyle w:val="TableParagraph"/>
              <w:spacing w:before="23"/>
              <w:ind w:left="273" w:right="275"/>
              <w:jc w:val="center"/>
              <w:rPr>
                <w:sz w:val="20"/>
              </w:rPr>
            </w:pPr>
            <w:r>
              <w:rPr>
                <w:sz w:val="20"/>
              </w:rPr>
              <w:t>0.9595</w:t>
            </w:r>
          </w:p>
        </w:tc>
        <w:tc>
          <w:tcPr>
            <w:tcW w:w="1200" w:type="dxa"/>
          </w:tcPr>
          <w:p>
            <w:pPr>
              <w:pStyle w:val="TableParagraph"/>
              <w:spacing w:before="23"/>
              <w:jc w:val="center"/>
              <w:rPr>
                <w:sz w:val="20"/>
              </w:rPr>
            </w:pPr>
            <w:r>
              <w:rPr>
                <w:w w:val="99"/>
                <w:sz w:val="20"/>
              </w:rPr>
              <w:t>3</w:t>
            </w:r>
          </w:p>
        </w:tc>
        <w:tc>
          <w:tcPr>
            <w:tcW w:w="1200" w:type="dxa"/>
          </w:tcPr>
          <w:p>
            <w:pPr>
              <w:pStyle w:val="TableParagraph"/>
              <w:spacing w:before="23"/>
              <w:jc w:val="center"/>
              <w:rPr>
                <w:sz w:val="20"/>
              </w:rPr>
            </w:pPr>
            <w:r>
              <w:rPr>
                <w:w w:val="99"/>
                <w:sz w:val="20"/>
              </w:rPr>
              <w:t>2</w:t>
            </w:r>
          </w:p>
        </w:tc>
        <w:tc>
          <w:tcPr>
            <w:tcW w:w="1201" w:type="dxa"/>
          </w:tcPr>
          <w:p>
            <w:pPr>
              <w:pStyle w:val="TableParagraph"/>
              <w:spacing w:before="23"/>
              <w:jc w:val="center"/>
              <w:rPr>
                <w:sz w:val="20"/>
              </w:rPr>
            </w:pPr>
            <w:r>
              <w:rPr>
                <w:w w:val="99"/>
                <w:sz w:val="20"/>
              </w:rPr>
              <w:t>4</w:t>
            </w:r>
          </w:p>
        </w:tc>
      </w:tr>
      <w:tr>
        <w:trPr>
          <w:trHeight w:val="286" w:hRule="exact"/>
        </w:trPr>
        <w:tc>
          <w:tcPr>
            <w:tcW w:w="2029" w:type="dxa"/>
          </w:tcPr>
          <w:p>
            <w:pPr>
              <w:pStyle w:val="TableParagraph"/>
              <w:spacing w:before="23"/>
              <w:ind w:left="57"/>
              <w:rPr>
                <w:sz w:val="20"/>
              </w:rPr>
            </w:pPr>
            <w:r>
              <w:rPr>
                <w:sz w:val="20"/>
              </w:rPr>
              <w:t>Suiza</w:t>
            </w:r>
          </w:p>
        </w:tc>
        <w:tc>
          <w:tcPr>
            <w:tcW w:w="1229" w:type="dxa"/>
          </w:tcPr>
          <w:p>
            <w:pPr>
              <w:pStyle w:val="TableParagraph"/>
              <w:spacing w:before="23"/>
              <w:ind w:left="273" w:right="275"/>
              <w:jc w:val="center"/>
              <w:rPr>
                <w:sz w:val="20"/>
              </w:rPr>
            </w:pPr>
            <w:r>
              <w:rPr>
                <w:sz w:val="20"/>
              </w:rPr>
              <w:t>0.9630</w:t>
            </w:r>
          </w:p>
        </w:tc>
        <w:tc>
          <w:tcPr>
            <w:tcW w:w="1200" w:type="dxa"/>
          </w:tcPr>
          <w:p>
            <w:pPr>
              <w:pStyle w:val="TableParagraph"/>
              <w:spacing w:before="23"/>
              <w:jc w:val="center"/>
              <w:rPr>
                <w:sz w:val="20"/>
              </w:rPr>
            </w:pPr>
            <w:r>
              <w:rPr>
                <w:w w:val="99"/>
                <w:sz w:val="20"/>
              </w:rPr>
              <w:t>2</w:t>
            </w:r>
          </w:p>
        </w:tc>
        <w:tc>
          <w:tcPr>
            <w:tcW w:w="1200" w:type="dxa"/>
          </w:tcPr>
          <w:p>
            <w:pPr>
              <w:pStyle w:val="TableParagraph"/>
              <w:spacing w:before="23"/>
              <w:jc w:val="center"/>
              <w:rPr>
                <w:sz w:val="20"/>
              </w:rPr>
            </w:pPr>
            <w:r>
              <w:rPr>
                <w:w w:val="99"/>
                <w:sz w:val="20"/>
              </w:rPr>
              <w:t>3</w:t>
            </w:r>
          </w:p>
        </w:tc>
        <w:tc>
          <w:tcPr>
            <w:tcW w:w="1201" w:type="dxa"/>
          </w:tcPr>
          <w:p>
            <w:pPr>
              <w:pStyle w:val="TableParagraph"/>
              <w:spacing w:before="23"/>
              <w:jc w:val="center"/>
              <w:rPr>
                <w:sz w:val="20"/>
              </w:rPr>
            </w:pPr>
            <w:r>
              <w:rPr>
                <w:w w:val="99"/>
                <w:sz w:val="20"/>
              </w:rPr>
              <w:t>3</w:t>
            </w:r>
          </w:p>
        </w:tc>
      </w:tr>
      <w:tr>
        <w:trPr>
          <w:trHeight w:val="283" w:hRule="exact"/>
        </w:trPr>
        <w:tc>
          <w:tcPr>
            <w:tcW w:w="2029" w:type="dxa"/>
          </w:tcPr>
          <w:p>
            <w:pPr>
              <w:pStyle w:val="TableParagraph"/>
              <w:spacing w:before="23"/>
              <w:ind w:left="57"/>
              <w:rPr>
                <w:sz w:val="20"/>
              </w:rPr>
            </w:pPr>
            <w:r>
              <w:rPr>
                <w:sz w:val="20"/>
              </w:rPr>
              <w:t>Estados Unidos</w:t>
            </w:r>
          </w:p>
        </w:tc>
        <w:tc>
          <w:tcPr>
            <w:tcW w:w="1229" w:type="dxa"/>
          </w:tcPr>
          <w:p>
            <w:pPr>
              <w:pStyle w:val="TableParagraph"/>
              <w:spacing w:before="23"/>
              <w:ind w:left="273" w:right="275"/>
              <w:jc w:val="center"/>
              <w:rPr>
                <w:sz w:val="20"/>
              </w:rPr>
            </w:pPr>
            <w:r>
              <w:rPr>
                <w:sz w:val="20"/>
              </w:rPr>
              <w:t>0.9277</w:t>
            </w:r>
          </w:p>
        </w:tc>
        <w:tc>
          <w:tcPr>
            <w:tcW w:w="1200" w:type="dxa"/>
          </w:tcPr>
          <w:p>
            <w:pPr>
              <w:pStyle w:val="TableParagraph"/>
              <w:spacing w:before="23"/>
              <w:jc w:val="center"/>
              <w:rPr>
                <w:sz w:val="20"/>
              </w:rPr>
            </w:pPr>
            <w:r>
              <w:rPr>
                <w:w w:val="99"/>
                <w:sz w:val="20"/>
              </w:rPr>
              <w:t>7</w:t>
            </w:r>
          </w:p>
        </w:tc>
        <w:tc>
          <w:tcPr>
            <w:tcW w:w="1200" w:type="dxa"/>
          </w:tcPr>
          <w:p>
            <w:pPr>
              <w:pStyle w:val="TableParagraph"/>
              <w:spacing w:before="23"/>
              <w:jc w:val="center"/>
              <w:rPr>
                <w:sz w:val="20"/>
              </w:rPr>
            </w:pPr>
            <w:r>
              <w:rPr>
                <w:w w:val="99"/>
                <w:sz w:val="20"/>
              </w:rPr>
              <w:t>9</w:t>
            </w:r>
          </w:p>
        </w:tc>
        <w:tc>
          <w:tcPr>
            <w:tcW w:w="1201" w:type="dxa"/>
          </w:tcPr>
          <w:p>
            <w:pPr>
              <w:pStyle w:val="TableParagraph"/>
              <w:spacing w:before="23"/>
              <w:jc w:val="center"/>
              <w:rPr>
                <w:sz w:val="20"/>
              </w:rPr>
            </w:pPr>
            <w:r>
              <w:rPr>
                <w:w w:val="99"/>
                <w:sz w:val="20"/>
              </w:rPr>
              <w:t>9</w:t>
            </w:r>
          </w:p>
        </w:tc>
      </w:tr>
      <w:tr>
        <w:trPr>
          <w:trHeight w:val="286" w:hRule="exact"/>
        </w:trPr>
        <w:tc>
          <w:tcPr>
            <w:tcW w:w="2029" w:type="dxa"/>
          </w:tcPr>
          <w:p>
            <w:pPr>
              <w:pStyle w:val="TableParagraph"/>
              <w:spacing w:before="23"/>
              <w:ind w:left="57"/>
              <w:rPr>
                <w:sz w:val="20"/>
              </w:rPr>
            </w:pPr>
            <w:r>
              <w:rPr>
                <w:sz w:val="20"/>
              </w:rPr>
              <w:t>Reino Unido</w:t>
            </w:r>
          </w:p>
        </w:tc>
        <w:tc>
          <w:tcPr>
            <w:tcW w:w="1229" w:type="dxa"/>
          </w:tcPr>
          <w:p>
            <w:pPr>
              <w:pStyle w:val="TableParagraph"/>
              <w:spacing w:before="23"/>
              <w:ind w:left="273" w:right="275"/>
              <w:jc w:val="center"/>
              <w:rPr>
                <w:sz w:val="20"/>
              </w:rPr>
            </w:pPr>
            <w:r>
              <w:rPr>
                <w:sz w:val="20"/>
              </w:rPr>
              <w:t>0.9300</w:t>
            </w:r>
          </w:p>
        </w:tc>
        <w:tc>
          <w:tcPr>
            <w:tcW w:w="1200" w:type="dxa"/>
          </w:tcPr>
          <w:p>
            <w:pPr>
              <w:pStyle w:val="TableParagraph"/>
              <w:spacing w:before="23"/>
              <w:ind w:left="127" w:right="130"/>
              <w:jc w:val="center"/>
              <w:rPr>
                <w:sz w:val="20"/>
              </w:rPr>
            </w:pPr>
            <w:r>
              <w:rPr>
                <w:sz w:val="20"/>
              </w:rPr>
              <w:t>12</w:t>
            </w:r>
          </w:p>
        </w:tc>
        <w:tc>
          <w:tcPr>
            <w:tcW w:w="1200" w:type="dxa"/>
          </w:tcPr>
          <w:p>
            <w:pPr>
              <w:pStyle w:val="TableParagraph"/>
              <w:spacing w:before="23"/>
              <w:ind w:left="342" w:right="344"/>
              <w:jc w:val="center"/>
              <w:rPr>
                <w:sz w:val="20"/>
              </w:rPr>
            </w:pPr>
            <w:r>
              <w:rPr>
                <w:sz w:val="20"/>
              </w:rPr>
              <w:t>10</w:t>
            </w:r>
          </w:p>
        </w:tc>
        <w:tc>
          <w:tcPr>
            <w:tcW w:w="1201" w:type="dxa"/>
          </w:tcPr>
          <w:p>
            <w:pPr>
              <w:pStyle w:val="TableParagraph"/>
              <w:spacing w:before="23"/>
              <w:jc w:val="center"/>
              <w:rPr>
                <w:sz w:val="20"/>
              </w:rPr>
            </w:pPr>
            <w:r>
              <w:rPr>
                <w:w w:val="99"/>
                <w:sz w:val="20"/>
              </w:rPr>
              <w:t>8</w:t>
            </w:r>
          </w:p>
        </w:tc>
      </w:tr>
      <w:tr>
        <w:trPr>
          <w:trHeight w:val="286" w:hRule="exact"/>
        </w:trPr>
        <w:tc>
          <w:tcPr>
            <w:tcW w:w="2029" w:type="dxa"/>
          </w:tcPr>
          <w:p>
            <w:pPr>
              <w:pStyle w:val="TableParagraph"/>
              <w:spacing w:before="23"/>
              <w:ind w:left="57"/>
              <w:rPr>
                <w:sz w:val="20"/>
              </w:rPr>
            </w:pPr>
            <w:r>
              <w:rPr>
                <w:sz w:val="20"/>
              </w:rPr>
              <w:t>Alemania</w:t>
            </w:r>
          </w:p>
        </w:tc>
        <w:tc>
          <w:tcPr>
            <w:tcW w:w="1229" w:type="dxa"/>
          </w:tcPr>
          <w:p>
            <w:pPr>
              <w:pStyle w:val="TableParagraph"/>
              <w:spacing w:before="23"/>
              <w:ind w:left="273" w:right="275"/>
              <w:jc w:val="center"/>
              <w:rPr>
                <w:sz w:val="20"/>
              </w:rPr>
            </w:pPr>
            <w:r>
              <w:rPr>
                <w:sz w:val="20"/>
              </w:rPr>
              <w:t>0.9108</w:t>
            </w:r>
          </w:p>
        </w:tc>
        <w:tc>
          <w:tcPr>
            <w:tcW w:w="1200" w:type="dxa"/>
          </w:tcPr>
          <w:p>
            <w:pPr>
              <w:pStyle w:val="TableParagraph"/>
              <w:spacing w:before="23"/>
              <w:ind w:left="127" w:right="130"/>
              <w:jc w:val="center"/>
              <w:rPr>
                <w:sz w:val="20"/>
              </w:rPr>
            </w:pPr>
            <w:r>
              <w:rPr>
                <w:sz w:val="20"/>
              </w:rPr>
              <w:t>14</w:t>
            </w:r>
          </w:p>
        </w:tc>
        <w:tc>
          <w:tcPr>
            <w:tcW w:w="1200" w:type="dxa"/>
          </w:tcPr>
          <w:p>
            <w:pPr>
              <w:pStyle w:val="TableParagraph"/>
              <w:spacing w:before="23"/>
              <w:ind w:left="342" w:right="344"/>
              <w:jc w:val="center"/>
              <w:rPr>
                <w:sz w:val="20"/>
              </w:rPr>
            </w:pPr>
            <w:r>
              <w:rPr>
                <w:sz w:val="20"/>
              </w:rPr>
              <w:t>14</w:t>
            </w:r>
          </w:p>
        </w:tc>
        <w:tc>
          <w:tcPr>
            <w:tcW w:w="1201" w:type="dxa"/>
          </w:tcPr>
          <w:p>
            <w:pPr>
              <w:pStyle w:val="TableParagraph"/>
              <w:spacing w:before="23"/>
              <w:ind w:left="341" w:right="344"/>
              <w:jc w:val="center"/>
              <w:rPr>
                <w:sz w:val="20"/>
              </w:rPr>
            </w:pPr>
            <w:r>
              <w:rPr>
                <w:sz w:val="20"/>
              </w:rPr>
              <w:t>12</w:t>
            </w:r>
          </w:p>
        </w:tc>
      </w:tr>
      <w:tr>
        <w:trPr>
          <w:trHeight w:val="272" w:hRule="exact"/>
        </w:trPr>
        <w:tc>
          <w:tcPr>
            <w:tcW w:w="2029" w:type="dxa"/>
            <w:tcBorders>
              <w:bottom w:val="nil"/>
            </w:tcBorders>
          </w:tcPr>
          <w:p>
            <w:pPr>
              <w:pStyle w:val="TableParagraph"/>
              <w:spacing w:before="24"/>
              <w:ind w:left="57"/>
              <w:rPr>
                <w:sz w:val="20"/>
              </w:rPr>
            </w:pPr>
            <w:r>
              <w:rPr>
                <w:sz w:val="20"/>
              </w:rPr>
              <w:t>España</w:t>
            </w:r>
          </w:p>
        </w:tc>
        <w:tc>
          <w:tcPr>
            <w:tcW w:w="1229" w:type="dxa"/>
            <w:tcBorders>
              <w:bottom w:val="nil"/>
            </w:tcBorders>
          </w:tcPr>
          <w:p>
            <w:pPr>
              <w:pStyle w:val="TableParagraph"/>
              <w:spacing w:before="24"/>
              <w:ind w:left="273" w:right="275"/>
              <w:jc w:val="center"/>
              <w:rPr>
                <w:sz w:val="20"/>
              </w:rPr>
            </w:pPr>
            <w:r>
              <w:rPr>
                <w:sz w:val="20"/>
              </w:rPr>
              <w:t>0.7888</w:t>
            </w:r>
          </w:p>
        </w:tc>
        <w:tc>
          <w:tcPr>
            <w:tcW w:w="1200" w:type="dxa"/>
            <w:tcBorders>
              <w:bottom w:val="nil"/>
            </w:tcBorders>
          </w:tcPr>
          <w:p>
            <w:pPr>
              <w:pStyle w:val="TableParagraph"/>
              <w:spacing w:before="24"/>
              <w:ind w:left="127" w:right="130"/>
              <w:jc w:val="center"/>
              <w:rPr>
                <w:sz w:val="20"/>
              </w:rPr>
            </w:pPr>
            <w:r>
              <w:rPr>
                <w:sz w:val="20"/>
              </w:rPr>
              <w:t>43</w:t>
            </w:r>
          </w:p>
        </w:tc>
        <w:tc>
          <w:tcPr>
            <w:tcW w:w="1200" w:type="dxa"/>
            <w:tcBorders>
              <w:bottom w:val="nil"/>
            </w:tcBorders>
          </w:tcPr>
          <w:p>
            <w:pPr>
              <w:pStyle w:val="TableParagraph"/>
              <w:spacing w:before="24"/>
              <w:ind w:left="342" w:right="344"/>
              <w:jc w:val="center"/>
              <w:rPr>
                <w:sz w:val="20"/>
              </w:rPr>
            </w:pPr>
            <w:r>
              <w:rPr>
                <w:sz w:val="20"/>
              </w:rPr>
              <w:t>30</w:t>
            </w:r>
          </w:p>
        </w:tc>
        <w:tc>
          <w:tcPr>
            <w:tcW w:w="1201" w:type="dxa"/>
            <w:tcBorders>
              <w:bottom w:val="nil"/>
            </w:tcBorders>
          </w:tcPr>
          <w:p>
            <w:pPr>
              <w:pStyle w:val="TableParagraph"/>
              <w:spacing w:before="24"/>
              <w:ind w:left="341" w:right="344"/>
              <w:jc w:val="center"/>
              <w:rPr>
                <w:sz w:val="20"/>
              </w:rPr>
            </w:pPr>
            <w:r>
              <w:rPr>
                <w:sz w:val="20"/>
              </w:rPr>
              <w:t>30</w:t>
            </w:r>
          </w:p>
        </w:tc>
      </w:tr>
      <w:tr>
        <w:trPr>
          <w:trHeight w:val="329" w:hRule="exact"/>
        </w:trPr>
        <w:tc>
          <w:tcPr>
            <w:tcW w:w="2029" w:type="dxa"/>
            <w:tcBorders>
              <w:top w:val="nil"/>
              <w:left w:val="nil"/>
              <w:bottom w:val="nil"/>
              <w:right w:val="nil"/>
            </w:tcBorders>
            <w:shd w:val="clear" w:color="auto" w:fill="D9D9D9"/>
          </w:tcPr>
          <w:p>
            <w:pPr>
              <w:pStyle w:val="TableParagraph"/>
              <w:spacing w:before="64"/>
              <w:ind w:left="71"/>
              <w:rPr>
                <w:b/>
                <w:sz w:val="20"/>
              </w:rPr>
            </w:pPr>
            <w:r>
              <w:rPr>
                <w:b/>
                <w:sz w:val="20"/>
              </w:rPr>
              <w:t>México</w:t>
            </w:r>
          </w:p>
        </w:tc>
        <w:tc>
          <w:tcPr>
            <w:tcW w:w="1229" w:type="dxa"/>
            <w:tcBorders>
              <w:top w:val="nil"/>
              <w:left w:val="nil"/>
              <w:bottom w:val="nil"/>
              <w:right w:val="nil"/>
            </w:tcBorders>
            <w:shd w:val="clear" w:color="auto" w:fill="D9D9D9"/>
          </w:tcPr>
          <w:p>
            <w:pPr>
              <w:pStyle w:val="TableParagraph"/>
              <w:spacing w:before="64"/>
              <w:ind w:left="287" w:right="289"/>
              <w:jc w:val="center"/>
              <w:rPr>
                <w:b/>
                <w:sz w:val="20"/>
              </w:rPr>
            </w:pPr>
            <w:r>
              <w:rPr>
                <w:b/>
                <w:sz w:val="20"/>
              </w:rPr>
              <w:t>0.5146</w:t>
            </w:r>
          </w:p>
        </w:tc>
        <w:tc>
          <w:tcPr>
            <w:tcW w:w="1200" w:type="dxa"/>
            <w:tcBorders>
              <w:top w:val="nil"/>
              <w:left w:val="nil"/>
              <w:bottom w:val="nil"/>
              <w:right w:val="nil"/>
            </w:tcBorders>
            <w:shd w:val="clear" w:color="auto" w:fill="D9D9D9"/>
          </w:tcPr>
          <w:p>
            <w:pPr>
              <w:pStyle w:val="TableParagraph"/>
              <w:spacing w:before="64"/>
              <w:ind w:left="467" w:right="470"/>
              <w:jc w:val="center"/>
              <w:rPr>
                <w:b/>
                <w:sz w:val="20"/>
              </w:rPr>
            </w:pPr>
            <w:r>
              <w:rPr>
                <w:b/>
                <w:sz w:val="20"/>
              </w:rPr>
              <w:t>82</w:t>
            </w:r>
          </w:p>
        </w:tc>
        <w:tc>
          <w:tcPr>
            <w:tcW w:w="1200" w:type="dxa"/>
            <w:tcBorders>
              <w:top w:val="nil"/>
              <w:left w:val="nil"/>
              <w:bottom w:val="nil"/>
              <w:right w:val="nil"/>
            </w:tcBorders>
            <w:shd w:val="clear" w:color="auto" w:fill="D9D9D9"/>
          </w:tcPr>
          <w:p>
            <w:pPr>
              <w:pStyle w:val="TableParagraph"/>
              <w:spacing w:before="64"/>
              <w:ind w:left="273" w:right="275"/>
              <w:jc w:val="center"/>
              <w:rPr>
                <w:b/>
                <w:sz w:val="20"/>
              </w:rPr>
            </w:pPr>
            <w:r>
              <w:rPr>
                <w:b/>
                <w:sz w:val="20"/>
              </w:rPr>
              <w:t>85</w:t>
            </w:r>
          </w:p>
        </w:tc>
        <w:tc>
          <w:tcPr>
            <w:tcW w:w="1201" w:type="dxa"/>
            <w:tcBorders>
              <w:top w:val="nil"/>
              <w:left w:val="nil"/>
              <w:bottom w:val="nil"/>
              <w:right w:val="nil"/>
            </w:tcBorders>
            <w:shd w:val="clear" w:color="auto" w:fill="D9D9D9"/>
          </w:tcPr>
          <w:p>
            <w:pPr>
              <w:pStyle w:val="TableParagraph"/>
              <w:spacing w:before="64"/>
              <w:ind w:left="467" w:right="470"/>
              <w:jc w:val="center"/>
              <w:rPr>
                <w:b/>
                <w:sz w:val="20"/>
              </w:rPr>
            </w:pPr>
            <w:r>
              <w:rPr>
                <w:b/>
                <w:sz w:val="20"/>
              </w:rPr>
              <w:t>87</w:t>
            </w:r>
          </w:p>
        </w:tc>
      </w:tr>
    </w:tbl>
    <w:p>
      <w:pPr>
        <w:pStyle w:val="BodyText"/>
        <w:spacing w:before="7"/>
        <w:rPr>
          <w:sz w:val="10"/>
        </w:rPr>
      </w:pPr>
    </w:p>
    <w:p>
      <w:pPr>
        <w:spacing w:line="137" w:lineRule="exact" w:before="0"/>
        <w:ind w:left="1538" w:right="50" w:firstLine="0"/>
        <w:jc w:val="left"/>
        <w:rPr>
          <w:sz w:val="12"/>
        </w:rPr>
      </w:pPr>
      <w:r>
        <w:rPr>
          <w:sz w:val="12"/>
        </w:rPr>
        <w:t>FUENTE:      Elaboración propia con base en:</w:t>
      </w:r>
    </w:p>
    <w:p>
      <w:pPr>
        <w:spacing w:line="137" w:lineRule="exact" w:before="0"/>
        <w:ind w:left="2246" w:right="50" w:firstLine="0"/>
        <w:jc w:val="left"/>
        <w:rPr>
          <w:sz w:val="12"/>
        </w:rPr>
      </w:pPr>
      <w:r>
        <w:rPr>
          <w:sz w:val="12"/>
        </w:rPr>
        <w:t>CIIMA, ESEADE, IPN, </w:t>
      </w:r>
      <w:r>
        <w:rPr>
          <w:i/>
          <w:sz w:val="12"/>
        </w:rPr>
        <w:t>Índice de Calidad Institucional 2012</w:t>
      </w:r>
      <w:r>
        <w:rPr>
          <w:sz w:val="12"/>
        </w:rPr>
        <w:t>, pp. 42-47.</w:t>
      </w:r>
    </w:p>
    <w:p>
      <w:pPr>
        <w:spacing w:before="1"/>
        <w:ind w:left="2246" w:right="1804" w:firstLine="0"/>
        <w:jc w:val="left"/>
        <w:rPr>
          <w:sz w:val="12"/>
        </w:rPr>
      </w:pPr>
      <w:r>
        <w:rPr>
          <w:sz w:val="12"/>
        </w:rPr>
        <w:t>Disponible en: </w:t>
      </w:r>
      <w:hyperlink r:id="rId89">
        <w:r>
          <w:rPr>
            <w:sz w:val="12"/>
          </w:rPr>
          <w:t>http://www.libertadyprogresonline.org/wp-content/uploads/2012/07/ICI-2012.pdf</w:t>
        </w:r>
      </w:hyperlink>
      <w:r>
        <w:rPr>
          <w:sz w:val="12"/>
        </w:rPr>
        <w:t> [Fecha de consulta: 15 de julio, 2015]</w:t>
      </w:r>
    </w:p>
    <w:p>
      <w:pPr>
        <w:pStyle w:val="ListParagraph"/>
        <w:numPr>
          <w:ilvl w:val="0"/>
          <w:numId w:val="39"/>
        </w:numPr>
        <w:tabs>
          <w:tab w:pos="403" w:val="left" w:leader="none"/>
        </w:tabs>
        <w:spacing w:line="275" w:lineRule="exact" w:before="0" w:after="0"/>
        <w:ind w:left="402" w:right="0" w:hanging="280"/>
        <w:jc w:val="left"/>
        <w:rPr>
          <w:i/>
          <w:sz w:val="24"/>
        </w:rPr>
      </w:pPr>
      <w:r>
        <w:rPr>
          <w:i/>
          <w:sz w:val="24"/>
        </w:rPr>
        <w:t>Índice de Competitividad Internacional,</w:t>
      </w:r>
      <w:r>
        <w:rPr>
          <w:i/>
          <w:spacing w:val="-14"/>
          <w:sz w:val="24"/>
        </w:rPr>
        <w:t> </w:t>
      </w:r>
      <w:r>
        <w:rPr>
          <w:i/>
          <w:sz w:val="24"/>
        </w:rPr>
        <w:t>2011</w:t>
      </w:r>
    </w:p>
    <w:p>
      <w:pPr>
        <w:pStyle w:val="BodyText"/>
        <w:spacing w:before="4"/>
        <w:rPr>
          <w:i/>
          <w:sz w:val="29"/>
        </w:rPr>
      </w:pPr>
    </w:p>
    <w:p>
      <w:pPr>
        <w:pStyle w:val="BodyText"/>
        <w:spacing w:line="360" w:lineRule="auto" w:before="1"/>
        <w:ind w:left="122" w:right="118" w:firstLine="427"/>
        <w:jc w:val="both"/>
      </w:pPr>
      <w:r>
        <w:rPr/>
        <w:t>El Instituto Mexicano para la Competitividad, A.C., (IMCO) publicó en octubre de 2011 el </w:t>
      </w:r>
      <w:r>
        <w:rPr>
          <w:i/>
        </w:rPr>
        <w:t>Informe sobre la Competitividad Internacional 2011 más allá de los </w:t>
      </w:r>
      <w:r>
        <w:rPr>
          <w:i/>
        </w:rPr>
        <w:t>BRICS</w:t>
      </w:r>
      <w:r>
        <w:rPr/>
        <w:t>. El periodo de estudio es de 2001 a 2010 para 46 países. El índice aporta información útil para diseñar, priorizar y dar seguimiento a las políticas públicas; la atracción de la inversión productiva (formación bruta de capital fijo) y el logro del desarrollo económico de México. El país con menor competitividad tiene valores cercanos a 0, mientras que el valor de 100 representa mayor competitividad.</w:t>
      </w:r>
    </w:p>
    <w:p>
      <w:pPr>
        <w:pStyle w:val="BodyText"/>
        <w:rPr>
          <w:sz w:val="20"/>
        </w:rPr>
      </w:pPr>
    </w:p>
    <w:p>
      <w:pPr>
        <w:pStyle w:val="BodyText"/>
        <w:spacing w:before="7"/>
        <w:rPr>
          <w:sz w:val="11"/>
        </w:rPr>
      </w:pPr>
      <w:r>
        <w:rPr/>
        <w:pict>
          <v:line style="position:absolute;mso-position-horizontal-relative:page;mso-position-vertical-relative:paragraph;z-index:5392;mso-wrap-distance-left:0;mso-wrap-distance-right:0" from="85.103996pt,9.014873pt" to="229.123996pt,9.014873pt" stroked="true" strokeweight=".72003pt" strokecolor="#000000">
            <w10:wrap type="topAndBottom"/>
          </v:line>
        </w:pict>
      </w:r>
    </w:p>
    <w:p>
      <w:pPr>
        <w:spacing w:line="249" w:lineRule="auto" w:before="67"/>
        <w:ind w:left="122" w:right="114" w:firstLine="0"/>
        <w:jc w:val="both"/>
        <w:rPr>
          <w:sz w:val="16"/>
        </w:rPr>
      </w:pPr>
      <w:r>
        <w:rPr>
          <w:rFonts w:ascii="Calibri" w:hAnsi="Calibri"/>
          <w:position w:val="8"/>
          <w:sz w:val="14"/>
        </w:rPr>
        <w:t>35</w:t>
      </w:r>
      <w:r>
        <w:rPr>
          <w:sz w:val="16"/>
        </w:rPr>
        <w:t>Los indicadores son: Voz y Rendición de Cuentas (Banco Mundial), Vigencia de Derecho (Banco Mundial), Percepción de la Corrupción (Transparencia Internacional), Libertad de Prensa (</w:t>
      </w:r>
      <w:r>
        <w:rPr>
          <w:i/>
          <w:sz w:val="16"/>
        </w:rPr>
        <w:t>Freedom House</w:t>
      </w:r>
      <w:r>
        <w:rPr>
          <w:sz w:val="16"/>
        </w:rPr>
        <w:t>), Haciendo Negocios (Banco Mundial), Competitividad</w:t>
      </w:r>
      <w:r>
        <w:rPr>
          <w:spacing w:val="-12"/>
          <w:sz w:val="16"/>
        </w:rPr>
        <w:t> </w:t>
      </w:r>
      <w:r>
        <w:rPr>
          <w:sz w:val="16"/>
        </w:rPr>
        <w:t>Global</w:t>
      </w:r>
      <w:r>
        <w:rPr>
          <w:spacing w:val="-12"/>
          <w:sz w:val="16"/>
        </w:rPr>
        <w:t> </w:t>
      </w:r>
      <w:r>
        <w:rPr>
          <w:sz w:val="16"/>
        </w:rPr>
        <w:t>(Foro</w:t>
      </w:r>
      <w:r>
        <w:rPr>
          <w:spacing w:val="-12"/>
          <w:sz w:val="16"/>
        </w:rPr>
        <w:t> </w:t>
      </w:r>
      <w:r>
        <w:rPr>
          <w:sz w:val="16"/>
        </w:rPr>
        <w:t>Económico</w:t>
      </w:r>
      <w:r>
        <w:rPr>
          <w:spacing w:val="-12"/>
          <w:sz w:val="16"/>
        </w:rPr>
        <w:t> </w:t>
      </w:r>
      <w:r>
        <w:rPr>
          <w:sz w:val="16"/>
        </w:rPr>
        <w:t>Mundial),</w:t>
      </w:r>
      <w:r>
        <w:rPr>
          <w:spacing w:val="-11"/>
          <w:sz w:val="16"/>
        </w:rPr>
        <w:t> </w:t>
      </w:r>
      <w:r>
        <w:rPr>
          <w:sz w:val="16"/>
        </w:rPr>
        <w:t>Libertad</w:t>
      </w:r>
      <w:r>
        <w:rPr>
          <w:spacing w:val="-12"/>
          <w:sz w:val="16"/>
        </w:rPr>
        <w:t> </w:t>
      </w:r>
      <w:r>
        <w:rPr>
          <w:sz w:val="16"/>
        </w:rPr>
        <w:t>Económica</w:t>
      </w:r>
      <w:r>
        <w:rPr>
          <w:spacing w:val="-12"/>
          <w:sz w:val="16"/>
        </w:rPr>
        <w:t> </w:t>
      </w:r>
      <w:r>
        <w:rPr>
          <w:sz w:val="16"/>
        </w:rPr>
        <w:t>(</w:t>
      </w:r>
      <w:r>
        <w:rPr>
          <w:i/>
          <w:sz w:val="16"/>
        </w:rPr>
        <w:t>Wall</w:t>
      </w:r>
      <w:r>
        <w:rPr>
          <w:i/>
          <w:spacing w:val="-11"/>
          <w:sz w:val="16"/>
        </w:rPr>
        <w:t> </w:t>
      </w:r>
      <w:r>
        <w:rPr>
          <w:i/>
          <w:sz w:val="16"/>
        </w:rPr>
        <w:t>Street</w:t>
      </w:r>
      <w:r>
        <w:rPr>
          <w:i/>
          <w:spacing w:val="-11"/>
          <w:sz w:val="16"/>
        </w:rPr>
        <w:t> </w:t>
      </w:r>
      <w:r>
        <w:rPr>
          <w:i/>
          <w:sz w:val="16"/>
        </w:rPr>
        <w:t>Journal</w:t>
      </w:r>
      <w:r>
        <w:rPr>
          <w:i/>
          <w:spacing w:val="-12"/>
          <w:sz w:val="16"/>
        </w:rPr>
        <w:t> </w:t>
      </w:r>
      <w:r>
        <w:rPr>
          <w:i/>
          <w:sz w:val="16"/>
        </w:rPr>
        <w:t>and</w:t>
      </w:r>
      <w:r>
        <w:rPr>
          <w:i/>
          <w:spacing w:val="-12"/>
          <w:sz w:val="16"/>
        </w:rPr>
        <w:t> </w:t>
      </w:r>
      <w:r>
        <w:rPr>
          <w:i/>
          <w:sz w:val="16"/>
        </w:rPr>
        <w:t>Heritage</w:t>
      </w:r>
      <w:r>
        <w:rPr>
          <w:i/>
          <w:spacing w:val="-9"/>
          <w:sz w:val="16"/>
        </w:rPr>
        <w:t> </w:t>
      </w:r>
      <w:r>
        <w:rPr>
          <w:i/>
          <w:sz w:val="16"/>
        </w:rPr>
        <w:t>Fundation</w:t>
      </w:r>
      <w:r>
        <w:rPr>
          <w:sz w:val="16"/>
        </w:rPr>
        <w:t>)</w:t>
      </w:r>
      <w:r>
        <w:rPr>
          <w:spacing w:val="-10"/>
          <w:sz w:val="16"/>
        </w:rPr>
        <w:t> </w:t>
      </w:r>
      <w:r>
        <w:rPr>
          <w:sz w:val="16"/>
        </w:rPr>
        <w:t>y</w:t>
      </w:r>
      <w:r>
        <w:rPr>
          <w:spacing w:val="-12"/>
          <w:sz w:val="16"/>
        </w:rPr>
        <w:t> </w:t>
      </w:r>
      <w:r>
        <w:rPr>
          <w:sz w:val="16"/>
        </w:rPr>
        <w:t>Libertad Económica en el Mundo (</w:t>
      </w:r>
      <w:r>
        <w:rPr>
          <w:i/>
          <w:sz w:val="16"/>
        </w:rPr>
        <w:t>Fraser</w:t>
      </w:r>
      <w:r>
        <w:rPr>
          <w:i/>
          <w:spacing w:val="-16"/>
          <w:sz w:val="16"/>
        </w:rPr>
        <w:t> </w:t>
      </w:r>
      <w:r>
        <w:rPr>
          <w:i/>
          <w:sz w:val="16"/>
        </w:rPr>
        <w:t>Institute</w:t>
      </w:r>
      <w:r>
        <w:rPr>
          <w:sz w:val="16"/>
        </w:rPr>
        <w:t>).</w:t>
      </w:r>
    </w:p>
    <w:p>
      <w:pPr>
        <w:spacing w:after="0" w:line="249" w:lineRule="auto"/>
        <w:jc w:val="both"/>
        <w:rPr>
          <w:sz w:val="16"/>
        </w:rPr>
        <w:sectPr>
          <w:pgSz w:w="12240" w:h="15840"/>
          <w:pgMar w:header="0" w:footer="1003" w:top="1340" w:bottom="1200" w:left="1580" w:right="1580"/>
        </w:sectPr>
      </w:pPr>
    </w:p>
    <w:p>
      <w:pPr>
        <w:spacing w:before="55"/>
        <w:ind w:left="1969" w:right="0" w:firstLine="0"/>
        <w:jc w:val="left"/>
        <w:rPr>
          <w:sz w:val="20"/>
        </w:rPr>
      </w:pPr>
      <w:bookmarkStart w:name="_bookmark35" w:id="46"/>
      <w:bookmarkEnd w:id="46"/>
      <w:r>
        <w:rPr/>
      </w:r>
      <w:r>
        <w:rPr>
          <w:sz w:val="20"/>
        </w:rPr>
        <w:t>Cuadro 1.11. Índice de competitividad internacional, 2011</w:t>
      </w:r>
    </w:p>
    <w:p>
      <w:pPr>
        <w:pStyle w:val="BodyText"/>
        <w:spacing w:before="7"/>
        <w:rPr>
          <w:sz w:val="17"/>
        </w:rPr>
      </w:pPr>
    </w:p>
    <w:tbl>
      <w:tblPr>
        <w:tblW w:w="0" w:type="auto"/>
        <w:jc w:val="left"/>
        <w:tblInd w:w="1913" w:type="dxa"/>
        <w:tblBorders>
          <w:top w:val="single" w:sz="12" w:space="0" w:color="D9D9D9"/>
          <w:left w:val="single" w:sz="12" w:space="0" w:color="D9D9D9"/>
          <w:bottom w:val="single" w:sz="12" w:space="0" w:color="D9D9D9"/>
          <w:right w:val="single" w:sz="12" w:space="0" w:color="D9D9D9"/>
          <w:insideH w:val="single" w:sz="12" w:space="0" w:color="D9D9D9"/>
          <w:insideV w:val="single" w:sz="12" w:space="0" w:color="D9D9D9"/>
        </w:tblBorders>
        <w:tblLayout w:type="fixed"/>
        <w:tblCellMar>
          <w:top w:w="0" w:type="dxa"/>
          <w:left w:w="0" w:type="dxa"/>
          <w:bottom w:w="0" w:type="dxa"/>
          <w:right w:w="0" w:type="dxa"/>
        </w:tblCellMar>
        <w:tblLook w:val="01E0"/>
      </w:tblPr>
      <w:tblGrid>
        <w:gridCol w:w="2192"/>
        <w:gridCol w:w="1126"/>
        <w:gridCol w:w="950"/>
        <w:gridCol w:w="919"/>
      </w:tblGrid>
      <w:tr>
        <w:trPr>
          <w:trHeight w:val="329" w:hRule="exact"/>
        </w:trPr>
        <w:tc>
          <w:tcPr>
            <w:tcW w:w="2192" w:type="dxa"/>
            <w:vMerge w:val="restart"/>
          </w:tcPr>
          <w:p>
            <w:pPr>
              <w:pStyle w:val="TableParagraph"/>
              <w:spacing w:before="10"/>
              <w:rPr>
                <w:sz w:val="18"/>
              </w:rPr>
            </w:pPr>
          </w:p>
          <w:p>
            <w:pPr>
              <w:pStyle w:val="TableParagraph"/>
              <w:ind w:left="896" w:right="897"/>
              <w:jc w:val="center"/>
              <w:rPr>
                <w:b/>
                <w:sz w:val="16"/>
              </w:rPr>
            </w:pPr>
            <w:r>
              <w:rPr>
                <w:b/>
                <w:sz w:val="16"/>
              </w:rPr>
              <w:t>País</w:t>
            </w:r>
          </w:p>
        </w:tc>
        <w:tc>
          <w:tcPr>
            <w:tcW w:w="1126" w:type="dxa"/>
            <w:vMerge w:val="restart"/>
          </w:tcPr>
          <w:p>
            <w:pPr>
              <w:pStyle w:val="TableParagraph"/>
              <w:spacing w:before="126"/>
              <w:ind w:left="367" w:right="99" w:hanging="260"/>
              <w:rPr>
                <w:b/>
                <w:sz w:val="16"/>
              </w:rPr>
            </w:pPr>
            <w:r>
              <w:rPr>
                <w:b/>
                <w:sz w:val="16"/>
              </w:rPr>
              <w:t>Puntuación 2011</w:t>
            </w:r>
          </w:p>
        </w:tc>
        <w:tc>
          <w:tcPr>
            <w:tcW w:w="1870" w:type="dxa"/>
            <w:gridSpan w:val="2"/>
          </w:tcPr>
          <w:p>
            <w:pPr>
              <w:pStyle w:val="TableParagraph"/>
              <w:spacing w:before="51"/>
              <w:ind w:left="585"/>
              <w:rPr>
                <w:b/>
                <w:sz w:val="16"/>
              </w:rPr>
            </w:pPr>
            <w:r>
              <w:rPr>
                <w:b/>
                <w:sz w:val="16"/>
              </w:rPr>
              <w:t>Posición</w:t>
            </w:r>
          </w:p>
        </w:tc>
      </w:tr>
      <w:tr>
        <w:trPr>
          <w:trHeight w:val="331" w:hRule="exact"/>
        </w:trPr>
        <w:tc>
          <w:tcPr>
            <w:tcW w:w="2192" w:type="dxa"/>
            <w:vMerge/>
          </w:tcPr>
          <w:p>
            <w:pPr/>
          </w:p>
        </w:tc>
        <w:tc>
          <w:tcPr>
            <w:tcW w:w="1126" w:type="dxa"/>
            <w:vMerge/>
          </w:tcPr>
          <w:p>
            <w:pPr/>
          </w:p>
        </w:tc>
        <w:tc>
          <w:tcPr>
            <w:tcW w:w="950" w:type="dxa"/>
          </w:tcPr>
          <w:p>
            <w:pPr>
              <w:pStyle w:val="TableParagraph"/>
              <w:spacing w:before="54"/>
              <w:ind w:left="262" w:right="262"/>
              <w:jc w:val="center"/>
              <w:rPr>
                <w:b/>
                <w:sz w:val="16"/>
              </w:rPr>
            </w:pPr>
            <w:r>
              <w:rPr>
                <w:b/>
                <w:sz w:val="16"/>
              </w:rPr>
              <w:t>2007</w:t>
            </w:r>
          </w:p>
        </w:tc>
        <w:tc>
          <w:tcPr>
            <w:tcW w:w="919" w:type="dxa"/>
          </w:tcPr>
          <w:p>
            <w:pPr>
              <w:pStyle w:val="TableParagraph"/>
              <w:spacing w:before="54"/>
              <w:ind w:left="247" w:right="247"/>
              <w:jc w:val="center"/>
              <w:rPr>
                <w:b/>
                <w:sz w:val="16"/>
              </w:rPr>
            </w:pPr>
            <w:r>
              <w:rPr>
                <w:b/>
                <w:sz w:val="16"/>
              </w:rPr>
              <w:t>2010</w:t>
            </w:r>
          </w:p>
        </w:tc>
      </w:tr>
      <w:tr>
        <w:trPr>
          <w:trHeight w:val="223" w:hRule="exact"/>
        </w:trPr>
        <w:tc>
          <w:tcPr>
            <w:tcW w:w="2192" w:type="dxa"/>
          </w:tcPr>
          <w:p>
            <w:pPr>
              <w:pStyle w:val="TableParagraph"/>
              <w:spacing w:before="8"/>
              <w:ind w:left="55"/>
              <w:rPr>
                <w:sz w:val="16"/>
              </w:rPr>
            </w:pPr>
            <w:r>
              <w:rPr>
                <w:sz w:val="16"/>
              </w:rPr>
              <w:t>Suiza</w:t>
            </w:r>
          </w:p>
        </w:tc>
        <w:tc>
          <w:tcPr>
            <w:tcW w:w="1126" w:type="dxa"/>
          </w:tcPr>
          <w:p>
            <w:pPr>
              <w:pStyle w:val="TableParagraph"/>
              <w:spacing w:before="8"/>
              <w:ind w:left="345" w:right="99"/>
              <w:rPr>
                <w:sz w:val="16"/>
              </w:rPr>
            </w:pPr>
            <w:r>
              <w:rPr>
                <w:sz w:val="16"/>
              </w:rPr>
              <w:t>74.16</w:t>
            </w:r>
          </w:p>
        </w:tc>
        <w:tc>
          <w:tcPr>
            <w:tcW w:w="950" w:type="dxa"/>
          </w:tcPr>
          <w:p>
            <w:pPr>
              <w:pStyle w:val="TableParagraph"/>
              <w:spacing w:before="8"/>
              <w:ind w:right="1"/>
              <w:jc w:val="center"/>
              <w:rPr>
                <w:sz w:val="16"/>
              </w:rPr>
            </w:pPr>
            <w:r>
              <w:rPr>
                <w:w w:val="100"/>
                <w:sz w:val="16"/>
              </w:rPr>
              <w:t>1</w:t>
            </w:r>
          </w:p>
        </w:tc>
        <w:tc>
          <w:tcPr>
            <w:tcW w:w="919" w:type="dxa"/>
          </w:tcPr>
          <w:p>
            <w:pPr>
              <w:pStyle w:val="TableParagraph"/>
              <w:spacing w:before="8"/>
              <w:ind w:right="2"/>
              <w:jc w:val="center"/>
              <w:rPr>
                <w:sz w:val="16"/>
              </w:rPr>
            </w:pPr>
            <w:r>
              <w:rPr>
                <w:w w:val="100"/>
                <w:sz w:val="16"/>
              </w:rPr>
              <w:t>1</w:t>
            </w:r>
          </w:p>
        </w:tc>
      </w:tr>
      <w:tr>
        <w:trPr>
          <w:trHeight w:val="214" w:hRule="exact"/>
        </w:trPr>
        <w:tc>
          <w:tcPr>
            <w:tcW w:w="2192" w:type="dxa"/>
          </w:tcPr>
          <w:p>
            <w:pPr>
              <w:pStyle w:val="TableParagraph"/>
              <w:spacing w:line="183" w:lineRule="exact"/>
              <w:ind w:left="55"/>
              <w:rPr>
                <w:sz w:val="16"/>
              </w:rPr>
            </w:pPr>
            <w:r>
              <w:rPr>
                <w:sz w:val="16"/>
              </w:rPr>
              <w:t>Suecia</w:t>
            </w:r>
          </w:p>
        </w:tc>
        <w:tc>
          <w:tcPr>
            <w:tcW w:w="1126" w:type="dxa"/>
          </w:tcPr>
          <w:p>
            <w:pPr>
              <w:pStyle w:val="TableParagraph"/>
              <w:spacing w:line="183" w:lineRule="exact"/>
              <w:ind w:left="345" w:right="99"/>
              <w:rPr>
                <w:sz w:val="16"/>
              </w:rPr>
            </w:pPr>
            <w:r>
              <w:rPr>
                <w:sz w:val="16"/>
              </w:rPr>
              <w:t>71.93</w:t>
            </w:r>
          </w:p>
        </w:tc>
        <w:tc>
          <w:tcPr>
            <w:tcW w:w="950" w:type="dxa"/>
          </w:tcPr>
          <w:p>
            <w:pPr>
              <w:pStyle w:val="TableParagraph"/>
              <w:spacing w:line="183" w:lineRule="exact"/>
              <w:ind w:right="1"/>
              <w:jc w:val="center"/>
              <w:rPr>
                <w:sz w:val="16"/>
              </w:rPr>
            </w:pPr>
            <w:r>
              <w:rPr>
                <w:w w:val="100"/>
                <w:sz w:val="16"/>
              </w:rPr>
              <w:t>2</w:t>
            </w:r>
          </w:p>
        </w:tc>
        <w:tc>
          <w:tcPr>
            <w:tcW w:w="919" w:type="dxa"/>
          </w:tcPr>
          <w:p>
            <w:pPr>
              <w:pStyle w:val="TableParagraph"/>
              <w:spacing w:line="183" w:lineRule="exact"/>
              <w:ind w:right="2"/>
              <w:jc w:val="center"/>
              <w:rPr>
                <w:sz w:val="16"/>
              </w:rPr>
            </w:pPr>
            <w:r>
              <w:rPr>
                <w:w w:val="100"/>
                <w:sz w:val="16"/>
              </w:rPr>
              <w:t>2</w:t>
            </w:r>
          </w:p>
        </w:tc>
      </w:tr>
      <w:tr>
        <w:trPr>
          <w:trHeight w:val="216" w:hRule="exact"/>
        </w:trPr>
        <w:tc>
          <w:tcPr>
            <w:tcW w:w="2192" w:type="dxa"/>
          </w:tcPr>
          <w:p>
            <w:pPr>
              <w:pStyle w:val="TableParagraph"/>
              <w:spacing w:line="183" w:lineRule="exact"/>
              <w:ind w:left="55"/>
              <w:rPr>
                <w:sz w:val="16"/>
              </w:rPr>
            </w:pPr>
            <w:r>
              <w:rPr>
                <w:sz w:val="16"/>
              </w:rPr>
              <w:t>Noruega</w:t>
            </w:r>
          </w:p>
        </w:tc>
        <w:tc>
          <w:tcPr>
            <w:tcW w:w="1126" w:type="dxa"/>
          </w:tcPr>
          <w:p>
            <w:pPr>
              <w:pStyle w:val="TableParagraph"/>
              <w:spacing w:line="183" w:lineRule="exact"/>
              <w:ind w:left="345" w:right="99"/>
              <w:rPr>
                <w:sz w:val="16"/>
              </w:rPr>
            </w:pPr>
            <w:r>
              <w:rPr>
                <w:sz w:val="16"/>
              </w:rPr>
              <w:t>71.38</w:t>
            </w:r>
          </w:p>
        </w:tc>
        <w:tc>
          <w:tcPr>
            <w:tcW w:w="950" w:type="dxa"/>
          </w:tcPr>
          <w:p>
            <w:pPr>
              <w:pStyle w:val="TableParagraph"/>
              <w:spacing w:line="183" w:lineRule="exact"/>
              <w:ind w:right="1"/>
              <w:jc w:val="center"/>
              <w:rPr>
                <w:sz w:val="16"/>
              </w:rPr>
            </w:pPr>
            <w:r>
              <w:rPr>
                <w:w w:val="100"/>
                <w:sz w:val="16"/>
              </w:rPr>
              <w:t>3</w:t>
            </w:r>
          </w:p>
        </w:tc>
        <w:tc>
          <w:tcPr>
            <w:tcW w:w="919" w:type="dxa"/>
          </w:tcPr>
          <w:p>
            <w:pPr>
              <w:pStyle w:val="TableParagraph"/>
              <w:spacing w:line="183" w:lineRule="exact"/>
              <w:ind w:right="2"/>
              <w:jc w:val="center"/>
              <w:rPr>
                <w:sz w:val="16"/>
              </w:rPr>
            </w:pPr>
            <w:r>
              <w:rPr>
                <w:w w:val="100"/>
                <w:sz w:val="16"/>
              </w:rPr>
              <w:t>3</w:t>
            </w:r>
          </w:p>
        </w:tc>
      </w:tr>
      <w:tr>
        <w:trPr>
          <w:trHeight w:val="214" w:hRule="exact"/>
        </w:trPr>
        <w:tc>
          <w:tcPr>
            <w:tcW w:w="2192" w:type="dxa"/>
          </w:tcPr>
          <w:p>
            <w:pPr>
              <w:pStyle w:val="TableParagraph"/>
              <w:spacing w:line="180" w:lineRule="exact"/>
              <w:ind w:left="55"/>
              <w:rPr>
                <w:sz w:val="16"/>
              </w:rPr>
            </w:pPr>
            <w:r>
              <w:rPr>
                <w:sz w:val="16"/>
              </w:rPr>
              <w:t>Estados Unidos</w:t>
            </w:r>
          </w:p>
        </w:tc>
        <w:tc>
          <w:tcPr>
            <w:tcW w:w="1126" w:type="dxa"/>
          </w:tcPr>
          <w:p>
            <w:pPr>
              <w:pStyle w:val="TableParagraph"/>
              <w:spacing w:line="180" w:lineRule="exact"/>
              <w:ind w:left="345" w:right="99"/>
              <w:rPr>
                <w:sz w:val="16"/>
              </w:rPr>
            </w:pPr>
            <w:r>
              <w:rPr>
                <w:sz w:val="16"/>
              </w:rPr>
              <w:t>66.89</w:t>
            </w:r>
          </w:p>
        </w:tc>
        <w:tc>
          <w:tcPr>
            <w:tcW w:w="950" w:type="dxa"/>
          </w:tcPr>
          <w:p>
            <w:pPr>
              <w:pStyle w:val="TableParagraph"/>
              <w:spacing w:line="180" w:lineRule="exact"/>
              <w:ind w:right="1"/>
              <w:jc w:val="center"/>
              <w:rPr>
                <w:sz w:val="16"/>
              </w:rPr>
            </w:pPr>
            <w:r>
              <w:rPr>
                <w:w w:val="100"/>
                <w:sz w:val="16"/>
              </w:rPr>
              <w:t>1</w:t>
            </w:r>
          </w:p>
        </w:tc>
        <w:tc>
          <w:tcPr>
            <w:tcW w:w="919" w:type="dxa"/>
          </w:tcPr>
          <w:p>
            <w:pPr>
              <w:pStyle w:val="TableParagraph"/>
              <w:spacing w:line="180" w:lineRule="exact"/>
              <w:ind w:right="2"/>
              <w:jc w:val="center"/>
              <w:rPr>
                <w:sz w:val="16"/>
              </w:rPr>
            </w:pPr>
            <w:r>
              <w:rPr>
                <w:w w:val="100"/>
                <w:sz w:val="16"/>
              </w:rPr>
              <w:t>8</w:t>
            </w:r>
          </w:p>
        </w:tc>
      </w:tr>
      <w:tr>
        <w:trPr>
          <w:trHeight w:val="214" w:hRule="exact"/>
        </w:trPr>
        <w:tc>
          <w:tcPr>
            <w:tcW w:w="2192" w:type="dxa"/>
          </w:tcPr>
          <w:p>
            <w:pPr>
              <w:pStyle w:val="TableParagraph"/>
              <w:spacing w:line="180" w:lineRule="exact"/>
              <w:ind w:left="55"/>
              <w:rPr>
                <w:sz w:val="16"/>
              </w:rPr>
            </w:pPr>
            <w:r>
              <w:rPr>
                <w:sz w:val="16"/>
              </w:rPr>
              <w:t>Reino Unido</w:t>
            </w:r>
          </w:p>
        </w:tc>
        <w:tc>
          <w:tcPr>
            <w:tcW w:w="1126" w:type="dxa"/>
          </w:tcPr>
          <w:p>
            <w:pPr>
              <w:pStyle w:val="TableParagraph"/>
              <w:spacing w:line="180" w:lineRule="exact"/>
              <w:ind w:left="345" w:right="99"/>
              <w:rPr>
                <w:sz w:val="16"/>
              </w:rPr>
            </w:pPr>
            <w:r>
              <w:rPr>
                <w:sz w:val="16"/>
              </w:rPr>
              <w:t>66.00</w:t>
            </w:r>
          </w:p>
        </w:tc>
        <w:tc>
          <w:tcPr>
            <w:tcW w:w="950" w:type="dxa"/>
          </w:tcPr>
          <w:p>
            <w:pPr>
              <w:pStyle w:val="TableParagraph"/>
              <w:spacing w:line="180" w:lineRule="exact"/>
              <w:ind w:right="1"/>
              <w:jc w:val="center"/>
              <w:rPr>
                <w:sz w:val="16"/>
              </w:rPr>
            </w:pPr>
            <w:r>
              <w:rPr>
                <w:w w:val="100"/>
                <w:sz w:val="16"/>
              </w:rPr>
              <w:t>7</w:t>
            </w:r>
          </w:p>
        </w:tc>
        <w:tc>
          <w:tcPr>
            <w:tcW w:w="919" w:type="dxa"/>
          </w:tcPr>
          <w:p>
            <w:pPr>
              <w:pStyle w:val="TableParagraph"/>
              <w:spacing w:line="180" w:lineRule="exact"/>
              <w:ind w:left="247" w:right="247"/>
              <w:jc w:val="center"/>
              <w:rPr>
                <w:sz w:val="16"/>
              </w:rPr>
            </w:pPr>
            <w:r>
              <w:rPr>
                <w:sz w:val="16"/>
              </w:rPr>
              <w:t>11</w:t>
            </w:r>
          </w:p>
        </w:tc>
      </w:tr>
      <w:tr>
        <w:trPr>
          <w:trHeight w:val="214" w:hRule="exact"/>
        </w:trPr>
        <w:tc>
          <w:tcPr>
            <w:tcW w:w="2192" w:type="dxa"/>
          </w:tcPr>
          <w:p>
            <w:pPr>
              <w:pStyle w:val="TableParagraph"/>
              <w:spacing w:line="180" w:lineRule="exact"/>
              <w:ind w:left="55"/>
              <w:rPr>
                <w:sz w:val="16"/>
              </w:rPr>
            </w:pPr>
            <w:r>
              <w:rPr>
                <w:sz w:val="16"/>
              </w:rPr>
              <w:t>Alemania</w:t>
            </w:r>
          </w:p>
        </w:tc>
        <w:tc>
          <w:tcPr>
            <w:tcW w:w="1126" w:type="dxa"/>
          </w:tcPr>
          <w:p>
            <w:pPr>
              <w:pStyle w:val="TableParagraph"/>
              <w:spacing w:line="180" w:lineRule="exact"/>
              <w:ind w:left="345" w:right="99"/>
              <w:rPr>
                <w:sz w:val="16"/>
              </w:rPr>
            </w:pPr>
            <w:r>
              <w:rPr>
                <w:sz w:val="16"/>
              </w:rPr>
              <w:t>65.75</w:t>
            </w:r>
          </w:p>
        </w:tc>
        <w:tc>
          <w:tcPr>
            <w:tcW w:w="950" w:type="dxa"/>
          </w:tcPr>
          <w:p>
            <w:pPr>
              <w:pStyle w:val="TableParagraph"/>
              <w:spacing w:line="180" w:lineRule="exact"/>
              <w:ind w:left="262" w:right="262"/>
              <w:jc w:val="center"/>
              <w:rPr>
                <w:sz w:val="16"/>
              </w:rPr>
            </w:pPr>
            <w:r>
              <w:rPr>
                <w:sz w:val="16"/>
              </w:rPr>
              <w:t>15</w:t>
            </w:r>
          </w:p>
        </w:tc>
        <w:tc>
          <w:tcPr>
            <w:tcW w:w="919" w:type="dxa"/>
          </w:tcPr>
          <w:p>
            <w:pPr>
              <w:pStyle w:val="TableParagraph"/>
              <w:spacing w:line="180" w:lineRule="exact"/>
              <w:ind w:left="247" w:right="247"/>
              <w:jc w:val="center"/>
              <w:rPr>
                <w:sz w:val="16"/>
              </w:rPr>
            </w:pPr>
            <w:r>
              <w:rPr>
                <w:sz w:val="16"/>
              </w:rPr>
              <w:t>14</w:t>
            </w:r>
          </w:p>
        </w:tc>
      </w:tr>
      <w:tr>
        <w:trPr>
          <w:trHeight w:val="215" w:hRule="exact"/>
        </w:trPr>
        <w:tc>
          <w:tcPr>
            <w:tcW w:w="2192" w:type="dxa"/>
          </w:tcPr>
          <w:p>
            <w:pPr>
              <w:pStyle w:val="TableParagraph"/>
              <w:spacing w:line="183" w:lineRule="exact"/>
              <w:ind w:left="55"/>
              <w:rPr>
                <w:sz w:val="16"/>
              </w:rPr>
            </w:pPr>
            <w:r>
              <w:rPr>
                <w:sz w:val="16"/>
              </w:rPr>
              <w:t>España</w:t>
            </w:r>
          </w:p>
        </w:tc>
        <w:tc>
          <w:tcPr>
            <w:tcW w:w="1126" w:type="dxa"/>
          </w:tcPr>
          <w:p>
            <w:pPr>
              <w:pStyle w:val="TableParagraph"/>
              <w:spacing w:line="183" w:lineRule="exact"/>
              <w:ind w:left="345" w:right="99"/>
              <w:rPr>
                <w:sz w:val="16"/>
              </w:rPr>
            </w:pPr>
            <w:r>
              <w:rPr>
                <w:sz w:val="16"/>
              </w:rPr>
              <w:t>59.31</w:t>
            </w:r>
          </w:p>
        </w:tc>
        <w:tc>
          <w:tcPr>
            <w:tcW w:w="950" w:type="dxa"/>
          </w:tcPr>
          <w:p>
            <w:pPr>
              <w:pStyle w:val="TableParagraph"/>
              <w:spacing w:line="183" w:lineRule="exact"/>
              <w:ind w:left="262" w:right="262"/>
              <w:jc w:val="center"/>
              <w:rPr>
                <w:sz w:val="16"/>
              </w:rPr>
            </w:pPr>
            <w:r>
              <w:rPr>
                <w:sz w:val="16"/>
              </w:rPr>
              <w:t>17</w:t>
            </w:r>
          </w:p>
        </w:tc>
        <w:tc>
          <w:tcPr>
            <w:tcW w:w="919" w:type="dxa"/>
          </w:tcPr>
          <w:p>
            <w:pPr>
              <w:pStyle w:val="TableParagraph"/>
              <w:spacing w:line="183" w:lineRule="exact"/>
              <w:ind w:left="247" w:right="247"/>
              <w:jc w:val="center"/>
              <w:rPr>
                <w:sz w:val="16"/>
              </w:rPr>
            </w:pPr>
            <w:r>
              <w:rPr>
                <w:sz w:val="16"/>
              </w:rPr>
              <w:t>17</w:t>
            </w:r>
          </w:p>
        </w:tc>
      </w:tr>
      <w:tr>
        <w:trPr>
          <w:trHeight w:val="214" w:hRule="exact"/>
        </w:trPr>
        <w:tc>
          <w:tcPr>
            <w:tcW w:w="2192" w:type="dxa"/>
            <w:shd w:val="clear" w:color="auto" w:fill="FFFF00"/>
          </w:tcPr>
          <w:p>
            <w:pPr>
              <w:pStyle w:val="TableParagraph"/>
              <w:spacing w:line="179" w:lineRule="exact"/>
              <w:ind w:left="55"/>
              <w:rPr>
                <w:b/>
                <w:sz w:val="16"/>
              </w:rPr>
            </w:pPr>
            <w:r>
              <w:rPr>
                <w:b/>
                <w:sz w:val="16"/>
              </w:rPr>
              <w:t>México</w:t>
            </w:r>
          </w:p>
        </w:tc>
        <w:tc>
          <w:tcPr>
            <w:tcW w:w="1126" w:type="dxa"/>
            <w:shd w:val="clear" w:color="auto" w:fill="FFFF00"/>
          </w:tcPr>
          <w:p>
            <w:pPr>
              <w:pStyle w:val="TableParagraph"/>
              <w:spacing w:line="179" w:lineRule="exact"/>
              <w:ind w:left="345" w:right="99"/>
              <w:rPr>
                <w:b/>
                <w:sz w:val="16"/>
              </w:rPr>
            </w:pPr>
            <w:r>
              <w:rPr>
                <w:b/>
                <w:sz w:val="16"/>
              </w:rPr>
              <w:t>42.68</w:t>
            </w:r>
          </w:p>
        </w:tc>
        <w:tc>
          <w:tcPr>
            <w:tcW w:w="950" w:type="dxa"/>
            <w:shd w:val="clear" w:color="auto" w:fill="FFFF00"/>
          </w:tcPr>
          <w:p>
            <w:pPr>
              <w:pStyle w:val="TableParagraph"/>
              <w:spacing w:line="179" w:lineRule="exact"/>
              <w:ind w:left="262" w:right="262"/>
              <w:jc w:val="center"/>
              <w:rPr>
                <w:b/>
                <w:sz w:val="16"/>
              </w:rPr>
            </w:pPr>
            <w:r>
              <w:rPr>
                <w:b/>
                <w:sz w:val="16"/>
              </w:rPr>
              <w:t>33</w:t>
            </w:r>
          </w:p>
        </w:tc>
        <w:tc>
          <w:tcPr>
            <w:tcW w:w="919" w:type="dxa"/>
            <w:shd w:val="clear" w:color="auto" w:fill="FFFF00"/>
          </w:tcPr>
          <w:p>
            <w:pPr>
              <w:pStyle w:val="TableParagraph"/>
              <w:spacing w:line="179" w:lineRule="exact"/>
              <w:ind w:left="247" w:right="247"/>
              <w:jc w:val="center"/>
              <w:rPr>
                <w:b/>
                <w:sz w:val="16"/>
              </w:rPr>
            </w:pPr>
            <w:r>
              <w:rPr>
                <w:b/>
                <w:sz w:val="16"/>
              </w:rPr>
              <w:t>33</w:t>
            </w:r>
          </w:p>
        </w:tc>
      </w:tr>
    </w:tbl>
    <w:p>
      <w:pPr>
        <w:pStyle w:val="BodyText"/>
        <w:rPr>
          <w:sz w:val="13"/>
        </w:rPr>
      </w:pPr>
    </w:p>
    <w:p>
      <w:pPr>
        <w:spacing w:before="0"/>
        <w:ind w:left="2226" w:right="0" w:firstLine="0"/>
        <w:jc w:val="left"/>
        <w:rPr>
          <w:sz w:val="12"/>
        </w:rPr>
      </w:pPr>
      <w:r>
        <w:rPr>
          <w:sz w:val="12"/>
        </w:rPr>
        <w:t>FUENTE:      Elaboración propia con base en:</w:t>
      </w:r>
    </w:p>
    <w:p>
      <w:pPr>
        <w:spacing w:line="264" w:lineRule="auto" w:before="13"/>
        <w:ind w:left="2934" w:right="1143" w:firstLine="0"/>
        <w:jc w:val="left"/>
        <w:rPr>
          <w:sz w:val="12"/>
        </w:rPr>
      </w:pPr>
      <w:r>
        <w:rPr>
          <w:sz w:val="12"/>
        </w:rPr>
        <w:t>IMCO, Índice de Competitividad Internacional 2011, más allá de los BRICS, pp. 26-27 Disponible en: </w:t>
      </w:r>
      <w:hyperlink r:id="rId90">
        <w:r>
          <w:rPr>
            <w:sz w:val="12"/>
          </w:rPr>
          <w:t>http://imco.org.mx/images/pdf/Indice-de-Competitividad-Internacional-2011.pdf</w:t>
        </w:r>
      </w:hyperlink>
      <w:r>
        <w:rPr>
          <w:sz w:val="12"/>
        </w:rPr>
        <w:t> [Fecha de consulta: 20 de julio, 2015]</w:t>
      </w:r>
    </w:p>
    <w:p>
      <w:pPr>
        <w:pStyle w:val="BodyText"/>
        <w:rPr>
          <w:sz w:val="12"/>
        </w:rPr>
      </w:pPr>
    </w:p>
    <w:p>
      <w:pPr>
        <w:pStyle w:val="BodyText"/>
        <w:rPr>
          <w:sz w:val="11"/>
        </w:rPr>
      </w:pPr>
    </w:p>
    <w:p>
      <w:pPr>
        <w:pStyle w:val="BodyText"/>
        <w:spacing w:line="360" w:lineRule="auto"/>
        <w:ind w:left="102" w:right="119" w:firstLine="427"/>
        <w:jc w:val="both"/>
        <w:rPr>
          <w:i/>
        </w:rPr>
      </w:pPr>
      <w:r>
        <w:rPr/>
        <w:t>El</w:t>
      </w:r>
      <w:r>
        <w:rPr>
          <w:spacing w:val="-14"/>
        </w:rPr>
        <w:t> </w:t>
      </w:r>
      <w:r>
        <w:rPr/>
        <w:t>principal</w:t>
      </w:r>
      <w:r>
        <w:rPr>
          <w:spacing w:val="-17"/>
        </w:rPr>
        <w:t> </w:t>
      </w:r>
      <w:r>
        <w:rPr/>
        <w:t>socio</w:t>
      </w:r>
      <w:r>
        <w:rPr>
          <w:spacing w:val="-16"/>
        </w:rPr>
        <w:t> </w:t>
      </w:r>
      <w:r>
        <w:rPr/>
        <w:t>comercial</w:t>
      </w:r>
      <w:r>
        <w:rPr>
          <w:spacing w:val="-14"/>
        </w:rPr>
        <w:t> </w:t>
      </w:r>
      <w:r>
        <w:rPr/>
        <w:t>de</w:t>
      </w:r>
      <w:r>
        <w:rPr>
          <w:spacing w:val="-13"/>
        </w:rPr>
        <w:t> </w:t>
      </w:r>
      <w:r>
        <w:rPr/>
        <w:t>México</w:t>
      </w:r>
      <w:r>
        <w:rPr>
          <w:spacing w:val="-13"/>
        </w:rPr>
        <w:t> </w:t>
      </w:r>
      <w:r>
        <w:rPr/>
        <w:t>(Estados</w:t>
      </w:r>
      <w:r>
        <w:rPr>
          <w:spacing w:val="-14"/>
        </w:rPr>
        <w:t> </w:t>
      </w:r>
      <w:r>
        <w:rPr/>
        <w:t>Unidos)</w:t>
      </w:r>
      <w:r>
        <w:rPr>
          <w:spacing w:val="-15"/>
        </w:rPr>
        <w:t> </w:t>
      </w:r>
      <w:r>
        <w:rPr/>
        <w:t>es</w:t>
      </w:r>
      <w:r>
        <w:rPr>
          <w:spacing w:val="-16"/>
        </w:rPr>
        <w:t> </w:t>
      </w:r>
      <w:r>
        <w:rPr/>
        <w:t>el</w:t>
      </w:r>
      <w:r>
        <w:rPr>
          <w:spacing w:val="-17"/>
        </w:rPr>
        <w:t> </w:t>
      </w:r>
      <w:r>
        <w:rPr/>
        <w:t>mejor</w:t>
      </w:r>
      <w:r>
        <w:rPr>
          <w:spacing w:val="-19"/>
        </w:rPr>
        <w:t> </w:t>
      </w:r>
      <w:r>
        <w:rPr/>
        <w:t>posicionado entre los 5 países estudiados. El IMCO señaló que México ha logrado avances importantes en: “sofisticación e innovación de los sectores económicos” y en “gobiernos</w:t>
      </w:r>
      <w:r>
        <w:rPr>
          <w:spacing w:val="-15"/>
        </w:rPr>
        <w:t> </w:t>
      </w:r>
      <w:r>
        <w:rPr/>
        <w:t>eficientes</w:t>
      </w:r>
      <w:r>
        <w:rPr>
          <w:spacing w:val="-15"/>
        </w:rPr>
        <w:t> </w:t>
      </w:r>
      <w:r>
        <w:rPr/>
        <w:t>y</w:t>
      </w:r>
      <w:r>
        <w:rPr>
          <w:spacing w:val="-17"/>
        </w:rPr>
        <w:t> </w:t>
      </w:r>
      <w:r>
        <w:rPr/>
        <w:t>eficaces”</w:t>
      </w:r>
      <w:r>
        <w:rPr>
          <w:spacing w:val="-18"/>
        </w:rPr>
        <w:t> </w:t>
      </w:r>
      <w:r>
        <w:rPr/>
        <w:t>por</w:t>
      </w:r>
      <w:r>
        <w:rPr>
          <w:spacing w:val="-18"/>
        </w:rPr>
        <w:t> </w:t>
      </w:r>
      <w:r>
        <w:rPr/>
        <w:t>mantener</w:t>
      </w:r>
      <w:r>
        <w:rPr>
          <w:spacing w:val="-18"/>
        </w:rPr>
        <w:t> </w:t>
      </w:r>
      <w:r>
        <w:rPr/>
        <w:t>el</w:t>
      </w:r>
      <w:r>
        <w:rPr>
          <w:spacing w:val="-18"/>
        </w:rPr>
        <w:t> </w:t>
      </w:r>
      <w:r>
        <w:rPr/>
        <w:t>balance</w:t>
      </w:r>
      <w:r>
        <w:rPr>
          <w:spacing w:val="-17"/>
        </w:rPr>
        <w:t> </w:t>
      </w:r>
      <w:r>
        <w:rPr/>
        <w:t>presupuestal</w:t>
      </w:r>
      <w:r>
        <w:rPr>
          <w:spacing w:val="-15"/>
        </w:rPr>
        <w:t> </w:t>
      </w:r>
      <w:r>
        <w:rPr/>
        <w:t>en</w:t>
      </w:r>
      <w:r>
        <w:rPr>
          <w:spacing w:val="-16"/>
        </w:rPr>
        <w:t> </w:t>
      </w:r>
      <w:r>
        <w:rPr/>
        <w:t>el</w:t>
      </w:r>
      <w:r>
        <w:rPr>
          <w:spacing w:val="-18"/>
        </w:rPr>
        <w:t> </w:t>
      </w:r>
      <w:r>
        <w:rPr/>
        <w:t>periodo de estudio; pero los subíndices en los que México ha retrocedido son: “sistema político</w:t>
      </w:r>
      <w:r>
        <w:rPr>
          <w:spacing w:val="-9"/>
        </w:rPr>
        <w:t> </w:t>
      </w:r>
      <w:r>
        <w:rPr/>
        <w:t>estable</w:t>
      </w:r>
      <w:r>
        <w:rPr>
          <w:spacing w:val="-12"/>
        </w:rPr>
        <w:t> </w:t>
      </w:r>
      <w:r>
        <w:rPr/>
        <w:t>y</w:t>
      </w:r>
      <w:r>
        <w:rPr>
          <w:spacing w:val="-13"/>
        </w:rPr>
        <w:t> </w:t>
      </w:r>
      <w:r>
        <w:rPr/>
        <w:t>funcional”,</w:t>
      </w:r>
      <w:r>
        <w:rPr>
          <w:spacing w:val="-10"/>
        </w:rPr>
        <w:t> </w:t>
      </w:r>
      <w:r>
        <w:rPr/>
        <w:t>“manejo</w:t>
      </w:r>
      <w:r>
        <w:rPr>
          <w:spacing w:val="-12"/>
        </w:rPr>
        <w:t> </w:t>
      </w:r>
      <w:r>
        <w:rPr/>
        <w:t>sustentable</w:t>
      </w:r>
      <w:r>
        <w:rPr>
          <w:spacing w:val="-12"/>
        </w:rPr>
        <w:t> </w:t>
      </w:r>
      <w:r>
        <w:rPr/>
        <w:t>del</w:t>
      </w:r>
      <w:r>
        <w:rPr>
          <w:spacing w:val="-13"/>
        </w:rPr>
        <w:t> </w:t>
      </w:r>
      <w:r>
        <w:rPr/>
        <w:t>medio</w:t>
      </w:r>
      <w:r>
        <w:rPr>
          <w:spacing w:val="-12"/>
        </w:rPr>
        <w:t> </w:t>
      </w:r>
      <w:r>
        <w:rPr/>
        <w:t>ambiente”</w:t>
      </w:r>
      <w:r>
        <w:rPr>
          <w:spacing w:val="-11"/>
        </w:rPr>
        <w:t> </w:t>
      </w:r>
      <w:r>
        <w:rPr/>
        <w:t>y</w:t>
      </w:r>
      <w:r>
        <w:rPr>
          <w:spacing w:val="-13"/>
        </w:rPr>
        <w:t> </w:t>
      </w:r>
      <w:r>
        <w:rPr/>
        <w:t>“sistema</w:t>
      </w:r>
      <w:r>
        <w:rPr>
          <w:spacing w:val="-12"/>
        </w:rPr>
        <w:t> </w:t>
      </w:r>
      <w:r>
        <w:rPr/>
        <w:t>de derecho confiable y objetivo”, este último por la independencia del Poder Judicial, resultado relacionado con el del indicador líder </w:t>
      </w:r>
      <w:r>
        <w:rPr>
          <w:i/>
        </w:rPr>
        <w:t>Indicadores Mundiales de </w:t>
      </w:r>
      <w:r>
        <w:rPr>
          <w:i/>
        </w:rPr>
        <w:t>Gobernabilidad.</w:t>
      </w:r>
    </w:p>
    <w:p>
      <w:pPr>
        <w:pStyle w:val="BodyText"/>
        <w:rPr>
          <w:i/>
        </w:rPr>
      </w:pPr>
    </w:p>
    <w:p>
      <w:pPr>
        <w:spacing w:before="142"/>
        <w:ind w:left="102" w:right="0" w:firstLine="0"/>
        <w:jc w:val="both"/>
        <w:rPr>
          <w:i/>
          <w:sz w:val="24"/>
        </w:rPr>
      </w:pPr>
      <w:r>
        <w:rPr>
          <w:i/>
          <w:sz w:val="24"/>
        </w:rPr>
        <w:t>Buen Gobierno</w:t>
      </w:r>
    </w:p>
    <w:p>
      <w:pPr>
        <w:pStyle w:val="BodyText"/>
        <w:spacing w:before="4"/>
        <w:rPr>
          <w:i/>
          <w:sz w:val="29"/>
        </w:rPr>
      </w:pPr>
    </w:p>
    <w:p>
      <w:pPr>
        <w:pStyle w:val="ListParagraph"/>
        <w:numPr>
          <w:ilvl w:val="0"/>
          <w:numId w:val="40"/>
        </w:numPr>
        <w:tabs>
          <w:tab w:pos="383" w:val="left" w:leader="none"/>
        </w:tabs>
        <w:spacing w:line="240" w:lineRule="auto" w:before="1" w:after="0"/>
        <w:ind w:left="382" w:right="0" w:hanging="280"/>
        <w:jc w:val="both"/>
        <w:rPr>
          <w:i/>
          <w:sz w:val="24"/>
        </w:rPr>
      </w:pPr>
      <w:r>
        <w:rPr>
          <w:i/>
          <w:sz w:val="24"/>
        </w:rPr>
        <w:t>Participación en Elecciones,</w:t>
      </w:r>
      <w:r>
        <w:rPr>
          <w:i/>
          <w:spacing w:val="-9"/>
          <w:sz w:val="24"/>
        </w:rPr>
        <w:t> </w:t>
      </w:r>
      <w:r>
        <w:rPr>
          <w:i/>
          <w:sz w:val="24"/>
        </w:rPr>
        <w:t>2011</w:t>
      </w:r>
    </w:p>
    <w:p>
      <w:pPr>
        <w:pStyle w:val="BodyText"/>
        <w:spacing w:before="7"/>
        <w:rPr>
          <w:i/>
          <w:sz w:val="29"/>
        </w:rPr>
      </w:pPr>
    </w:p>
    <w:p>
      <w:pPr>
        <w:pStyle w:val="BodyText"/>
        <w:spacing w:line="360" w:lineRule="auto"/>
        <w:ind w:left="102" w:right="117"/>
        <w:jc w:val="both"/>
      </w:pPr>
      <w:r>
        <w:rPr/>
        <w:t>La medición de la participación de los ciudadanos en los procesos electorales es presentada por la OCDE en el informe bienal </w:t>
      </w:r>
      <w:r>
        <w:rPr>
          <w:i/>
        </w:rPr>
        <w:t>Society at a Glance 2011, OECD </w:t>
      </w:r>
      <w:r>
        <w:rPr>
          <w:i/>
        </w:rPr>
        <w:t>Social Indicators </w:t>
      </w:r>
      <w:r>
        <w:rPr/>
        <w:t>(Un Vistazo a la Sociedad 2011, Indicadores Sociales OCDE). La participación de 59% del electorado en México es mayor que la de Estados Unidos (48%), y mostró un avance del 9% respecto de los comicios de 1980.</w:t>
      </w:r>
    </w:p>
    <w:p>
      <w:pPr>
        <w:pStyle w:val="BodyText"/>
        <w:spacing w:line="360" w:lineRule="auto" w:before="2"/>
        <w:ind w:left="102" w:right="116" w:firstLine="427"/>
        <w:jc w:val="both"/>
      </w:pPr>
      <w:r>
        <w:rPr/>
        <w:t>Como integrantes de la OCDE, sólo México, España, Luxemburgo y Australia mostraron avances en participación; y los 30 países restantes disminuyeron. De acuerdo con la organización, esta disminución podría ser un indicativo de la insatisfacción ciudadana con su Estado.</w:t>
      </w:r>
    </w:p>
    <w:p>
      <w:pPr>
        <w:spacing w:after="0" w:line="360" w:lineRule="auto"/>
        <w:jc w:val="both"/>
        <w:sectPr>
          <w:pgSz w:w="12240" w:h="15840"/>
          <w:pgMar w:header="0" w:footer="1003" w:top="1360" w:bottom="1200" w:left="1600" w:right="1580"/>
        </w:sectPr>
      </w:pPr>
    </w:p>
    <w:p>
      <w:pPr>
        <w:pStyle w:val="BodyText"/>
        <w:spacing w:before="4"/>
        <w:rPr>
          <w:sz w:val="22"/>
        </w:rPr>
      </w:pPr>
    </w:p>
    <w:p>
      <w:pPr>
        <w:spacing w:before="74"/>
        <w:ind w:left="2425" w:right="0" w:firstLine="0"/>
        <w:jc w:val="left"/>
        <w:rPr>
          <w:sz w:val="20"/>
        </w:rPr>
      </w:pPr>
      <w:bookmarkStart w:name="_bookmark36" w:id="47"/>
      <w:bookmarkEnd w:id="47"/>
      <w:r>
        <w:rPr/>
      </w:r>
      <w:r>
        <w:rPr>
          <w:sz w:val="20"/>
        </w:rPr>
        <w:t>Cuadro 1.12. Participación en elecciones, 2011</w:t>
      </w:r>
    </w:p>
    <w:p>
      <w:pPr>
        <w:pStyle w:val="BodyText"/>
        <w:spacing w:before="4"/>
        <w:rPr>
          <w:sz w:val="17"/>
        </w:rPr>
      </w:pPr>
    </w:p>
    <w:tbl>
      <w:tblPr>
        <w:tblW w:w="0" w:type="auto"/>
        <w:jc w:val="left"/>
        <w:tblInd w:w="2197" w:type="dxa"/>
        <w:tblBorders>
          <w:top w:val="single" w:sz="12" w:space="0" w:color="D9D9D9"/>
          <w:left w:val="single" w:sz="12" w:space="0" w:color="D9D9D9"/>
          <w:bottom w:val="single" w:sz="12" w:space="0" w:color="D9D9D9"/>
          <w:right w:val="single" w:sz="12" w:space="0" w:color="D9D9D9"/>
          <w:insideH w:val="single" w:sz="12" w:space="0" w:color="D9D9D9"/>
          <w:insideV w:val="single" w:sz="12" w:space="0" w:color="D9D9D9"/>
        </w:tblBorders>
        <w:tblLayout w:type="fixed"/>
        <w:tblCellMar>
          <w:top w:w="0" w:type="dxa"/>
          <w:left w:w="0" w:type="dxa"/>
          <w:bottom w:w="0" w:type="dxa"/>
          <w:right w:w="0" w:type="dxa"/>
        </w:tblCellMar>
        <w:tblLook w:val="01E0"/>
      </w:tblPr>
      <w:tblGrid>
        <w:gridCol w:w="1717"/>
        <w:gridCol w:w="1013"/>
        <w:gridCol w:w="1145"/>
        <w:gridCol w:w="744"/>
      </w:tblGrid>
      <w:tr>
        <w:trPr>
          <w:trHeight w:val="331" w:hRule="exact"/>
        </w:trPr>
        <w:tc>
          <w:tcPr>
            <w:tcW w:w="1717" w:type="dxa"/>
            <w:vMerge w:val="restart"/>
          </w:tcPr>
          <w:p>
            <w:pPr>
              <w:pStyle w:val="TableParagraph"/>
              <w:spacing w:before="10"/>
              <w:rPr>
                <w:sz w:val="18"/>
              </w:rPr>
            </w:pPr>
          </w:p>
          <w:p>
            <w:pPr>
              <w:pStyle w:val="TableParagraph"/>
              <w:ind w:left="660" w:right="657"/>
              <w:jc w:val="center"/>
              <w:rPr>
                <w:b/>
                <w:sz w:val="16"/>
              </w:rPr>
            </w:pPr>
            <w:r>
              <w:rPr>
                <w:b/>
                <w:sz w:val="16"/>
              </w:rPr>
              <w:t>País</w:t>
            </w:r>
          </w:p>
        </w:tc>
        <w:tc>
          <w:tcPr>
            <w:tcW w:w="1013" w:type="dxa"/>
            <w:vMerge w:val="restart"/>
          </w:tcPr>
          <w:p>
            <w:pPr>
              <w:pStyle w:val="TableParagraph"/>
              <w:spacing w:before="10"/>
              <w:rPr>
                <w:sz w:val="18"/>
              </w:rPr>
            </w:pPr>
          </w:p>
          <w:p>
            <w:pPr>
              <w:pStyle w:val="TableParagraph"/>
              <w:ind w:left="156"/>
              <w:rPr>
                <w:b/>
                <w:sz w:val="16"/>
              </w:rPr>
            </w:pPr>
            <w:r>
              <w:rPr>
                <w:b/>
                <w:sz w:val="16"/>
              </w:rPr>
              <w:t>Posición</w:t>
            </w:r>
          </w:p>
        </w:tc>
        <w:tc>
          <w:tcPr>
            <w:tcW w:w="1889" w:type="dxa"/>
            <w:gridSpan w:val="2"/>
          </w:tcPr>
          <w:p>
            <w:pPr>
              <w:pStyle w:val="TableParagraph"/>
              <w:spacing w:before="54"/>
              <w:ind w:left="520"/>
              <w:rPr>
                <w:b/>
                <w:sz w:val="16"/>
              </w:rPr>
            </w:pPr>
            <w:r>
              <w:rPr>
                <w:b/>
                <w:sz w:val="16"/>
              </w:rPr>
              <w:t>Porcentaje</w:t>
            </w:r>
          </w:p>
        </w:tc>
      </w:tr>
      <w:tr>
        <w:trPr>
          <w:trHeight w:val="329" w:hRule="exact"/>
        </w:trPr>
        <w:tc>
          <w:tcPr>
            <w:tcW w:w="1717" w:type="dxa"/>
            <w:vMerge/>
          </w:tcPr>
          <w:p>
            <w:pPr/>
          </w:p>
        </w:tc>
        <w:tc>
          <w:tcPr>
            <w:tcW w:w="1013" w:type="dxa"/>
            <w:vMerge/>
          </w:tcPr>
          <w:p>
            <w:pPr/>
          </w:p>
        </w:tc>
        <w:tc>
          <w:tcPr>
            <w:tcW w:w="1145" w:type="dxa"/>
          </w:tcPr>
          <w:p>
            <w:pPr>
              <w:pStyle w:val="TableParagraph"/>
              <w:spacing w:before="51"/>
              <w:ind w:left="36" w:right="35"/>
              <w:jc w:val="center"/>
              <w:rPr>
                <w:b/>
                <w:sz w:val="16"/>
              </w:rPr>
            </w:pPr>
            <w:r>
              <w:rPr>
                <w:b/>
                <w:sz w:val="16"/>
              </w:rPr>
              <w:t>Participación</w:t>
            </w:r>
          </w:p>
        </w:tc>
        <w:tc>
          <w:tcPr>
            <w:tcW w:w="744" w:type="dxa"/>
          </w:tcPr>
          <w:p>
            <w:pPr>
              <w:pStyle w:val="TableParagraph"/>
              <w:spacing w:before="51"/>
              <w:ind w:left="45" w:right="43"/>
              <w:jc w:val="center"/>
              <w:rPr>
                <w:b/>
                <w:sz w:val="16"/>
              </w:rPr>
            </w:pPr>
            <w:r>
              <w:rPr>
                <w:b/>
                <w:sz w:val="16"/>
              </w:rPr>
              <w:t>Cambio</w:t>
            </w:r>
          </w:p>
        </w:tc>
      </w:tr>
      <w:tr>
        <w:trPr>
          <w:trHeight w:val="226" w:hRule="exact"/>
        </w:trPr>
        <w:tc>
          <w:tcPr>
            <w:tcW w:w="1717" w:type="dxa"/>
          </w:tcPr>
          <w:p>
            <w:pPr>
              <w:pStyle w:val="TableParagraph"/>
              <w:spacing w:before="8"/>
              <w:ind w:left="55"/>
              <w:rPr>
                <w:sz w:val="16"/>
              </w:rPr>
            </w:pPr>
            <w:r>
              <w:rPr>
                <w:sz w:val="16"/>
              </w:rPr>
              <w:t>Australia</w:t>
            </w:r>
          </w:p>
        </w:tc>
        <w:tc>
          <w:tcPr>
            <w:tcW w:w="1013" w:type="dxa"/>
          </w:tcPr>
          <w:p>
            <w:pPr>
              <w:pStyle w:val="TableParagraph"/>
              <w:spacing w:before="8"/>
              <w:jc w:val="center"/>
              <w:rPr>
                <w:sz w:val="16"/>
              </w:rPr>
            </w:pPr>
            <w:r>
              <w:rPr>
                <w:w w:val="100"/>
                <w:sz w:val="16"/>
              </w:rPr>
              <w:t>1</w:t>
            </w:r>
          </w:p>
        </w:tc>
        <w:tc>
          <w:tcPr>
            <w:tcW w:w="1145" w:type="dxa"/>
          </w:tcPr>
          <w:p>
            <w:pPr>
              <w:pStyle w:val="TableParagraph"/>
              <w:spacing w:before="8"/>
              <w:ind w:left="35" w:right="35"/>
              <w:jc w:val="center"/>
              <w:rPr>
                <w:sz w:val="16"/>
              </w:rPr>
            </w:pPr>
            <w:r>
              <w:rPr>
                <w:sz w:val="16"/>
              </w:rPr>
              <w:t>95</w:t>
            </w:r>
          </w:p>
        </w:tc>
        <w:tc>
          <w:tcPr>
            <w:tcW w:w="744" w:type="dxa"/>
          </w:tcPr>
          <w:p>
            <w:pPr>
              <w:pStyle w:val="TableParagraph"/>
              <w:spacing w:before="8"/>
              <w:ind w:right="1"/>
              <w:jc w:val="center"/>
              <w:rPr>
                <w:sz w:val="16"/>
              </w:rPr>
            </w:pPr>
            <w:r>
              <w:rPr>
                <w:w w:val="100"/>
                <w:sz w:val="16"/>
              </w:rPr>
              <w:t>1</w:t>
            </w:r>
          </w:p>
        </w:tc>
      </w:tr>
      <w:tr>
        <w:trPr>
          <w:trHeight w:val="214" w:hRule="exact"/>
        </w:trPr>
        <w:tc>
          <w:tcPr>
            <w:tcW w:w="1717" w:type="dxa"/>
          </w:tcPr>
          <w:p>
            <w:pPr>
              <w:pStyle w:val="TableParagraph"/>
              <w:spacing w:line="180" w:lineRule="exact"/>
              <w:ind w:left="55"/>
              <w:rPr>
                <w:sz w:val="16"/>
              </w:rPr>
            </w:pPr>
            <w:r>
              <w:rPr>
                <w:sz w:val="16"/>
              </w:rPr>
              <w:t>Luxemburgo</w:t>
            </w:r>
          </w:p>
        </w:tc>
        <w:tc>
          <w:tcPr>
            <w:tcW w:w="1013" w:type="dxa"/>
          </w:tcPr>
          <w:p>
            <w:pPr>
              <w:pStyle w:val="TableParagraph"/>
              <w:spacing w:line="180" w:lineRule="exact"/>
              <w:jc w:val="center"/>
              <w:rPr>
                <w:sz w:val="16"/>
              </w:rPr>
            </w:pPr>
            <w:r>
              <w:rPr>
                <w:w w:val="100"/>
                <w:sz w:val="16"/>
              </w:rPr>
              <w:t>2</w:t>
            </w:r>
          </w:p>
        </w:tc>
        <w:tc>
          <w:tcPr>
            <w:tcW w:w="1145" w:type="dxa"/>
          </w:tcPr>
          <w:p>
            <w:pPr>
              <w:pStyle w:val="TableParagraph"/>
              <w:spacing w:line="180" w:lineRule="exact"/>
              <w:ind w:left="35" w:right="35"/>
              <w:jc w:val="center"/>
              <w:rPr>
                <w:sz w:val="16"/>
              </w:rPr>
            </w:pPr>
            <w:r>
              <w:rPr>
                <w:sz w:val="16"/>
              </w:rPr>
              <w:t>92</w:t>
            </w:r>
          </w:p>
        </w:tc>
        <w:tc>
          <w:tcPr>
            <w:tcW w:w="744" w:type="dxa"/>
          </w:tcPr>
          <w:p>
            <w:pPr>
              <w:pStyle w:val="TableParagraph"/>
              <w:spacing w:line="180" w:lineRule="exact"/>
              <w:ind w:right="1"/>
              <w:jc w:val="center"/>
              <w:rPr>
                <w:sz w:val="16"/>
              </w:rPr>
            </w:pPr>
            <w:r>
              <w:rPr>
                <w:w w:val="100"/>
                <w:sz w:val="16"/>
              </w:rPr>
              <w:t>3</w:t>
            </w:r>
          </w:p>
        </w:tc>
      </w:tr>
      <w:tr>
        <w:trPr>
          <w:trHeight w:val="214" w:hRule="exact"/>
        </w:trPr>
        <w:tc>
          <w:tcPr>
            <w:tcW w:w="1717" w:type="dxa"/>
          </w:tcPr>
          <w:p>
            <w:pPr>
              <w:pStyle w:val="TableParagraph"/>
              <w:spacing w:line="180" w:lineRule="exact"/>
              <w:ind w:left="55"/>
              <w:rPr>
                <w:sz w:val="16"/>
              </w:rPr>
            </w:pPr>
            <w:r>
              <w:rPr>
                <w:sz w:val="16"/>
              </w:rPr>
              <w:t>Bélgica</w:t>
            </w:r>
          </w:p>
        </w:tc>
        <w:tc>
          <w:tcPr>
            <w:tcW w:w="1013" w:type="dxa"/>
          </w:tcPr>
          <w:p>
            <w:pPr>
              <w:pStyle w:val="TableParagraph"/>
              <w:spacing w:line="180" w:lineRule="exact"/>
              <w:jc w:val="center"/>
              <w:rPr>
                <w:sz w:val="16"/>
              </w:rPr>
            </w:pPr>
            <w:r>
              <w:rPr>
                <w:w w:val="100"/>
                <w:sz w:val="16"/>
              </w:rPr>
              <w:t>3</w:t>
            </w:r>
          </w:p>
        </w:tc>
        <w:tc>
          <w:tcPr>
            <w:tcW w:w="1145" w:type="dxa"/>
          </w:tcPr>
          <w:p>
            <w:pPr>
              <w:pStyle w:val="TableParagraph"/>
              <w:spacing w:line="180" w:lineRule="exact"/>
              <w:ind w:left="35" w:right="35"/>
              <w:jc w:val="center"/>
              <w:rPr>
                <w:sz w:val="16"/>
              </w:rPr>
            </w:pPr>
            <w:r>
              <w:rPr>
                <w:sz w:val="16"/>
              </w:rPr>
              <w:t>91</w:t>
            </w:r>
          </w:p>
        </w:tc>
        <w:tc>
          <w:tcPr>
            <w:tcW w:w="744" w:type="dxa"/>
          </w:tcPr>
          <w:p>
            <w:pPr>
              <w:pStyle w:val="TableParagraph"/>
              <w:spacing w:line="180" w:lineRule="exact"/>
              <w:ind w:left="42" w:right="43"/>
              <w:jc w:val="center"/>
              <w:rPr>
                <w:sz w:val="16"/>
              </w:rPr>
            </w:pPr>
            <w:r>
              <w:rPr>
                <w:sz w:val="16"/>
              </w:rPr>
              <w:t>-3</w:t>
            </w:r>
          </w:p>
        </w:tc>
      </w:tr>
      <w:tr>
        <w:trPr>
          <w:trHeight w:val="214" w:hRule="exact"/>
        </w:trPr>
        <w:tc>
          <w:tcPr>
            <w:tcW w:w="1717" w:type="dxa"/>
          </w:tcPr>
          <w:p>
            <w:pPr>
              <w:pStyle w:val="TableParagraph"/>
              <w:spacing w:line="183" w:lineRule="exact"/>
              <w:ind w:left="55"/>
              <w:rPr>
                <w:sz w:val="16"/>
              </w:rPr>
            </w:pPr>
            <w:r>
              <w:rPr>
                <w:sz w:val="16"/>
              </w:rPr>
              <w:t>Alemania</w:t>
            </w:r>
          </w:p>
        </w:tc>
        <w:tc>
          <w:tcPr>
            <w:tcW w:w="1013" w:type="dxa"/>
          </w:tcPr>
          <w:p>
            <w:pPr>
              <w:pStyle w:val="TableParagraph"/>
              <w:spacing w:line="183" w:lineRule="exact"/>
              <w:ind w:left="381" w:right="384"/>
              <w:jc w:val="center"/>
              <w:rPr>
                <w:sz w:val="16"/>
              </w:rPr>
            </w:pPr>
            <w:r>
              <w:rPr>
                <w:sz w:val="16"/>
              </w:rPr>
              <w:t>13</w:t>
            </w:r>
          </w:p>
        </w:tc>
        <w:tc>
          <w:tcPr>
            <w:tcW w:w="1145" w:type="dxa"/>
          </w:tcPr>
          <w:p>
            <w:pPr>
              <w:pStyle w:val="TableParagraph"/>
              <w:spacing w:line="183" w:lineRule="exact"/>
              <w:ind w:left="35" w:right="35"/>
              <w:jc w:val="center"/>
              <w:rPr>
                <w:sz w:val="16"/>
              </w:rPr>
            </w:pPr>
            <w:r>
              <w:rPr>
                <w:sz w:val="16"/>
              </w:rPr>
              <w:t>78</w:t>
            </w:r>
          </w:p>
        </w:tc>
        <w:tc>
          <w:tcPr>
            <w:tcW w:w="744" w:type="dxa"/>
          </w:tcPr>
          <w:p>
            <w:pPr>
              <w:pStyle w:val="TableParagraph"/>
              <w:spacing w:line="183" w:lineRule="exact"/>
              <w:ind w:left="43" w:right="43"/>
              <w:jc w:val="center"/>
              <w:rPr>
                <w:sz w:val="16"/>
              </w:rPr>
            </w:pPr>
            <w:r>
              <w:rPr>
                <w:sz w:val="16"/>
              </w:rPr>
              <w:t>-11</w:t>
            </w:r>
          </w:p>
        </w:tc>
      </w:tr>
      <w:tr>
        <w:trPr>
          <w:trHeight w:val="214" w:hRule="exact"/>
        </w:trPr>
        <w:tc>
          <w:tcPr>
            <w:tcW w:w="1717" w:type="dxa"/>
          </w:tcPr>
          <w:p>
            <w:pPr>
              <w:pStyle w:val="TableParagraph"/>
              <w:spacing w:line="183" w:lineRule="exact"/>
              <w:ind w:left="55"/>
              <w:rPr>
                <w:sz w:val="16"/>
              </w:rPr>
            </w:pPr>
            <w:r>
              <w:rPr>
                <w:sz w:val="16"/>
              </w:rPr>
              <w:t>España</w:t>
            </w:r>
          </w:p>
        </w:tc>
        <w:tc>
          <w:tcPr>
            <w:tcW w:w="1013" w:type="dxa"/>
          </w:tcPr>
          <w:p>
            <w:pPr>
              <w:pStyle w:val="TableParagraph"/>
              <w:spacing w:line="183" w:lineRule="exact"/>
              <w:ind w:left="381" w:right="384"/>
              <w:jc w:val="center"/>
              <w:rPr>
                <w:sz w:val="16"/>
              </w:rPr>
            </w:pPr>
            <w:r>
              <w:rPr>
                <w:sz w:val="16"/>
              </w:rPr>
              <w:t>15</w:t>
            </w:r>
          </w:p>
        </w:tc>
        <w:tc>
          <w:tcPr>
            <w:tcW w:w="1145" w:type="dxa"/>
          </w:tcPr>
          <w:p>
            <w:pPr>
              <w:pStyle w:val="TableParagraph"/>
              <w:spacing w:line="183" w:lineRule="exact"/>
              <w:ind w:left="35" w:right="35"/>
              <w:jc w:val="center"/>
              <w:rPr>
                <w:sz w:val="16"/>
              </w:rPr>
            </w:pPr>
            <w:r>
              <w:rPr>
                <w:sz w:val="16"/>
              </w:rPr>
              <w:t>75</w:t>
            </w:r>
          </w:p>
        </w:tc>
        <w:tc>
          <w:tcPr>
            <w:tcW w:w="744" w:type="dxa"/>
          </w:tcPr>
          <w:p>
            <w:pPr>
              <w:pStyle w:val="TableParagraph"/>
              <w:spacing w:line="183" w:lineRule="exact"/>
              <w:ind w:right="1"/>
              <w:jc w:val="center"/>
              <w:rPr>
                <w:sz w:val="16"/>
              </w:rPr>
            </w:pPr>
            <w:r>
              <w:rPr>
                <w:w w:val="100"/>
                <w:sz w:val="16"/>
              </w:rPr>
              <w:t>7</w:t>
            </w:r>
          </w:p>
        </w:tc>
      </w:tr>
      <w:tr>
        <w:trPr>
          <w:trHeight w:val="216" w:hRule="exact"/>
        </w:trPr>
        <w:tc>
          <w:tcPr>
            <w:tcW w:w="1717" w:type="dxa"/>
          </w:tcPr>
          <w:p>
            <w:pPr>
              <w:pStyle w:val="TableParagraph"/>
              <w:spacing w:line="183" w:lineRule="exact"/>
              <w:ind w:left="55"/>
              <w:rPr>
                <w:sz w:val="16"/>
              </w:rPr>
            </w:pPr>
            <w:r>
              <w:rPr>
                <w:sz w:val="16"/>
              </w:rPr>
              <w:t>Reino Unido</w:t>
            </w:r>
          </w:p>
        </w:tc>
        <w:tc>
          <w:tcPr>
            <w:tcW w:w="1013" w:type="dxa"/>
          </w:tcPr>
          <w:p>
            <w:pPr>
              <w:pStyle w:val="TableParagraph"/>
              <w:spacing w:line="183" w:lineRule="exact"/>
              <w:ind w:left="381" w:right="384"/>
              <w:jc w:val="center"/>
              <w:rPr>
                <w:sz w:val="16"/>
              </w:rPr>
            </w:pPr>
            <w:r>
              <w:rPr>
                <w:sz w:val="16"/>
              </w:rPr>
              <w:t>25</w:t>
            </w:r>
          </w:p>
        </w:tc>
        <w:tc>
          <w:tcPr>
            <w:tcW w:w="1145" w:type="dxa"/>
          </w:tcPr>
          <w:p>
            <w:pPr>
              <w:pStyle w:val="TableParagraph"/>
              <w:spacing w:line="183" w:lineRule="exact"/>
              <w:ind w:left="35" w:right="35"/>
              <w:jc w:val="center"/>
              <w:rPr>
                <w:sz w:val="16"/>
              </w:rPr>
            </w:pPr>
            <w:r>
              <w:rPr>
                <w:sz w:val="16"/>
              </w:rPr>
              <w:t>61</w:t>
            </w:r>
          </w:p>
        </w:tc>
        <w:tc>
          <w:tcPr>
            <w:tcW w:w="744" w:type="dxa"/>
          </w:tcPr>
          <w:p>
            <w:pPr>
              <w:pStyle w:val="TableParagraph"/>
              <w:spacing w:line="183" w:lineRule="exact"/>
              <w:ind w:left="43" w:right="43"/>
              <w:jc w:val="center"/>
              <w:rPr>
                <w:sz w:val="16"/>
              </w:rPr>
            </w:pPr>
            <w:r>
              <w:rPr>
                <w:sz w:val="16"/>
              </w:rPr>
              <w:t>-15</w:t>
            </w:r>
          </w:p>
        </w:tc>
      </w:tr>
      <w:tr>
        <w:trPr>
          <w:trHeight w:val="214" w:hRule="exact"/>
        </w:trPr>
        <w:tc>
          <w:tcPr>
            <w:tcW w:w="1717" w:type="dxa"/>
            <w:shd w:val="clear" w:color="auto" w:fill="FFFF00"/>
          </w:tcPr>
          <w:p>
            <w:pPr>
              <w:pStyle w:val="TableParagraph"/>
              <w:spacing w:line="178" w:lineRule="exact"/>
              <w:ind w:left="55"/>
              <w:rPr>
                <w:b/>
                <w:sz w:val="16"/>
              </w:rPr>
            </w:pPr>
            <w:r>
              <w:rPr>
                <w:b/>
                <w:sz w:val="16"/>
              </w:rPr>
              <w:t>México</w:t>
            </w:r>
          </w:p>
        </w:tc>
        <w:tc>
          <w:tcPr>
            <w:tcW w:w="1013" w:type="dxa"/>
            <w:shd w:val="clear" w:color="auto" w:fill="FFFF00"/>
          </w:tcPr>
          <w:p>
            <w:pPr>
              <w:pStyle w:val="TableParagraph"/>
              <w:spacing w:line="178" w:lineRule="exact"/>
              <w:ind w:left="381" w:right="384"/>
              <w:jc w:val="center"/>
              <w:rPr>
                <w:b/>
                <w:sz w:val="16"/>
              </w:rPr>
            </w:pPr>
            <w:r>
              <w:rPr>
                <w:b/>
                <w:sz w:val="16"/>
              </w:rPr>
              <w:t>29</w:t>
            </w:r>
          </w:p>
        </w:tc>
        <w:tc>
          <w:tcPr>
            <w:tcW w:w="1145" w:type="dxa"/>
            <w:shd w:val="clear" w:color="auto" w:fill="FFFF00"/>
          </w:tcPr>
          <w:p>
            <w:pPr>
              <w:pStyle w:val="TableParagraph"/>
              <w:spacing w:line="178" w:lineRule="exact"/>
              <w:ind w:left="35" w:right="35"/>
              <w:jc w:val="center"/>
              <w:rPr>
                <w:b/>
                <w:sz w:val="16"/>
              </w:rPr>
            </w:pPr>
            <w:r>
              <w:rPr>
                <w:b/>
                <w:sz w:val="16"/>
              </w:rPr>
              <w:t>59</w:t>
            </w:r>
          </w:p>
        </w:tc>
        <w:tc>
          <w:tcPr>
            <w:tcW w:w="744" w:type="dxa"/>
            <w:shd w:val="clear" w:color="auto" w:fill="FFFF00"/>
          </w:tcPr>
          <w:p>
            <w:pPr>
              <w:pStyle w:val="TableParagraph"/>
              <w:spacing w:line="178" w:lineRule="exact"/>
              <w:ind w:right="1"/>
              <w:jc w:val="center"/>
              <w:rPr>
                <w:b/>
                <w:sz w:val="16"/>
              </w:rPr>
            </w:pPr>
            <w:r>
              <w:rPr>
                <w:b/>
                <w:w w:val="100"/>
                <w:sz w:val="16"/>
              </w:rPr>
              <w:t>9</w:t>
            </w:r>
          </w:p>
        </w:tc>
      </w:tr>
      <w:tr>
        <w:trPr>
          <w:trHeight w:val="214" w:hRule="exact"/>
        </w:trPr>
        <w:tc>
          <w:tcPr>
            <w:tcW w:w="1717" w:type="dxa"/>
          </w:tcPr>
          <w:p>
            <w:pPr>
              <w:pStyle w:val="TableParagraph"/>
              <w:spacing w:line="180" w:lineRule="exact"/>
              <w:ind w:left="55"/>
              <w:rPr>
                <w:sz w:val="16"/>
              </w:rPr>
            </w:pPr>
            <w:r>
              <w:rPr>
                <w:sz w:val="16"/>
              </w:rPr>
              <w:t>Estados Unidos</w:t>
            </w:r>
          </w:p>
        </w:tc>
        <w:tc>
          <w:tcPr>
            <w:tcW w:w="1013" w:type="dxa"/>
          </w:tcPr>
          <w:p>
            <w:pPr>
              <w:pStyle w:val="TableParagraph"/>
              <w:spacing w:line="180" w:lineRule="exact"/>
              <w:ind w:left="381" w:right="384"/>
              <w:jc w:val="center"/>
              <w:rPr>
                <w:sz w:val="16"/>
              </w:rPr>
            </w:pPr>
            <w:r>
              <w:rPr>
                <w:sz w:val="16"/>
              </w:rPr>
              <w:t>33</w:t>
            </w:r>
          </w:p>
        </w:tc>
        <w:tc>
          <w:tcPr>
            <w:tcW w:w="1145" w:type="dxa"/>
          </w:tcPr>
          <w:p>
            <w:pPr>
              <w:pStyle w:val="TableParagraph"/>
              <w:spacing w:line="180" w:lineRule="exact"/>
              <w:ind w:left="35" w:right="35"/>
              <w:jc w:val="center"/>
              <w:rPr>
                <w:sz w:val="16"/>
              </w:rPr>
            </w:pPr>
            <w:r>
              <w:rPr>
                <w:sz w:val="16"/>
              </w:rPr>
              <w:t>48</w:t>
            </w:r>
          </w:p>
        </w:tc>
        <w:tc>
          <w:tcPr>
            <w:tcW w:w="744" w:type="dxa"/>
          </w:tcPr>
          <w:p>
            <w:pPr>
              <w:pStyle w:val="TableParagraph"/>
              <w:spacing w:line="180" w:lineRule="exact"/>
              <w:ind w:left="43" w:right="43"/>
              <w:jc w:val="center"/>
              <w:rPr>
                <w:sz w:val="16"/>
              </w:rPr>
            </w:pPr>
            <w:r>
              <w:rPr>
                <w:sz w:val="16"/>
              </w:rPr>
              <w:t>-29</w:t>
            </w:r>
          </w:p>
        </w:tc>
      </w:tr>
      <w:tr>
        <w:trPr>
          <w:trHeight w:val="215" w:hRule="exact"/>
        </w:trPr>
        <w:tc>
          <w:tcPr>
            <w:tcW w:w="1717" w:type="dxa"/>
            <w:shd w:val="clear" w:color="auto" w:fill="FFFF00"/>
          </w:tcPr>
          <w:p>
            <w:pPr>
              <w:pStyle w:val="TableParagraph"/>
              <w:spacing w:line="178" w:lineRule="exact"/>
              <w:ind w:left="55"/>
              <w:rPr>
                <w:b/>
                <w:sz w:val="16"/>
              </w:rPr>
            </w:pPr>
            <w:r>
              <w:rPr>
                <w:b/>
                <w:sz w:val="16"/>
              </w:rPr>
              <w:t>Promedio OCDE</w:t>
            </w:r>
          </w:p>
        </w:tc>
        <w:tc>
          <w:tcPr>
            <w:tcW w:w="1013" w:type="dxa"/>
            <w:shd w:val="clear" w:color="auto" w:fill="FFFF00"/>
          </w:tcPr>
          <w:p>
            <w:pPr/>
          </w:p>
        </w:tc>
        <w:tc>
          <w:tcPr>
            <w:tcW w:w="1145" w:type="dxa"/>
            <w:shd w:val="clear" w:color="auto" w:fill="FFFF00"/>
          </w:tcPr>
          <w:p>
            <w:pPr>
              <w:pStyle w:val="TableParagraph"/>
              <w:spacing w:line="178" w:lineRule="exact"/>
              <w:ind w:left="35" w:right="35"/>
              <w:jc w:val="center"/>
              <w:rPr>
                <w:b/>
                <w:sz w:val="16"/>
              </w:rPr>
            </w:pPr>
            <w:r>
              <w:rPr>
                <w:b/>
                <w:sz w:val="16"/>
              </w:rPr>
              <w:t>70</w:t>
            </w:r>
          </w:p>
        </w:tc>
        <w:tc>
          <w:tcPr>
            <w:tcW w:w="744" w:type="dxa"/>
            <w:shd w:val="clear" w:color="auto" w:fill="FFFF00"/>
          </w:tcPr>
          <w:p>
            <w:pPr>
              <w:pStyle w:val="TableParagraph"/>
              <w:spacing w:line="178" w:lineRule="exact"/>
              <w:ind w:left="43" w:right="43"/>
              <w:jc w:val="center"/>
              <w:rPr>
                <w:b/>
                <w:sz w:val="16"/>
              </w:rPr>
            </w:pPr>
            <w:r>
              <w:rPr>
                <w:b/>
                <w:sz w:val="16"/>
              </w:rPr>
              <w:t>-11</w:t>
            </w:r>
          </w:p>
        </w:tc>
      </w:tr>
    </w:tbl>
    <w:p>
      <w:pPr>
        <w:pStyle w:val="BodyText"/>
        <w:spacing w:before="9"/>
        <w:rPr>
          <w:sz w:val="11"/>
        </w:rPr>
      </w:pPr>
    </w:p>
    <w:p>
      <w:pPr>
        <w:spacing w:before="1"/>
        <w:ind w:left="2084" w:right="0" w:firstLine="0"/>
        <w:jc w:val="left"/>
        <w:rPr>
          <w:sz w:val="12"/>
        </w:rPr>
      </w:pPr>
      <w:r>
        <w:rPr>
          <w:sz w:val="12"/>
        </w:rPr>
        <w:t>FUENTE:  Elaboración propia con base en:</w:t>
      </w:r>
    </w:p>
    <w:p>
      <w:pPr>
        <w:spacing w:before="1"/>
        <w:ind w:left="2653" w:right="2938" w:firstLine="0"/>
        <w:jc w:val="left"/>
        <w:rPr>
          <w:sz w:val="12"/>
        </w:rPr>
      </w:pPr>
      <w:r>
        <w:rPr>
          <w:sz w:val="12"/>
        </w:rPr>
        <w:t>OECD, </w:t>
      </w:r>
      <w:r>
        <w:rPr>
          <w:i/>
          <w:sz w:val="12"/>
        </w:rPr>
        <w:t>Society at a Glance 2011</w:t>
      </w:r>
      <w:r>
        <w:rPr>
          <w:sz w:val="12"/>
        </w:rPr>
        <w:t>, </w:t>
      </w:r>
      <w:r>
        <w:rPr>
          <w:i/>
          <w:sz w:val="12"/>
        </w:rPr>
        <w:t>OECD Social Indicators</w:t>
      </w:r>
      <w:r>
        <w:rPr>
          <w:sz w:val="12"/>
        </w:rPr>
        <w:t>, p. 97. ISBN: 978-92-64-09852-7</w:t>
      </w:r>
    </w:p>
    <w:p>
      <w:pPr>
        <w:spacing w:before="1"/>
        <w:ind w:left="2637" w:right="415" w:firstLine="16"/>
        <w:jc w:val="left"/>
        <w:rPr>
          <w:sz w:val="12"/>
        </w:rPr>
      </w:pPr>
      <w:r>
        <w:rPr>
          <w:sz w:val="12"/>
        </w:rPr>
        <w:t>Disponible en: </w:t>
      </w:r>
      <w:hyperlink r:id="rId91">
        <w:r>
          <w:rPr>
            <w:sz w:val="12"/>
          </w:rPr>
          <w:t>http://www.oecd.org/document/45/0,3746,en_2649_37419_2671576_1_1_1_37419,00.html</w:t>
        </w:r>
      </w:hyperlink>
      <w:r>
        <w:rPr>
          <w:sz w:val="12"/>
        </w:rPr>
        <w:t> [Fecha de consulta: 31 de julio, 2015]</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0" w:lineRule="auto" w:before="107"/>
        <w:ind w:left="102" w:right="118" w:firstLine="427"/>
        <w:jc w:val="both"/>
      </w:pPr>
      <w:r>
        <w:rPr/>
        <w:t>La</w:t>
      </w:r>
      <w:r>
        <w:rPr>
          <w:spacing w:val="-6"/>
        </w:rPr>
        <w:t> </w:t>
      </w:r>
      <w:r>
        <w:rPr/>
        <w:t>OCDE</w:t>
      </w:r>
      <w:r>
        <w:rPr>
          <w:spacing w:val="-7"/>
        </w:rPr>
        <w:t> </w:t>
      </w:r>
      <w:r>
        <w:rPr/>
        <w:t>mencionó</w:t>
      </w:r>
      <w:r>
        <w:rPr>
          <w:spacing w:val="-6"/>
        </w:rPr>
        <w:t> </w:t>
      </w:r>
      <w:r>
        <w:rPr/>
        <w:t>que</w:t>
      </w:r>
      <w:r>
        <w:rPr>
          <w:spacing w:val="-4"/>
        </w:rPr>
        <w:t> </w:t>
      </w:r>
      <w:r>
        <w:rPr/>
        <w:t>las</w:t>
      </w:r>
      <w:r>
        <w:rPr>
          <w:spacing w:val="-4"/>
        </w:rPr>
        <w:t> </w:t>
      </w:r>
      <w:r>
        <w:rPr/>
        <w:t>personas</w:t>
      </w:r>
      <w:r>
        <w:rPr>
          <w:spacing w:val="-7"/>
        </w:rPr>
        <w:t> </w:t>
      </w:r>
      <w:r>
        <w:rPr/>
        <w:t>de</w:t>
      </w:r>
      <w:r>
        <w:rPr>
          <w:spacing w:val="-2"/>
        </w:rPr>
        <w:t> </w:t>
      </w:r>
      <w:r>
        <w:rPr/>
        <w:t>México</w:t>
      </w:r>
      <w:r>
        <w:rPr>
          <w:spacing w:val="-4"/>
        </w:rPr>
        <w:t> </w:t>
      </w:r>
      <w:r>
        <w:rPr/>
        <w:t>con</w:t>
      </w:r>
      <w:r>
        <w:rPr>
          <w:spacing w:val="-4"/>
        </w:rPr>
        <w:t> </w:t>
      </w:r>
      <w:r>
        <w:rPr/>
        <w:t>edades</w:t>
      </w:r>
      <w:r>
        <w:rPr>
          <w:spacing w:val="-7"/>
        </w:rPr>
        <w:t> </w:t>
      </w:r>
      <w:r>
        <w:rPr/>
        <w:t>de</w:t>
      </w:r>
      <w:r>
        <w:rPr>
          <w:spacing w:val="-6"/>
        </w:rPr>
        <w:t> </w:t>
      </w:r>
      <w:r>
        <w:rPr/>
        <w:t>55</w:t>
      </w:r>
      <w:r>
        <w:rPr>
          <w:spacing w:val="-6"/>
        </w:rPr>
        <w:t> </w:t>
      </w:r>
      <w:r>
        <w:rPr/>
        <w:t>años</w:t>
      </w:r>
      <w:r>
        <w:rPr>
          <w:spacing w:val="-7"/>
        </w:rPr>
        <w:t> </w:t>
      </w:r>
      <w:r>
        <w:rPr/>
        <w:t>y</w:t>
      </w:r>
      <w:r>
        <w:rPr>
          <w:spacing w:val="-7"/>
        </w:rPr>
        <w:t> </w:t>
      </w:r>
      <w:r>
        <w:rPr/>
        <w:t>más tienen más propensión a votar que los ciudadanos con edades entre los 16 y 35 años. También la OCDE considera que en México las personas con mayor nivel</w:t>
      </w:r>
      <w:r>
        <w:rPr>
          <w:spacing w:val="-40"/>
        </w:rPr>
        <w:t> </w:t>
      </w:r>
      <w:r>
        <w:rPr/>
        <w:t>de estudios son más participativas en las elecciones, aunque esta tendencia positiva no es tan alta como la registrada en Estados Unidos, Polonia y</w:t>
      </w:r>
      <w:r>
        <w:rPr>
          <w:spacing w:val="-28"/>
        </w:rPr>
        <w:t> </w:t>
      </w:r>
      <w:r>
        <w:rPr/>
        <w:t>Hungría.</w:t>
      </w:r>
    </w:p>
    <w:p>
      <w:pPr>
        <w:pStyle w:val="BodyText"/>
      </w:pPr>
    </w:p>
    <w:p>
      <w:pPr>
        <w:pStyle w:val="BodyText"/>
      </w:pPr>
    </w:p>
    <w:p>
      <w:pPr>
        <w:pStyle w:val="BodyText"/>
      </w:pPr>
    </w:p>
    <w:p>
      <w:pPr>
        <w:pStyle w:val="ListParagraph"/>
        <w:numPr>
          <w:ilvl w:val="0"/>
          <w:numId w:val="40"/>
        </w:numPr>
        <w:tabs>
          <w:tab w:pos="383" w:val="left" w:leader="none"/>
        </w:tabs>
        <w:spacing w:line="240" w:lineRule="auto" w:before="1" w:after="0"/>
        <w:ind w:left="382" w:right="0" w:hanging="280"/>
        <w:jc w:val="both"/>
        <w:rPr>
          <w:i/>
          <w:sz w:val="24"/>
        </w:rPr>
      </w:pPr>
      <w:r>
        <w:rPr>
          <w:i/>
          <w:sz w:val="24"/>
        </w:rPr>
        <w:t>Índice de Mejor Vida,</w:t>
      </w:r>
      <w:r>
        <w:rPr>
          <w:i/>
          <w:spacing w:val="-7"/>
          <w:sz w:val="24"/>
        </w:rPr>
        <w:t> </w:t>
      </w:r>
      <w:r>
        <w:rPr>
          <w:i/>
          <w:sz w:val="24"/>
        </w:rPr>
        <w:t>2013</w:t>
      </w:r>
    </w:p>
    <w:p>
      <w:pPr>
        <w:pStyle w:val="BodyText"/>
        <w:spacing w:before="7"/>
        <w:rPr>
          <w:i/>
          <w:sz w:val="29"/>
        </w:rPr>
      </w:pPr>
    </w:p>
    <w:p>
      <w:pPr>
        <w:pStyle w:val="BodyText"/>
        <w:spacing w:line="360" w:lineRule="auto"/>
        <w:ind w:left="102" w:right="116"/>
        <w:jc w:val="both"/>
      </w:pPr>
      <w:r>
        <w:rPr/>
        <w:t>Para medir el bienestar, es necesario lograr un consenso entre los intereses económicos, políticos y sociales. ¿En este sentido, la OCDE publicó en 2011 How is</w:t>
      </w:r>
      <w:r>
        <w:rPr>
          <w:spacing w:val="-12"/>
        </w:rPr>
        <w:t> </w:t>
      </w:r>
      <w:r>
        <w:rPr/>
        <w:t>life?</w:t>
      </w:r>
      <w:r>
        <w:rPr>
          <w:spacing w:val="-11"/>
        </w:rPr>
        <w:t> </w:t>
      </w:r>
      <w:r>
        <w:rPr/>
        <w:t>(¿Cómo</w:t>
      </w:r>
      <w:r>
        <w:rPr>
          <w:spacing w:val="-13"/>
        </w:rPr>
        <w:t> </w:t>
      </w:r>
      <w:r>
        <w:rPr/>
        <w:t>es</w:t>
      </w:r>
      <w:r>
        <w:rPr>
          <w:spacing w:val="-12"/>
        </w:rPr>
        <w:t> </w:t>
      </w:r>
      <w:r>
        <w:rPr/>
        <w:t>la</w:t>
      </w:r>
      <w:r>
        <w:rPr>
          <w:spacing w:val="-13"/>
        </w:rPr>
        <w:t> </w:t>
      </w:r>
      <w:r>
        <w:rPr/>
        <w:t>vida?)</w:t>
      </w:r>
      <w:r>
        <w:rPr>
          <w:spacing w:val="-15"/>
        </w:rPr>
        <w:t> </w:t>
      </w:r>
      <w:r>
        <w:rPr/>
        <w:t>para</w:t>
      </w:r>
      <w:r>
        <w:rPr>
          <w:spacing w:val="-11"/>
        </w:rPr>
        <w:t> </w:t>
      </w:r>
      <w:r>
        <w:rPr/>
        <w:t>cuantificar</w:t>
      </w:r>
      <w:r>
        <w:rPr>
          <w:spacing w:val="-12"/>
        </w:rPr>
        <w:t> </w:t>
      </w:r>
      <w:r>
        <w:rPr/>
        <w:t>el</w:t>
      </w:r>
      <w:r>
        <w:rPr>
          <w:spacing w:val="-14"/>
        </w:rPr>
        <w:t> </w:t>
      </w:r>
      <w:r>
        <w:rPr/>
        <w:t>nivel</w:t>
      </w:r>
      <w:r>
        <w:rPr>
          <w:spacing w:val="-12"/>
        </w:rPr>
        <w:t> </w:t>
      </w:r>
      <w:r>
        <w:rPr/>
        <w:t>de</w:t>
      </w:r>
      <w:r>
        <w:rPr>
          <w:spacing w:val="-13"/>
        </w:rPr>
        <w:t> </w:t>
      </w:r>
      <w:r>
        <w:rPr/>
        <w:t>bienestar.</w:t>
      </w:r>
      <w:r>
        <w:rPr>
          <w:spacing w:val="-14"/>
        </w:rPr>
        <w:t> </w:t>
      </w:r>
      <w:r>
        <w:rPr/>
        <w:t>La</w:t>
      </w:r>
      <w:r>
        <w:rPr>
          <w:spacing w:val="-13"/>
        </w:rPr>
        <w:t> </w:t>
      </w:r>
      <w:r>
        <w:rPr/>
        <w:t>OCDE</w:t>
      </w:r>
      <w:r>
        <w:rPr>
          <w:spacing w:val="-11"/>
        </w:rPr>
        <w:t> </w:t>
      </w:r>
      <w:r>
        <w:rPr/>
        <w:t>presentó de forma permanente la medición en 23 indicadores en 10</w:t>
      </w:r>
      <w:r>
        <w:rPr>
          <w:spacing w:val="-29"/>
        </w:rPr>
        <w:t> </w:t>
      </w:r>
      <w:r>
        <w:rPr/>
        <w:t>grupos.</w:t>
      </w:r>
    </w:p>
    <w:p>
      <w:pPr>
        <w:pStyle w:val="BodyText"/>
      </w:pPr>
    </w:p>
    <w:p>
      <w:pPr>
        <w:pStyle w:val="BodyText"/>
      </w:pPr>
    </w:p>
    <w:p>
      <w:pPr>
        <w:pStyle w:val="BodyText"/>
        <w:spacing w:before="2"/>
        <w:rPr>
          <w:sz w:val="23"/>
        </w:rPr>
      </w:pPr>
    </w:p>
    <w:p>
      <w:pPr>
        <w:pStyle w:val="BodyText"/>
        <w:spacing w:line="360" w:lineRule="auto" w:before="1"/>
        <w:ind w:left="102" w:right="115" w:firstLine="707"/>
        <w:jc w:val="both"/>
      </w:pPr>
      <w:r>
        <w:rPr/>
        <w:t>El objetivo de la OCDE es proveer datos (de forma permanente) de las dimensiones que inciden en el bienestar, el cual se considera que es multifactorial y ayudar al investigador a determinar la priorización de temas específicos de bienestar.</w:t>
      </w:r>
    </w:p>
    <w:p>
      <w:pPr>
        <w:spacing w:after="0" w:line="360" w:lineRule="auto"/>
        <w:jc w:val="both"/>
        <w:sectPr>
          <w:pgSz w:w="12240" w:h="15840"/>
          <w:pgMar w:header="0" w:footer="1003" w:top="1500" w:bottom="1200" w:left="1600" w:right="1580"/>
        </w:sectPr>
      </w:pPr>
    </w:p>
    <w:p>
      <w:pPr>
        <w:pStyle w:val="BodyText"/>
        <w:spacing w:line="360" w:lineRule="auto" w:before="54"/>
        <w:ind w:left="102" w:right="115" w:firstLine="707"/>
        <w:jc w:val="both"/>
      </w:pPr>
      <w:r>
        <w:rPr/>
        <w:t>La</w:t>
      </w:r>
      <w:r>
        <w:rPr>
          <w:spacing w:val="-14"/>
        </w:rPr>
        <w:t> </w:t>
      </w:r>
      <w:r>
        <w:rPr/>
        <w:t>visión</w:t>
      </w:r>
      <w:r>
        <w:rPr>
          <w:spacing w:val="-17"/>
        </w:rPr>
        <w:t> </w:t>
      </w:r>
      <w:r>
        <w:rPr/>
        <w:t>de</w:t>
      </w:r>
      <w:r>
        <w:rPr>
          <w:spacing w:val="-16"/>
        </w:rPr>
        <w:t> </w:t>
      </w:r>
      <w:r>
        <w:rPr/>
        <w:t>la</w:t>
      </w:r>
      <w:r>
        <w:rPr>
          <w:spacing w:val="-17"/>
        </w:rPr>
        <w:t> </w:t>
      </w:r>
      <w:r>
        <w:rPr/>
        <w:t>política</w:t>
      </w:r>
      <w:r>
        <w:rPr>
          <w:spacing w:val="-14"/>
        </w:rPr>
        <w:t> </w:t>
      </w:r>
      <w:r>
        <w:rPr/>
        <w:t>implica</w:t>
      </w:r>
      <w:r>
        <w:rPr>
          <w:spacing w:val="-16"/>
        </w:rPr>
        <w:t> </w:t>
      </w:r>
      <w:r>
        <w:rPr/>
        <w:t>establecer</w:t>
      </w:r>
      <w:r>
        <w:rPr>
          <w:spacing w:val="-16"/>
        </w:rPr>
        <w:t> </w:t>
      </w:r>
      <w:r>
        <w:rPr/>
        <w:t>prioridades</w:t>
      </w:r>
      <w:r>
        <w:rPr>
          <w:spacing w:val="-15"/>
        </w:rPr>
        <w:t> </w:t>
      </w:r>
      <w:r>
        <w:rPr/>
        <w:t>sobre</w:t>
      </w:r>
      <w:r>
        <w:rPr>
          <w:spacing w:val="-17"/>
        </w:rPr>
        <w:t> </w:t>
      </w:r>
      <w:r>
        <w:rPr/>
        <w:t>qué</w:t>
      </w:r>
      <w:r>
        <w:rPr>
          <w:spacing w:val="-17"/>
        </w:rPr>
        <w:t> </w:t>
      </w:r>
      <w:r>
        <w:rPr/>
        <w:t>es</w:t>
      </w:r>
      <w:r>
        <w:rPr>
          <w:spacing w:val="-15"/>
        </w:rPr>
        <w:t> </w:t>
      </w:r>
      <w:r>
        <w:rPr/>
        <w:t>lo</w:t>
      </w:r>
      <w:r>
        <w:rPr>
          <w:spacing w:val="-19"/>
        </w:rPr>
        <w:t> </w:t>
      </w:r>
      <w:r>
        <w:rPr/>
        <w:t>que</w:t>
      </w:r>
      <w:r>
        <w:rPr>
          <w:spacing w:val="-14"/>
        </w:rPr>
        <w:t> </w:t>
      </w:r>
      <w:r>
        <w:rPr/>
        <w:t>más contribuye al bienestar: la educación, el cuidado del medio ambiente, la cultura cívica,</w:t>
      </w:r>
      <w:r>
        <w:rPr>
          <w:spacing w:val="-3"/>
        </w:rPr>
        <w:t> </w:t>
      </w:r>
      <w:r>
        <w:rPr/>
        <w:t>la</w:t>
      </w:r>
      <w:r>
        <w:rPr>
          <w:spacing w:val="-4"/>
        </w:rPr>
        <w:t> </w:t>
      </w:r>
      <w:r>
        <w:rPr/>
        <w:t>salud,</w:t>
      </w:r>
      <w:r>
        <w:rPr>
          <w:spacing w:val="-3"/>
        </w:rPr>
        <w:t> </w:t>
      </w:r>
      <w:r>
        <w:rPr/>
        <w:t>la</w:t>
      </w:r>
      <w:r>
        <w:rPr>
          <w:spacing w:val="-3"/>
        </w:rPr>
        <w:t> </w:t>
      </w:r>
      <w:r>
        <w:rPr/>
        <w:t>satisfacción</w:t>
      </w:r>
      <w:r>
        <w:rPr>
          <w:spacing w:val="-5"/>
        </w:rPr>
        <w:t> </w:t>
      </w:r>
      <w:r>
        <w:rPr/>
        <w:t>de</w:t>
      </w:r>
      <w:r>
        <w:rPr>
          <w:spacing w:val="-6"/>
        </w:rPr>
        <w:t> </w:t>
      </w:r>
      <w:r>
        <w:rPr/>
        <w:t>la</w:t>
      </w:r>
      <w:r>
        <w:rPr>
          <w:spacing w:val="-6"/>
        </w:rPr>
        <w:t> </w:t>
      </w:r>
      <w:r>
        <w:rPr/>
        <w:t>vida,</w:t>
      </w:r>
      <w:r>
        <w:rPr>
          <w:spacing w:val="-4"/>
        </w:rPr>
        <w:t> </w:t>
      </w:r>
      <w:r>
        <w:rPr/>
        <w:t>la</w:t>
      </w:r>
      <w:r>
        <w:rPr>
          <w:spacing w:val="-6"/>
        </w:rPr>
        <w:t> </w:t>
      </w:r>
      <w:r>
        <w:rPr/>
        <w:t>seguridad,</w:t>
      </w:r>
      <w:r>
        <w:rPr>
          <w:spacing w:val="-2"/>
        </w:rPr>
        <w:t> </w:t>
      </w:r>
      <w:r>
        <w:rPr/>
        <w:t>y</w:t>
      </w:r>
      <w:r>
        <w:rPr>
          <w:spacing w:val="-7"/>
        </w:rPr>
        <w:t> </w:t>
      </w:r>
      <w:r>
        <w:rPr/>
        <w:t>el</w:t>
      </w:r>
      <w:r>
        <w:rPr>
          <w:spacing w:val="-7"/>
        </w:rPr>
        <w:t> </w:t>
      </w:r>
      <w:r>
        <w:rPr/>
        <w:t>equilibrio</w:t>
      </w:r>
      <w:r>
        <w:rPr>
          <w:spacing w:val="-4"/>
        </w:rPr>
        <w:t> </w:t>
      </w:r>
      <w:r>
        <w:rPr/>
        <w:t>entre</w:t>
      </w:r>
      <w:r>
        <w:rPr>
          <w:spacing w:val="-6"/>
        </w:rPr>
        <w:t> </w:t>
      </w:r>
      <w:r>
        <w:rPr/>
        <w:t>trabajo</w:t>
      </w:r>
      <w:r>
        <w:rPr>
          <w:spacing w:val="-4"/>
        </w:rPr>
        <w:t> </w:t>
      </w:r>
      <w:r>
        <w:rPr/>
        <w:t>y recreación, entre</w:t>
      </w:r>
      <w:r>
        <w:rPr>
          <w:spacing w:val="-6"/>
        </w:rPr>
        <w:t> </w:t>
      </w:r>
      <w:r>
        <w:rPr/>
        <w:t>otros.</w:t>
      </w:r>
    </w:p>
    <w:p>
      <w:pPr>
        <w:pStyle w:val="BodyText"/>
      </w:pPr>
    </w:p>
    <w:p>
      <w:pPr>
        <w:pStyle w:val="BodyText"/>
        <w:spacing w:line="360" w:lineRule="auto" w:before="142"/>
        <w:ind w:left="102" w:right="116" w:firstLine="707"/>
        <w:jc w:val="both"/>
      </w:pPr>
      <w:r>
        <w:rPr/>
        <w:t>Los</w:t>
      </w:r>
      <w:r>
        <w:rPr>
          <w:spacing w:val="-7"/>
        </w:rPr>
        <w:t> </w:t>
      </w:r>
      <w:r>
        <w:rPr/>
        <w:t>datos</w:t>
      </w:r>
      <w:r>
        <w:rPr>
          <w:spacing w:val="-9"/>
        </w:rPr>
        <w:t> </w:t>
      </w:r>
      <w:r>
        <w:rPr/>
        <w:t>presentados</w:t>
      </w:r>
      <w:r>
        <w:rPr>
          <w:spacing w:val="-9"/>
        </w:rPr>
        <w:t> </w:t>
      </w:r>
      <w:r>
        <w:rPr/>
        <w:t>en</w:t>
      </w:r>
      <w:r>
        <w:rPr>
          <w:spacing w:val="-8"/>
        </w:rPr>
        <w:t> </w:t>
      </w:r>
      <w:r>
        <w:rPr/>
        <w:t>marzo</w:t>
      </w:r>
      <w:r>
        <w:rPr>
          <w:spacing w:val="-6"/>
        </w:rPr>
        <w:t> </w:t>
      </w:r>
      <w:r>
        <w:rPr/>
        <w:t>de</w:t>
      </w:r>
      <w:r>
        <w:rPr>
          <w:spacing w:val="-6"/>
        </w:rPr>
        <w:t> </w:t>
      </w:r>
      <w:r>
        <w:rPr/>
        <w:t>2013</w:t>
      </w:r>
      <w:r>
        <w:rPr>
          <w:spacing w:val="-8"/>
        </w:rPr>
        <w:t> </w:t>
      </w:r>
      <w:r>
        <w:rPr/>
        <w:t>corresponden</w:t>
      </w:r>
      <w:r>
        <w:rPr>
          <w:spacing w:val="-8"/>
        </w:rPr>
        <w:t> </w:t>
      </w:r>
      <w:r>
        <w:rPr>
          <w:spacing w:val="3"/>
        </w:rPr>
        <w:t>al</w:t>
      </w:r>
      <w:r>
        <w:rPr>
          <w:spacing w:val="-7"/>
        </w:rPr>
        <w:t> </w:t>
      </w:r>
      <w:r>
        <w:rPr/>
        <w:t>año</w:t>
      </w:r>
      <w:r>
        <w:rPr>
          <w:spacing w:val="-6"/>
        </w:rPr>
        <w:t> </w:t>
      </w:r>
      <w:r>
        <w:rPr/>
        <w:t>2012.</w:t>
      </w:r>
      <w:r>
        <w:rPr>
          <w:spacing w:val="-6"/>
        </w:rPr>
        <w:t> </w:t>
      </w:r>
      <w:r>
        <w:rPr/>
        <w:t>Debido a</w:t>
      </w:r>
      <w:r>
        <w:rPr>
          <w:spacing w:val="-5"/>
        </w:rPr>
        <w:t> </w:t>
      </w:r>
      <w:r>
        <w:rPr/>
        <w:t>la</w:t>
      </w:r>
      <w:r>
        <w:rPr>
          <w:spacing w:val="-7"/>
        </w:rPr>
        <w:t> </w:t>
      </w:r>
      <w:r>
        <w:rPr/>
        <w:t>diversidad</w:t>
      </w:r>
      <w:r>
        <w:rPr>
          <w:spacing w:val="-7"/>
        </w:rPr>
        <w:t> </w:t>
      </w:r>
      <w:r>
        <w:rPr/>
        <w:t>de</w:t>
      </w:r>
      <w:r>
        <w:rPr>
          <w:spacing w:val="-7"/>
        </w:rPr>
        <w:t> </w:t>
      </w:r>
      <w:r>
        <w:rPr/>
        <w:t>unidades</w:t>
      </w:r>
      <w:r>
        <w:rPr>
          <w:spacing w:val="-8"/>
        </w:rPr>
        <w:t> </w:t>
      </w:r>
      <w:r>
        <w:rPr/>
        <w:t>de</w:t>
      </w:r>
      <w:r>
        <w:rPr>
          <w:spacing w:val="-7"/>
        </w:rPr>
        <w:t> </w:t>
      </w:r>
      <w:r>
        <w:rPr/>
        <w:t>medida</w:t>
      </w:r>
      <w:r>
        <w:rPr>
          <w:spacing w:val="-6"/>
        </w:rPr>
        <w:t> </w:t>
      </w:r>
      <w:r>
        <w:rPr/>
        <w:t>de</w:t>
      </w:r>
      <w:r>
        <w:rPr>
          <w:spacing w:val="-5"/>
        </w:rPr>
        <w:t> </w:t>
      </w:r>
      <w:r>
        <w:rPr/>
        <w:t>las</w:t>
      </w:r>
      <w:r>
        <w:rPr>
          <w:spacing w:val="-7"/>
        </w:rPr>
        <w:t> </w:t>
      </w:r>
      <w:r>
        <w:rPr/>
        <w:t>variables,</w:t>
      </w:r>
      <w:r>
        <w:rPr>
          <w:spacing w:val="-5"/>
        </w:rPr>
        <w:t> </w:t>
      </w:r>
      <w:r>
        <w:rPr/>
        <w:t>se</w:t>
      </w:r>
      <w:r>
        <w:rPr>
          <w:spacing w:val="-7"/>
        </w:rPr>
        <w:t> </w:t>
      </w:r>
      <w:r>
        <w:rPr/>
        <w:t>procedió</w:t>
      </w:r>
      <w:r>
        <w:rPr>
          <w:spacing w:val="-7"/>
        </w:rPr>
        <w:t> </w:t>
      </w:r>
      <w:r>
        <w:rPr/>
        <w:t>a</w:t>
      </w:r>
      <w:r>
        <w:rPr>
          <w:spacing w:val="-5"/>
        </w:rPr>
        <w:t> </w:t>
      </w:r>
      <w:r>
        <w:rPr/>
        <w:t>determinar</w:t>
      </w:r>
      <w:r>
        <w:rPr>
          <w:spacing w:val="-8"/>
        </w:rPr>
        <w:t> </w:t>
      </w:r>
      <w:r>
        <w:rPr/>
        <w:t>la posición de los 34 países integrantes de la OCDE en cada variable, por lo que valores cercanos a 1 indican una mejor vida y valores próximos a 34 los mayores rezagos en calidad de</w:t>
      </w:r>
      <w:r>
        <w:rPr>
          <w:spacing w:val="-11"/>
        </w:rPr>
        <w:t> </w:t>
      </w:r>
      <w:r>
        <w:rPr/>
        <w:t>vida.</w:t>
      </w:r>
    </w:p>
    <w:p>
      <w:pPr>
        <w:pStyle w:val="BodyText"/>
      </w:pPr>
    </w:p>
    <w:p>
      <w:pPr>
        <w:pStyle w:val="BodyText"/>
        <w:spacing w:line="360" w:lineRule="auto" w:before="142"/>
        <w:ind w:left="102" w:right="122" w:firstLine="427"/>
        <w:jc w:val="both"/>
      </w:pPr>
      <w:r>
        <w:rPr/>
        <w:t>De</w:t>
      </w:r>
      <w:r>
        <w:rPr>
          <w:spacing w:val="-6"/>
        </w:rPr>
        <w:t> </w:t>
      </w:r>
      <w:r>
        <w:rPr/>
        <w:t>acuerdo</w:t>
      </w:r>
      <w:r>
        <w:rPr>
          <w:spacing w:val="-6"/>
        </w:rPr>
        <w:t> </w:t>
      </w:r>
      <w:r>
        <w:rPr/>
        <w:t>con</w:t>
      </w:r>
      <w:r>
        <w:rPr>
          <w:spacing w:val="-6"/>
        </w:rPr>
        <w:t> </w:t>
      </w:r>
      <w:r>
        <w:rPr/>
        <w:t>la</w:t>
      </w:r>
      <w:r>
        <w:rPr>
          <w:spacing w:val="-6"/>
        </w:rPr>
        <w:t> </w:t>
      </w:r>
      <w:r>
        <w:rPr/>
        <w:t>selección</w:t>
      </w:r>
      <w:r>
        <w:rPr>
          <w:spacing w:val="-6"/>
        </w:rPr>
        <w:t> </w:t>
      </w:r>
      <w:r>
        <w:rPr/>
        <w:t>de</w:t>
      </w:r>
      <w:r>
        <w:rPr>
          <w:spacing w:val="-8"/>
        </w:rPr>
        <w:t> </w:t>
      </w:r>
      <w:r>
        <w:rPr/>
        <w:t>países,</w:t>
      </w:r>
      <w:r>
        <w:rPr>
          <w:spacing w:val="-6"/>
        </w:rPr>
        <w:t> </w:t>
      </w:r>
      <w:r>
        <w:rPr/>
        <w:t>Estados</w:t>
      </w:r>
      <w:r>
        <w:rPr>
          <w:spacing w:val="-7"/>
        </w:rPr>
        <w:t> </w:t>
      </w:r>
      <w:r>
        <w:rPr/>
        <w:t>Unidos</w:t>
      </w:r>
      <w:r>
        <w:rPr>
          <w:spacing w:val="-7"/>
        </w:rPr>
        <w:t> </w:t>
      </w:r>
      <w:r>
        <w:rPr/>
        <w:t>es</w:t>
      </w:r>
      <w:r>
        <w:rPr>
          <w:spacing w:val="-9"/>
        </w:rPr>
        <w:t> </w:t>
      </w:r>
      <w:r>
        <w:rPr/>
        <w:t>el</w:t>
      </w:r>
      <w:r>
        <w:rPr>
          <w:spacing w:val="-7"/>
        </w:rPr>
        <w:t> </w:t>
      </w:r>
      <w:r>
        <w:rPr/>
        <w:t>país</w:t>
      </w:r>
      <w:r>
        <w:rPr>
          <w:spacing w:val="-7"/>
        </w:rPr>
        <w:t> </w:t>
      </w:r>
      <w:r>
        <w:rPr/>
        <w:t>con</w:t>
      </w:r>
      <w:r>
        <w:rPr>
          <w:spacing w:val="-6"/>
        </w:rPr>
        <w:t> </w:t>
      </w:r>
      <w:r>
        <w:rPr/>
        <w:t>la</w:t>
      </w:r>
      <w:r>
        <w:rPr>
          <w:spacing w:val="-9"/>
        </w:rPr>
        <w:t> </w:t>
      </w:r>
      <w:r>
        <w:rPr/>
        <w:t>mayor satisfacción de la vida (posición 12), donde 7 de las 23 variables presentan las mejores posiciones y sólo como las más</w:t>
      </w:r>
      <w:r>
        <w:rPr>
          <w:spacing w:val="-9"/>
        </w:rPr>
        <w:t> </w:t>
      </w:r>
      <w:r>
        <w:rPr/>
        <w:t>bajas.</w:t>
      </w:r>
    </w:p>
    <w:p>
      <w:pPr>
        <w:pStyle w:val="BodyText"/>
      </w:pPr>
    </w:p>
    <w:p>
      <w:pPr>
        <w:pStyle w:val="BodyText"/>
        <w:spacing w:line="360" w:lineRule="auto" w:before="142"/>
        <w:ind w:left="102" w:right="116" w:firstLine="424"/>
        <w:jc w:val="both"/>
      </w:pPr>
      <w:r>
        <w:rPr/>
        <w:t>México es el país con la segunda mejor posición (19), sin embargo, sus resultados no son concluyentes, ya que, en 16 de los 22 indicadores evaluados, la nación ocupó las últimas posiciones. Entre las variables con las posiciones más bajas se encuentran: la tasa de homicidios, tasa de agresión y/o ataques, habilidades de los estudiantes en lectura, matemáticas y ciencias, ingresos por persona, años de educación, contaminación del aire, participación electoral, nivel educativo</w:t>
      </w:r>
      <w:r>
        <w:rPr>
          <w:spacing w:val="-17"/>
        </w:rPr>
        <w:t> </w:t>
      </w:r>
      <w:r>
        <w:rPr/>
        <w:t>(bachillerato)</w:t>
      </w:r>
      <w:r>
        <w:rPr>
          <w:spacing w:val="-18"/>
        </w:rPr>
        <w:t> </w:t>
      </w:r>
      <w:r>
        <w:rPr/>
        <w:t>y</w:t>
      </w:r>
      <w:r>
        <w:rPr>
          <w:spacing w:val="-20"/>
        </w:rPr>
        <w:t> </w:t>
      </w:r>
      <w:r>
        <w:rPr/>
        <w:t>esperanza</w:t>
      </w:r>
      <w:r>
        <w:rPr>
          <w:spacing w:val="-19"/>
        </w:rPr>
        <w:t> </w:t>
      </w:r>
      <w:r>
        <w:rPr/>
        <w:t>de</w:t>
      </w:r>
      <w:r>
        <w:rPr>
          <w:spacing w:val="-19"/>
        </w:rPr>
        <w:t> </w:t>
      </w:r>
      <w:r>
        <w:rPr/>
        <w:t>vida.</w:t>
      </w:r>
      <w:r>
        <w:rPr>
          <w:spacing w:val="-19"/>
        </w:rPr>
        <w:t> </w:t>
      </w:r>
      <w:r>
        <w:rPr/>
        <w:t>Las</w:t>
      </w:r>
      <w:r>
        <w:rPr>
          <w:spacing w:val="-17"/>
        </w:rPr>
        <w:t> </w:t>
      </w:r>
      <w:r>
        <w:rPr/>
        <w:t>variables</w:t>
      </w:r>
      <w:r>
        <w:rPr>
          <w:spacing w:val="-19"/>
        </w:rPr>
        <w:t> </w:t>
      </w:r>
      <w:r>
        <w:rPr/>
        <w:t>mejor</w:t>
      </w:r>
      <w:r>
        <w:rPr>
          <w:spacing w:val="-20"/>
        </w:rPr>
        <w:t> </w:t>
      </w:r>
      <w:r>
        <w:rPr/>
        <w:t>evaluadas</w:t>
      </w:r>
      <w:r>
        <w:rPr>
          <w:spacing w:val="-12"/>
        </w:rPr>
        <w:t> </w:t>
      </w:r>
      <w:r>
        <w:rPr/>
        <w:t>en</w:t>
      </w:r>
      <w:r>
        <w:rPr>
          <w:spacing w:val="-19"/>
        </w:rPr>
        <w:t> </w:t>
      </w:r>
      <w:r>
        <w:rPr/>
        <w:t>2012 para México es la tasa de desempleo a largo plazo y la seguridad</w:t>
      </w:r>
      <w:r>
        <w:rPr>
          <w:spacing w:val="-29"/>
        </w:rPr>
        <w:t> </w:t>
      </w:r>
      <w:r>
        <w:rPr/>
        <w:t>laboral.</w:t>
      </w:r>
    </w:p>
    <w:p>
      <w:pPr>
        <w:pStyle w:val="BodyText"/>
      </w:pPr>
    </w:p>
    <w:p>
      <w:pPr>
        <w:pStyle w:val="BodyText"/>
        <w:spacing w:line="360" w:lineRule="auto" w:before="142"/>
        <w:ind w:left="102" w:right="116" w:firstLine="424"/>
        <w:jc w:val="both"/>
        <w:rPr>
          <w:i/>
        </w:rPr>
      </w:pPr>
      <w:r>
        <w:rPr/>
        <w:t>El resultado del indicador educación es congruente con el resultado del indicador 11 del Barómetro Global de la Corrupción “sistema educativo” y segundo “seguridad”, con “efectividad gubernamental” del indicador líder </w:t>
      </w:r>
      <w:r>
        <w:rPr>
          <w:i/>
        </w:rPr>
        <w:t>Indicadores </w:t>
      </w:r>
      <w:r>
        <w:rPr>
          <w:i/>
        </w:rPr>
        <w:t>Mundiales de Gobernabilidad.</w:t>
      </w:r>
    </w:p>
    <w:p>
      <w:pPr>
        <w:spacing w:after="0" w:line="360" w:lineRule="auto"/>
        <w:jc w:val="both"/>
        <w:sectPr>
          <w:footerReference w:type="even" r:id="rId92"/>
          <w:footerReference w:type="default" r:id="rId93"/>
          <w:pgSz w:w="12240" w:h="15840"/>
          <w:pgMar w:footer="1003" w:header="0" w:top="1360" w:bottom="1200" w:left="1600" w:right="1580"/>
        </w:sectPr>
      </w:pPr>
    </w:p>
    <w:p>
      <w:pPr>
        <w:pStyle w:val="BodyText"/>
        <w:spacing w:before="5"/>
        <w:rPr>
          <w:i/>
          <w:sz w:val="9"/>
        </w:rPr>
      </w:pPr>
    </w:p>
    <w:p>
      <w:pPr>
        <w:spacing w:before="74"/>
        <w:ind w:left="2740" w:right="0" w:firstLine="0"/>
        <w:jc w:val="left"/>
        <w:rPr>
          <w:sz w:val="20"/>
        </w:rPr>
      </w:pPr>
      <w:bookmarkStart w:name="_bookmark37" w:id="48"/>
      <w:bookmarkEnd w:id="48"/>
      <w:r>
        <w:rPr/>
      </w:r>
      <w:r>
        <w:rPr>
          <w:sz w:val="20"/>
        </w:rPr>
        <w:t>Cuadro 1.13. Índice de mejor vida, 2013</w:t>
      </w:r>
    </w:p>
    <w:p>
      <w:pPr>
        <w:pStyle w:val="BodyText"/>
        <w:spacing w:before="2"/>
        <w:rPr>
          <w:sz w:val="18"/>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0"/>
        <w:gridCol w:w="2734"/>
        <w:gridCol w:w="552"/>
        <w:gridCol w:w="773"/>
        <w:gridCol w:w="1241"/>
        <w:gridCol w:w="975"/>
        <w:gridCol w:w="818"/>
      </w:tblGrid>
      <w:tr>
        <w:trPr>
          <w:trHeight w:val="319" w:hRule="exact"/>
        </w:trPr>
        <w:tc>
          <w:tcPr>
            <w:tcW w:w="4414" w:type="dxa"/>
            <w:gridSpan w:val="2"/>
            <w:vMerge w:val="restart"/>
            <w:shd w:val="clear" w:color="auto" w:fill="000000"/>
          </w:tcPr>
          <w:p>
            <w:pPr>
              <w:pStyle w:val="TableParagraph"/>
              <w:spacing w:before="5"/>
              <w:rPr>
                <w:sz w:val="17"/>
              </w:rPr>
            </w:pPr>
          </w:p>
          <w:p>
            <w:pPr>
              <w:pStyle w:val="TableParagraph"/>
              <w:ind w:left="2338" w:right="1635"/>
              <w:jc w:val="center"/>
              <w:rPr>
                <w:sz w:val="20"/>
              </w:rPr>
            </w:pPr>
            <w:r>
              <w:rPr>
                <w:color w:val="FFFFFF"/>
                <w:sz w:val="20"/>
              </w:rPr>
              <w:t>País</w:t>
            </w:r>
          </w:p>
        </w:tc>
        <w:tc>
          <w:tcPr>
            <w:tcW w:w="4359" w:type="dxa"/>
            <w:gridSpan w:val="5"/>
            <w:tcBorders>
              <w:bottom w:val="single" w:sz="4" w:space="0" w:color="FFFFFF"/>
            </w:tcBorders>
            <w:shd w:val="clear" w:color="auto" w:fill="000000"/>
          </w:tcPr>
          <w:p>
            <w:pPr>
              <w:pStyle w:val="TableParagraph"/>
              <w:spacing w:before="40"/>
              <w:ind w:left="1780" w:right="1782"/>
              <w:jc w:val="center"/>
              <w:rPr>
                <w:sz w:val="20"/>
              </w:rPr>
            </w:pPr>
            <w:r>
              <w:rPr>
                <w:color w:val="FFFFFF"/>
                <w:sz w:val="20"/>
              </w:rPr>
              <w:t>Posición</w:t>
            </w:r>
          </w:p>
        </w:tc>
      </w:tr>
      <w:tr>
        <w:trPr>
          <w:trHeight w:val="322" w:hRule="exact"/>
        </w:trPr>
        <w:tc>
          <w:tcPr>
            <w:tcW w:w="4414" w:type="dxa"/>
            <w:gridSpan w:val="2"/>
            <w:vMerge/>
            <w:shd w:val="clear" w:color="auto" w:fill="000000"/>
          </w:tcPr>
          <w:p>
            <w:pPr/>
          </w:p>
        </w:tc>
        <w:tc>
          <w:tcPr>
            <w:tcW w:w="552" w:type="dxa"/>
            <w:tcBorders>
              <w:top w:val="single" w:sz="4" w:space="0" w:color="FFFFFF"/>
            </w:tcBorders>
            <w:shd w:val="clear" w:color="auto" w:fill="000000"/>
          </w:tcPr>
          <w:p>
            <w:pPr>
              <w:pStyle w:val="TableParagraph"/>
              <w:spacing w:before="40"/>
              <w:ind w:left="49" w:right="51"/>
              <w:jc w:val="center"/>
              <w:rPr>
                <w:sz w:val="20"/>
              </w:rPr>
            </w:pPr>
            <w:r>
              <w:rPr>
                <w:color w:val="FFFFFF"/>
                <w:sz w:val="20"/>
              </w:rPr>
              <w:t>EUA</w:t>
            </w:r>
          </w:p>
        </w:tc>
        <w:tc>
          <w:tcPr>
            <w:tcW w:w="773" w:type="dxa"/>
            <w:tcBorders>
              <w:top w:val="single" w:sz="4" w:space="0" w:color="FFFFFF"/>
            </w:tcBorders>
            <w:shd w:val="clear" w:color="auto" w:fill="000000"/>
          </w:tcPr>
          <w:p>
            <w:pPr>
              <w:pStyle w:val="TableParagraph"/>
              <w:spacing w:before="40"/>
              <w:ind w:left="49" w:right="49"/>
              <w:jc w:val="center"/>
              <w:rPr>
                <w:sz w:val="20"/>
              </w:rPr>
            </w:pPr>
            <w:r>
              <w:rPr>
                <w:color w:val="FFFFFF"/>
                <w:sz w:val="20"/>
              </w:rPr>
              <w:t>México</w:t>
            </w:r>
          </w:p>
        </w:tc>
        <w:tc>
          <w:tcPr>
            <w:tcW w:w="1241" w:type="dxa"/>
            <w:tcBorders>
              <w:top w:val="single" w:sz="4" w:space="0" w:color="FFFFFF"/>
            </w:tcBorders>
            <w:shd w:val="clear" w:color="auto" w:fill="000000"/>
          </w:tcPr>
          <w:p>
            <w:pPr>
              <w:pStyle w:val="TableParagraph"/>
              <w:spacing w:before="40"/>
              <w:ind w:left="50" w:right="50"/>
              <w:jc w:val="center"/>
              <w:rPr>
                <w:sz w:val="20"/>
              </w:rPr>
            </w:pPr>
            <w:r>
              <w:rPr>
                <w:color w:val="FFFFFF"/>
                <w:sz w:val="20"/>
              </w:rPr>
              <w:t>Reino Unido</w:t>
            </w:r>
          </w:p>
        </w:tc>
        <w:tc>
          <w:tcPr>
            <w:tcW w:w="975" w:type="dxa"/>
            <w:tcBorders>
              <w:top w:val="single" w:sz="4" w:space="0" w:color="FFFFFF"/>
            </w:tcBorders>
            <w:shd w:val="clear" w:color="auto" w:fill="000000"/>
          </w:tcPr>
          <w:p>
            <w:pPr>
              <w:pStyle w:val="TableParagraph"/>
              <w:spacing w:before="40"/>
              <w:ind w:left="49" w:right="52"/>
              <w:jc w:val="center"/>
              <w:rPr>
                <w:sz w:val="20"/>
              </w:rPr>
            </w:pPr>
            <w:r>
              <w:rPr>
                <w:color w:val="FFFFFF"/>
                <w:sz w:val="20"/>
              </w:rPr>
              <w:t>Alemania</w:t>
            </w:r>
          </w:p>
        </w:tc>
        <w:tc>
          <w:tcPr>
            <w:tcW w:w="818" w:type="dxa"/>
            <w:tcBorders>
              <w:top w:val="single" w:sz="4" w:space="0" w:color="FFFFFF"/>
            </w:tcBorders>
            <w:shd w:val="clear" w:color="auto" w:fill="000000"/>
          </w:tcPr>
          <w:p>
            <w:pPr>
              <w:pStyle w:val="TableParagraph"/>
              <w:spacing w:before="40"/>
              <w:ind w:left="50" w:right="50"/>
              <w:jc w:val="center"/>
              <w:rPr>
                <w:sz w:val="20"/>
              </w:rPr>
            </w:pPr>
            <w:r>
              <w:rPr>
                <w:color w:val="FFFFFF"/>
                <w:sz w:val="20"/>
              </w:rPr>
              <w:t>España</w:t>
            </w:r>
          </w:p>
        </w:tc>
      </w:tr>
      <w:tr>
        <w:trPr>
          <w:trHeight w:val="250" w:hRule="exact"/>
        </w:trPr>
        <w:tc>
          <w:tcPr>
            <w:tcW w:w="1680" w:type="dxa"/>
            <w:tcBorders>
              <w:left w:val="single" w:sz="4" w:space="0" w:color="000000"/>
              <w:bottom w:val="single" w:sz="4" w:space="0" w:color="000000"/>
              <w:right w:val="single" w:sz="4" w:space="0" w:color="000000"/>
            </w:tcBorders>
          </w:tcPr>
          <w:p>
            <w:pPr/>
          </w:p>
        </w:tc>
        <w:tc>
          <w:tcPr>
            <w:tcW w:w="2734" w:type="dxa"/>
            <w:tcBorders>
              <w:left w:val="single" w:sz="4" w:space="0" w:color="000000"/>
              <w:bottom w:val="single" w:sz="4" w:space="0" w:color="000000"/>
              <w:right w:val="single" w:sz="4" w:space="0" w:color="000000"/>
            </w:tcBorders>
          </w:tcPr>
          <w:p>
            <w:pPr/>
          </w:p>
        </w:tc>
        <w:tc>
          <w:tcPr>
            <w:tcW w:w="552" w:type="dxa"/>
            <w:tcBorders>
              <w:left w:val="single" w:sz="4" w:space="0" w:color="000000"/>
              <w:bottom w:val="single" w:sz="4" w:space="0" w:color="000000"/>
              <w:right w:val="single" w:sz="4" w:space="0" w:color="000000"/>
            </w:tcBorders>
          </w:tcPr>
          <w:p>
            <w:pPr/>
          </w:p>
        </w:tc>
        <w:tc>
          <w:tcPr>
            <w:tcW w:w="773" w:type="dxa"/>
            <w:tcBorders>
              <w:left w:val="single" w:sz="4" w:space="0" w:color="000000"/>
              <w:bottom w:val="single" w:sz="4" w:space="0" w:color="000000"/>
              <w:right w:val="single" w:sz="4" w:space="0" w:color="000000"/>
            </w:tcBorders>
          </w:tcPr>
          <w:p>
            <w:pPr/>
          </w:p>
        </w:tc>
        <w:tc>
          <w:tcPr>
            <w:tcW w:w="1241" w:type="dxa"/>
            <w:tcBorders>
              <w:left w:val="single" w:sz="4" w:space="0" w:color="000000"/>
              <w:bottom w:val="single" w:sz="4" w:space="0" w:color="000000"/>
              <w:right w:val="single" w:sz="4" w:space="0" w:color="000000"/>
            </w:tcBorders>
          </w:tcPr>
          <w:p>
            <w:pPr/>
          </w:p>
        </w:tc>
        <w:tc>
          <w:tcPr>
            <w:tcW w:w="975" w:type="dxa"/>
            <w:tcBorders>
              <w:left w:val="single" w:sz="4" w:space="0" w:color="000000"/>
              <w:bottom w:val="single" w:sz="4" w:space="0" w:color="000000"/>
              <w:right w:val="single" w:sz="4" w:space="0" w:color="000000"/>
            </w:tcBorders>
          </w:tcPr>
          <w:p>
            <w:pPr/>
          </w:p>
        </w:tc>
        <w:tc>
          <w:tcPr>
            <w:tcW w:w="818" w:type="dxa"/>
            <w:tcBorders>
              <w:left w:val="single" w:sz="4" w:space="0" w:color="000000"/>
              <w:bottom w:val="single" w:sz="4" w:space="0" w:color="000000"/>
              <w:right w:val="single" w:sz="4" w:space="0" w:color="000000"/>
            </w:tcBorders>
          </w:tcPr>
          <w:p>
            <w:pPr/>
          </w:p>
        </w:tc>
      </w:tr>
      <w:tr>
        <w:trPr>
          <w:trHeight w:val="300" w:hRule="exact"/>
        </w:trPr>
        <w:tc>
          <w:tcPr>
            <w:tcW w:w="4414" w:type="dxa"/>
            <w:gridSpan w:val="2"/>
            <w:shd w:val="clear" w:color="auto" w:fill="000000"/>
          </w:tcPr>
          <w:p>
            <w:pPr>
              <w:pStyle w:val="TableParagraph"/>
              <w:spacing w:before="28"/>
              <w:ind w:left="568"/>
              <w:rPr>
                <w:b/>
                <w:sz w:val="20"/>
              </w:rPr>
            </w:pPr>
            <w:r>
              <w:rPr>
                <w:b/>
                <w:color w:val="FFFFFF"/>
                <w:sz w:val="20"/>
              </w:rPr>
              <w:t>Satisfacción de la vida</w:t>
            </w:r>
          </w:p>
        </w:tc>
        <w:tc>
          <w:tcPr>
            <w:tcW w:w="552" w:type="dxa"/>
            <w:shd w:val="clear" w:color="auto" w:fill="000000"/>
          </w:tcPr>
          <w:p>
            <w:pPr>
              <w:pStyle w:val="TableParagraph"/>
              <w:spacing w:before="28"/>
              <w:ind w:left="48" w:right="51"/>
              <w:jc w:val="center"/>
              <w:rPr>
                <w:b/>
                <w:sz w:val="20"/>
              </w:rPr>
            </w:pPr>
            <w:r>
              <w:rPr>
                <w:b/>
                <w:color w:val="FFFFFF"/>
                <w:sz w:val="20"/>
              </w:rPr>
              <w:t>12</w:t>
            </w:r>
          </w:p>
        </w:tc>
        <w:tc>
          <w:tcPr>
            <w:tcW w:w="773" w:type="dxa"/>
            <w:shd w:val="clear" w:color="auto" w:fill="000000"/>
          </w:tcPr>
          <w:p>
            <w:pPr>
              <w:pStyle w:val="TableParagraph"/>
              <w:spacing w:before="28"/>
              <w:ind w:left="47" w:right="49"/>
              <w:jc w:val="center"/>
              <w:rPr>
                <w:b/>
                <w:sz w:val="20"/>
              </w:rPr>
            </w:pPr>
            <w:r>
              <w:rPr>
                <w:b/>
                <w:color w:val="FFFFFF"/>
                <w:sz w:val="20"/>
              </w:rPr>
              <w:t>19</w:t>
            </w:r>
          </w:p>
        </w:tc>
        <w:tc>
          <w:tcPr>
            <w:tcW w:w="1241" w:type="dxa"/>
            <w:shd w:val="clear" w:color="auto" w:fill="000000"/>
          </w:tcPr>
          <w:p>
            <w:pPr>
              <w:pStyle w:val="TableParagraph"/>
              <w:spacing w:before="28"/>
              <w:ind w:left="50" w:right="50"/>
              <w:jc w:val="center"/>
              <w:rPr>
                <w:b/>
                <w:sz w:val="20"/>
              </w:rPr>
            </w:pPr>
            <w:r>
              <w:rPr>
                <w:b/>
                <w:color w:val="FFFFFF"/>
                <w:sz w:val="20"/>
              </w:rPr>
              <w:t>20</w:t>
            </w:r>
          </w:p>
        </w:tc>
        <w:tc>
          <w:tcPr>
            <w:tcW w:w="975" w:type="dxa"/>
            <w:shd w:val="clear" w:color="auto" w:fill="000000"/>
          </w:tcPr>
          <w:p>
            <w:pPr>
              <w:pStyle w:val="TableParagraph"/>
              <w:spacing w:before="28"/>
              <w:ind w:left="49" w:right="51"/>
              <w:jc w:val="center"/>
              <w:rPr>
                <w:b/>
                <w:sz w:val="20"/>
              </w:rPr>
            </w:pPr>
            <w:r>
              <w:rPr>
                <w:b/>
                <w:color w:val="FFFFFF"/>
                <w:sz w:val="20"/>
              </w:rPr>
              <w:t>21</w:t>
            </w:r>
          </w:p>
        </w:tc>
        <w:tc>
          <w:tcPr>
            <w:tcW w:w="818" w:type="dxa"/>
            <w:shd w:val="clear" w:color="auto" w:fill="000000"/>
          </w:tcPr>
          <w:p>
            <w:pPr>
              <w:pStyle w:val="TableParagraph"/>
              <w:spacing w:before="28"/>
              <w:ind w:left="50" w:right="50"/>
              <w:jc w:val="center"/>
              <w:rPr>
                <w:b/>
                <w:sz w:val="20"/>
              </w:rPr>
            </w:pPr>
            <w:r>
              <w:rPr>
                <w:b/>
                <w:color w:val="FFFFFF"/>
                <w:sz w:val="20"/>
              </w:rPr>
              <w:t>23</w:t>
            </w:r>
          </w:p>
        </w:tc>
      </w:tr>
      <w:tr>
        <w:trPr>
          <w:trHeight w:val="245" w:hRule="exact"/>
        </w:trPr>
        <w:tc>
          <w:tcPr>
            <w:tcW w:w="1680" w:type="dxa"/>
            <w:tcBorders>
              <w:top w:val="single" w:sz="4" w:space="0" w:color="000000"/>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
        </w:tc>
        <w:tc>
          <w:tcPr>
            <w:tcW w:w="552" w:type="dxa"/>
            <w:tcBorders>
              <w:top w:val="single" w:sz="4" w:space="0" w:color="000000"/>
              <w:left w:val="single" w:sz="4" w:space="0" w:color="000000"/>
              <w:bottom w:val="single" w:sz="4" w:space="0" w:color="000000"/>
              <w:right w:val="single" w:sz="4" w:space="0" w:color="000000"/>
            </w:tcBorders>
          </w:tcPr>
          <w:p>
            <w:pPr/>
          </w:p>
        </w:tc>
        <w:tc>
          <w:tcPr>
            <w:tcW w:w="773" w:type="dxa"/>
            <w:tcBorders>
              <w:top w:val="single" w:sz="4" w:space="0" w:color="000000"/>
              <w:left w:val="single" w:sz="4" w:space="0" w:color="000000"/>
              <w:bottom w:val="single" w:sz="4" w:space="0" w:color="000000"/>
              <w:right w:val="single" w:sz="4" w:space="0" w:color="000000"/>
            </w:tcBorders>
          </w:tcPr>
          <w:p>
            <w:pPr/>
          </w:p>
        </w:tc>
        <w:tc>
          <w:tcPr>
            <w:tcW w:w="1241" w:type="dxa"/>
            <w:tcBorders>
              <w:top w:val="single" w:sz="4" w:space="0" w:color="000000"/>
              <w:left w:val="single" w:sz="4" w:space="0" w:color="000000"/>
              <w:bottom w:val="single" w:sz="4" w:space="0" w:color="000000"/>
              <w:right w:val="single" w:sz="4" w:space="0" w:color="000000"/>
            </w:tcBorders>
          </w:tcPr>
          <w:p>
            <w:pPr/>
          </w:p>
        </w:tc>
        <w:tc>
          <w:tcPr>
            <w:tcW w:w="975" w:type="dxa"/>
            <w:tcBorders>
              <w:top w:val="single" w:sz="4" w:space="0" w:color="000000"/>
              <w:left w:val="single" w:sz="4" w:space="0" w:color="000000"/>
              <w:bottom w:val="single" w:sz="4" w:space="0" w:color="000000"/>
              <w:right w:val="single" w:sz="4" w:space="0" w:color="000000"/>
            </w:tcBorders>
          </w:tcPr>
          <w:p>
            <w:pPr/>
          </w:p>
        </w:tc>
        <w:tc>
          <w:tcPr>
            <w:tcW w:w="818" w:type="dxa"/>
            <w:tcBorders>
              <w:top w:val="single" w:sz="4" w:space="0" w:color="000000"/>
              <w:left w:val="single" w:sz="4" w:space="0" w:color="000000"/>
              <w:bottom w:val="single" w:sz="4" w:space="0" w:color="000000"/>
              <w:right w:val="single" w:sz="4" w:space="0" w:color="000000"/>
            </w:tcBorders>
          </w:tcPr>
          <w:p>
            <w:pPr/>
          </w:p>
        </w:tc>
      </w:tr>
      <w:tr>
        <w:trPr>
          <w:trHeight w:val="470" w:hRule="exact"/>
        </w:trPr>
        <w:tc>
          <w:tcPr>
            <w:tcW w:w="1680"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spacing w:before="134"/>
              <w:ind w:left="499" w:right="149"/>
              <w:rPr>
                <w:sz w:val="20"/>
              </w:rPr>
            </w:pPr>
            <w:r>
              <w:rPr>
                <w:sz w:val="20"/>
              </w:rPr>
              <w:t>Ingreso</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ind w:left="64" w:right="161"/>
              <w:rPr>
                <w:sz w:val="20"/>
              </w:rPr>
            </w:pPr>
            <w:r>
              <w:rPr>
                <w:sz w:val="20"/>
              </w:rPr>
              <w:t>Ingreso de los hogares (en dólares)</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12"/>
              <w:jc w:val="center"/>
              <w:rPr>
                <w:sz w:val="20"/>
              </w:rPr>
            </w:pPr>
            <w:r>
              <w:rPr>
                <w:w w:val="99"/>
                <w:sz w:val="20"/>
              </w:rPr>
              <w:t>1</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12"/>
              <w:ind w:left="198" w:right="200"/>
              <w:jc w:val="center"/>
              <w:rPr>
                <w:sz w:val="20"/>
              </w:rPr>
            </w:pPr>
            <w:r>
              <w:rPr>
                <w:sz w:val="20"/>
              </w:rPr>
              <w:t>30</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12"/>
              <w:ind w:left="484" w:right="484"/>
              <w:jc w:val="center"/>
              <w:rPr>
                <w:sz w:val="20"/>
              </w:rPr>
            </w:pPr>
            <w:r>
              <w:rPr>
                <w:sz w:val="20"/>
              </w:rPr>
              <w:t>12</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12"/>
              <w:ind w:right="1"/>
              <w:jc w:val="center"/>
              <w:rPr>
                <w:sz w:val="20"/>
              </w:rPr>
            </w:pPr>
            <w:r>
              <w:rPr>
                <w:w w:val="99"/>
                <w:sz w:val="20"/>
              </w:rPr>
              <w:t>6</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12"/>
              <w:ind w:left="222" w:right="222"/>
              <w:jc w:val="center"/>
              <w:rPr>
                <w:sz w:val="20"/>
              </w:rPr>
            </w:pPr>
            <w:r>
              <w:rPr>
                <w:sz w:val="20"/>
              </w:rPr>
              <w:t>17</w:t>
            </w:r>
          </w:p>
        </w:tc>
      </w:tr>
      <w:tr>
        <w:trPr>
          <w:trHeight w:val="504"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14"/>
              <w:ind w:left="64" w:right="161"/>
              <w:rPr>
                <w:sz w:val="20"/>
              </w:rPr>
            </w:pPr>
            <w:r>
              <w:rPr>
                <w:sz w:val="20"/>
              </w:rPr>
              <w:t>Riqueza financiera de los hogares (en dólares)</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29"/>
              <w:jc w:val="center"/>
              <w:rPr>
                <w:sz w:val="20"/>
              </w:rPr>
            </w:pPr>
            <w:r>
              <w:rPr>
                <w:w w:val="99"/>
                <w:sz w:val="20"/>
              </w:rPr>
              <w:t>1</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29"/>
              <w:ind w:left="198" w:right="200"/>
              <w:jc w:val="center"/>
              <w:rPr>
                <w:sz w:val="20"/>
              </w:rPr>
            </w:pPr>
            <w:r>
              <w:rPr>
                <w:sz w:val="20"/>
              </w:rPr>
              <w:t>27</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29"/>
              <w:jc w:val="center"/>
              <w:rPr>
                <w:sz w:val="20"/>
              </w:rPr>
            </w:pPr>
            <w:r>
              <w:rPr>
                <w:w w:val="99"/>
                <w:sz w:val="20"/>
              </w:rPr>
              <w:t>8</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29"/>
              <w:ind w:left="350" w:right="352"/>
              <w:jc w:val="center"/>
              <w:rPr>
                <w:sz w:val="20"/>
              </w:rPr>
            </w:pPr>
            <w:r>
              <w:rPr>
                <w:sz w:val="20"/>
              </w:rPr>
              <w:t>13</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29"/>
              <w:ind w:left="222" w:right="222"/>
              <w:jc w:val="center"/>
              <w:rPr>
                <w:sz w:val="20"/>
              </w:rPr>
            </w:pPr>
            <w:r>
              <w:rPr>
                <w:sz w:val="20"/>
              </w:rPr>
              <w:t>19</w:t>
            </w:r>
          </w:p>
        </w:tc>
      </w:tr>
      <w:tr>
        <w:trPr>
          <w:trHeight w:val="310" w:hRule="exact"/>
        </w:trPr>
        <w:tc>
          <w:tcPr>
            <w:tcW w:w="1680"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rPr>
                <w:sz w:val="20"/>
              </w:rPr>
            </w:pPr>
          </w:p>
          <w:p>
            <w:pPr>
              <w:pStyle w:val="TableParagraph"/>
              <w:spacing w:before="7"/>
              <w:rPr>
                <w:sz w:val="18"/>
              </w:rPr>
            </w:pPr>
          </w:p>
          <w:p>
            <w:pPr>
              <w:pStyle w:val="TableParagraph"/>
              <w:ind w:left="494" w:right="149"/>
              <w:rPr>
                <w:sz w:val="20"/>
              </w:rPr>
            </w:pPr>
            <w:r>
              <w:rPr>
                <w:sz w:val="20"/>
              </w:rPr>
              <w:t>Empleo</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3"/>
              <w:ind w:left="64" w:right="161"/>
              <w:rPr>
                <w:sz w:val="20"/>
              </w:rPr>
            </w:pPr>
            <w:r>
              <w:rPr>
                <w:sz w:val="20"/>
              </w:rPr>
              <w:t>Índice de empleo (%)</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33"/>
              <w:ind w:left="87" w:right="90"/>
              <w:jc w:val="center"/>
              <w:rPr>
                <w:sz w:val="20"/>
              </w:rPr>
            </w:pPr>
            <w:r>
              <w:rPr>
                <w:sz w:val="20"/>
              </w:rPr>
              <w:t>15</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33"/>
              <w:ind w:left="198" w:right="200"/>
              <w:jc w:val="center"/>
              <w:rPr>
                <w:sz w:val="20"/>
              </w:rPr>
            </w:pPr>
            <w:r>
              <w:rPr>
                <w:sz w:val="20"/>
              </w:rPr>
              <w:t>27</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33"/>
              <w:ind w:left="484" w:right="484"/>
              <w:jc w:val="center"/>
              <w:rPr>
                <w:sz w:val="20"/>
              </w:rPr>
            </w:pPr>
            <w:r>
              <w:rPr>
                <w:sz w:val="20"/>
              </w:rPr>
              <w:t>13</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3"/>
              <w:ind w:left="350" w:right="352"/>
              <w:jc w:val="center"/>
              <w:rPr>
                <w:sz w:val="20"/>
              </w:rPr>
            </w:pPr>
            <w:r>
              <w:rPr>
                <w:sz w:val="20"/>
              </w:rPr>
              <w:t>11</w:t>
            </w:r>
          </w:p>
        </w:tc>
        <w:tc>
          <w:tcPr>
            <w:tcW w:w="818"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3"/>
              <w:ind w:left="222" w:right="222"/>
              <w:jc w:val="center"/>
              <w:rPr>
                <w:sz w:val="20"/>
              </w:rPr>
            </w:pPr>
            <w:r>
              <w:rPr>
                <w:sz w:val="20"/>
              </w:rPr>
              <w:t>31</w:t>
            </w:r>
          </w:p>
        </w:tc>
      </w:tr>
      <w:tr>
        <w:trPr>
          <w:trHeight w:val="471" w:hRule="exact"/>
        </w:trPr>
        <w:tc>
          <w:tcPr>
            <w:tcW w:w="1680" w:type="dxa"/>
            <w:vMerge/>
            <w:tcBorders>
              <w:left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ind w:left="64" w:right="750"/>
              <w:rPr>
                <w:sz w:val="20"/>
              </w:rPr>
            </w:pPr>
            <w:r>
              <w:rPr>
                <w:sz w:val="20"/>
              </w:rPr>
              <w:t>Ingresos por persona (dólares)</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13"/>
              <w:jc w:val="center"/>
              <w:rPr>
                <w:sz w:val="20"/>
              </w:rPr>
            </w:pPr>
            <w:r>
              <w:rPr>
                <w:w w:val="99"/>
                <w:sz w:val="20"/>
              </w:rPr>
              <w:t>1</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13"/>
              <w:ind w:left="198" w:right="200"/>
              <w:jc w:val="center"/>
              <w:rPr>
                <w:sz w:val="20"/>
              </w:rPr>
            </w:pPr>
            <w:r>
              <w:rPr>
                <w:sz w:val="20"/>
              </w:rPr>
              <w:t>34</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13"/>
              <w:jc w:val="center"/>
              <w:rPr>
                <w:sz w:val="20"/>
              </w:rPr>
            </w:pPr>
            <w:r>
              <w:rPr>
                <w:w w:val="99"/>
                <w:sz w:val="20"/>
              </w:rPr>
              <w:t>8</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13"/>
              <w:ind w:left="350" w:right="352"/>
              <w:jc w:val="center"/>
              <w:rPr>
                <w:sz w:val="20"/>
              </w:rPr>
            </w:pPr>
            <w:r>
              <w:rPr>
                <w:sz w:val="20"/>
              </w:rPr>
              <w:t>14</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13"/>
              <w:ind w:left="222" w:right="222"/>
              <w:jc w:val="center"/>
              <w:rPr>
                <w:sz w:val="20"/>
              </w:rPr>
            </w:pPr>
            <w:r>
              <w:rPr>
                <w:sz w:val="20"/>
              </w:rPr>
              <w:t>19</w:t>
            </w:r>
          </w:p>
        </w:tc>
      </w:tr>
      <w:tr>
        <w:trPr>
          <w:trHeight w:val="310" w:hRule="exact"/>
        </w:trPr>
        <w:tc>
          <w:tcPr>
            <w:tcW w:w="1680" w:type="dxa"/>
            <w:vMerge/>
            <w:tcBorders>
              <w:left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3"/>
              <w:ind w:left="64" w:right="161"/>
              <w:rPr>
                <w:sz w:val="20"/>
              </w:rPr>
            </w:pPr>
            <w:r>
              <w:rPr>
                <w:sz w:val="20"/>
              </w:rPr>
              <w:t>Seguridad laboral (%)</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33"/>
              <w:jc w:val="center"/>
              <w:rPr>
                <w:sz w:val="20"/>
              </w:rPr>
            </w:pPr>
            <w:r>
              <w:rPr>
                <w:w w:val="99"/>
                <w:sz w:val="20"/>
              </w:rPr>
              <w:t>9</w:t>
            </w:r>
          </w:p>
        </w:tc>
        <w:tc>
          <w:tcPr>
            <w:tcW w:w="773"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3"/>
              <w:jc w:val="center"/>
              <w:rPr>
                <w:sz w:val="20"/>
              </w:rPr>
            </w:pPr>
            <w:r>
              <w:rPr>
                <w:w w:val="99"/>
                <w:sz w:val="20"/>
              </w:rPr>
              <w:t>3</w:t>
            </w:r>
          </w:p>
        </w:tc>
        <w:tc>
          <w:tcPr>
            <w:tcW w:w="1241"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3"/>
              <w:ind w:left="484" w:right="484"/>
              <w:jc w:val="center"/>
              <w:rPr>
                <w:sz w:val="20"/>
              </w:rPr>
            </w:pPr>
            <w:r>
              <w:rPr>
                <w:sz w:val="20"/>
              </w:rPr>
              <w:t>23</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33"/>
              <w:ind w:left="350" w:right="352"/>
              <w:jc w:val="center"/>
              <w:rPr>
                <w:sz w:val="20"/>
              </w:rPr>
            </w:pPr>
            <w:r>
              <w:rPr>
                <w:sz w:val="20"/>
              </w:rPr>
              <w:t>18</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33"/>
              <w:ind w:left="222" w:right="222"/>
              <w:jc w:val="center"/>
              <w:rPr>
                <w:sz w:val="20"/>
              </w:rPr>
            </w:pPr>
            <w:r>
              <w:rPr>
                <w:sz w:val="20"/>
              </w:rPr>
              <w:t>11</w:t>
            </w:r>
          </w:p>
        </w:tc>
      </w:tr>
      <w:tr>
        <w:trPr>
          <w:trHeight w:val="506"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16"/>
              <w:ind w:left="64" w:right="161" w:firstLine="55"/>
              <w:rPr>
                <w:sz w:val="20"/>
              </w:rPr>
            </w:pPr>
            <w:r>
              <w:rPr>
                <w:sz w:val="20"/>
              </w:rPr>
              <w:t>Tasa de desempleo a largo plazo (%)</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31"/>
              <w:ind w:left="87" w:right="90"/>
              <w:jc w:val="center"/>
              <w:rPr>
                <w:sz w:val="20"/>
              </w:rPr>
            </w:pPr>
            <w:r>
              <w:rPr>
                <w:sz w:val="20"/>
              </w:rPr>
              <w:t>19</w:t>
            </w:r>
          </w:p>
        </w:tc>
        <w:tc>
          <w:tcPr>
            <w:tcW w:w="773"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31"/>
              <w:jc w:val="center"/>
              <w:rPr>
                <w:sz w:val="20"/>
              </w:rPr>
            </w:pPr>
            <w:r>
              <w:rPr>
                <w:w w:val="99"/>
                <w:sz w:val="20"/>
              </w:rPr>
              <w:t>2</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left="484" w:right="484"/>
              <w:jc w:val="center"/>
              <w:rPr>
                <w:sz w:val="20"/>
              </w:rPr>
            </w:pPr>
            <w:r>
              <w:rPr>
                <w:sz w:val="20"/>
              </w:rPr>
              <w:t>18</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31"/>
              <w:ind w:left="350" w:right="352"/>
              <w:jc w:val="center"/>
              <w:rPr>
                <w:sz w:val="20"/>
              </w:rPr>
            </w:pPr>
            <w:r>
              <w:rPr>
                <w:sz w:val="20"/>
              </w:rPr>
              <w:t>22</w:t>
            </w:r>
          </w:p>
        </w:tc>
        <w:tc>
          <w:tcPr>
            <w:tcW w:w="818"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31"/>
              <w:ind w:left="222" w:right="222"/>
              <w:jc w:val="center"/>
              <w:rPr>
                <w:sz w:val="20"/>
              </w:rPr>
            </w:pPr>
            <w:r>
              <w:rPr>
                <w:sz w:val="20"/>
              </w:rPr>
              <w:t>33</w:t>
            </w:r>
          </w:p>
        </w:tc>
      </w:tr>
      <w:tr>
        <w:trPr>
          <w:trHeight w:val="468" w:hRule="exact"/>
        </w:trPr>
        <w:tc>
          <w:tcPr>
            <w:tcW w:w="1680"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spacing w:before="6"/>
              <w:rPr>
                <w:sz w:val="23"/>
              </w:rPr>
            </w:pPr>
          </w:p>
          <w:p>
            <w:pPr>
              <w:pStyle w:val="TableParagraph"/>
              <w:ind w:left="448" w:right="149"/>
              <w:rPr>
                <w:sz w:val="20"/>
              </w:rPr>
            </w:pPr>
            <w:r>
              <w:rPr>
                <w:sz w:val="20"/>
              </w:rPr>
              <w:t>Vivienda</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ind w:left="64" w:right="528"/>
              <w:rPr>
                <w:sz w:val="20"/>
              </w:rPr>
            </w:pPr>
            <w:r>
              <w:rPr>
                <w:sz w:val="20"/>
              </w:rPr>
              <w:t>No. de habitaciones por persona</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12"/>
              <w:ind w:left="90" w:right="90"/>
              <w:jc w:val="center"/>
              <w:rPr>
                <w:sz w:val="20"/>
              </w:rPr>
            </w:pPr>
            <w:r>
              <w:rPr>
                <w:sz w:val="20"/>
              </w:rPr>
              <w:t>s.p.</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12"/>
              <w:ind w:left="198" w:right="200"/>
              <w:jc w:val="center"/>
              <w:rPr>
                <w:sz w:val="20"/>
              </w:rPr>
            </w:pPr>
            <w:r>
              <w:rPr>
                <w:sz w:val="20"/>
              </w:rPr>
              <w:t>28</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12"/>
              <w:ind w:left="484" w:right="484"/>
              <w:jc w:val="center"/>
              <w:rPr>
                <w:sz w:val="20"/>
              </w:rPr>
            </w:pPr>
            <w:r>
              <w:rPr>
                <w:sz w:val="20"/>
              </w:rPr>
              <w:t>14</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12"/>
              <w:ind w:left="350" w:right="352"/>
              <w:jc w:val="center"/>
              <w:rPr>
                <w:sz w:val="20"/>
              </w:rPr>
            </w:pPr>
            <w:r>
              <w:rPr>
                <w:sz w:val="20"/>
              </w:rPr>
              <w:t>10</w:t>
            </w:r>
          </w:p>
        </w:tc>
        <w:tc>
          <w:tcPr>
            <w:tcW w:w="818"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12"/>
              <w:jc w:val="center"/>
              <w:rPr>
                <w:sz w:val="20"/>
              </w:rPr>
            </w:pPr>
            <w:r>
              <w:rPr>
                <w:w w:val="99"/>
                <w:sz w:val="20"/>
              </w:rPr>
              <w:t>8</w:t>
            </w:r>
          </w:p>
        </w:tc>
      </w:tr>
      <w:tr>
        <w:trPr>
          <w:trHeight w:val="312" w:hRule="exact"/>
        </w:trPr>
        <w:tc>
          <w:tcPr>
            <w:tcW w:w="1680" w:type="dxa"/>
            <w:vMerge/>
            <w:tcBorders>
              <w:left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3"/>
              <w:ind w:left="64"/>
              <w:rPr>
                <w:sz w:val="20"/>
              </w:rPr>
            </w:pPr>
            <w:r>
              <w:rPr>
                <w:sz w:val="20"/>
              </w:rPr>
              <w:t>Gastos en vivienda (dólares)</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33"/>
              <w:ind w:left="87" w:right="90"/>
              <w:jc w:val="center"/>
              <w:rPr>
                <w:sz w:val="20"/>
              </w:rPr>
            </w:pPr>
            <w:r>
              <w:rPr>
                <w:sz w:val="20"/>
              </w:rPr>
              <w:t>26</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3"/>
              <w:ind w:left="198" w:right="200"/>
              <w:jc w:val="center"/>
              <w:rPr>
                <w:sz w:val="20"/>
              </w:rPr>
            </w:pPr>
            <w:r>
              <w:rPr>
                <w:sz w:val="20"/>
              </w:rPr>
              <w:t>27</w:t>
            </w:r>
          </w:p>
        </w:tc>
        <w:tc>
          <w:tcPr>
            <w:tcW w:w="124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3"/>
              <w:ind w:left="484" w:right="484"/>
              <w:jc w:val="center"/>
              <w:rPr>
                <w:sz w:val="20"/>
              </w:rPr>
            </w:pPr>
            <w:r>
              <w:rPr>
                <w:sz w:val="20"/>
              </w:rPr>
              <w:t>14</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33"/>
              <w:ind w:left="350" w:right="352"/>
              <w:jc w:val="center"/>
              <w:rPr>
                <w:sz w:val="20"/>
              </w:rPr>
            </w:pPr>
            <w:r>
              <w:rPr>
                <w:sz w:val="20"/>
              </w:rPr>
              <w:t>16</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33"/>
              <w:ind w:left="222" w:right="222"/>
              <w:jc w:val="center"/>
              <w:rPr>
                <w:sz w:val="20"/>
              </w:rPr>
            </w:pPr>
            <w:r>
              <w:rPr>
                <w:sz w:val="20"/>
              </w:rPr>
              <w:t>25</w:t>
            </w:r>
          </w:p>
        </w:tc>
      </w:tr>
      <w:tr>
        <w:trPr>
          <w:trHeight w:val="468"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ind w:left="64" w:right="161"/>
              <w:rPr>
                <w:sz w:val="20"/>
              </w:rPr>
            </w:pPr>
            <w:r>
              <w:rPr>
                <w:sz w:val="20"/>
              </w:rPr>
              <w:t>Viviendas con servicios básicos</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12"/>
              <w:jc w:val="center"/>
              <w:rPr>
                <w:sz w:val="20"/>
              </w:rPr>
            </w:pPr>
            <w:r>
              <w:rPr>
                <w:w w:val="99"/>
                <w:sz w:val="20"/>
              </w:rPr>
              <w:t>5</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12"/>
              <w:ind w:left="198" w:right="200"/>
              <w:jc w:val="center"/>
              <w:rPr>
                <w:sz w:val="20"/>
              </w:rPr>
            </w:pPr>
            <w:r>
              <w:rPr>
                <w:sz w:val="20"/>
              </w:rPr>
              <w:t>26</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12"/>
              <w:ind w:left="484" w:right="484"/>
              <w:jc w:val="center"/>
              <w:rPr>
                <w:sz w:val="20"/>
              </w:rPr>
            </w:pPr>
            <w:r>
              <w:rPr>
                <w:sz w:val="20"/>
              </w:rPr>
              <w:t>15</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12"/>
              <w:ind w:left="350" w:right="352"/>
              <w:jc w:val="center"/>
              <w:rPr>
                <w:sz w:val="20"/>
              </w:rPr>
            </w:pPr>
            <w:r>
              <w:rPr>
                <w:sz w:val="20"/>
              </w:rPr>
              <w:t>22</w:t>
            </w:r>
          </w:p>
        </w:tc>
        <w:tc>
          <w:tcPr>
            <w:tcW w:w="818"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12"/>
              <w:jc w:val="center"/>
              <w:rPr>
                <w:sz w:val="20"/>
              </w:rPr>
            </w:pPr>
            <w:r>
              <w:rPr>
                <w:w w:val="99"/>
                <w:sz w:val="20"/>
              </w:rPr>
              <w:t>3</w:t>
            </w:r>
          </w:p>
        </w:tc>
      </w:tr>
      <w:tr>
        <w:trPr>
          <w:trHeight w:val="492" w:hRule="exact"/>
        </w:trPr>
        <w:tc>
          <w:tcPr>
            <w:tcW w:w="1680" w:type="dxa"/>
            <w:vMerge w:val="restart"/>
            <w:tcBorders>
              <w:top w:val="single" w:sz="4" w:space="0" w:color="000000"/>
              <w:left w:val="single" w:sz="4" w:space="0" w:color="000000"/>
              <w:right w:val="single" w:sz="4" w:space="0" w:color="000000"/>
            </w:tcBorders>
          </w:tcPr>
          <w:p>
            <w:pPr>
              <w:pStyle w:val="TableParagraph"/>
              <w:spacing w:before="8"/>
              <w:rPr>
                <w:sz w:val="22"/>
              </w:rPr>
            </w:pPr>
          </w:p>
          <w:p>
            <w:pPr>
              <w:pStyle w:val="TableParagraph"/>
              <w:ind w:left="237" w:right="149" w:hanging="70"/>
              <w:rPr>
                <w:sz w:val="20"/>
              </w:rPr>
            </w:pPr>
            <w:r>
              <w:rPr>
                <w:sz w:val="20"/>
              </w:rPr>
              <w:t>Equilibrio entre trabajo y vida</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9"/>
              <w:ind w:left="64" w:right="161"/>
              <w:rPr>
                <w:sz w:val="20"/>
              </w:rPr>
            </w:pPr>
            <w:r>
              <w:rPr>
                <w:sz w:val="20"/>
              </w:rPr>
              <w:t>Empleados con largas jornadas laborales</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24"/>
              <w:ind w:left="87" w:right="90"/>
              <w:jc w:val="center"/>
              <w:rPr>
                <w:sz w:val="20"/>
              </w:rPr>
            </w:pPr>
            <w:r>
              <w:rPr>
                <w:sz w:val="20"/>
              </w:rPr>
              <w:t>25</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24"/>
              <w:ind w:left="198" w:right="200"/>
              <w:jc w:val="center"/>
              <w:rPr>
                <w:sz w:val="20"/>
              </w:rPr>
            </w:pPr>
            <w:r>
              <w:rPr>
                <w:sz w:val="20"/>
              </w:rPr>
              <w:t>30</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24"/>
              <w:ind w:left="484" w:right="484"/>
              <w:jc w:val="center"/>
              <w:rPr>
                <w:sz w:val="20"/>
              </w:rPr>
            </w:pPr>
            <w:r>
              <w:rPr>
                <w:sz w:val="20"/>
              </w:rPr>
              <w:t>26</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24"/>
              <w:ind w:left="350" w:right="352"/>
              <w:jc w:val="center"/>
              <w:rPr>
                <w:sz w:val="20"/>
              </w:rPr>
            </w:pPr>
            <w:r>
              <w:rPr>
                <w:sz w:val="20"/>
              </w:rPr>
              <w:t>13</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24"/>
              <w:ind w:left="222" w:right="222"/>
              <w:jc w:val="center"/>
              <w:rPr>
                <w:sz w:val="20"/>
              </w:rPr>
            </w:pPr>
            <w:r>
              <w:rPr>
                <w:sz w:val="20"/>
              </w:rPr>
              <w:t>19</w:t>
            </w:r>
          </w:p>
        </w:tc>
      </w:tr>
      <w:tr>
        <w:trPr>
          <w:trHeight w:val="504"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14"/>
              <w:ind w:left="64"/>
              <w:rPr>
                <w:sz w:val="20"/>
              </w:rPr>
            </w:pPr>
            <w:r>
              <w:rPr>
                <w:sz w:val="20"/>
              </w:rPr>
              <w:t>Tiempo dedicado al ocio y al cuidado personal</w:t>
            </w:r>
          </w:p>
        </w:tc>
        <w:tc>
          <w:tcPr>
            <w:tcW w:w="552"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29"/>
              <w:ind w:left="87" w:right="90"/>
              <w:jc w:val="center"/>
              <w:rPr>
                <w:sz w:val="20"/>
              </w:rPr>
            </w:pPr>
            <w:r>
              <w:rPr>
                <w:sz w:val="20"/>
              </w:rPr>
              <w:t>17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129"/>
              <w:ind w:left="200" w:right="200"/>
              <w:jc w:val="center"/>
              <w:rPr>
                <w:sz w:val="20"/>
              </w:rPr>
            </w:pPr>
            <w:r>
              <w:rPr>
                <w:sz w:val="20"/>
              </w:rPr>
              <w:t>s.p.</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29"/>
              <w:ind w:left="484" w:right="484"/>
              <w:jc w:val="center"/>
              <w:rPr>
                <w:sz w:val="20"/>
              </w:rPr>
            </w:pPr>
            <w:r>
              <w:rPr>
                <w:sz w:val="20"/>
              </w:rPr>
              <w:t>11</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29"/>
              <w:ind w:right="1"/>
              <w:jc w:val="center"/>
              <w:rPr>
                <w:sz w:val="20"/>
              </w:rPr>
            </w:pPr>
            <w:r>
              <w:rPr>
                <w:w w:val="99"/>
                <w:sz w:val="20"/>
              </w:rPr>
              <w:t>6</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29"/>
              <w:ind w:left="222" w:right="223"/>
              <w:jc w:val="center"/>
              <w:rPr>
                <w:sz w:val="20"/>
              </w:rPr>
            </w:pPr>
            <w:r>
              <w:rPr>
                <w:sz w:val="20"/>
              </w:rPr>
              <w:t>s.p.</w:t>
            </w:r>
          </w:p>
        </w:tc>
      </w:tr>
      <w:tr>
        <w:trPr>
          <w:trHeight w:val="310" w:hRule="exact"/>
        </w:trPr>
        <w:tc>
          <w:tcPr>
            <w:tcW w:w="1680" w:type="dxa"/>
            <w:vMerge w:val="restart"/>
            <w:tcBorders>
              <w:top w:val="single" w:sz="4" w:space="0" w:color="000000"/>
              <w:left w:val="single" w:sz="4" w:space="0" w:color="000000"/>
              <w:right w:val="single" w:sz="4" w:space="0" w:color="000000"/>
            </w:tcBorders>
          </w:tcPr>
          <w:p>
            <w:pPr>
              <w:pStyle w:val="TableParagraph"/>
              <w:spacing w:before="10"/>
              <w:rPr>
                <w:sz w:val="16"/>
              </w:rPr>
            </w:pPr>
          </w:p>
          <w:p>
            <w:pPr>
              <w:pStyle w:val="TableParagraph"/>
              <w:ind w:left="541" w:right="543"/>
              <w:jc w:val="center"/>
              <w:rPr>
                <w:sz w:val="20"/>
              </w:rPr>
            </w:pPr>
            <w:r>
              <w:rPr>
                <w:sz w:val="20"/>
              </w:rPr>
              <w:t>Salud</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3"/>
              <w:ind w:left="64" w:right="161"/>
              <w:rPr>
                <w:sz w:val="20"/>
              </w:rPr>
            </w:pPr>
            <w:r>
              <w:rPr>
                <w:sz w:val="20"/>
              </w:rPr>
              <w:t>Esperanza de vida</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33"/>
              <w:ind w:left="87" w:right="90"/>
              <w:jc w:val="center"/>
              <w:rPr>
                <w:sz w:val="20"/>
              </w:rPr>
            </w:pPr>
            <w:r>
              <w:rPr>
                <w:sz w:val="20"/>
              </w:rPr>
              <w:t>27</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3"/>
              <w:ind w:left="198" w:right="200"/>
              <w:jc w:val="center"/>
              <w:rPr>
                <w:sz w:val="20"/>
              </w:rPr>
            </w:pPr>
            <w:r>
              <w:rPr>
                <w:sz w:val="20"/>
              </w:rPr>
              <w:t>31</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33"/>
              <w:ind w:left="484" w:right="484"/>
              <w:jc w:val="center"/>
              <w:rPr>
                <w:sz w:val="20"/>
              </w:rPr>
            </w:pPr>
            <w:r>
              <w:rPr>
                <w:sz w:val="20"/>
              </w:rPr>
              <w:t>20</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33"/>
              <w:ind w:left="350" w:right="352"/>
              <w:jc w:val="center"/>
              <w:rPr>
                <w:sz w:val="20"/>
              </w:rPr>
            </w:pPr>
            <w:r>
              <w:rPr>
                <w:sz w:val="20"/>
              </w:rPr>
              <w:t>19</w:t>
            </w:r>
          </w:p>
        </w:tc>
        <w:tc>
          <w:tcPr>
            <w:tcW w:w="818"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3"/>
              <w:jc w:val="center"/>
              <w:rPr>
                <w:sz w:val="20"/>
              </w:rPr>
            </w:pPr>
            <w:r>
              <w:rPr>
                <w:w w:val="99"/>
                <w:sz w:val="20"/>
              </w:rPr>
              <w:t>3</w:t>
            </w:r>
          </w:p>
        </w:tc>
      </w:tr>
      <w:tr>
        <w:trPr>
          <w:trHeight w:val="326"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161"/>
              <w:rPr>
                <w:sz w:val="20"/>
              </w:rPr>
            </w:pPr>
            <w:r>
              <w:rPr>
                <w:sz w:val="20"/>
              </w:rPr>
              <w:t>Comunicados de salud</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40"/>
              <w:jc w:val="center"/>
              <w:rPr>
                <w:sz w:val="20"/>
              </w:rPr>
            </w:pPr>
            <w:r>
              <w:rPr>
                <w:w w:val="99"/>
                <w:sz w:val="20"/>
              </w:rPr>
              <w:t>2</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40"/>
              <w:ind w:left="198" w:right="200"/>
              <w:jc w:val="center"/>
              <w:rPr>
                <w:sz w:val="20"/>
              </w:rPr>
            </w:pPr>
            <w:r>
              <w:rPr>
                <w:sz w:val="20"/>
              </w:rPr>
              <w:t>23</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0"/>
              <w:ind w:left="484" w:right="484"/>
              <w:jc w:val="center"/>
              <w:rPr>
                <w:sz w:val="20"/>
              </w:rPr>
            </w:pPr>
            <w:r>
              <w:rPr>
                <w:sz w:val="20"/>
              </w:rPr>
              <w:t>14</w:t>
            </w:r>
          </w:p>
        </w:tc>
        <w:tc>
          <w:tcPr>
            <w:tcW w:w="975"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40"/>
              <w:ind w:left="350" w:right="352"/>
              <w:jc w:val="center"/>
              <w:rPr>
                <w:sz w:val="20"/>
              </w:rPr>
            </w:pPr>
            <w:r>
              <w:rPr>
                <w:sz w:val="20"/>
              </w:rPr>
              <w:t>25</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40"/>
              <w:ind w:left="222" w:right="222"/>
              <w:jc w:val="center"/>
              <w:rPr>
                <w:sz w:val="20"/>
              </w:rPr>
            </w:pPr>
            <w:r>
              <w:rPr>
                <w:sz w:val="20"/>
              </w:rPr>
              <w:t>16</w:t>
            </w:r>
          </w:p>
        </w:tc>
      </w:tr>
      <w:tr>
        <w:trPr>
          <w:trHeight w:val="310" w:hRule="exact"/>
        </w:trPr>
        <w:tc>
          <w:tcPr>
            <w:tcW w:w="1680"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spacing w:before="8"/>
              <w:rPr>
                <w:sz w:val="26"/>
              </w:rPr>
            </w:pPr>
          </w:p>
          <w:p>
            <w:pPr>
              <w:pStyle w:val="TableParagraph"/>
              <w:ind w:left="367" w:right="149"/>
              <w:rPr>
                <w:sz w:val="20"/>
              </w:rPr>
            </w:pPr>
            <w:r>
              <w:rPr>
                <w:sz w:val="20"/>
              </w:rPr>
              <w:t>Educación</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1"/>
              <w:ind w:left="64"/>
              <w:rPr>
                <w:sz w:val="20"/>
              </w:rPr>
            </w:pPr>
            <w:r>
              <w:rPr>
                <w:sz w:val="20"/>
              </w:rPr>
              <w:t>Nivel educativo (bachillerato)</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1"/>
              <w:jc w:val="center"/>
              <w:rPr>
                <w:sz w:val="20"/>
              </w:rPr>
            </w:pPr>
            <w:r>
              <w:rPr>
                <w:w w:val="99"/>
                <w:sz w:val="20"/>
              </w:rPr>
              <w:t>4</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1"/>
              <w:ind w:left="198" w:right="200"/>
              <w:jc w:val="center"/>
              <w:rPr>
                <w:sz w:val="20"/>
              </w:rPr>
            </w:pPr>
            <w:r>
              <w:rPr>
                <w:sz w:val="20"/>
              </w:rPr>
              <w:t>31</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31"/>
              <w:ind w:left="484" w:right="484"/>
              <w:jc w:val="center"/>
              <w:rPr>
                <w:sz w:val="20"/>
              </w:rPr>
            </w:pPr>
            <w:r>
              <w:rPr>
                <w:sz w:val="20"/>
              </w:rPr>
              <w:t>19</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31"/>
              <w:ind w:right="1"/>
              <w:jc w:val="center"/>
              <w:rPr>
                <w:sz w:val="20"/>
              </w:rPr>
            </w:pPr>
            <w:r>
              <w:rPr>
                <w:w w:val="99"/>
                <w:sz w:val="20"/>
              </w:rPr>
              <w:t>9</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31"/>
              <w:ind w:left="222" w:right="222"/>
              <w:jc w:val="center"/>
              <w:rPr>
                <w:sz w:val="20"/>
              </w:rPr>
            </w:pPr>
            <w:r>
              <w:rPr>
                <w:sz w:val="20"/>
              </w:rPr>
              <w:t>30</w:t>
            </w:r>
          </w:p>
        </w:tc>
      </w:tr>
      <w:tr>
        <w:trPr>
          <w:trHeight w:val="310" w:hRule="exact"/>
        </w:trPr>
        <w:tc>
          <w:tcPr>
            <w:tcW w:w="1680" w:type="dxa"/>
            <w:vMerge/>
            <w:tcBorders>
              <w:left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1"/>
              <w:ind w:left="64" w:right="161"/>
              <w:rPr>
                <w:sz w:val="20"/>
              </w:rPr>
            </w:pPr>
            <w:r>
              <w:rPr>
                <w:sz w:val="20"/>
              </w:rPr>
              <w:t>Años de educación</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31"/>
              <w:ind w:left="87" w:right="90"/>
              <w:jc w:val="center"/>
              <w:rPr>
                <w:sz w:val="20"/>
              </w:rPr>
            </w:pPr>
            <w:r>
              <w:rPr>
                <w:sz w:val="20"/>
              </w:rPr>
              <w:t>24</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1"/>
              <w:ind w:left="198" w:right="200"/>
              <w:jc w:val="center"/>
              <w:rPr>
                <w:sz w:val="20"/>
              </w:rPr>
            </w:pPr>
            <w:r>
              <w:rPr>
                <w:sz w:val="20"/>
              </w:rPr>
              <w:t>32</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31"/>
              <w:ind w:left="484" w:right="484"/>
              <w:jc w:val="center"/>
              <w:rPr>
                <w:sz w:val="20"/>
              </w:rPr>
            </w:pPr>
            <w:r>
              <w:rPr>
                <w:sz w:val="20"/>
              </w:rPr>
              <w:t>28</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1"/>
              <w:ind w:left="350" w:right="352"/>
              <w:jc w:val="center"/>
              <w:rPr>
                <w:sz w:val="20"/>
              </w:rPr>
            </w:pPr>
            <w:r>
              <w:rPr>
                <w:sz w:val="20"/>
              </w:rPr>
              <w:t>13</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31"/>
              <w:ind w:left="222" w:right="222"/>
              <w:jc w:val="center"/>
              <w:rPr>
                <w:sz w:val="20"/>
              </w:rPr>
            </w:pPr>
            <w:r>
              <w:rPr>
                <w:sz w:val="20"/>
              </w:rPr>
              <w:t>23</w:t>
            </w:r>
          </w:p>
        </w:tc>
      </w:tr>
      <w:tr>
        <w:trPr>
          <w:trHeight w:val="701"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ind w:left="64" w:right="161"/>
              <w:rPr>
                <w:sz w:val="20"/>
              </w:rPr>
            </w:pPr>
            <w:r>
              <w:rPr>
                <w:sz w:val="20"/>
              </w:rPr>
              <w:t>Habilidades de los estudiantes en lectura, matemáticas y ciencias</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9"/>
              <w:rPr>
                <w:sz w:val="19"/>
              </w:rPr>
            </w:pPr>
          </w:p>
          <w:p>
            <w:pPr>
              <w:pStyle w:val="TableParagraph"/>
              <w:ind w:left="87" w:right="90"/>
              <w:jc w:val="center"/>
              <w:rPr>
                <w:sz w:val="20"/>
              </w:rPr>
            </w:pPr>
            <w:r>
              <w:rPr>
                <w:sz w:val="20"/>
              </w:rPr>
              <w:t>22</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9"/>
              <w:rPr>
                <w:sz w:val="19"/>
              </w:rPr>
            </w:pPr>
          </w:p>
          <w:p>
            <w:pPr>
              <w:pStyle w:val="TableParagraph"/>
              <w:ind w:left="198" w:right="200"/>
              <w:jc w:val="center"/>
              <w:rPr>
                <w:sz w:val="20"/>
              </w:rPr>
            </w:pPr>
            <w:r>
              <w:rPr>
                <w:sz w:val="20"/>
              </w:rPr>
              <w:t>34</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9"/>
              <w:rPr>
                <w:sz w:val="19"/>
              </w:rPr>
            </w:pPr>
          </w:p>
          <w:p>
            <w:pPr>
              <w:pStyle w:val="TableParagraph"/>
              <w:ind w:left="484" w:right="484"/>
              <w:jc w:val="center"/>
              <w:rPr>
                <w:sz w:val="20"/>
              </w:rPr>
            </w:pPr>
            <w:r>
              <w:rPr>
                <w:sz w:val="20"/>
              </w:rPr>
              <w:t>15</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9"/>
              <w:rPr>
                <w:sz w:val="19"/>
              </w:rPr>
            </w:pPr>
          </w:p>
          <w:p>
            <w:pPr>
              <w:pStyle w:val="TableParagraph"/>
              <w:ind w:left="350" w:right="352"/>
              <w:jc w:val="center"/>
              <w:rPr>
                <w:sz w:val="20"/>
              </w:rPr>
            </w:pPr>
            <w:r>
              <w:rPr>
                <w:sz w:val="20"/>
              </w:rPr>
              <w:t>10</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9"/>
              <w:rPr>
                <w:sz w:val="19"/>
              </w:rPr>
            </w:pPr>
          </w:p>
          <w:p>
            <w:pPr>
              <w:pStyle w:val="TableParagraph"/>
              <w:ind w:left="222" w:right="222"/>
              <w:jc w:val="center"/>
              <w:rPr>
                <w:sz w:val="20"/>
              </w:rPr>
            </w:pPr>
            <w:r>
              <w:rPr>
                <w:sz w:val="20"/>
              </w:rPr>
              <w:t>28</w:t>
            </w:r>
          </w:p>
        </w:tc>
      </w:tr>
      <w:tr>
        <w:trPr>
          <w:trHeight w:val="324" w:hRule="exact"/>
        </w:trPr>
        <w:tc>
          <w:tcPr>
            <w:tcW w:w="1680" w:type="dxa"/>
            <w:tcBorders>
              <w:top w:val="single" w:sz="4" w:space="0" w:color="000000"/>
              <w:left w:val="single" w:sz="4" w:space="0" w:color="000000"/>
              <w:bottom w:val="single" w:sz="4" w:space="0" w:color="000000"/>
              <w:right w:val="single" w:sz="4" w:space="0" w:color="000000"/>
            </w:tcBorders>
          </w:tcPr>
          <w:p>
            <w:pPr>
              <w:pStyle w:val="TableParagraph"/>
              <w:spacing w:before="38"/>
              <w:ind w:left="321" w:right="149"/>
              <w:rPr>
                <w:sz w:val="20"/>
              </w:rPr>
            </w:pPr>
            <w:r>
              <w:rPr>
                <w:sz w:val="20"/>
              </w:rPr>
              <w:t>Comunidad</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8"/>
              <w:ind w:left="64" w:right="161"/>
              <w:rPr>
                <w:sz w:val="20"/>
              </w:rPr>
            </w:pPr>
            <w:r>
              <w:rPr>
                <w:sz w:val="20"/>
              </w:rPr>
              <w:t>Calidad de la red de apoyo</w:t>
            </w:r>
          </w:p>
        </w:tc>
        <w:tc>
          <w:tcPr>
            <w:tcW w:w="552"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8"/>
              <w:ind w:left="87" w:right="90"/>
              <w:jc w:val="center"/>
              <w:rPr>
                <w:sz w:val="20"/>
              </w:rPr>
            </w:pPr>
            <w:r>
              <w:rPr>
                <w:sz w:val="20"/>
              </w:rPr>
              <w:t>34</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38"/>
              <w:ind w:left="198" w:right="200"/>
              <w:jc w:val="center"/>
              <w:rPr>
                <w:sz w:val="20"/>
              </w:rPr>
            </w:pPr>
            <w:r>
              <w:rPr>
                <w:sz w:val="20"/>
              </w:rPr>
              <w:t>21</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38"/>
              <w:ind w:left="484" w:right="484"/>
              <w:jc w:val="center"/>
              <w:rPr>
                <w:sz w:val="20"/>
              </w:rPr>
            </w:pPr>
            <w:r>
              <w:rPr>
                <w:sz w:val="20"/>
              </w:rPr>
              <w:t>33</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8"/>
              <w:ind w:left="350" w:right="352"/>
              <w:jc w:val="center"/>
              <w:rPr>
                <w:sz w:val="20"/>
              </w:rPr>
            </w:pPr>
            <w:r>
              <w:rPr>
                <w:sz w:val="20"/>
              </w:rPr>
              <w:t>11</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38"/>
              <w:ind w:left="222" w:right="222"/>
              <w:jc w:val="center"/>
              <w:rPr>
                <w:sz w:val="20"/>
              </w:rPr>
            </w:pPr>
            <w:r>
              <w:rPr>
                <w:sz w:val="20"/>
              </w:rPr>
              <w:t>29</w:t>
            </w:r>
          </w:p>
        </w:tc>
      </w:tr>
      <w:tr>
        <w:trPr>
          <w:trHeight w:val="490" w:hRule="exact"/>
        </w:trPr>
        <w:tc>
          <w:tcPr>
            <w:tcW w:w="1680" w:type="dxa"/>
            <w:vMerge w:val="restart"/>
            <w:tcBorders>
              <w:top w:val="single" w:sz="4" w:space="0" w:color="000000"/>
              <w:left w:val="single" w:sz="4" w:space="0" w:color="000000"/>
              <w:right w:val="single" w:sz="4" w:space="0" w:color="000000"/>
            </w:tcBorders>
          </w:tcPr>
          <w:p>
            <w:pPr>
              <w:pStyle w:val="TableParagraph"/>
              <w:spacing w:before="170"/>
              <w:ind w:left="578" w:right="250" w:hanging="312"/>
              <w:rPr>
                <w:sz w:val="20"/>
              </w:rPr>
            </w:pPr>
            <w:r>
              <w:rPr>
                <w:sz w:val="20"/>
              </w:rPr>
              <w:t>Compromiso cívico</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7"/>
              <w:ind w:left="64" w:right="606"/>
              <w:rPr>
                <w:sz w:val="20"/>
              </w:rPr>
            </w:pPr>
            <w:r>
              <w:rPr>
                <w:sz w:val="20"/>
              </w:rPr>
              <w:t>Consulta sobre la elaboración de normas</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22"/>
              <w:ind w:left="87" w:right="90"/>
              <w:jc w:val="center"/>
              <w:rPr>
                <w:sz w:val="20"/>
              </w:rPr>
            </w:pPr>
            <w:r>
              <w:rPr>
                <w:sz w:val="20"/>
              </w:rPr>
              <w:t>13</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122"/>
              <w:ind w:left="198" w:right="200"/>
              <w:jc w:val="center"/>
              <w:rPr>
                <w:sz w:val="20"/>
              </w:rPr>
            </w:pPr>
            <w:r>
              <w:rPr>
                <w:sz w:val="20"/>
              </w:rPr>
              <w:t>11</w:t>
            </w:r>
          </w:p>
        </w:tc>
        <w:tc>
          <w:tcPr>
            <w:tcW w:w="124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22"/>
              <w:jc w:val="center"/>
              <w:rPr>
                <w:sz w:val="20"/>
              </w:rPr>
            </w:pPr>
            <w:r>
              <w:rPr>
                <w:w w:val="99"/>
                <w:sz w:val="20"/>
              </w:rPr>
              <w:t>1</w:t>
            </w:r>
          </w:p>
        </w:tc>
        <w:tc>
          <w:tcPr>
            <w:tcW w:w="975"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22"/>
              <w:ind w:left="350" w:right="352"/>
              <w:jc w:val="center"/>
              <w:rPr>
                <w:sz w:val="20"/>
              </w:rPr>
            </w:pPr>
            <w:r>
              <w:rPr>
                <w:sz w:val="20"/>
              </w:rPr>
              <w:t>30</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22"/>
              <w:ind w:left="222" w:right="222"/>
              <w:jc w:val="center"/>
              <w:rPr>
                <w:sz w:val="20"/>
              </w:rPr>
            </w:pPr>
            <w:r>
              <w:rPr>
                <w:sz w:val="20"/>
              </w:rPr>
              <w:t>17</w:t>
            </w:r>
          </w:p>
        </w:tc>
      </w:tr>
      <w:tr>
        <w:trPr>
          <w:trHeight w:val="326"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161"/>
              <w:rPr>
                <w:sz w:val="20"/>
              </w:rPr>
            </w:pPr>
            <w:r>
              <w:rPr>
                <w:sz w:val="20"/>
              </w:rPr>
              <w:t>Participación electoral</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40"/>
              <w:jc w:val="center"/>
              <w:rPr>
                <w:sz w:val="20"/>
              </w:rPr>
            </w:pPr>
            <w:r>
              <w:rPr>
                <w:w w:val="99"/>
                <w:sz w:val="20"/>
              </w:rPr>
              <w:t>4</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40"/>
              <w:ind w:left="198" w:right="200"/>
              <w:jc w:val="center"/>
              <w:rPr>
                <w:sz w:val="20"/>
              </w:rPr>
            </w:pPr>
            <w:r>
              <w:rPr>
                <w:sz w:val="20"/>
              </w:rPr>
              <w:t>31</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0"/>
              <w:ind w:left="484" w:right="484"/>
              <w:jc w:val="center"/>
              <w:rPr>
                <w:sz w:val="20"/>
              </w:rPr>
            </w:pPr>
            <w:r>
              <w:rPr>
                <w:sz w:val="20"/>
              </w:rPr>
              <w:t>29</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40"/>
              <w:ind w:left="350" w:right="352"/>
              <w:jc w:val="center"/>
              <w:rPr>
                <w:sz w:val="20"/>
              </w:rPr>
            </w:pPr>
            <w:r>
              <w:rPr>
                <w:sz w:val="20"/>
              </w:rPr>
              <w:t>15</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40"/>
              <w:ind w:left="222" w:right="222"/>
              <w:jc w:val="center"/>
              <w:rPr>
                <w:sz w:val="20"/>
              </w:rPr>
            </w:pPr>
            <w:r>
              <w:rPr>
                <w:sz w:val="20"/>
              </w:rPr>
              <w:t>17</w:t>
            </w:r>
          </w:p>
        </w:tc>
      </w:tr>
      <w:tr>
        <w:trPr>
          <w:trHeight w:val="310" w:hRule="exact"/>
        </w:trPr>
        <w:tc>
          <w:tcPr>
            <w:tcW w:w="1680" w:type="dxa"/>
            <w:vMerge w:val="restart"/>
            <w:tcBorders>
              <w:top w:val="single" w:sz="4" w:space="0" w:color="000000"/>
              <w:left w:val="single" w:sz="4" w:space="0" w:color="000000"/>
              <w:right w:val="single" w:sz="4" w:space="0" w:color="000000"/>
            </w:tcBorders>
          </w:tcPr>
          <w:p>
            <w:pPr>
              <w:pStyle w:val="TableParagraph"/>
              <w:spacing w:before="10"/>
              <w:rPr>
                <w:sz w:val="16"/>
              </w:rPr>
            </w:pPr>
          </w:p>
          <w:p>
            <w:pPr>
              <w:pStyle w:val="TableParagraph"/>
              <w:ind w:left="122"/>
              <w:rPr>
                <w:sz w:val="20"/>
              </w:rPr>
            </w:pPr>
            <w:r>
              <w:rPr>
                <w:sz w:val="20"/>
              </w:rPr>
              <w:t>Medio ambiente</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31"/>
              <w:ind w:left="64" w:right="161"/>
              <w:rPr>
                <w:sz w:val="20"/>
              </w:rPr>
            </w:pPr>
            <w:r>
              <w:rPr>
                <w:sz w:val="20"/>
              </w:rPr>
              <w:t>Calidad del agua</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31"/>
              <w:ind w:left="87" w:right="90"/>
              <w:jc w:val="center"/>
              <w:rPr>
                <w:sz w:val="20"/>
              </w:rPr>
            </w:pPr>
            <w:r>
              <w:rPr>
                <w:sz w:val="20"/>
              </w:rPr>
              <w:t>20</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31"/>
              <w:ind w:left="198" w:right="200"/>
              <w:jc w:val="center"/>
              <w:rPr>
                <w:sz w:val="20"/>
              </w:rPr>
            </w:pPr>
            <w:r>
              <w:rPr>
                <w:sz w:val="20"/>
              </w:rPr>
              <w:t>30</w:t>
            </w:r>
          </w:p>
        </w:tc>
        <w:tc>
          <w:tcPr>
            <w:tcW w:w="124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31"/>
              <w:jc w:val="center"/>
              <w:rPr>
                <w:sz w:val="20"/>
              </w:rPr>
            </w:pPr>
            <w:r>
              <w:rPr>
                <w:w w:val="99"/>
                <w:sz w:val="20"/>
              </w:rPr>
              <w:t>4</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31"/>
              <w:ind w:right="1"/>
              <w:jc w:val="center"/>
              <w:rPr>
                <w:sz w:val="20"/>
              </w:rPr>
            </w:pPr>
            <w:r>
              <w:rPr>
                <w:w w:val="99"/>
                <w:sz w:val="20"/>
              </w:rPr>
              <w:t>6</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31"/>
              <w:ind w:left="222" w:right="222"/>
              <w:jc w:val="center"/>
              <w:rPr>
                <w:sz w:val="20"/>
              </w:rPr>
            </w:pPr>
            <w:r>
              <w:rPr>
                <w:sz w:val="20"/>
              </w:rPr>
              <w:t>25</w:t>
            </w:r>
          </w:p>
        </w:tc>
      </w:tr>
      <w:tr>
        <w:trPr>
          <w:trHeight w:val="324"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161"/>
              <w:rPr>
                <w:sz w:val="20"/>
              </w:rPr>
            </w:pPr>
            <w:r>
              <w:rPr>
                <w:sz w:val="20"/>
              </w:rPr>
              <w:t>Contaminación del aire</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40"/>
              <w:ind w:left="87" w:right="90"/>
              <w:jc w:val="center"/>
              <w:rPr>
                <w:sz w:val="20"/>
              </w:rPr>
            </w:pPr>
            <w:r>
              <w:rPr>
                <w:sz w:val="20"/>
              </w:rPr>
              <w:t>18</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40"/>
              <w:ind w:left="198" w:right="200"/>
              <w:jc w:val="center"/>
              <w:rPr>
                <w:sz w:val="20"/>
              </w:rPr>
            </w:pPr>
            <w:r>
              <w:rPr>
                <w:sz w:val="20"/>
              </w:rPr>
              <w:t>31</w:t>
            </w:r>
          </w:p>
        </w:tc>
        <w:tc>
          <w:tcPr>
            <w:tcW w:w="124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40"/>
              <w:jc w:val="center"/>
              <w:rPr>
                <w:sz w:val="20"/>
              </w:rPr>
            </w:pPr>
            <w:r>
              <w:rPr>
                <w:w w:val="99"/>
                <w:sz w:val="20"/>
              </w:rPr>
              <w:t>8</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40"/>
              <w:ind w:left="350" w:right="352"/>
              <w:jc w:val="center"/>
              <w:rPr>
                <w:sz w:val="20"/>
              </w:rPr>
            </w:pPr>
            <w:r>
              <w:rPr>
                <w:sz w:val="20"/>
              </w:rPr>
              <w:t>14</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40"/>
              <w:ind w:left="222" w:right="222"/>
              <w:jc w:val="center"/>
              <w:rPr>
                <w:sz w:val="20"/>
              </w:rPr>
            </w:pPr>
            <w:r>
              <w:rPr>
                <w:sz w:val="20"/>
              </w:rPr>
              <w:t>25</w:t>
            </w:r>
          </w:p>
        </w:tc>
      </w:tr>
      <w:tr>
        <w:trPr>
          <w:trHeight w:val="326" w:hRule="exact"/>
        </w:trPr>
        <w:tc>
          <w:tcPr>
            <w:tcW w:w="1680" w:type="dxa"/>
            <w:vMerge w:val="restart"/>
            <w:tcBorders>
              <w:top w:val="single" w:sz="4" w:space="0" w:color="000000"/>
              <w:left w:val="single" w:sz="4" w:space="0" w:color="000000"/>
              <w:right w:val="single" w:sz="4" w:space="0" w:color="000000"/>
            </w:tcBorders>
          </w:tcPr>
          <w:p>
            <w:pPr>
              <w:pStyle w:val="TableParagraph"/>
              <w:spacing w:before="11"/>
              <w:rPr>
                <w:sz w:val="23"/>
              </w:rPr>
            </w:pPr>
          </w:p>
          <w:p>
            <w:pPr>
              <w:pStyle w:val="TableParagraph"/>
              <w:ind w:left="376" w:right="149"/>
              <w:rPr>
                <w:sz w:val="20"/>
              </w:rPr>
            </w:pPr>
            <w:r>
              <w:rPr>
                <w:sz w:val="20"/>
              </w:rPr>
              <w:t>Seguridad</w:t>
            </w: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before="40"/>
              <w:ind w:left="119" w:right="161"/>
              <w:rPr>
                <w:sz w:val="20"/>
              </w:rPr>
            </w:pPr>
            <w:r>
              <w:rPr>
                <w:sz w:val="20"/>
              </w:rPr>
              <w:t>Tasa de homicidios</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40"/>
              <w:ind w:left="87" w:right="90"/>
              <w:jc w:val="center"/>
              <w:rPr>
                <w:sz w:val="20"/>
              </w:rPr>
            </w:pPr>
            <w:r>
              <w:rPr>
                <w:sz w:val="20"/>
              </w:rPr>
              <w:t>32</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40"/>
              <w:ind w:left="198" w:right="200"/>
              <w:jc w:val="center"/>
              <w:rPr>
                <w:sz w:val="20"/>
              </w:rPr>
            </w:pPr>
            <w:r>
              <w:rPr>
                <w:sz w:val="20"/>
              </w:rPr>
              <w:t>34</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0"/>
              <w:ind w:left="484" w:right="484"/>
              <w:jc w:val="center"/>
              <w:rPr>
                <w:sz w:val="20"/>
              </w:rPr>
            </w:pPr>
            <w:r>
              <w:rPr>
                <w:sz w:val="20"/>
              </w:rPr>
              <w:t>18</w:t>
            </w:r>
          </w:p>
        </w:tc>
        <w:tc>
          <w:tcPr>
            <w:tcW w:w="975"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40"/>
              <w:ind w:right="1"/>
              <w:jc w:val="center"/>
              <w:rPr>
                <w:sz w:val="20"/>
              </w:rPr>
            </w:pPr>
            <w:r>
              <w:rPr>
                <w:w w:val="99"/>
                <w:sz w:val="20"/>
              </w:rPr>
              <w:t>7</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40"/>
              <w:ind w:left="222" w:right="222"/>
              <w:jc w:val="center"/>
              <w:rPr>
                <w:sz w:val="20"/>
              </w:rPr>
            </w:pPr>
            <w:r>
              <w:rPr>
                <w:sz w:val="20"/>
              </w:rPr>
              <w:t>10</w:t>
            </w:r>
          </w:p>
        </w:tc>
      </w:tr>
      <w:tr>
        <w:trPr>
          <w:trHeight w:val="468" w:hRule="exact"/>
        </w:trPr>
        <w:tc>
          <w:tcPr>
            <w:tcW w:w="1680" w:type="dxa"/>
            <w:vMerge/>
            <w:tcBorders>
              <w:left w:val="single" w:sz="4" w:space="0" w:color="000000"/>
              <w:bottom w:val="single" w:sz="4" w:space="0" w:color="000000"/>
              <w:right w:val="single" w:sz="4" w:space="0" w:color="000000"/>
            </w:tcBorders>
          </w:tcPr>
          <w:p>
            <w:pPr/>
          </w:p>
        </w:tc>
        <w:tc>
          <w:tcPr>
            <w:tcW w:w="2734"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before="2"/>
              <w:ind w:left="64" w:right="161"/>
              <w:rPr>
                <w:sz w:val="20"/>
              </w:rPr>
            </w:pPr>
            <w:r>
              <w:rPr>
                <w:sz w:val="20"/>
              </w:rPr>
              <w:t>Tasa de agresión y/o ataques</w:t>
            </w:r>
          </w:p>
        </w:tc>
        <w:tc>
          <w:tcPr>
            <w:tcW w:w="552"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12"/>
              <w:jc w:val="center"/>
              <w:rPr>
                <w:sz w:val="20"/>
              </w:rPr>
            </w:pPr>
            <w:r>
              <w:rPr>
                <w:w w:val="99"/>
                <w:sz w:val="20"/>
              </w:rPr>
              <w:t>3</w:t>
            </w:r>
          </w:p>
        </w:tc>
        <w:tc>
          <w:tcPr>
            <w:tcW w:w="773" w:type="dxa"/>
            <w:tcBorders>
              <w:top w:val="single" w:sz="4" w:space="0" w:color="000000"/>
              <w:left w:val="single" w:sz="4" w:space="0" w:color="000000"/>
              <w:bottom w:val="single" w:sz="4" w:space="0" w:color="000000"/>
              <w:right w:val="single" w:sz="4" w:space="0" w:color="000000"/>
            </w:tcBorders>
            <w:shd w:val="clear" w:color="auto" w:fill="FF0000"/>
          </w:tcPr>
          <w:p>
            <w:pPr>
              <w:pStyle w:val="TableParagraph"/>
              <w:spacing w:before="112"/>
              <w:ind w:left="198" w:right="200"/>
              <w:jc w:val="center"/>
              <w:rPr>
                <w:sz w:val="20"/>
              </w:rPr>
            </w:pPr>
            <w:r>
              <w:rPr>
                <w:sz w:val="20"/>
              </w:rPr>
              <w:t>34</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12"/>
              <w:jc w:val="center"/>
              <w:rPr>
                <w:sz w:val="20"/>
              </w:rPr>
            </w:pPr>
            <w:r>
              <w:rPr>
                <w:w w:val="99"/>
                <w:sz w:val="20"/>
              </w:rPr>
              <w:t>5</w:t>
            </w:r>
          </w:p>
        </w:tc>
        <w:tc>
          <w:tcPr>
            <w:tcW w:w="975" w:type="dxa"/>
            <w:tcBorders>
              <w:top w:val="single" w:sz="4" w:space="0" w:color="000000"/>
              <w:left w:val="single" w:sz="4" w:space="0" w:color="000000"/>
              <w:bottom w:val="single" w:sz="4" w:space="0" w:color="000000"/>
              <w:right w:val="single" w:sz="4" w:space="0" w:color="000000"/>
            </w:tcBorders>
          </w:tcPr>
          <w:p>
            <w:pPr>
              <w:pStyle w:val="TableParagraph"/>
              <w:spacing w:before="112"/>
              <w:ind w:left="350" w:right="352"/>
              <w:jc w:val="center"/>
              <w:rPr>
                <w:sz w:val="20"/>
              </w:rPr>
            </w:pPr>
            <w:r>
              <w:rPr>
                <w:sz w:val="20"/>
              </w:rPr>
              <w:t>17</w:t>
            </w:r>
          </w:p>
        </w:tc>
        <w:tc>
          <w:tcPr>
            <w:tcW w:w="818" w:type="dxa"/>
            <w:tcBorders>
              <w:top w:val="single" w:sz="4" w:space="0" w:color="000000"/>
              <w:left w:val="single" w:sz="4" w:space="0" w:color="000000"/>
              <w:bottom w:val="single" w:sz="4" w:space="0" w:color="000000"/>
              <w:right w:val="single" w:sz="4" w:space="0" w:color="000000"/>
            </w:tcBorders>
          </w:tcPr>
          <w:p>
            <w:pPr>
              <w:pStyle w:val="TableParagraph"/>
              <w:spacing w:before="112"/>
              <w:ind w:left="222" w:right="222"/>
              <w:jc w:val="center"/>
              <w:rPr>
                <w:sz w:val="20"/>
              </w:rPr>
            </w:pPr>
            <w:r>
              <w:rPr>
                <w:sz w:val="20"/>
              </w:rPr>
              <w:t>21</w:t>
            </w:r>
          </w:p>
        </w:tc>
      </w:tr>
    </w:tbl>
    <w:p>
      <w:pPr>
        <w:pStyle w:val="BodyText"/>
        <w:spacing w:before="10"/>
        <w:rPr>
          <w:sz w:val="11"/>
        </w:rPr>
      </w:pPr>
    </w:p>
    <w:p>
      <w:pPr>
        <w:spacing w:line="137" w:lineRule="exact" w:before="0"/>
        <w:ind w:left="810" w:right="0" w:firstLine="0"/>
        <w:jc w:val="left"/>
        <w:rPr>
          <w:sz w:val="12"/>
        </w:rPr>
      </w:pPr>
      <w:r>
        <w:rPr>
          <w:sz w:val="12"/>
        </w:rPr>
        <w:t>FUENTE:     Elaboración propia con base en: OECD. </w:t>
      </w:r>
      <w:r>
        <w:rPr>
          <w:i/>
          <w:sz w:val="12"/>
        </w:rPr>
        <w:t>Better life initiative. The indexdata</w:t>
      </w:r>
      <w:r>
        <w:rPr>
          <w:sz w:val="12"/>
        </w:rPr>
        <w:t>.</w:t>
      </w:r>
    </w:p>
    <w:p>
      <w:pPr>
        <w:spacing w:before="0"/>
        <w:ind w:left="102" w:right="3840" w:firstLine="1415"/>
        <w:jc w:val="left"/>
        <w:rPr>
          <w:sz w:val="12"/>
        </w:rPr>
      </w:pPr>
      <w:r>
        <w:rPr>
          <w:sz w:val="12"/>
        </w:rPr>
        <w:t>Disponible en: </w:t>
      </w:r>
      <w:hyperlink r:id="rId94">
        <w:r>
          <w:rPr>
            <w:sz w:val="12"/>
          </w:rPr>
          <w:t>http://oecdbetterlifeindex.org/about/better-life-initiative/</w:t>
        </w:r>
      </w:hyperlink>
      <w:r>
        <w:rPr>
          <w:sz w:val="12"/>
        </w:rPr>
        <w:t> [Fecha de consulta: 1 de agosto, 2015]</w:t>
      </w:r>
    </w:p>
    <w:p>
      <w:pPr>
        <w:spacing w:before="13"/>
        <w:ind w:left="1518" w:right="0" w:firstLine="0"/>
        <w:jc w:val="left"/>
        <w:rPr>
          <w:sz w:val="12"/>
        </w:rPr>
      </w:pPr>
      <w:r>
        <w:rPr>
          <w:sz w:val="12"/>
        </w:rPr>
        <w:t>s.p. Sin posición.</w:t>
      </w:r>
    </w:p>
    <w:p>
      <w:pPr>
        <w:spacing w:after="0"/>
        <w:jc w:val="left"/>
        <w:rPr>
          <w:sz w:val="12"/>
        </w:rPr>
        <w:sectPr>
          <w:pgSz w:w="12240" w:h="15840"/>
          <w:pgMar w:header="0" w:footer="1003" w:top="1500" w:bottom="1200" w:left="1600" w:right="1580"/>
        </w:sectPr>
      </w:pPr>
    </w:p>
    <w:p>
      <w:pPr>
        <w:pStyle w:val="ListParagraph"/>
        <w:numPr>
          <w:ilvl w:val="0"/>
          <w:numId w:val="40"/>
        </w:numPr>
        <w:tabs>
          <w:tab w:pos="1202" w:val="left" w:leader="none"/>
        </w:tabs>
        <w:spacing w:line="240" w:lineRule="auto" w:before="51" w:after="0"/>
        <w:ind w:left="1202" w:right="0" w:hanging="360"/>
        <w:jc w:val="left"/>
        <w:rPr>
          <w:i/>
          <w:sz w:val="24"/>
        </w:rPr>
      </w:pPr>
      <w:r>
        <w:rPr>
          <w:i/>
          <w:sz w:val="24"/>
        </w:rPr>
        <w:t>Índice de Planeta Feliz,</w:t>
      </w:r>
      <w:r>
        <w:rPr>
          <w:i/>
          <w:spacing w:val="-11"/>
          <w:sz w:val="24"/>
        </w:rPr>
        <w:t> </w:t>
      </w:r>
      <w:r>
        <w:rPr>
          <w:i/>
          <w:sz w:val="24"/>
        </w:rPr>
        <w:t>2012</w:t>
      </w:r>
    </w:p>
    <w:p>
      <w:pPr>
        <w:pStyle w:val="BodyText"/>
        <w:rPr>
          <w:i/>
        </w:rPr>
      </w:pPr>
    </w:p>
    <w:p>
      <w:pPr>
        <w:pStyle w:val="BodyText"/>
        <w:rPr>
          <w:i/>
        </w:rPr>
      </w:pPr>
    </w:p>
    <w:p>
      <w:pPr>
        <w:pStyle w:val="BodyText"/>
        <w:spacing w:line="360" w:lineRule="auto" w:before="163"/>
        <w:ind w:left="122" w:right="114" w:firstLine="427"/>
        <w:jc w:val="both"/>
      </w:pPr>
      <w:r>
        <w:rPr/>
        <w:t>La ONG Nueva Fundación Económica</w:t>
      </w:r>
      <w:r>
        <w:rPr>
          <w:position w:val="8"/>
          <w:sz w:val="16"/>
        </w:rPr>
        <w:t>36</w:t>
      </w:r>
      <w:r>
        <w:rPr/>
        <w:t>(NEF, por sus siglas en inglés) en</w:t>
      </w:r>
      <w:r>
        <w:rPr>
          <w:spacing w:val="-45"/>
        </w:rPr>
        <w:t> </w:t>
      </w:r>
      <w:r>
        <w:rPr/>
        <w:t>junio de 2012 publicó el índice para medir la calidad de vida presente y futura (bienestar sustentable)</w:t>
      </w:r>
      <w:r>
        <w:rPr>
          <w:spacing w:val="-12"/>
        </w:rPr>
        <w:t> </w:t>
      </w:r>
      <w:r>
        <w:rPr/>
        <w:t>y</w:t>
      </w:r>
      <w:r>
        <w:rPr>
          <w:spacing w:val="-12"/>
        </w:rPr>
        <w:t> </w:t>
      </w:r>
      <w:r>
        <w:rPr/>
        <w:t>la</w:t>
      </w:r>
      <w:r>
        <w:rPr>
          <w:spacing w:val="-11"/>
        </w:rPr>
        <w:t> </w:t>
      </w:r>
      <w:r>
        <w:rPr/>
        <w:t>forma</w:t>
      </w:r>
      <w:r>
        <w:rPr>
          <w:spacing w:val="-11"/>
        </w:rPr>
        <w:t> </w:t>
      </w:r>
      <w:r>
        <w:rPr/>
        <w:t>en</w:t>
      </w:r>
      <w:r>
        <w:rPr>
          <w:spacing w:val="-11"/>
        </w:rPr>
        <w:t> </w:t>
      </w:r>
      <w:r>
        <w:rPr/>
        <w:t>cómo</w:t>
      </w:r>
      <w:r>
        <w:rPr>
          <w:spacing w:val="-11"/>
        </w:rPr>
        <w:t> </w:t>
      </w:r>
      <w:r>
        <w:rPr/>
        <w:t>los</w:t>
      </w:r>
      <w:r>
        <w:rPr>
          <w:spacing w:val="-9"/>
        </w:rPr>
        <w:t> </w:t>
      </w:r>
      <w:r>
        <w:rPr/>
        <w:t>gobiernos</w:t>
      </w:r>
      <w:r>
        <w:rPr>
          <w:spacing w:val="-12"/>
        </w:rPr>
        <w:t> </w:t>
      </w:r>
      <w:r>
        <w:rPr/>
        <w:t>actúan</w:t>
      </w:r>
      <w:r>
        <w:rPr>
          <w:spacing w:val="-11"/>
        </w:rPr>
        <w:t> </w:t>
      </w:r>
      <w:r>
        <w:rPr/>
        <w:t>para</w:t>
      </w:r>
      <w:r>
        <w:rPr>
          <w:spacing w:val="-11"/>
        </w:rPr>
        <w:t> </w:t>
      </w:r>
      <w:r>
        <w:rPr/>
        <w:t>el</w:t>
      </w:r>
      <w:r>
        <w:rPr>
          <w:spacing w:val="-12"/>
        </w:rPr>
        <w:t> </w:t>
      </w:r>
      <w:r>
        <w:rPr/>
        <w:t>progreso</w:t>
      </w:r>
      <w:r>
        <w:rPr>
          <w:spacing w:val="-11"/>
        </w:rPr>
        <w:t> </w:t>
      </w:r>
      <w:r>
        <w:rPr/>
        <w:t>mediante</w:t>
      </w:r>
      <w:r>
        <w:rPr>
          <w:spacing w:val="-10"/>
        </w:rPr>
        <w:t> </w:t>
      </w:r>
      <w:r>
        <w:rPr/>
        <w:t>las políticas</w:t>
      </w:r>
      <w:r>
        <w:rPr>
          <w:spacing w:val="-16"/>
        </w:rPr>
        <w:t> </w:t>
      </w:r>
      <w:r>
        <w:rPr/>
        <w:t>públicas.</w:t>
      </w:r>
      <w:r>
        <w:rPr>
          <w:spacing w:val="-18"/>
        </w:rPr>
        <w:t> </w:t>
      </w:r>
      <w:r>
        <w:rPr/>
        <w:t>Los</w:t>
      </w:r>
      <w:r>
        <w:rPr>
          <w:spacing w:val="-19"/>
        </w:rPr>
        <w:t> </w:t>
      </w:r>
      <w:r>
        <w:rPr/>
        <w:t>parámetros</w:t>
      </w:r>
      <w:r>
        <w:rPr>
          <w:spacing w:val="-16"/>
        </w:rPr>
        <w:t> </w:t>
      </w:r>
      <w:r>
        <w:rPr/>
        <w:t>que</w:t>
      </w:r>
      <w:r>
        <w:rPr>
          <w:spacing w:val="-18"/>
        </w:rPr>
        <w:t> </w:t>
      </w:r>
      <w:r>
        <w:rPr/>
        <w:t>analizó</w:t>
      </w:r>
      <w:r>
        <w:rPr>
          <w:spacing w:val="-16"/>
        </w:rPr>
        <w:t> </w:t>
      </w:r>
      <w:r>
        <w:rPr/>
        <w:t>la</w:t>
      </w:r>
      <w:r>
        <w:rPr>
          <w:spacing w:val="-16"/>
        </w:rPr>
        <w:t> </w:t>
      </w:r>
      <w:r>
        <w:rPr/>
        <w:t>NEF</w:t>
      </w:r>
      <w:r>
        <w:rPr>
          <w:spacing w:val="-16"/>
        </w:rPr>
        <w:t> </w:t>
      </w:r>
      <w:r>
        <w:rPr/>
        <w:t>para</w:t>
      </w:r>
      <w:r>
        <w:rPr>
          <w:spacing w:val="-19"/>
        </w:rPr>
        <w:t> </w:t>
      </w:r>
      <w:r>
        <w:rPr/>
        <w:t>el</w:t>
      </w:r>
      <w:r>
        <w:rPr>
          <w:spacing w:val="-17"/>
        </w:rPr>
        <w:t> </w:t>
      </w:r>
      <w:r>
        <w:rPr/>
        <w:t>Índice</w:t>
      </w:r>
      <w:r>
        <w:rPr>
          <w:spacing w:val="-13"/>
        </w:rPr>
        <w:t> </w:t>
      </w:r>
      <w:r>
        <w:rPr/>
        <w:t>de</w:t>
      </w:r>
      <w:r>
        <w:rPr>
          <w:spacing w:val="-15"/>
        </w:rPr>
        <w:t> </w:t>
      </w:r>
      <w:r>
        <w:rPr/>
        <w:t>Planeta</w:t>
      </w:r>
      <w:r>
        <w:rPr>
          <w:spacing w:val="-16"/>
        </w:rPr>
        <w:t> </w:t>
      </w:r>
      <w:r>
        <w:rPr/>
        <w:t>Feliz fueron</w:t>
      </w:r>
      <w:r>
        <w:rPr>
          <w:spacing w:val="-8"/>
        </w:rPr>
        <w:t> </w:t>
      </w:r>
      <w:r>
        <w:rPr/>
        <w:t>la</w:t>
      </w:r>
      <w:r>
        <w:rPr>
          <w:spacing w:val="-8"/>
        </w:rPr>
        <w:t> </w:t>
      </w:r>
      <w:r>
        <w:rPr/>
        <w:t>esperanza</w:t>
      </w:r>
      <w:r>
        <w:rPr>
          <w:spacing w:val="-8"/>
        </w:rPr>
        <w:t> </w:t>
      </w:r>
      <w:r>
        <w:rPr/>
        <w:t>de</w:t>
      </w:r>
      <w:r>
        <w:rPr>
          <w:spacing w:val="-11"/>
        </w:rPr>
        <w:t> </w:t>
      </w:r>
      <w:r>
        <w:rPr/>
        <w:t>vida,</w:t>
      </w:r>
      <w:r>
        <w:rPr>
          <w:spacing w:val="-9"/>
        </w:rPr>
        <w:t> </w:t>
      </w:r>
      <w:r>
        <w:rPr/>
        <w:t>el</w:t>
      </w:r>
      <w:r>
        <w:rPr>
          <w:spacing w:val="-10"/>
        </w:rPr>
        <w:t> </w:t>
      </w:r>
      <w:r>
        <w:rPr/>
        <w:t>bienestar</w:t>
      </w:r>
      <w:r>
        <w:rPr>
          <w:spacing w:val="-10"/>
        </w:rPr>
        <w:t> </w:t>
      </w:r>
      <w:r>
        <w:rPr/>
        <w:t>experimentado</w:t>
      </w:r>
      <w:r>
        <w:rPr>
          <w:spacing w:val="-8"/>
        </w:rPr>
        <w:t> </w:t>
      </w:r>
      <w:r>
        <w:rPr/>
        <w:t>y</w:t>
      </w:r>
      <w:r>
        <w:rPr>
          <w:spacing w:val="-12"/>
        </w:rPr>
        <w:t> </w:t>
      </w:r>
      <w:r>
        <w:rPr/>
        <w:t>la</w:t>
      </w:r>
      <w:r>
        <w:rPr>
          <w:spacing w:val="-9"/>
        </w:rPr>
        <w:t> </w:t>
      </w:r>
      <w:r>
        <w:rPr/>
        <w:t>huella</w:t>
      </w:r>
      <w:r>
        <w:rPr>
          <w:spacing w:val="-11"/>
        </w:rPr>
        <w:t> </w:t>
      </w:r>
      <w:r>
        <w:rPr/>
        <w:t>ecológica.</w:t>
      </w:r>
      <w:r>
        <w:rPr>
          <w:position w:val="8"/>
          <w:sz w:val="16"/>
        </w:rPr>
        <w:t>37</w:t>
      </w:r>
      <w:r>
        <w:rPr>
          <w:spacing w:val="12"/>
          <w:position w:val="8"/>
          <w:sz w:val="16"/>
        </w:rPr>
        <w:t> </w:t>
      </w:r>
      <w:r>
        <w:rPr/>
        <w:t>Las fuentes de información fueron el Informe de desarrollo humano del PNUD de 2011, la Encuesta Mundial de Gallup y </w:t>
      </w:r>
      <w:r>
        <w:rPr>
          <w:i/>
        </w:rPr>
        <w:t>Global Footprint Networks National Footprint </w:t>
      </w:r>
      <w:r>
        <w:rPr>
          <w:i/>
        </w:rPr>
        <w:t>Accounts</w:t>
      </w:r>
      <w:r>
        <w:rPr/>
        <w:t>,</w:t>
      </w:r>
      <w:r>
        <w:rPr>
          <w:spacing w:val="-10"/>
        </w:rPr>
        <w:t> </w:t>
      </w:r>
      <w:r>
        <w:rPr/>
        <w:t>respectivamente.</w:t>
      </w:r>
    </w:p>
    <w:p>
      <w:pPr>
        <w:pStyle w:val="BodyText"/>
        <w:spacing w:line="360" w:lineRule="auto" w:before="5"/>
        <w:ind w:left="122" w:right="119" w:firstLine="427"/>
        <w:jc w:val="both"/>
      </w:pPr>
      <w:r>
        <w:rPr/>
        <w:t>La calificación pondera el resultado de los tres subíndices y es analizado mediante</w:t>
      </w:r>
      <w:r>
        <w:rPr>
          <w:spacing w:val="-9"/>
        </w:rPr>
        <w:t> </w:t>
      </w:r>
      <w:r>
        <w:rPr/>
        <w:t>un</w:t>
      </w:r>
      <w:r>
        <w:rPr>
          <w:spacing w:val="-12"/>
        </w:rPr>
        <w:t> </w:t>
      </w:r>
      <w:r>
        <w:rPr/>
        <w:t>modelo</w:t>
      </w:r>
      <w:r>
        <w:rPr>
          <w:spacing w:val="-10"/>
        </w:rPr>
        <w:t> </w:t>
      </w:r>
      <w:r>
        <w:rPr/>
        <w:t>de</w:t>
      </w:r>
      <w:r>
        <w:rPr>
          <w:spacing w:val="-9"/>
        </w:rPr>
        <w:t> </w:t>
      </w:r>
      <w:r>
        <w:rPr/>
        <w:t>regresión</w:t>
      </w:r>
      <w:r>
        <w:rPr>
          <w:spacing w:val="-9"/>
        </w:rPr>
        <w:t> </w:t>
      </w:r>
      <w:r>
        <w:rPr/>
        <w:t>lineal</w:t>
      </w:r>
      <w:r>
        <w:rPr>
          <w:spacing w:val="-11"/>
        </w:rPr>
        <w:t> </w:t>
      </w:r>
      <w:r>
        <w:rPr/>
        <w:t>simple.</w:t>
      </w:r>
      <w:r>
        <w:rPr>
          <w:spacing w:val="-10"/>
        </w:rPr>
        <w:t> </w:t>
      </w:r>
      <w:r>
        <w:rPr/>
        <w:t>Los</w:t>
      </w:r>
      <w:r>
        <w:rPr>
          <w:spacing w:val="-10"/>
        </w:rPr>
        <w:t> </w:t>
      </w:r>
      <w:r>
        <w:rPr/>
        <w:t>resultados</w:t>
      </w:r>
      <w:r>
        <w:rPr>
          <w:spacing w:val="-10"/>
        </w:rPr>
        <w:t> </w:t>
      </w:r>
      <w:r>
        <w:rPr/>
        <w:t>se</w:t>
      </w:r>
      <w:r>
        <w:rPr>
          <w:spacing w:val="-9"/>
        </w:rPr>
        <w:t> </w:t>
      </w:r>
      <w:r>
        <w:rPr/>
        <w:t>presentan</w:t>
      </w:r>
      <w:r>
        <w:rPr>
          <w:spacing w:val="-9"/>
        </w:rPr>
        <w:t> </w:t>
      </w:r>
      <w:r>
        <w:rPr/>
        <w:t>en</w:t>
      </w:r>
      <w:r>
        <w:rPr>
          <w:spacing w:val="-9"/>
        </w:rPr>
        <w:t> </w:t>
      </w:r>
      <w:r>
        <w:rPr/>
        <w:t>una escala de 0 a 100, donde valores cercanos a 100 indican un bienestar sostenible elevado (altos niveles de vida, elevado bienestar experimentado y baja huella ecológica). La mayor calificación fue para Costa Rica (64), Vietnam (60.4) y Colombia (59.8). De los 5 países estudiados, México obtuvo 52.9 puntos, superior a los otros cuatro</w:t>
      </w:r>
      <w:r>
        <w:rPr>
          <w:spacing w:val="-6"/>
        </w:rPr>
        <w:t> </w:t>
      </w:r>
      <w:r>
        <w:rPr/>
        <w:t>países.</w:t>
      </w:r>
    </w:p>
    <w:p>
      <w:pPr>
        <w:pStyle w:val="BodyText"/>
      </w:pPr>
    </w:p>
    <w:p>
      <w:pPr>
        <w:spacing w:before="143"/>
        <w:ind w:left="2688" w:right="50" w:firstLine="0"/>
        <w:jc w:val="left"/>
        <w:rPr>
          <w:sz w:val="20"/>
        </w:rPr>
      </w:pPr>
      <w:bookmarkStart w:name="_bookmark38" w:id="49"/>
      <w:bookmarkEnd w:id="49"/>
      <w:r>
        <w:rPr/>
      </w:r>
      <w:r>
        <w:rPr>
          <w:sz w:val="20"/>
        </w:rPr>
        <w:t>Cuadro 1.14. Índice de planeta feliz, 2012</w:t>
      </w:r>
    </w:p>
    <w:p>
      <w:pPr>
        <w:pStyle w:val="BodyText"/>
        <w:spacing w:before="4"/>
        <w:rPr>
          <w:sz w:val="17"/>
        </w:rPr>
      </w:pPr>
    </w:p>
    <w:tbl>
      <w:tblPr>
        <w:tblW w:w="0" w:type="auto"/>
        <w:jc w:val="left"/>
        <w:tblInd w:w="177" w:type="dxa"/>
        <w:tblBorders>
          <w:top w:val="single" w:sz="12" w:space="0" w:color="D9D9D9"/>
          <w:left w:val="single" w:sz="12" w:space="0" w:color="D9D9D9"/>
          <w:bottom w:val="single" w:sz="12" w:space="0" w:color="D9D9D9"/>
          <w:right w:val="single" w:sz="12" w:space="0" w:color="D9D9D9"/>
          <w:insideH w:val="single" w:sz="12" w:space="0" w:color="D9D9D9"/>
          <w:insideV w:val="single" w:sz="12" w:space="0" w:color="D9D9D9"/>
        </w:tblBorders>
        <w:tblLayout w:type="fixed"/>
        <w:tblCellMar>
          <w:top w:w="0" w:type="dxa"/>
          <w:left w:w="0" w:type="dxa"/>
          <w:bottom w:w="0" w:type="dxa"/>
          <w:right w:w="0" w:type="dxa"/>
        </w:tblCellMar>
        <w:tblLook w:val="01E0"/>
      </w:tblPr>
      <w:tblGrid>
        <w:gridCol w:w="1262"/>
        <w:gridCol w:w="1208"/>
        <w:gridCol w:w="1207"/>
        <w:gridCol w:w="1039"/>
        <w:gridCol w:w="1539"/>
        <w:gridCol w:w="1083"/>
        <w:gridCol w:w="1402"/>
      </w:tblGrid>
      <w:tr>
        <w:trPr>
          <w:trHeight w:val="586" w:hRule="exact"/>
        </w:trPr>
        <w:tc>
          <w:tcPr>
            <w:tcW w:w="1262" w:type="dxa"/>
          </w:tcPr>
          <w:p>
            <w:pPr>
              <w:pStyle w:val="TableParagraph"/>
              <w:spacing w:before="8"/>
              <w:rPr>
                <w:sz w:val="15"/>
              </w:rPr>
            </w:pPr>
          </w:p>
          <w:p>
            <w:pPr>
              <w:pStyle w:val="TableParagraph"/>
              <w:ind w:left="432" w:right="432"/>
              <w:jc w:val="center"/>
              <w:rPr>
                <w:b/>
                <w:sz w:val="16"/>
              </w:rPr>
            </w:pPr>
            <w:r>
              <w:rPr>
                <w:b/>
                <w:sz w:val="16"/>
              </w:rPr>
              <w:t>País</w:t>
            </w:r>
          </w:p>
        </w:tc>
        <w:tc>
          <w:tcPr>
            <w:tcW w:w="1208" w:type="dxa"/>
          </w:tcPr>
          <w:p>
            <w:pPr>
              <w:pStyle w:val="TableParagraph"/>
              <w:spacing w:before="8"/>
              <w:rPr>
                <w:sz w:val="15"/>
              </w:rPr>
            </w:pPr>
          </w:p>
          <w:p>
            <w:pPr>
              <w:pStyle w:val="TableParagraph"/>
              <w:ind w:left="35" w:right="35"/>
              <w:jc w:val="center"/>
              <w:rPr>
                <w:b/>
                <w:sz w:val="16"/>
              </w:rPr>
            </w:pPr>
            <w:r>
              <w:rPr>
                <w:b/>
                <w:sz w:val="16"/>
              </w:rPr>
              <w:t>Posición 2010</w:t>
            </w:r>
          </w:p>
        </w:tc>
        <w:tc>
          <w:tcPr>
            <w:tcW w:w="1207" w:type="dxa"/>
          </w:tcPr>
          <w:p>
            <w:pPr>
              <w:pStyle w:val="TableParagraph"/>
              <w:spacing w:before="8"/>
              <w:rPr>
                <w:sz w:val="15"/>
              </w:rPr>
            </w:pPr>
          </w:p>
          <w:p>
            <w:pPr>
              <w:pStyle w:val="TableParagraph"/>
              <w:ind w:left="35" w:right="35"/>
              <w:jc w:val="center"/>
              <w:rPr>
                <w:b/>
                <w:sz w:val="16"/>
              </w:rPr>
            </w:pPr>
            <w:r>
              <w:rPr>
                <w:b/>
                <w:sz w:val="16"/>
              </w:rPr>
              <w:t>Posición 2012</w:t>
            </w:r>
          </w:p>
        </w:tc>
        <w:tc>
          <w:tcPr>
            <w:tcW w:w="1039" w:type="dxa"/>
            <w:tcBorders>
              <w:right w:val="single" w:sz="12" w:space="0" w:color="D9D9D9"/>
            </w:tcBorders>
          </w:tcPr>
          <w:p>
            <w:pPr>
              <w:pStyle w:val="TableParagraph"/>
              <w:spacing w:before="8"/>
              <w:rPr>
                <w:sz w:val="15"/>
              </w:rPr>
            </w:pPr>
          </w:p>
          <w:p>
            <w:pPr>
              <w:pStyle w:val="TableParagraph"/>
              <w:ind w:left="36" w:right="36"/>
              <w:jc w:val="center"/>
              <w:rPr>
                <w:b/>
                <w:sz w:val="16"/>
              </w:rPr>
            </w:pPr>
            <w:r>
              <w:rPr>
                <w:b/>
                <w:sz w:val="16"/>
              </w:rPr>
              <w:t>Calificación</w:t>
            </w:r>
          </w:p>
        </w:tc>
        <w:tc>
          <w:tcPr>
            <w:tcW w:w="1539" w:type="dxa"/>
            <w:tcBorders>
              <w:left w:val="single" w:sz="12" w:space="0" w:color="D9D9D9"/>
            </w:tcBorders>
          </w:tcPr>
          <w:p>
            <w:pPr>
              <w:pStyle w:val="TableParagraph"/>
              <w:spacing w:before="8"/>
              <w:rPr>
                <w:sz w:val="15"/>
              </w:rPr>
            </w:pPr>
          </w:p>
          <w:p>
            <w:pPr>
              <w:pStyle w:val="TableParagraph"/>
              <w:ind w:left="36" w:right="36"/>
              <w:jc w:val="center"/>
              <w:rPr>
                <w:b/>
                <w:sz w:val="16"/>
              </w:rPr>
            </w:pPr>
            <w:r>
              <w:rPr>
                <w:b/>
                <w:sz w:val="16"/>
              </w:rPr>
              <w:t>Esperanza de vida</w:t>
            </w:r>
          </w:p>
        </w:tc>
        <w:tc>
          <w:tcPr>
            <w:tcW w:w="1083" w:type="dxa"/>
          </w:tcPr>
          <w:p>
            <w:pPr>
              <w:pStyle w:val="TableParagraph"/>
              <w:spacing w:before="90"/>
              <w:ind w:left="247" w:right="39" w:hanging="195"/>
              <w:rPr>
                <w:b/>
                <w:sz w:val="16"/>
              </w:rPr>
            </w:pPr>
            <w:r>
              <w:rPr>
                <w:b/>
                <w:sz w:val="16"/>
              </w:rPr>
              <w:t>Satisfacción de vida</w:t>
            </w:r>
          </w:p>
        </w:tc>
        <w:tc>
          <w:tcPr>
            <w:tcW w:w="1402" w:type="dxa"/>
          </w:tcPr>
          <w:p>
            <w:pPr>
              <w:pStyle w:val="TableParagraph"/>
              <w:spacing w:before="8"/>
              <w:rPr>
                <w:sz w:val="15"/>
              </w:rPr>
            </w:pPr>
          </w:p>
          <w:p>
            <w:pPr>
              <w:pStyle w:val="TableParagraph"/>
              <w:ind w:left="36" w:right="34"/>
              <w:jc w:val="center"/>
              <w:rPr>
                <w:b/>
                <w:sz w:val="16"/>
              </w:rPr>
            </w:pPr>
            <w:r>
              <w:rPr>
                <w:b/>
                <w:sz w:val="16"/>
              </w:rPr>
              <w:t>Huella ecológica</w:t>
            </w:r>
          </w:p>
        </w:tc>
      </w:tr>
      <w:tr>
        <w:trPr>
          <w:trHeight w:val="214" w:hRule="exact"/>
        </w:trPr>
        <w:tc>
          <w:tcPr>
            <w:tcW w:w="1262" w:type="dxa"/>
          </w:tcPr>
          <w:p>
            <w:pPr>
              <w:pStyle w:val="TableParagraph"/>
              <w:spacing w:line="183" w:lineRule="exact"/>
              <w:ind w:left="55"/>
              <w:rPr>
                <w:sz w:val="16"/>
              </w:rPr>
            </w:pPr>
            <w:r>
              <w:rPr>
                <w:sz w:val="16"/>
              </w:rPr>
              <w:t>Costa Rica</w:t>
            </w:r>
          </w:p>
        </w:tc>
        <w:tc>
          <w:tcPr>
            <w:tcW w:w="1208" w:type="dxa"/>
          </w:tcPr>
          <w:p>
            <w:pPr>
              <w:pStyle w:val="TableParagraph"/>
              <w:spacing w:line="183" w:lineRule="exact"/>
              <w:jc w:val="center"/>
              <w:rPr>
                <w:sz w:val="16"/>
              </w:rPr>
            </w:pPr>
            <w:r>
              <w:rPr>
                <w:w w:val="100"/>
                <w:sz w:val="16"/>
              </w:rPr>
              <w:t>1</w:t>
            </w:r>
          </w:p>
        </w:tc>
        <w:tc>
          <w:tcPr>
            <w:tcW w:w="1207" w:type="dxa"/>
          </w:tcPr>
          <w:p>
            <w:pPr>
              <w:pStyle w:val="TableParagraph"/>
              <w:spacing w:line="183" w:lineRule="exact"/>
              <w:jc w:val="center"/>
              <w:rPr>
                <w:sz w:val="16"/>
              </w:rPr>
            </w:pPr>
            <w:r>
              <w:rPr>
                <w:w w:val="100"/>
                <w:sz w:val="16"/>
              </w:rPr>
              <w:t>1</w:t>
            </w:r>
          </w:p>
        </w:tc>
        <w:tc>
          <w:tcPr>
            <w:tcW w:w="1039" w:type="dxa"/>
            <w:tcBorders>
              <w:right w:val="single" w:sz="12" w:space="0" w:color="D9D9D9"/>
            </w:tcBorders>
          </w:tcPr>
          <w:p>
            <w:pPr>
              <w:pStyle w:val="TableParagraph"/>
              <w:spacing w:line="183" w:lineRule="exact"/>
              <w:ind w:left="35" w:right="36"/>
              <w:jc w:val="center"/>
              <w:rPr>
                <w:sz w:val="16"/>
              </w:rPr>
            </w:pPr>
            <w:r>
              <w:rPr>
                <w:sz w:val="16"/>
              </w:rPr>
              <w:t>64.0</w:t>
            </w:r>
          </w:p>
        </w:tc>
        <w:tc>
          <w:tcPr>
            <w:tcW w:w="1539" w:type="dxa"/>
            <w:tcBorders>
              <w:left w:val="single" w:sz="12" w:space="0" w:color="D9D9D9"/>
            </w:tcBorders>
          </w:tcPr>
          <w:p>
            <w:pPr>
              <w:pStyle w:val="TableParagraph"/>
              <w:spacing w:line="183" w:lineRule="exact"/>
              <w:ind w:left="36" w:right="36"/>
              <w:jc w:val="center"/>
              <w:rPr>
                <w:sz w:val="16"/>
              </w:rPr>
            </w:pPr>
            <w:r>
              <w:rPr>
                <w:sz w:val="16"/>
              </w:rPr>
              <w:t>79.3</w:t>
            </w:r>
          </w:p>
        </w:tc>
        <w:tc>
          <w:tcPr>
            <w:tcW w:w="1083" w:type="dxa"/>
          </w:tcPr>
          <w:p>
            <w:pPr>
              <w:pStyle w:val="TableParagraph"/>
              <w:spacing w:line="183" w:lineRule="exact"/>
              <w:ind w:left="394" w:right="396"/>
              <w:jc w:val="center"/>
              <w:rPr>
                <w:sz w:val="16"/>
              </w:rPr>
            </w:pPr>
            <w:r>
              <w:rPr>
                <w:sz w:val="16"/>
              </w:rPr>
              <w:t>7.3</w:t>
            </w:r>
          </w:p>
        </w:tc>
        <w:tc>
          <w:tcPr>
            <w:tcW w:w="1402" w:type="dxa"/>
          </w:tcPr>
          <w:p>
            <w:pPr>
              <w:pStyle w:val="TableParagraph"/>
              <w:spacing w:line="183" w:lineRule="exact"/>
              <w:ind w:left="33" w:right="34"/>
              <w:jc w:val="center"/>
              <w:rPr>
                <w:sz w:val="16"/>
              </w:rPr>
            </w:pPr>
            <w:r>
              <w:rPr>
                <w:sz w:val="16"/>
              </w:rPr>
              <w:t>2.5</w:t>
            </w:r>
          </w:p>
        </w:tc>
      </w:tr>
      <w:tr>
        <w:trPr>
          <w:trHeight w:val="214" w:hRule="exact"/>
        </w:trPr>
        <w:tc>
          <w:tcPr>
            <w:tcW w:w="1262" w:type="dxa"/>
          </w:tcPr>
          <w:p>
            <w:pPr>
              <w:pStyle w:val="TableParagraph"/>
              <w:spacing w:line="183" w:lineRule="exact"/>
              <w:ind w:left="55"/>
              <w:rPr>
                <w:sz w:val="16"/>
              </w:rPr>
            </w:pPr>
            <w:r>
              <w:rPr>
                <w:sz w:val="16"/>
              </w:rPr>
              <w:t>Vietnam</w:t>
            </w:r>
          </w:p>
        </w:tc>
        <w:tc>
          <w:tcPr>
            <w:tcW w:w="1208" w:type="dxa"/>
          </w:tcPr>
          <w:p>
            <w:pPr>
              <w:pStyle w:val="TableParagraph"/>
              <w:spacing w:line="183" w:lineRule="exact"/>
              <w:jc w:val="center"/>
              <w:rPr>
                <w:sz w:val="16"/>
              </w:rPr>
            </w:pPr>
            <w:r>
              <w:rPr>
                <w:w w:val="100"/>
                <w:sz w:val="16"/>
              </w:rPr>
              <w:t>5</w:t>
            </w:r>
          </w:p>
        </w:tc>
        <w:tc>
          <w:tcPr>
            <w:tcW w:w="1207" w:type="dxa"/>
          </w:tcPr>
          <w:p>
            <w:pPr>
              <w:pStyle w:val="TableParagraph"/>
              <w:spacing w:line="183" w:lineRule="exact"/>
              <w:jc w:val="center"/>
              <w:rPr>
                <w:sz w:val="16"/>
              </w:rPr>
            </w:pPr>
            <w:r>
              <w:rPr>
                <w:w w:val="100"/>
                <w:sz w:val="16"/>
              </w:rPr>
              <w:t>2</w:t>
            </w:r>
          </w:p>
        </w:tc>
        <w:tc>
          <w:tcPr>
            <w:tcW w:w="1039" w:type="dxa"/>
            <w:tcBorders>
              <w:right w:val="single" w:sz="12" w:space="0" w:color="D9D9D9"/>
            </w:tcBorders>
          </w:tcPr>
          <w:p>
            <w:pPr>
              <w:pStyle w:val="TableParagraph"/>
              <w:spacing w:line="183" w:lineRule="exact"/>
              <w:ind w:left="35" w:right="36"/>
              <w:jc w:val="center"/>
              <w:rPr>
                <w:sz w:val="16"/>
              </w:rPr>
            </w:pPr>
            <w:r>
              <w:rPr>
                <w:sz w:val="16"/>
              </w:rPr>
              <w:t>60.4</w:t>
            </w:r>
          </w:p>
        </w:tc>
        <w:tc>
          <w:tcPr>
            <w:tcW w:w="1539" w:type="dxa"/>
            <w:tcBorders>
              <w:left w:val="single" w:sz="12" w:space="0" w:color="D9D9D9"/>
            </w:tcBorders>
          </w:tcPr>
          <w:p>
            <w:pPr>
              <w:pStyle w:val="TableParagraph"/>
              <w:spacing w:line="183" w:lineRule="exact"/>
              <w:ind w:left="36" w:right="36"/>
              <w:jc w:val="center"/>
              <w:rPr>
                <w:sz w:val="16"/>
              </w:rPr>
            </w:pPr>
            <w:r>
              <w:rPr>
                <w:sz w:val="16"/>
              </w:rPr>
              <w:t>75.2</w:t>
            </w:r>
          </w:p>
        </w:tc>
        <w:tc>
          <w:tcPr>
            <w:tcW w:w="1083" w:type="dxa"/>
          </w:tcPr>
          <w:p>
            <w:pPr>
              <w:pStyle w:val="TableParagraph"/>
              <w:spacing w:line="183" w:lineRule="exact"/>
              <w:ind w:left="394" w:right="396"/>
              <w:jc w:val="center"/>
              <w:rPr>
                <w:sz w:val="16"/>
              </w:rPr>
            </w:pPr>
            <w:r>
              <w:rPr>
                <w:sz w:val="16"/>
              </w:rPr>
              <w:t>5.8</w:t>
            </w:r>
          </w:p>
        </w:tc>
        <w:tc>
          <w:tcPr>
            <w:tcW w:w="1402" w:type="dxa"/>
          </w:tcPr>
          <w:p>
            <w:pPr>
              <w:pStyle w:val="TableParagraph"/>
              <w:spacing w:line="183" w:lineRule="exact"/>
              <w:ind w:left="33" w:right="34"/>
              <w:jc w:val="center"/>
              <w:rPr>
                <w:sz w:val="16"/>
              </w:rPr>
            </w:pPr>
            <w:r>
              <w:rPr>
                <w:sz w:val="16"/>
              </w:rPr>
              <w:t>1.4</w:t>
            </w:r>
          </w:p>
        </w:tc>
      </w:tr>
      <w:tr>
        <w:trPr>
          <w:trHeight w:val="216" w:hRule="exact"/>
        </w:trPr>
        <w:tc>
          <w:tcPr>
            <w:tcW w:w="1262" w:type="dxa"/>
          </w:tcPr>
          <w:p>
            <w:pPr>
              <w:pStyle w:val="TableParagraph"/>
              <w:spacing w:line="183" w:lineRule="exact"/>
              <w:ind w:left="55"/>
              <w:rPr>
                <w:sz w:val="16"/>
              </w:rPr>
            </w:pPr>
            <w:r>
              <w:rPr>
                <w:sz w:val="16"/>
              </w:rPr>
              <w:t>Colombia</w:t>
            </w:r>
          </w:p>
        </w:tc>
        <w:tc>
          <w:tcPr>
            <w:tcW w:w="1208" w:type="dxa"/>
          </w:tcPr>
          <w:p>
            <w:pPr>
              <w:pStyle w:val="TableParagraph"/>
              <w:spacing w:line="183" w:lineRule="exact"/>
              <w:jc w:val="center"/>
              <w:rPr>
                <w:sz w:val="16"/>
              </w:rPr>
            </w:pPr>
            <w:r>
              <w:rPr>
                <w:w w:val="100"/>
                <w:sz w:val="16"/>
              </w:rPr>
              <w:t>6</w:t>
            </w:r>
          </w:p>
        </w:tc>
        <w:tc>
          <w:tcPr>
            <w:tcW w:w="1207" w:type="dxa"/>
          </w:tcPr>
          <w:p>
            <w:pPr>
              <w:pStyle w:val="TableParagraph"/>
              <w:spacing w:line="183" w:lineRule="exact"/>
              <w:jc w:val="center"/>
              <w:rPr>
                <w:sz w:val="16"/>
              </w:rPr>
            </w:pPr>
            <w:r>
              <w:rPr>
                <w:w w:val="100"/>
                <w:sz w:val="16"/>
              </w:rPr>
              <w:t>3</w:t>
            </w:r>
          </w:p>
        </w:tc>
        <w:tc>
          <w:tcPr>
            <w:tcW w:w="1039" w:type="dxa"/>
            <w:tcBorders>
              <w:right w:val="single" w:sz="12" w:space="0" w:color="D9D9D9"/>
            </w:tcBorders>
          </w:tcPr>
          <w:p>
            <w:pPr>
              <w:pStyle w:val="TableParagraph"/>
              <w:spacing w:line="183" w:lineRule="exact"/>
              <w:ind w:left="35" w:right="36"/>
              <w:jc w:val="center"/>
              <w:rPr>
                <w:sz w:val="16"/>
              </w:rPr>
            </w:pPr>
            <w:r>
              <w:rPr>
                <w:sz w:val="16"/>
              </w:rPr>
              <w:t>59.8</w:t>
            </w:r>
          </w:p>
        </w:tc>
        <w:tc>
          <w:tcPr>
            <w:tcW w:w="1539" w:type="dxa"/>
            <w:tcBorders>
              <w:left w:val="single" w:sz="12" w:space="0" w:color="D9D9D9"/>
            </w:tcBorders>
          </w:tcPr>
          <w:p>
            <w:pPr>
              <w:pStyle w:val="TableParagraph"/>
              <w:spacing w:line="183" w:lineRule="exact"/>
              <w:ind w:left="36" w:right="36"/>
              <w:jc w:val="center"/>
              <w:rPr>
                <w:sz w:val="16"/>
              </w:rPr>
            </w:pPr>
            <w:r>
              <w:rPr>
                <w:sz w:val="16"/>
              </w:rPr>
              <w:t>73.7</w:t>
            </w:r>
          </w:p>
        </w:tc>
        <w:tc>
          <w:tcPr>
            <w:tcW w:w="1083" w:type="dxa"/>
          </w:tcPr>
          <w:p>
            <w:pPr>
              <w:pStyle w:val="TableParagraph"/>
              <w:spacing w:line="183" w:lineRule="exact"/>
              <w:ind w:left="394" w:right="396"/>
              <w:jc w:val="center"/>
              <w:rPr>
                <w:sz w:val="16"/>
              </w:rPr>
            </w:pPr>
            <w:r>
              <w:rPr>
                <w:sz w:val="16"/>
              </w:rPr>
              <w:t>6.4</w:t>
            </w:r>
          </w:p>
        </w:tc>
        <w:tc>
          <w:tcPr>
            <w:tcW w:w="1402" w:type="dxa"/>
          </w:tcPr>
          <w:p>
            <w:pPr>
              <w:pStyle w:val="TableParagraph"/>
              <w:spacing w:line="183" w:lineRule="exact"/>
              <w:ind w:left="33" w:right="34"/>
              <w:jc w:val="center"/>
              <w:rPr>
                <w:sz w:val="16"/>
              </w:rPr>
            </w:pPr>
            <w:r>
              <w:rPr>
                <w:sz w:val="16"/>
              </w:rPr>
              <w:t>1.8</w:t>
            </w:r>
          </w:p>
        </w:tc>
      </w:tr>
      <w:tr>
        <w:trPr>
          <w:trHeight w:val="214" w:hRule="exact"/>
        </w:trPr>
        <w:tc>
          <w:tcPr>
            <w:tcW w:w="1262" w:type="dxa"/>
            <w:shd w:val="clear" w:color="auto" w:fill="FFFF00"/>
          </w:tcPr>
          <w:p>
            <w:pPr>
              <w:pStyle w:val="TableParagraph"/>
              <w:spacing w:line="178" w:lineRule="exact"/>
              <w:ind w:left="55"/>
              <w:rPr>
                <w:b/>
                <w:sz w:val="16"/>
              </w:rPr>
            </w:pPr>
            <w:r>
              <w:rPr>
                <w:b/>
                <w:sz w:val="16"/>
              </w:rPr>
              <w:t>México</w:t>
            </w:r>
          </w:p>
        </w:tc>
        <w:tc>
          <w:tcPr>
            <w:tcW w:w="1208" w:type="dxa"/>
            <w:shd w:val="clear" w:color="auto" w:fill="FFFF00"/>
          </w:tcPr>
          <w:p>
            <w:pPr>
              <w:pStyle w:val="TableParagraph"/>
              <w:spacing w:line="178" w:lineRule="exact"/>
              <w:ind w:left="33" w:right="35"/>
              <w:jc w:val="center"/>
              <w:rPr>
                <w:b/>
                <w:sz w:val="16"/>
              </w:rPr>
            </w:pPr>
            <w:r>
              <w:rPr>
                <w:b/>
                <w:sz w:val="16"/>
              </w:rPr>
              <w:t>23</w:t>
            </w:r>
          </w:p>
        </w:tc>
        <w:tc>
          <w:tcPr>
            <w:tcW w:w="1207" w:type="dxa"/>
            <w:shd w:val="clear" w:color="auto" w:fill="FFFF00"/>
          </w:tcPr>
          <w:p>
            <w:pPr>
              <w:pStyle w:val="TableParagraph"/>
              <w:spacing w:line="178" w:lineRule="exact"/>
              <w:ind w:left="35" w:right="35"/>
              <w:jc w:val="center"/>
              <w:rPr>
                <w:b/>
                <w:sz w:val="16"/>
              </w:rPr>
            </w:pPr>
            <w:r>
              <w:rPr>
                <w:b/>
                <w:sz w:val="16"/>
              </w:rPr>
              <w:t>22</w:t>
            </w:r>
          </w:p>
        </w:tc>
        <w:tc>
          <w:tcPr>
            <w:tcW w:w="1039" w:type="dxa"/>
            <w:tcBorders>
              <w:right w:val="single" w:sz="12" w:space="0" w:color="D9D9D9"/>
            </w:tcBorders>
            <w:shd w:val="clear" w:color="auto" w:fill="FFFF00"/>
          </w:tcPr>
          <w:p>
            <w:pPr>
              <w:pStyle w:val="TableParagraph"/>
              <w:spacing w:line="178" w:lineRule="exact"/>
              <w:ind w:left="35" w:right="36"/>
              <w:jc w:val="center"/>
              <w:rPr>
                <w:b/>
                <w:sz w:val="16"/>
              </w:rPr>
            </w:pPr>
            <w:r>
              <w:rPr>
                <w:b/>
                <w:sz w:val="16"/>
              </w:rPr>
              <w:t>52.9</w:t>
            </w:r>
          </w:p>
        </w:tc>
        <w:tc>
          <w:tcPr>
            <w:tcW w:w="1539" w:type="dxa"/>
            <w:tcBorders>
              <w:left w:val="single" w:sz="12" w:space="0" w:color="D9D9D9"/>
            </w:tcBorders>
            <w:shd w:val="clear" w:color="auto" w:fill="FFFF00"/>
          </w:tcPr>
          <w:p>
            <w:pPr>
              <w:pStyle w:val="TableParagraph"/>
              <w:spacing w:line="178" w:lineRule="exact"/>
              <w:ind w:left="36" w:right="36"/>
              <w:jc w:val="center"/>
              <w:rPr>
                <w:b/>
                <w:sz w:val="16"/>
              </w:rPr>
            </w:pPr>
            <w:r>
              <w:rPr>
                <w:b/>
                <w:sz w:val="16"/>
              </w:rPr>
              <w:t>77.0</w:t>
            </w:r>
          </w:p>
        </w:tc>
        <w:tc>
          <w:tcPr>
            <w:tcW w:w="1083" w:type="dxa"/>
            <w:shd w:val="clear" w:color="auto" w:fill="FFFF00"/>
          </w:tcPr>
          <w:p>
            <w:pPr>
              <w:pStyle w:val="TableParagraph"/>
              <w:spacing w:line="178" w:lineRule="exact"/>
              <w:ind w:left="394" w:right="396"/>
              <w:jc w:val="center"/>
              <w:rPr>
                <w:b/>
                <w:sz w:val="16"/>
              </w:rPr>
            </w:pPr>
            <w:r>
              <w:rPr>
                <w:b/>
                <w:sz w:val="16"/>
              </w:rPr>
              <w:t>6.8</w:t>
            </w:r>
          </w:p>
        </w:tc>
        <w:tc>
          <w:tcPr>
            <w:tcW w:w="1402" w:type="dxa"/>
            <w:shd w:val="clear" w:color="auto" w:fill="FFFF00"/>
          </w:tcPr>
          <w:p>
            <w:pPr>
              <w:pStyle w:val="TableParagraph"/>
              <w:spacing w:line="178" w:lineRule="exact"/>
              <w:ind w:left="33" w:right="34"/>
              <w:jc w:val="center"/>
              <w:rPr>
                <w:b/>
                <w:sz w:val="16"/>
              </w:rPr>
            </w:pPr>
            <w:r>
              <w:rPr>
                <w:b/>
                <w:sz w:val="16"/>
              </w:rPr>
              <w:t>3.3</w:t>
            </w:r>
          </w:p>
        </w:tc>
      </w:tr>
      <w:tr>
        <w:trPr>
          <w:trHeight w:val="214" w:hRule="exact"/>
        </w:trPr>
        <w:tc>
          <w:tcPr>
            <w:tcW w:w="1262" w:type="dxa"/>
          </w:tcPr>
          <w:p>
            <w:pPr>
              <w:pStyle w:val="TableParagraph"/>
              <w:spacing w:line="180" w:lineRule="exact"/>
              <w:ind w:left="55"/>
              <w:rPr>
                <w:sz w:val="16"/>
              </w:rPr>
            </w:pPr>
            <w:r>
              <w:rPr>
                <w:sz w:val="16"/>
              </w:rPr>
              <w:t>Reino Unido</w:t>
            </w:r>
          </w:p>
        </w:tc>
        <w:tc>
          <w:tcPr>
            <w:tcW w:w="1208" w:type="dxa"/>
          </w:tcPr>
          <w:p>
            <w:pPr>
              <w:pStyle w:val="TableParagraph"/>
              <w:spacing w:line="180" w:lineRule="exact"/>
              <w:ind w:left="33" w:right="35"/>
              <w:jc w:val="center"/>
              <w:rPr>
                <w:sz w:val="16"/>
              </w:rPr>
            </w:pPr>
            <w:r>
              <w:rPr>
                <w:sz w:val="16"/>
              </w:rPr>
              <w:t>74</w:t>
            </w:r>
          </w:p>
        </w:tc>
        <w:tc>
          <w:tcPr>
            <w:tcW w:w="1207" w:type="dxa"/>
          </w:tcPr>
          <w:p>
            <w:pPr>
              <w:pStyle w:val="TableParagraph"/>
              <w:spacing w:line="180" w:lineRule="exact"/>
              <w:ind w:left="35" w:right="35"/>
              <w:jc w:val="center"/>
              <w:rPr>
                <w:sz w:val="16"/>
              </w:rPr>
            </w:pPr>
            <w:r>
              <w:rPr>
                <w:sz w:val="16"/>
              </w:rPr>
              <w:t>41</w:t>
            </w:r>
          </w:p>
        </w:tc>
        <w:tc>
          <w:tcPr>
            <w:tcW w:w="1039" w:type="dxa"/>
            <w:tcBorders>
              <w:right w:val="single" w:sz="12" w:space="0" w:color="D9D9D9"/>
            </w:tcBorders>
          </w:tcPr>
          <w:p>
            <w:pPr>
              <w:pStyle w:val="TableParagraph"/>
              <w:spacing w:line="180" w:lineRule="exact"/>
              <w:ind w:left="35" w:right="36"/>
              <w:jc w:val="center"/>
              <w:rPr>
                <w:sz w:val="16"/>
              </w:rPr>
            </w:pPr>
            <w:r>
              <w:rPr>
                <w:sz w:val="16"/>
              </w:rPr>
              <w:t>47.9</w:t>
            </w:r>
          </w:p>
        </w:tc>
        <w:tc>
          <w:tcPr>
            <w:tcW w:w="1539" w:type="dxa"/>
            <w:tcBorders>
              <w:left w:val="single" w:sz="12" w:space="0" w:color="D9D9D9"/>
            </w:tcBorders>
          </w:tcPr>
          <w:p>
            <w:pPr>
              <w:pStyle w:val="TableParagraph"/>
              <w:spacing w:line="180" w:lineRule="exact"/>
              <w:ind w:left="36" w:right="36"/>
              <w:jc w:val="center"/>
              <w:rPr>
                <w:sz w:val="16"/>
              </w:rPr>
            </w:pPr>
            <w:r>
              <w:rPr>
                <w:sz w:val="16"/>
              </w:rPr>
              <w:t>80.2</w:t>
            </w:r>
          </w:p>
        </w:tc>
        <w:tc>
          <w:tcPr>
            <w:tcW w:w="1083" w:type="dxa"/>
          </w:tcPr>
          <w:p>
            <w:pPr>
              <w:pStyle w:val="TableParagraph"/>
              <w:spacing w:line="180" w:lineRule="exact"/>
              <w:ind w:left="394" w:right="396"/>
              <w:jc w:val="center"/>
              <w:rPr>
                <w:sz w:val="16"/>
              </w:rPr>
            </w:pPr>
            <w:r>
              <w:rPr>
                <w:sz w:val="16"/>
              </w:rPr>
              <w:t>7.0</w:t>
            </w:r>
          </w:p>
        </w:tc>
        <w:tc>
          <w:tcPr>
            <w:tcW w:w="1402" w:type="dxa"/>
          </w:tcPr>
          <w:p>
            <w:pPr>
              <w:pStyle w:val="TableParagraph"/>
              <w:spacing w:line="180" w:lineRule="exact"/>
              <w:ind w:left="33" w:right="34"/>
              <w:jc w:val="center"/>
              <w:rPr>
                <w:sz w:val="16"/>
              </w:rPr>
            </w:pPr>
            <w:r>
              <w:rPr>
                <w:sz w:val="16"/>
              </w:rPr>
              <w:t>4.7</w:t>
            </w:r>
          </w:p>
        </w:tc>
      </w:tr>
      <w:tr>
        <w:trPr>
          <w:trHeight w:val="214" w:hRule="exact"/>
        </w:trPr>
        <w:tc>
          <w:tcPr>
            <w:tcW w:w="1262" w:type="dxa"/>
          </w:tcPr>
          <w:p>
            <w:pPr>
              <w:pStyle w:val="TableParagraph"/>
              <w:spacing w:line="180" w:lineRule="exact"/>
              <w:ind w:left="55"/>
              <w:rPr>
                <w:sz w:val="16"/>
              </w:rPr>
            </w:pPr>
            <w:r>
              <w:rPr>
                <w:sz w:val="16"/>
              </w:rPr>
              <w:t>Alemania</w:t>
            </w:r>
          </w:p>
        </w:tc>
        <w:tc>
          <w:tcPr>
            <w:tcW w:w="1208" w:type="dxa"/>
          </w:tcPr>
          <w:p>
            <w:pPr>
              <w:pStyle w:val="TableParagraph"/>
              <w:spacing w:line="180" w:lineRule="exact"/>
              <w:ind w:left="33" w:right="35"/>
              <w:jc w:val="center"/>
              <w:rPr>
                <w:sz w:val="16"/>
              </w:rPr>
            </w:pPr>
            <w:r>
              <w:rPr>
                <w:sz w:val="16"/>
              </w:rPr>
              <w:t>51</w:t>
            </w:r>
          </w:p>
        </w:tc>
        <w:tc>
          <w:tcPr>
            <w:tcW w:w="1207" w:type="dxa"/>
          </w:tcPr>
          <w:p>
            <w:pPr>
              <w:pStyle w:val="TableParagraph"/>
              <w:spacing w:line="180" w:lineRule="exact"/>
              <w:ind w:left="35" w:right="35"/>
              <w:jc w:val="center"/>
              <w:rPr>
                <w:sz w:val="16"/>
              </w:rPr>
            </w:pPr>
            <w:r>
              <w:rPr>
                <w:sz w:val="16"/>
              </w:rPr>
              <w:t>46</w:t>
            </w:r>
          </w:p>
        </w:tc>
        <w:tc>
          <w:tcPr>
            <w:tcW w:w="1039" w:type="dxa"/>
            <w:tcBorders>
              <w:right w:val="single" w:sz="12" w:space="0" w:color="D9D9D9"/>
            </w:tcBorders>
          </w:tcPr>
          <w:p>
            <w:pPr>
              <w:pStyle w:val="TableParagraph"/>
              <w:spacing w:line="180" w:lineRule="exact"/>
              <w:ind w:left="35" w:right="36"/>
              <w:jc w:val="center"/>
              <w:rPr>
                <w:sz w:val="16"/>
              </w:rPr>
            </w:pPr>
            <w:r>
              <w:rPr>
                <w:sz w:val="16"/>
              </w:rPr>
              <w:t>47.2</w:t>
            </w:r>
          </w:p>
        </w:tc>
        <w:tc>
          <w:tcPr>
            <w:tcW w:w="1539" w:type="dxa"/>
            <w:tcBorders>
              <w:left w:val="single" w:sz="12" w:space="0" w:color="D9D9D9"/>
            </w:tcBorders>
          </w:tcPr>
          <w:p>
            <w:pPr>
              <w:pStyle w:val="TableParagraph"/>
              <w:spacing w:line="180" w:lineRule="exact"/>
              <w:ind w:left="36" w:right="36"/>
              <w:jc w:val="center"/>
              <w:rPr>
                <w:sz w:val="16"/>
              </w:rPr>
            </w:pPr>
            <w:r>
              <w:rPr>
                <w:sz w:val="16"/>
              </w:rPr>
              <w:t>80.4</w:t>
            </w:r>
          </w:p>
        </w:tc>
        <w:tc>
          <w:tcPr>
            <w:tcW w:w="1083" w:type="dxa"/>
          </w:tcPr>
          <w:p>
            <w:pPr>
              <w:pStyle w:val="TableParagraph"/>
              <w:spacing w:line="180" w:lineRule="exact"/>
              <w:ind w:left="394" w:right="396"/>
              <w:jc w:val="center"/>
              <w:rPr>
                <w:sz w:val="16"/>
              </w:rPr>
            </w:pPr>
            <w:r>
              <w:rPr>
                <w:sz w:val="16"/>
              </w:rPr>
              <w:t>6.7</w:t>
            </w:r>
          </w:p>
        </w:tc>
        <w:tc>
          <w:tcPr>
            <w:tcW w:w="1402" w:type="dxa"/>
          </w:tcPr>
          <w:p>
            <w:pPr>
              <w:pStyle w:val="TableParagraph"/>
              <w:spacing w:line="180" w:lineRule="exact"/>
              <w:ind w:left="33" w:right="34"/>
              <w:jc w:val="center"/>
              <w:rPr>
                <w:sz w:val="16"/>
              </w:rPr>
            </w:pPr>
            <w:r>
              <w:rPr>
                <w:sz w:val="16"/>
              </w:rPr>
              <w:t>4.6</w:t>
            </w:r>
          </w:p>
        </w:tc>
      </w:tr>
      <w:tr>
        <w:trPr>
          <w:trHeight w:val="214" w:hRule="exact"/>
        </w:trPr>
        <w:tc>
          <w:tcPr>
            <w:tcW w:w="1262" w:type="dxa"/>
          </w:tcPr>
          <w:p>
            <w:pPr>
              <w:pStyle w:val="TableParagraph"/>
              <w:spacing w:line="180" w:lineRule="exact"/>
              <w:ind w:left="55"/>
              <w:rPr>
                <w:sz w:val="16"/>
              </w:rPr>
            </w:pPr>
            <w:r>
              <w:rPr>
                <w:sz w:val="16"/>
              </w:rPr>
              <w:t>España</w:t>
            </w:r>
          </w:p>
        </w:tc>
        <w:tc>
          <w:tcPr>
            <w:tcW w:w="1208" w:type="dxa"/>
          </w:tcPr>
          <w:p>
            <w:pPr>
              <w:pStyle w:val="TableParagraph"/>
              <w:spacing w:line="180" w:lineRule="exact"/>
              <w:ind w:left="33" w:right="35"/>
              <w:jc w:val="center"/>
              <w:rPr>
                <w:sz w:val="16"/>
              </w:rPr>
            </w:pPr>
            <w:r>
              <w:rPr>
                <w:sz w:val="16"/>
              </w:rPr>
              <w:t>76</w:t>
            </w:r>
          </w:p>
        </w:tc>
        <w:tc>
          <w:tcPr>
            <w:tcW w:w="1207" w:type="dxa"/>
          </w:tcPr>
          <w:p>
            <w:pPr>
              <w:pStyle w:val="TableParagraph"/>
              <w:spacing w:line="180" w:lineRule="exact"/>
              <w:ind w:left="35" w:right="35"/>
              <w:jc w:val="center"/>
              <w:rPr>
                <w:sz w:val="16"/>
              </w:rPr>
            </w:pPr>
            <w:r>
              <w:rPr>
                <w:sz w:val="16"/>
              </w:rPr>
              <w:t>62</w:t>
            </w:r>
          </w:p>
        </w:tc>
        <w:tc>
          <w:tcPr>
            <w:tcW w:w="1039" w:type="dxa"/>
            <w:tcBorders>
              <w:right w:val="single" w:sz="12" w:space="0" w:color="D9D9D9"/>
            </w:tcBorders>
          </w:tcPr>
          <w:p>
            <w:pPr>
              <w:pStyle w:val="TableParagraph"/>
              <w:spacing w:line="180" w:lineRule="exact"/>
              <w:ind w:left="35" w:right="36"/>
              <w:jc w:val="center"/>
              <w:rPr>
                <w:sz w:val="16"/>
              </w:rPr>
            </w:pPr>
            <w:r>
              <w:rPr>
                <w:sz w:val="16"/>
              </w:rPr>
              <w:t>44.1</w:t>
            </w:r>
          </w:p>
        </w:tc>
        <w:tc>
          <w:tcPr>
            <w:tcW w:w="1539" w:type="dxa"/>
            <w:tcBorders>
              <w:left w:val="single" w:sz="12" w:space="0" w:color="D9D9D9"/>
            </w:tcBorders>
          </w:tcPr>
          <w:p>
            <w:pPr>
              <w:pStyle w:val="TableParagraph"/>
              <w:spacing w:line="180" w:lineRule="exact"/>
              <w:ind w:left="36" w:right="36"/>
              <w:jc w:val="center"/>
              <w:rPr>
                <w:sz w:val="16"/>
              </w:rPr>
            </w:pPr>
            <w:r>
              <w:rPr>
                <w:sz w:val="16"/>
              </w:rPr>
              <w:t>81.4</w:t>
            </w:r>
          </w:p>
        </w:tc>
        <w:tc>
          <w:tcPr>
            <w:tcW w:w="1083" w:type="dxa"/>
          </w:tcPr>
          <w:p>
            <w:pPr>
              <w:pStyle w:val="TableParagraph"/>
              <w:spacing w:line="180" w:lineRule="exact"/>
              <w:ind w:left="394" w:right="396"/>
              <w:jc w:val="center"/>
              <w:rPr>
                <w:sz w:val="16"/>
              </w:rPr>
            </w:pPr>
            <w:r>
              <w:rPr>
                <w:sz w:val="16"/>
              </w:rPr>
              <w:t>6.2</w:t>
            </w:r>
          </w:p>
        </w:tc>
        <w:tc>
          <w:tcPr>
            <w:tcW w:w="1402" w:type="dxa"/>
          </w:tcPr>
          <w:p>
            <w:pPr>
              <w:pStyle w:val="TableParagraph"/>
              <w:spacing w:line="180" w:lineRule="exact"/>
              <w:ind w:left="33" w:right="34"/>
              <w:jc w:val="center"/>
              <w:rPr>
                <w:sz w:val="16"/>
              </w:rPr>
            </w:pPr>
            <w:r>
              <w:rPr>
                <w:sz w:val="16"/>
              </w:rPr>
              <w:t>4.7</w:t>
            </w:r>
          </w:p>
        </w:tc>
      </w:tr>
      <w:tr>
        <w:trPr>
          <w:trHeight w:val="217" w:hRule="exact"/>
        </w:trPr>
        <w:tc>
          <w:tcPr>
            <w:tcW w:w="1262" w:type="dxa"/>
          </w:tcPr>
          <w:p>
            <w:pPr>
              <w:pStyle w:val="TableParagraph"/>
              <w:spacing w:line="183" w:lineRule="exact"/>
              <w:ind w:left="55"/>
              <w:rPr>
                <w:sz w:val="16"/>
              </w:rPr>
            </w:pPr>
            <w:r>
              <w:rPr>
                <w:sz w:val="16"/>
              </w:rPr>
              <w:t>Estados Unidos</w:t>
            </w:r>
          </w:p>
        </w:tc>
        <w:tc>
          <w:tcPr>
            <w:tcW w:w="1208" w:type="dxa"/>
          </w:tcPr>
          <w:p>
            <w:pPr>
              <w:pStyle w:val="TableParagraph"/>
              <w:spacing w:line="183" w:lineRule="exact"/>
              <w:ind w:left="35" w:right="35"/>
              <w:jc w:val="center"/>
              <w:rPr>
                <w:sz w:val="16"/>
              </w:rPr>
            </w:pPr>
            <w:r>
              <w:rPr>
                <w:sz w:val="16"/>
              </w:rPr>
              <w:t>114</w:t>
            </w:r>
          </w:p>
        </w:tc>
        <w:tc>
          <w:tcPr>
            <w:tcW w:w="1207" w:type="dxa"/>
          </w:tcPr>
          <w:p>
            <w:pPr>
              <w:pStyle w:val="TableParagraph"/>
              <w:spacing w:line="183" w:lineRule="exact"/>
              <w:ind w:left="35" w:right="35"/>
              <w:jc w:val="center"/>
              <w:rPr>
                <w:sz w:val="16"/>
              </w:rPr>
            </w:pPr>
            <w:r>
              <w:rPr>
                <w:sz w:val="16"/>
              </w:rPr>
              <w:t>105</w:t>
            </w:r>
          </w:p>
        </w:tc>
        <w:tc>
          <w:tcPr>
            <w:tcW w:w="1039" w:type="dxa"/>
            <w:tcBorders>
              <w:right w:val="single" w:sz="12" w:space="0" w:color="D9D9D9"/>
            </w:tcBorders>
          </w:tcPr>
          <w:p>
            <w:pPr>
              <w:pStyle w:val="TableParagraph"/>
              <w:spacing w:line="183" w:lineRule="exact"/>
              <w:ind w:left="35" w:right="36"/>
              <w:jc w:val="center"/>
              <w:rPr>
                <w:sz w:val="16"/>
              </w:rPr>
            </w:pPr>
            <w:r>
              <w:rPr>
                <w:sz w:val="16"/>
              </w:rPr>
              <w:t>37.3</w:t>
            </w:r>
          </w:p>
        </w:tc>
        <w:tc>
          <w:tcPr>
            <w:tcW w:w="1539" w:type="dxa"/>
            <w:tcBorders>
              <w:left w:val="single" w:sz="12" w:space="0" w:color="D9D9D9"/>
            </w:tcBorders>
          </w:tcPr>
          <w:p>
            <w:pPr>
              <w:pStyle w:val="TableParagraph"/>
              <w:spacing w:line="183" w:lineRule="exact"/>
              <w:ind w:left="36" w:right="36"/>
              <w:jc w:val="center"/>
              <w:rPr>
                <w:sz w:val="16"/>
              </w:rPr>
            </w:pPr>
            <w:r>
              <w:rPr>
                <w:sz w:val="16"/>
              </w:rPr>
              <w:t>78.5</w:t>
            </w:r>
          </w:p>
        </w:tc>
        <w:tc>
          <w:tcPr>
            <w:tcW w:w="1083" w:type="dxa"/>
          </w:tcPr>
          <w:p>
            <w:pPr>
              <w:pStyle w:val="TableParagraph"/>
              <w:spacing w:line="183" w:lineRule="exact"/>
              <w:ind w:left="394" w:right="396"/>
              <w:jc w:val="center"/>
              <w:rPr>
                <w:sz w:val="16"/>
              </w:rPr>
            </w:pPr>
            <w:r>
              <w:rPr>
                <w:sz w:val="16"/>
              </w:rPr>
              <w:t>7.2</w:t>
            </w:r>
          </w:p>
        </w:tc>
        <w:tc>
          <w:tcPr>
            <w:tcW w:w="1402" w:type="dxa"/>
          </w:tcPr>
          <w:p>
            <w:pPr>
              <w:pStyle w:val="TableParagraph"/>
              <w:spacing w:line="183" w:lineRule="exact"/>
              <w:ind w:left="33" w:right="34"/>
              <w:jc w:val="center"/>
              <w:rPr>
                <w:sz w:val="16"/>
              </w:rPr>
            </w:pPr>
            <w:r>
              <w:rPr>
                <w:sz w:val="16"/>
              </w:rPr>
              <w:t>7.2</w:t>
            </w:r>
          </w:p>
        </w:tc>
      </w:tr>
    </w:tbl>
    <w:p>
      <w:pPr>
        <w:tabs>
          <w:tab w:pos="863" w:val="left" w:leader="none"/>
        </w:tabs>
        <w:spacing w:line="276" w:lineRule="auto" w:before="0"/>
        <w:ind w:left="830" w:right="3630" w:hanging="708"/>
        <w:jc w:val="left"/>
        <w:rPr>
          <w:sz w:val="12"/>
        </w:rPr>
      </w:pPr>
      <w:r>
        <w:rPr>
          <w:sz w:val="12"/>
        </w:rPr>
        <w:t>FUENTE:</w:t>
        <w:tab/>
        <w:tab/>
        <w:t>The Happy Planet Índex: 2012 Report. A Global Index of sustainable well-being,</w:t>
      </w:r>
      <w:r>
        <w:rPr>
          <w:spacing w:val="-19"/>
          <w:sz w:val="12"/>
        </w:rPr>
        <w:t> </w:t>
      </w:r>
      <w:r>
        <w:rPr>
          <w:sz w:val="12"/>
        </w:rPr>
        <w:t>p.</w:t>
      </w:r>
      <w:r>
        <w:rPr>
          <w:spacing w:val="-2"/>
          <w:sz w:val="12"/>
        </w:rPr>
        <w:t> </w:t>
      </w:r>
      <w:r>
        <w:rPr>
          <w:sz w:val="12"/>
        </w:rPr>
        <w:t>25.</w:t>
      </w:r>
      <w:r>
        <w:rPr>
          <w:w w:val="100"/>
          <w:sz w:val="12"/>
        </w:rPr>
        <w:t> </w:t>
      </w:r>
      <w:r>
        <w:rPr>
          <w:sz w:val="12"/>
        </w:rPr>
        <w:t>Disponible en: </w:t>
      </w:r>
      <w:hyperlink r:id="rId55">
        <w:r>
          <w:rPr>
            <w:sz w:val="12"/>
          </w:rPr>
          <w:t>http://www.happyplanetindex.org/assets/happy-planet-index-report.pdf</w:t>
        </w:r>
      </w:hyperlink>
      <w:r>
        <w:rPr>
          <w:sz w:val="12"/>
        </w:rPr>
        <w:t> [Fecha consulta 1 de agosto,</w:t>
      </w:r>
      <w:r>
        <w:rPr>
          <w:spacing w:val="-6"/>
          <w:sz w:val="12"/>
        </w:rPr>
        <w:t> </w:t>
      </w:r>
      <w:r>
        <w:rPr>
          <w:sz w:val="12"/>
        </w:rPr>
        <w:t>2015]</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5416;mso-wrap-distance-left:0;mso-wrap-distance-right:0" from="85.103996pt,17.685011pt" to="229.123996pt,17.685011pt" stroked="true" strokeweight=".71997pt" strokecolor="#000000">
            <w10:wrap type="topAndBottom"/>
          </v:line>
        </w:pict>
      </w:r>
    </w:p>
    <w:p>
      <w:pPr>
        <w:spacing w:before="62"/>
        <w:ind w:left="122" w:right="0" w:firstLine="0"/>
        <w:jc w:val="both"/>
        <w:rPr>
          <w:i/>
          <w:sz w:val="16"/>
        </w:rPr>
      </w:pPr>
      <w:r>
        <w:rPr>
          <w:rFonts w:ascii="Times New Roman"/>
          <w:position w:val="7"/>
          <w:sz w:val="13"/>
        </w:rPr>
        <w:t>36</w:t>
      </w:r>
      <w:r>
        <w:rPr>
          <w:i/>
          <w:sz w:val="16"/>
        </w:rPr>
        <w:t>New Economic Foundation.</w:t>
      </w:r>
    </w:p>
    <w:p>
      <w:pPr>
        <w:spacing w:line="256" w:lineRule="auto" w:before="9"/>
        <w:ind w:left="122" w:right="119" w:firstLine="0"/>
        <w:jc w:val="both"/>
        <w:rPr>
          <w:sz w:val="16"/>
        </w:rPr>
      </w:pPr>
      <w:r>
        <w:rPr>
          <w:rFonts w:ascii="Calibri" w:hAnsi="Calibri"/>
          <w:position w:val="8"/>
          <w:sz w:val="14"/>
        </w:rPr>
        <w:t>37</w:t>
      </w:r>
      <w:r>
        <w:rPr>
          <w:sz w:val="16"/>
        </w:rPr>
        <w:t>La</w:t>
      </w:r>
      <w:r>
        <w:rPr>
          <w:spacing w:val="-2"/>
          <w:sz w:val="16"/>
        </w:rPr>
        <w:t> </w:t>
      </w:r>
      <w:r>
        <w:rPr>
          <w:sz w:val="16"/>
        </w:rPr>
        <w:t>huella</w:t>
      </w:r>
      <w:r>
        <w:rPr>
          <w:spacing w:val="-2"/>
          <w:sz w:val="16"/>
        </w:rPr>
        <w:t> </w:t>
      </w:r>
      <w:r>
        <w:rPr>
          <w:sz w:val="16"/>
        </w:rPr>
        <w:t>ecológica</w:t>
      </w:r>
      <w:r>
        <w:rPr>
          <w:spacing w:val="-7"/>
          <w:sz w:val="16"/>
        </w:rPr>
        <w:t> </w:t>
      </w:r>
      <w:r>
        <w:rPr>
          <w:sz w:val="16"/>
        </w:rPr>
        <w:t>mide</w:t>
      </w:r>
      <w:r>
        <w:rPr>
          <w:spacing w:val="-5"/>
          <w:sz w:val="16"/>
        </w:rPr>
        <w:t> </w:t>
      </w:r>
      <w:r>
        <w:rPr>
          <w:sz w:val="16"/>
        </w:rPr>
        <w:t>la</w:t>
      </w:r>
      <w:r>
        <w:rPr>
          <w:spacing w:val="-4"/>
          <w:sz w:val="16"/>
        </w:rPr>
        <w:t> </w:t>
      </w:r>
      <w:r>
        <w:rPr>
          <w:sz w:val="16"/>
        </w:rPr>
        <w:t>cantidad</w:t>
      </w:r>
      <w:r>
        <w:rPr>
          <w:spacing w:val="-2"/>
          <w:sz w:val="16"/>
        </w:rPr>
        <w:t> </w:t>
      </w:r>
      <w:r>
        <w:rPr>
          <w:sz w:val="16"/>
        </w:rPr>
        <w:t>de</w:t>
      </w:r>
      <w:r>
        <w:rPr>
          <w:spacing w:val="-2"/>
          <w:sz w:val="16"/>
        </w:rPr>
        <w:t> </w:t>
      </w:r>
      <w:r>
        <w:rPr>
          <w:sz w:val="16"/>
        </w:rPr>
        <w:t>superficie</w:t>
      </w:r>
      <w:r>
        <w:rPr>
          <w:spacing w:val="-4"/>
          <w:sz w:val="16"/>
        </w:rPr>
        <w:t> </w:t>
      </w:r>
      <w:r>
        <w:rPr>
          <w:sz w:val="16"/>
        </w:rPr>
        <w:t>terrestre</w:t>
      </w:r>
      <w:r>
        <w:rPr>
          <w:spacing w:val="-2"/>
          <w:sz w:val="16"/>
        </w:rPr>
        <w:t> </w:t>
      </w:r>
      <w:r>
        <w:rPr>
          <w:sz w:val="16"/>
        </w:rPr>
        <w:t>y</w:t>
      </w:r>
      <w:r>
        <w:rPr>
          <w:spacing w:val="-5"/>
          <w:sz w:val="16"/>
        </w:rPr>
        <w:t> </w:t>
      </w:r>
      <w:r>
        <w:rPr>
          <w:sz w:val="16"/>
        </w:rPr>
        <w:t>marítima</w:t>
      </w:r>
      <w:r>
        <w:rPr>
          <w:spacing w:val="-4"/>
          <w:sz w:val="16"/>
        </w:rPr>
        <w:t> </w:t>
      </w:r>
      <w:r>
        <w:rPr>
          <w:sz w:val="16"/>
        </w:rPr>
        <w:t>biológicamente</w:t>
      </w:r>
      <w:r>
        <w:rPr>
          <w:spacing w:val="-2"/>
          <w:sz w:val="16"/>
        </w:rPr>
        <w:t> </w:t>
      </w:r>
      <w:r>
        <w:rPr>
          <w:sz w:val="16"/>
        </w:rPr>
        <w:t>productiva</w:t>
      </w:r>
      <w:r>
        <w:rPr>
          <w:spacing w:val="-2"/>
          <w:sz w:val="16"/>
        </w:rPr>
        <w:t> </w:t>
      </w:r>
      <w:r>
        <w:rPr>
          <w:sz w:val="16"/>
        </w:rPr>
        <w:t>que</w:t>
      </w:r>
      <w:r>
        <w:rPr>
          <w:spacing w:val="-4"/>
          <w:sz w:val="16"/>
        </w:rPr>
        <w:t> </w:t>
      </w:r>
      <w:r>
        <w:rPr>
          <w:sz w:val="16"/>
        </w:rPr>
        <w:t>se</w:t>
      </w:r>
      <w:r>
        <w:rPr>
          <w:spacing w:val="-4"/>
          <w:sz w:val="16"/>
        </w:rPr>
        <w:t> </w:t>
      </w:r>
      <w:r>
        <w:rPr>
          <w:sz w:val="16"/>
        </w:rPr>
        <w:t>requiere</w:t>
      </w:r>
      <w:r>
        <w:rPr>
          <w:spacing w:val="-2"/>
          <w:sz w:val="16"/>
        </w:rPr>
        <w:t> </w:t>
      </w:r>
      <w:r>
        <w:rPr>
          <w:sz w:val="16"/>
        </w:rPr>
        <w:t>para</w:t>
      </w:r>
      <w:r>
        <w:rPr>
          <w:spacing w:val="-2"/>
          <w:sz w:val="16"/>
        </w:rPr>
        <w:t> </w:t>
      </w:r>
      <w:r>
        <w:rPr>
          <w:sz w:val="16"/>
        </w:rPr>
        <w:t>que un</w:t>
      </w:r>
      <w:r>
        <w:rPr>
          <w:spacing w:val="-7"/>
          <w:sz w:val="16"/>
        </w:rPr>
        <w:t> </w:t>
      </w:r>
      <w:r>
        <w:rPr>
          <w:sz w:val="16"/>
        </w:rPr>
        <w:t>individuo,</w:t>
      </w:r>
      <w:r>
        <w:rPr>
          <w:spacing w:val="-8"/>
          <w:sz w:val="16"/>
        </w:rPr>
        <w:t> </w:t>
      </w:r>
      <w:r>
        <w:rPr>
          <w:sz w:val="16"/>
        </w:rPr>
        <w:t>una</w:t>
      </w:r>
      <w:r>
        <w:rPr>
          <w:spacing w:val="-7"/>
          <w:sz w:val="16"/>
        </w:rPr>
        <w:t> </w:t>
      </w:r>
      <w:r>
        <w:rPr>
          <w:sz w:val="16"/>
        </w:rPr>
        <w:t>región,</w:t>
      </w:r>
      <w:r>
        <w:rPr>
          <w:spacing w:val="-8"/>
          <w:sz w:val="16"/>
        </w:rPr>
        <w:t> </w:t>
      </w:r>
      <w:r>
        <w:rPr>
          <w:sz w:val="16"/>
        </w:rPr>
        <w:t>o</w:t>
      </w:r>
      <w:r>
        <w:rPr>
          <w:spacing w:val="-9"/>
          <w:sz w:val="16"/>
        </w:rPr>
        <w:t> </w:t>
      </w:r>
      <w:r>
        <w:rPr>
          <w:sz w:val="16"/>
        </w:rPr>
        <w:t>toda</w:t>
      </w:r>
      <w:r>
        <w:rPr>
          <w:spacing w:val="-9"/>
          <w:sz w:val="16"/>
        </w:rPr>
        <w:t> </w:t>
      </w:r>
      <w:r>
        <w:rPr>
          <w:sz w:val="16"/>
        </w:rPr>
        <w:t>la</w:t>
      </w:r>
      <w:r>
        <w:rPr>
          <w:spacing w:val="-9"/>
          <w:sz w:val="16"/>
        </w:rPr>
        <w:t> </w:t>
      </w:r>
      <w:r>
        <w:rPr>
          <w:sz w:val="16"/>
        </w:rPr>
        <w:t>humanidad,</w:t>
      </w:r>
      <w:r>
        <w:rPr>
          <w:spacing w:val="-5"/>
          <w:sz w:val="16"/>
        </w:rPr>
        <w:t> </w:t>
      </w:r>
      <w:r>
        <w:rPr>
          <w:sz w:val="16"/>
        </w:rPr>
        <w:t>o</w:t>
      </w:r>
      <w:r>
        <w:rPr>
          <w:spacing w:val="-9"/>
          <w:sz w:val="16"/>
        </w:rPr>
        <w:t> </w:t>
      </w:r>
      <w:r>
        <w:rPr>
          <w:sz w:val="16"/>
        </w:rPr>
        <w:t>una</w:t>
      </w:r>
      <w:r>
        <w:rPr>
          <w:spacing w:val="-7"/>
          <w:sz w:val="16"/>
        </w:rPr>
        <w:t> </w:t>
      </w:r>
      <w:r>
        <w:rPr>
          <w:sz w:val="16"/>
        </w:rPr>
        <w:t>actividad</w:t>
      </w:r>
      <w:r>
        <w:rPr>
          <w:spacing w:val="-7"/>
          <w:sz w:val="16"/>
        </w:rPr>
        <w:t> </w:t>
      </w:r>
      <w:r>
        <w:rPr>
          <w:sz w:val="16"/>
        </w:rPr>
        <w:t>humana</w:t>
      </w:r>
      <w:r>
        <w:rPr>
          <w:spacing w:val="-7"/>
          <w:sz w:val="16"/>
        </w:rPr>
        <w:t> </w:t>
      </w:r>
      <w:r>
        <w:rPr>
          <w:sz w:val="16"/>
        </w:rPr>
        <w:t>puedan</w:t>
      </w:r>
      <w:r>
        <w:rPr>
          <w:spacing w:val="-7"/>
          <w:sz w:val="16"/>
        </w:rPr>
        <w:t> </w:t>
      </w:r>
      <w:r>
        <w:rPr>
          <w:sz w:val="16"/>
        </w:rPr>
        <w:t>producir</w:t>
      </w:r>
      <w:r>
        <w:rPr>
          <w:spacing w:val="-9"/>
          <w:sz w:val="16"/>
        </w:rPr>
        <w:t> </w:t>
      </w:r>
      <w:r>
        <w:rPr>
          <w:sz w:val="16"/>
        </w:rPr>
        <w:t>los</w:t>
      </w:r>
      <w:r>
        <w:rPr>
          <w:spacing w:val="-8"/>
          <w:sz w:val="16"/>
        </w:rPr>
        <w:t> </w:t>
      </w:r>
      <w:r>
        <w:rPr>
          <w:sz w:val="16"/>
        </w:rPr>
        <w:t>recursos</w:t>
      </w:r>
      <w:r>
        <w:rPr>
          <w:spacing w:val="-7"/>
          <w:sz w:val="16"/>
        </w:rPr>
        <w:t> </w:t>
      </w:r>
      <w:r>
        <w:rPr>
          <w:sz w:val="16"/>
        </w:rPr>
        <w:t>que</w:t>
      </w:r>
      <w:r>
        <w:rPr>
          <w:spacing w:val="-7"/>
          <w:sz w:val="16"/>
        </w:rPr>
        <w:t> </w:t>
      </w:r>
      <w:r>
        <w:rPr>
          <w:sz w:val="16"/>
        </w:rPr>
        <w:t>consume</w:t>
      </w:r>
      <w:r>
        <w:rPr>
          <w:spacing w:val="-9"/>
          <w:sz w:val="16"/>
        </w:rPr>
        <w:t> </w:t>
      </w:r>
      <w:r>
        <w:rPr>
          <w:sz w:val="16"/>
        </w:rPr>
        <w:t>y</w:t>
      </w:r>
      <w:r>
        <w:rPr>
          <w:spacing w:val="-7"/>
          <w:sz w:val="16"/>
        </w:rPr>
        <w:t> </w:t>
      </w:r>
      <w:r>
        <w:rPr>
          <w:sz w:val="16"/>
        </w:rPr>
        <w:t>absorber las emisiones de dióxido de</w:t>
      </w:r>
      <w:r>
        <w:rPr>
          <w:spacing w:val="-13"/>
          <w:sz w:val="16"/>
        </w:rPr>
        <w:t> </w:t>
      </w:r>
      <w:r>
        <w:rPr>
          <w:sz w:val="16"/>
        </w:rPr>
        <w:t>carbono.</w:t>
      </w:r>
    </w:p>
    <w:p>
      <w:pPr>
        <w:spacing w:line="170" w:lineRule="exact" w:before="0"/>
        <w:ind w:left="167" w:right="0" w:firstLine="0"/>
        <w:jc w:val="both"/>
        <w:rPr>
          <w:sz w:val="16"/>
        </w:rPr>
      </w:pPr>
      <w:r>
        <w:rPr>
          <w:sz w:val="16"/>
        </w:rPr>
        <w:t>Disponible en: </w:t>
      </w:r>
      <w:hyperlink r:id="rId55">
        <w:r>
          <w:rPr>
            <w:sz w:val="16"/>
          </w:rPr>
          <w:t>http://www.happyplanetindex.org/assets/happy-planet-index-report.pdf</w:t>
        </w:r>
      </w:hyperlink>
    </w:p>
    <w:p>
      <w:pPr>
        <w:spacing w:before="1"/>
        <w:ind w:left="167" w:right="0" w:firstLine="0"/>
        <w:jc w:val="both"/>
        <w:rPr>
          <w:sz w:val="16"/>
        </w:rPr>
      </w:pPr>
      <w:r>
        <w:rPr>
          <w:sz w:val="16"/>
        </w:rPr>
        <w:t>[Fecha consulta: 1 de agosto, 2015]</w:t>
      </w:r>
    </w:p>
    <w:p>
      <w:pPr>
        <w:spacing w:after="0"/>
        <w:jc w:val="both"/>
        <w:rPr>
          <w:sz w:val="16"/>
        </w:rPr>
        <w:sectPr>
          <w:footerReference w:type="even" r:id="rId95"/>
          <w:footerReference w:type="default" r:id="rId96"/>
          <w:pgSz w:w="12240" w:h="15840"/>
          <w:pgMar w:footer="1003" w:header="0" w:top="1360" w:bottom="1200" w:left="1580" w:right="1580"/>
          <w:pgNumType w:start="62"/>
        </w:sectPr>
      </w:pPr>
    </w:p>
    <w:p>
      <w:pPr>
        <w:spacing w:before="51"/>
        <w:ind w:left="102" w:right="0" w:firstLine="0"/>
        <w:jc w:val="both"/>
        <w:rPr>
          <w:i/>
          <w:sz w:val="24"/>
        </w:rPr>
      </w:pPr>
      <w:r>
        <w:rPr>
          <w:i/>
          <w:sz w:val="24"/>
        </w:rPr>
        <w:t>Rendición de cuentas</w:t>
      </w:r>
    </w:p>
    <w:p>
      <w:pPr>
        <w:pStyle w:val="BodyText"/>
        <w:rPr>
          <w:i/>
        </w:rPr>
      </w:pPr>
    </w:p>
    <w:p>
      <w:pPr>
        <w:pStyle w:val="BodyText"/>
        <w:rPr>
          <w:i/>
        </w:rPr>
      </w:pPr>
    </w:p>
    <w:p>
      <w:pPr>
        <w:spacing w:before="0"/>
        <w:ind w:left="102" w:right="0" w:firstLine="0"/>
        <w:jc w:val="both"/>
        <w:rPr>
          <w:i/>
          <w:sz w:val="24"/>
        </w:rPr>
      </w:pPr>
      <w:r>
        <w:rPr>
          <w:i/>
          <w:sz w:val="24"/>
        </w:rPr>
        <w:t>a) Índice de Integridad Pública, 2011</w:t>
      </w:r>
    </w:p>
    <w:p>
      <w:pPr>
        <w:pStyle w:val="BodyText"/>
        <w:rPr>
          <w:i/>
        </w:rPr>
      </w:pPr>
    </w:p>
    <w:p>
      <w:pPr>
        <w:pStyle w:val="BodyText"/>
        <w:rPr>
          <w:i/>
        </w:rPr>
      </w:pPr>
    </w:p>
    <w:p>
      <w:pPr>
        <w:pStyle w:val="BodyText"/>
        <w:spacing w:line="360" w:lineRule="auto"/>
        <w:ind w:left="102" w:right="116"/>
        <w:jc w:val="both"/>
      </w:pPr>
      <w:r>
        <w:rPr>
          <w:i/>
        </w:rPr>
        <w:t>Global Integrity </w:t>
      </w:r>
      <w:r>
        <w:rPr/>
        <w:t>publicó en marzo de 2012 </w:t>
      </w:r>
      <w:r>
        <w:rPr>
          <w:i/>
        </w:rPr>
        <w:t>The Global Integrity Report: 2011 </w:t>
      </w:r>
      <w:r>
        <w:rPr>
          <w:i/>
        </w:rPr>
        <w:t>executive Summary</w:t>
      </w:r>
      <w:r>
        <w:rPr/>
        <w:t>, y evaluó la existencia, eficacia, la participación del ciudadano en la lucha contra la corrupción y los mecanismos de rendición de cuentas del gobierno. El informe presentó las posibles soluciones a la corrupción; para ello, analizó las políticas públicas e instituciones que pueden disminuir, prevenir o castigar actos corruptos en el público e identificó las reformas más urgentes que promueven un gobierno más abierto y responsable.</w:t>
      </w:r>
    </w:p>
    <w:p>
      <w:pPr>
        <w:pStyle w:val="BodyText"/>
      </w:pPr>
    </w:p>
    <w:p>
      <w:pPr>
        <w:pStyle w:val="BodyText"/>
        <w:spacing w:line="360" w:lineRule="auto" w:before="142"/>
        <w:ind w:left="102" w:right="116" w:firstLine="707"/>
        <w:jc w:val="both"/>
      </w:pPr>
      <w:r>
        <w:rPr/>
        <w:t>El</w:t>
      </w:r>
      <w:r>
        <w:rPr>
          <w:spacing w:val="-7"/>
        </w:rPr>
        <w:t> </w:t>
      </w:r>
      <w:r>
        <w:rPr/>
        <w:t>informe</w:t>
      </w:r>
      <w:r>
        <w:rPr>
          <w:spacing w:val="-8"/>
        </w:rPr>
        <w:t> </w:t>
      </w:r>
      <w:r>
        <w:rPr/>
        <w:t>concentró</w:t>
      </w:r>
      <w:r>
        <w:rPr>
          <w:spacing w:val="-8"/>
        </w:rPr>
        <w:t> </w:t>
      </w:r>
      <w:r>
        <w:rPr/>
        <w:t>320</w:t>
      </w:r>
      <w:r>
        <w:rPr>
          <w:spacing w:val="-6"/>
        </w:rPr>
        <w:t> </w:t>
      </w:r>
      <w:r>
        <w:rPr/>
        <w:t>indicadores</w:t>
      </w:r>
      <w:r>
        <w:rPr>
          <w:spacing w:val="-9"/>
        </w:rPr>
        <w:t> </w:t>
      </w:r>
      <w:r>
        <w:rPr/>
        <w:t>en</w:t>
      </w:r>
      <w:r>
        <w:rPr>
          <w:spacing w:val="-8"/>
        </w:rPr>
        <w:t> </w:t>
      </w:r>
      <w:r>
        <w:rPr/>
        <w:t>23</w:t>
      </w:r>
      <w:r>
        <w:rPr>
          <w:spacing w:val="-8"/>
        </w:rPr>
        <w:t> </w:t>
      </w:r>
      <w:r>
        <w:rPr/>
        <w:t>sub-categorías,</w:t>
      </w:r>
      <w:r>
        <w:rPr>
          <w:spacing w:val="-6"/>
        </w:rPr>
        <w:t> </w:t>
      </w:r>
      <w:r>
        <w:rPr/>
        <w:t>con</w:t>
      </w:r>
      <w:r>
        <w:rPr>
          <w:spacing w:val="-8"/>
        </w:rPr>
        <w:t> </w:t>
      </w:r>
      <w:r>
        <w:rPr/>
        <w:t>los</w:t>
      </w:r>
      <w:r>
        <w:rPr>
          <w:spacing w:val="-9"/>
        </w:rPr>
        <w:t> </w:t>
      </w:r>
      <w:r>
        <w:rPr/>
        <w:t>que</w:t>
      </w:r>
      <w:r>
        <w:rPr>
          <w:spacing w:val="-6"/>
        </w:rPr>
        <w:t> </w:t>
      </w:r>
      <w:r>
        <w:rPr/>
        <w:t>trató de explicar la existencia (</w:t>
      </w:r>
      <w:r>
        <w:rPr>
          <w:i/>
        </w:rPr>
        <w:t>de jure</w:t>
      </w:r>
      <w:r>
        <w:rPr/>
        <w:t>) y la eficacia (</w:t>
      </w:r>
      <w:r>
        <w:rPr>
          <w:i/>
        </w:rPr>
        <w:t>de facto</w:t>
      </w:r>
      <w:r>
        <w:rPr/>
        <w:t>) de la rendición de cuentas y los mecanismos de lucha contra la corrupción en todo el mundo. Más que criticar a los países por no frenar la corrupción, el informe ofreció herramientas para hacer reformas</w:t>
      </w:r>
      <w:r>
        <w:rPr>
          <w:spacing w:val="-9"/>
        </w:rPr>
        <w:t> </w:t>
      </w:r>
      <w:r>
        <w:rPr/>
        <w:t>concretas</w:t>
      </w:r>
      <w:r>
        <w:rPr>
          <w:spacing w:val="-9"/>
        </w:rPr>
        <w:t> </w:t>
      </w:r>
      <w:r>
        <w:rPr/>
        <w:t>y</w:t>
      </w:r>
      <w:r>
        <w:rPr>
          <w:spacing w:val="-9"/>
        </w:rPr>
        <w:t> </w:t>
      </w:r>
      <w:r>
        <w:rPr/>
        <w:t>viables</w:t>
      </w:r>
      <w:r>
        <w:rPr>
          <w:spacing w:val="-6"/>
        </w:rPr>
        <w:t> </w:t>
      </w:r>
      <w:r>
        <w:rPr/>
        <w:t>contra</w:t>
      </w:r>
      <w:r>
        <w:rPr>
          <w:spacing w:val="-8"/>
        </w:rPr>
        <w:t> </w:t>
      </w:r>
      <w:r>
        <w:rPr/>
        <w:t>ella,</w:t>
      </w:r>
      <w:r>
        <w:rPr>
          <w:spacing w:val="-9"/>
        </w:rPr>
        <w:t> </w:t>
      </w:r>
      <w:r>
        <w:rPr/>
        <w:t>y</w:t>
      </w:r>
      <w:r>
        <w:rPr>
          <w:spacing w:val="-9"/>
        </w:rPr>
        <w:t> </w:t>
      </w:r>
      <w:r>
        <w:rPr/>
        <w:t>mencionó</w:t>
      </w:r>
      <w:r>
        <w:rPr>
          <w:spacing w:val="-8"/>
        </w:rPr>
        <w:t> </w:t>
      </w:r>
      <w:r>
        <w:rPr/>
        <w:t>que</w:t>
      </w:r>
      <w:r>
        <w:rPr>
          <w:spacing w:val="-8"/>
        </w:rPr>
        <w:t> </w:t>
      </w:r>
      <w:r>
        <w:rPr/>
        <w:t>la</w:t>
      </w:r>
      <w:r>
        <w:rPr>
          <w:spacing w:val="-9"/>
        </w:rPr>
        <w:t> </w:t>
      </w:r>
      <w:r>
        <w:rPr/>
        <w:t>existencia</w:t>
      </w:r>
      <w:r>
        <w:rPr>
          <w:spacing w:val="-6"/>
        </w:rPr>
        <w:t> </w:t>
      </w:r>
      <w:r>
        <w:rPr/>
        <w:t>de</w:t>
      </w:r>
      <w:r>
        <w:rPr>
          <w:spacing w:val="-6"/>
        </w:rPr>
        <w:t> </w:t>
      </w:r>
      <w:r>
        <w:rPr/>
        <w:t>“reglas</w:t>
      </w:r>
      <w:r>
        <w:rPr>
          <w:spacing w:val="-9"/>
        </w:rPr>
        <w:t> </w:t>
      </w:r>
      <w:r>
        <w:rPr/>
        <w:t>de juego opacas” genera incertidumbre y</w:t>
      </w:r>
      <w:r>
        <w:rPr>
          <w:spacing w:val="-16"/>
        </w:rPr>
        <w:t> </w:t>
      </w:r>
      <w:r>
        <w:rPr/>
        <w:t>corrupción.</w:t>
      </w:r>
    </w:p>
    <w:p>
      <w:pPr>
        <w:pStyle w:val="BodyText"/>
      </w:pPr>
    </w:p>
    <w:p>
      <w:pPr>
        <w:pStyle w:val="BodyText"/>
        <w:spacing w:line="360" w:lineRule="auto" w:before="142"/>
        <w:ind w:left="102" w:right="115" w:firstLine="707"/>
        <w:jc w:val="both"/>
      </w:pPr>
      <w:r>
        <w:rPr/>
        <w:t>Una particularidad del informe es que analizó la diferencia entre el marco legal de un buen gobierno (deber ser) y la ejecución del marco jurídico (ser), la brecha entre ellas los valores indica los aspectos faltantes para lograr un buen gobierno. La escala de valuación es de 0 a 100 donde valores cercanos a 100 implican</w:t>
      </w:r>
      <w:r>
        <w:rPr>
          <w:spacing w:val="-9"/>
        </w:rPr>
        <w:t> </w:t>
      </w:r>
      <w:r>
        <w:rPr/>
        <w:t>políticas</w:t>
      </w:r>
      <w:r>
        <w:rPr>
          <w:spacing w:val="-6"/>
        </w:rPr>
        <w:t> </w:t>
      </w:r>
      <w:r>
        <w:rPr/>
        <w:t>anticorrupción</w:t>
      </w:r>
      <w:r>
        <w:rPr>
          <w:spacing w:val="-7"/>
        </w:rPr>
        <w:t> </w:t>
      </w:r>
      <w:r>
        <w:rPr/>
        <w:t>efectivas,</w:t>
      </w:r>
      <w:r>
        <w:rPr>
          <w:spacing w:val="-7"/>
        </w:rPr>
        <w:t> </w:t>
      </w:r>
      <w:r>
        <w:rPr/>
        <w:t>de</w:t>
      </w:r>
      <w:r>
        <w:rPr>
          <w:spacing w:val="-9"/>
        </w:rPr>
        <w:t> </w:t>
      </w:r>
      <w:r>
        <w:rPr/>
        <w:t>rendición</w:t>
      </w:r>
      <w:r>
        <w:rPr>
          <w:spacing w:val="-9"/>
        </w:rPr>
        <w:t> </w:t>
      </w:r>
      <w:r>
        <w:rPr/>
        <w:t>de</w:t>
      </w:r>
      <w:r>
        <w:rPr>
          <w:spacing w:val="-7"/>
        </w:rPr>
        <w:t> </w:t>
      </w:r>
      <w:r>
        <w:rPr/>
        <w:t>cuentas</w:t>
      </w:r>
      <w:r>
        <w:rPr>
          <w:spacing w:val="-8"/>
        </w:rPr>
        <w:t> </w:t>
      </w:r>
      <w:r>
        <w:rPr/>
        <w:t>y</w:t>
      </w:r>
      <w:r>
        <w:rPr>
          <w:spacing w:val="-10"/>
        </w:rPr>
        <w:t> </w:t>
      </w:r>
      <w:r>
        <w:rPr/>
        <w:t>de</w:t>
      </w:r>
      <w:r>
        <w:rPr>
          <w:spacing w:val="-9"/>
        </w:rPr>
        <w:t> </w:t>
      </w:r>
      <w:r>
        <w:rPr/>
        <w:t>acceso</w:t>
      </w:r>
      <w:r>
        <w:rPr>
          <w:spacing w:val="-7"/>
        </w:rPr>
        <w:t> </w:t>
      </w:r>
      <w:r>
        <w:rPr/>
        <w:t>a</w:t>
      </w:r>
      <w:r>
        <w:rPr>
          <w:spacing w:val="-9"/>
        </w:rPr>
        <w:t> </w:t>
      </w:r>
      <w:r>
        <w:rPr/>
        <w:t>la información</w:t>
      </w:r>
      <w:r>
        <w:rPr>
          <w:spacing w:val="-18"/>
        </w:rPr>
        <w:t> </w:t>
      </w:r>
      <w:r>
        <w:rPr/>
        <w:t>a</w:t>
      </w:r>
      <w:r>
        <w:rPr>
          <w:spacing w:val="-17"/>
        </w:rPr>
        <w:t> </w:t>
      </w:r>
      <w:r>
        <w:rPr/>
        <w:t>la</w:t>
      </w:r>
      <w:r>
        <w:rPr>
          <w:spacing w:val="-17"/>
        </w:rPr>
        <w:t> </w:t>
      </w:r>
      <w:r>
        <w:rPr/>
        <w:t>sociedad,</w:t>
      </w:r>
      <w:r>
        <w:rPr>
          <w:spacing w:val="-19"/>
        </w:rPr>
        <w:t> </w:t>
      </w:r>
      <w:r>
        <w:rPr/>
        <w:t>mientras</w:t>
      </w:r>
      <w:r>
        <w:rPr>
          <w:spacing w:val="-17"/>
        </w:rPr>
        <w:t> </w:t>
      </w:r>
      <w:r>
        <w:rPr/>
        <w:t>que</w:t>
      </w:r>
      <w:r>
        <w:rPr>
          <w:spacing w:val="-17"/>
        </w:rPr>
        <w:t> </w:t>
      </w:r>
      <w:r>
        <w:rPr/>
        <w:t>valores</w:t>
      </w:r>
      <w:r>
        <w:rPr>
          <w:spacing w:val="-17"/>
        </w:rPr>
        <w:t> </w:t>
      </w:r>
      <w:r>
        <w:rPr/>
        <w:t>cercanos</w:t>
      </w:r>
      <w:r>
        <w:rPr>
          <w:spacing w:val="-19"/>
        </w:rPr>
        <w:t> </w:t>
      </w:r>
      <w:r>
        <w:rPr/>
        <w:t>a</w:t>
      </w:r>
      <w:r>
        <w:rPr>
          <w:spacing w:val="-19"/>
        </w:rPr>
        <w:t> </w:t>
      </w:r>
      <w:r>
        <w:rPr/>
        <w:t>0</w:t>
      </w:r>
      <w:r>
        <w:rPr>
          <w:spacing w:val="-14"/>
        </w:rPr>
        <w:t> </w:t>
      </w:r>
      <w:r>
        <w:rPr/>
        <w:t>sector</w:t>
      </w:r>
      <w:r>
        <w:rPr>
          <w:spacing w:val="-19"/>
        </w:rPr>
        <w:t> </w:t>
      </w:r>
      <w:r>
        <w:rPr/>
        <w:t>indican</w:t>
      </w:r>
      <w:r>
        <w:rPr>
          <w:spacing w:val="-18"/>
        </w:rPr>
        <w:t> </w:t>
      </w:r>
      <w:r>
        <w:rPr/>
        <w:t>políticas inefectivas en los aspectos anteriores. Los niveles de medición son: muy débil (menor</w:t>
      </w:r>
      <w:r>
        <w:rPr>
          <w:spacing w:val="-5"/>
        </w:rPr>
        <w:t> </w:t>
      </w:r>
      <w:r>
        <w:rPr/>
        <w:t>que</w:t>
      </w:r>
      <w:r>
        <w:rPr>
          <w:spacing w:val="-4"/>
        </w:rPr>
        <w:t> </w:t>
      </w:r>
      <w:r>
        <w:rPr/>
        <w:t>60),</w:t>
      </w:r>
      <w:r>
        <w:rPr>
          <w:spacing w:val="-7"/>
        </w:rPr>
        <w:t> </w:t>
      </w:r>
      <w:r>
        <w:rPr/>
        <w:t>débil</w:t>
      </w:r>
      <w:r>
        <w:rPr>
          <w:spacing w:val="-5"/>
        </w:rPr>
        <w:t> </w:t>
      </w:r>
      <w:r>
        <w:rPr/>
        <w:t>(61</w:t>
      </w:r>
      <w:r>
        <w:rPr>
          <w:spacing w:val="-4"/>
        </w:rPr>
        <w:t> </w:t>
      </w:r>
      <w:r>
        <w:rPr/>
        <w:t>a</w:t>
      </w:r>
      <w:r>
        <w:rPr>
          <w:spacing w:val="-6"/>
        </w:rPr>
        <w:t> </w:t>
      </w:r>
      <w:r>
        <w:rPr/>
        <w:t>70),</w:t>
      </w:r>
      <w:r>
        <w:rPr>
          <w:spacing w:val="-3"/>
        </w:rPr>
        <w:t> </w:t>
      </w:r>
      <w:r>
        <w:rPr/>
        <w:t>moderado</w:t>
      </w:r>
      <w:r>
        <w:rPr>
          <w:spacing w:val="-4"/>
        </w:rPr>
        <w:t> </w:t>
      </w:r>
      <w:r>
        <w:rPr/>
        <w:t>(71</w:t>
      </w:r>
      <w:r>
        <w:rPr>
          <w:spacing w:val="-4"/>
        </w:rPr>
        <w:t> </w:t>
      </w:r>
      <w:r>
        <w:rPr/>
        <w:t>a</w:t>
      </w:r>
      <w:r>
        <w:rPr>
          <w:spacing w:val="-4"/>
        </w:rPr>
        <w:t> </w:t>
      </w:r>
      <w:r>
        <w:rPr/>
        <w:t>80),</w:t>
      </w:r>
      <w:r>
        <w:rPr>
          <w:spacing w:val="-5"/>
        </w:rPr>
        <w:t> </w:t>
      </w:r>
      <w:r>
        <w:rPr/>
        <w:t>fuerte</w:t>
      </w:r>
      <w:r>
        <w:rPr>
          <w:spacing w:val="-4"/>
        </w:rPr>
        <w:t> </w:t>
      </w:r>
      <w:r>
        <w:rPr/>
        <w:t>(81</w:t>
      </w:r>
      <w:r>
        <w:rPr>
          <w:spacing w:val="-6"/>
        </w:rPr>
        <w:t> </w:t>
      </w:r>
      <w:r>
        <w:rPr/>
        <w:t>a</w:t>
      </w:r>
      <w:r>
        <w:rPr>
          <w:spacing w:val="-4"/>
        </w:rPr>
        <w:t> </w:t>
      </w:r>
      <w:r>
        <w:rPr/>
        <w:t>90)</w:t>
      </w:r>
      <w:r>
        <w:rPr>
          <w:spacing w:val="-5"/>
        </w:rPr>
        <w:t> </w:t>
      </w:r>
      <w:r>
        <w:rPr/>
        <w:t>y</w:t>
      </w:r>
      <w:r>
        <w:rPr>
          <w:spacing w:val="-5"/>
        </w:rPr>
        <w:t> </w:t>
      </w:r>
      <w:r>
        <w:rPr/>
        <w:t>“muy</w:t>
      </w:r>
      <w:r>
        <w:rPr>
          <w:spacing w:val="-7"/>
        </w:rPr>
        <w:t> </w:t>
      </w:r>
      <w:r>
        <w:rPr/>
        <w:t>fuerte”</w:t>
      </w:r>
    </w:p>
    <w:p>
      <w:pPr>
        <w:pStyle w:val="BodyText"/>
        <w:spacing w:before="5"/>
        <w:ind w:left="102"/>
        <w:jc w:val="both"/>
      </w:pPr>
      <w:r>
        <w:rPr/>
        <w:t>(de 91 a 100).</w:t>
      </w:r>
    </w:p>
    <w:p>
      <w:pPr>
        <w:spacing w:after="0"/>
        <w:jc w:val="both"/>
        <w:sectPr>
          <w:pgSz w:w="12240" w:h="15840"/>
          <w:pgMar w:header="0" w:footer="1003" w:top="1360" w:bottom="1200" w:left="1600" w:right="1580"/>
        </w:sectPr>
      </w:pPr>
    </w:p>
    <w:p>
      <w:pPr>
        <w:spacing w:before="55"/>
        <w:ind w:left="2418" w:right="0" w:firstLine="0"/>
        <w:jc w:val="left"/>
        <w:rPr>
          <w:sz w:val="20"/>
        </w:rPr>
      </w:pPr>
      <w:r>
        <w:rPr>
          <w:sz w:val="20"/>
        </w:rPr>
        <w:t>Cuadro 1.15. Índice de integridad pública, 2011</w:t>
      </w:r>
    </w:p>
    <w:p>
      <w:pPr>
        <w:pStyle w:val="BodyText"/>
        <w:rPr>
          <w:sz w:val="20"/>
        </w:rPr>
      </w:pPr>
    </w:p>
    <w:p>
      <w:pPr>
        <w:pStyle w:val="BodyText"/>
        <w:spacing w:before="1" w:after="1"/>
        <w:rPr>
          <w:sz w:val="15"/>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2"/>
        <w:gridCol w:w="5883"/>
        <w:gridCol w:w="892"/>
        <w:gridCol w:w="712"/>
        <w:gridCol w:w="511"/>
      </w:tblGrid>
      <w:tr>
        <w:trPr>
          <w:trHeight w:val="331" w:hRule="exact"/>
        </w:trPr>
        <w:tc>
          <w:tcPr>
            <w:tcW w:w="842" w:type="dxa"/>
            <w:vMerge w:val="restart"/>
            <w:tcBorders>
              <w:top w:val="single" w:sz="12" w:space="0" w:color="D9D9D9"/>
              <w:left w:val="single" w:sz="12" w:space="0" w:color="D9D9D9"/>
              <w:right w:val="single" w:sz="12" w:space="0" w:color="D9D9D9"/>
            </w:tcBorders>
          </w:tcPr>
          <w:p>
            <w:pPr>
              <w:pStyle w:val="TableParagraph"/>
              <w:spacing w:before="1"/>
              <w:rPr>
                <w:sz w:val="19"/>
              </w:rPr>
            </w:pPr>
          </w:p>
          <w:p>
            <w:pPr>
              <w:pStyle w:val="TableParagraph"/>
              <w:ind w:left="204"/>
              <w:rPr>
                <w:b/>
                <w:sz w:val="16"/>
              </w:rPr>
            </w:pPr>
            <w:r>
              <w:rPr>
                <w:b/>
                <w:sz w:val="16"/>
              </w:rPr>
              <w:t>Núm.</w:t>
            </w:r>
          </w:p>
        </w:tc>
        <w:tc>
          <w:tcPr>
            <w:tcW w:w="5883" w:type="dxa"/>
            <w:vMerge w:val="restart"/>
            <w:tcBorders>
              <w:top w:val="single" w:sz="12" w:space="0" w:color="D9D9D9"/>
              <w:left w:val="single" w:sz="12" w:space="0" w:color="D9D9D9"/>
              <w:right w:val="single" w:sz="12" w:space="0" w:color="D9D9D9"/>
            </w:tcBorders>
          </w:tcPr>
          <w:p>
            <w:pPr>
              <w:pStyle w:val="TableParagraph"/>
              <w:spacing w:before="1"/>
              <w:rPr>
                <w:sz w:val="19"/>
              </w:rPr>
            </w:pPr>
          </w:p>
          <w:p>
            <w:pPr>
              <w:pStyle w:val="TableParagraph"/>
              <w:ind w:left="2493" w:right="2493"/>
              <w:jc w:val="center"/>
              <w:rPr>
                <w:b/>
                <w:sz w:val="16"/>
              </w:rPr>
            </w:pPr>
            <w:r>
              <w:rPr>
                <w:b/>
                <w:sz w:val="16"/>
              </w:rPr>
              <w:t>Categorías</w:t>
            </w:r>
          </w:p>
        </w:tc>
        <w:tc>
          <w:tcPr>
            <w:tcW w:w="2115" w:type="dxa"/>
            <w:gridSpan w:val="3"/>
            <w:tcBorders>
              <w:top w:val="single" w:sz="12" w:space="0" w:color="D9D9D9"/>
              <w:left w:val="single" w:sz="12" w:space="0" w:color="D9D9D9"/>
              <w:bottom w:val="single" w:sz="12" w:space="0" w:color="D9D9D9"/>
              <w:right w:val="single" w:sz="12" w:space="0" w:color="D9D9D9"/>
            </w:tcBorders>
          </w:tcPr>
          <w:p>
            <w:pPr>
              <w:pStyle w:val="TableParagraph"/>
              <w:spacing w:before="114"/>
              <w:ind w:left="778" w:right="778"/>
              <w:jc w:val="center"/>
              <w:rPr>
                <w:sz w:val="16"/>
              </w:rPr>
            </w:pPr>
            <w:r>
              <w:rPr>
                <w:sz w:val="16"/>
              </w:rPr>
              <w:t>Países</w:t>
            </w:r>
          </w:p>
        </w:tc>
      </w:tr>
      <w:tr>
        <w:trPr>
          <w:trHeight w:val="330" w:hRule="exact"/>
        </w:trPr>
        <w:tc>
          <w:tcPr>
            <w:tcW w:w="842" w:type="dxa"/>
            <w:vMerge/>
            <w:tcBorders>
              <w:left w:val="single" w:sz="12" w:space="0" w:color="D9D9D9"/>
              <w:bottom w:val="single" w:sz="12" w:space="0" w:color="D9D9D9"/>
              <w:right w:val="single" w:sz="12" w:space="0" w:color="D9D9D9"/>
            </w:tcBorders>
          </w:tcPr>
          <w:p>
            <w:pPr/>
          </w:p>
        </w:tc>
        <w:tc>
          <w:tcPr>
            <w:tcW w:w="5883" w:type="dxa"/>
            <w:vMerge/>
            <w:tcBorders>
              <w:left w:val="single" w:sz="12" w:space="0" w:color="D9D9D9"/>
              <w:bottom w:val="single" w:sz="12" w:space="0" w:color="D9D9D9"/>
              <w:right w:val="single" w:sz="12" w:space="0" w:color="D9D9D9"/>
            </w:tcBorders>
          </w:tcPr>
          <w:p>
            <w:pPr/>
          </w:p>
        </w:tc>
        <w:tc>
          <w:tcPr>
            <w:tcW w:w="892" w:type="dxa"/>
            <w:tcBorders>
              <w:top w:val="single" w:sz="12" w:space="0" w:color="D9D9D9"/>
              <w:left w:val="single" w:sz="12" w:space="0" w:color="D9D9D9"/>
              <w:bottom w:val="single" w:sz="12" w:space="0" w:color="D9D9D9"/>
              <w:right w:val="single" w:sz="12" w:space="0" w:color="D9D9D9"/>
            </w:tcBorders>
          </w:tcPr>
          <w:p>
            <w:pPr>
              <w:pStyle w:val="TableParagraph"/>
              <w:spacing w:before="111"/>
              <w:ind w:left="37" w:right="117"/>
              <w:jc w:val="center"/>
              <w:rPr>
                <w:sz w:val="16"/>
              </w:rPr>
            </w:pPr>
            <w:r>
              <w:rPr>
                <w:sz w:val="16"/>
              </w:rPr>
              <w:t>Alemania</w:t>
            </w:r>
          </w:p>
        </w:tc>
        <w:tc>
          <w:tcPr>
            <w:tcW w:w="712" w:type="dxa"/>
            <w:tcBorders>
              <w:top w:val="single" w:sz="12" w:space="0" w:color="D9D9D9"/>
              <w:left w:val="single" w:sz="12" w:space="0" w:color="D9D9D9"/>
              <w:bottom w:val="single" w:sz="12" w:space="0" w:color="D9D9D9"/>
              <w:right w:val="single" w:sz="12" w:space="0" w:color="D9D9D9"/>
            </w:tcBorders>
          </w:tcPr>
          <w:p>
            <w:pPr>
              <w:pStyle w:val="TableParagraph"/>
              <w:spacing w:before="111"/>
              <w:ind w:left="38" w:right="98"/>
              <w:jc w:val="center"/>
              <w:rPr>
                <w:sz w:val="16"/>
              </w:rPr>
            </w:pPr>
            <w:r>
              <w:rPr>
                <w:sz w:val="16"/>
              </w:rPr>
              <w:t>México</w:t>
            </w:r>
          </w:p>
        </w:tc>
        <w:tc>
          <w:tcPr>
            <w:tcW w:w="511" w:type="dxa"/>
            <w:tcBorders>
              <w:top w:val="single" w:sz="12" w:space="0" w:color="D9D9D9"/>
              <w:left w:val="single" w:sz="12" w:space="0" w:color="D9D9D9"/>
              <w:bottom w:val="single" w:sz="12" w:space="0" w:color="D9D9D9"/>
              <w:right w:val="single" w:sz="12" w:space="0" w:color="D9D9D9"/>
            </w:tcBorders>
          </w:tcPr>
          <w:p>
            <w:pPr>
              <w:pStyle w:val="TableParagraph"/>
              <w:spacing w:before="111"/>
              <w:ind w:right="94"/>
              <w:jc w:val="right"/>
              <w:rPr>
                <w:sz w:val="16"/>
              </w:rPr>
            </w:pPr>
            <w:r>
              <w:rPr>
                <w:sz w:val="16"/>
              </w:rPr>
              <w:t>EUA</w:t>
            </w:r>
          </w:p>
        </w:tc>
      </w:tr>
      <w:tr>
        <w:trPr>
          <w:trHeight w:val="198" w:hRule="exact"/>
        </w:trPr>
        <w:tc>
          <w:tcPr>
            <w:tcW w:w="842" w:type="dxa"/>
            <w:shd w:val="clear" w:color="auto" w:fill="D9D9D9"/>
          </w:tcPr>
          <w:p>
            <w:pPr>
              <w:pStyle w:val="TableParagraph"/>
              <w:spacing w:before="9"/>
              <w:ind w:right="3"/>
              <w:jc w:val="center"/>
              <w:rPr>
                <w:b/>
                <w:sz w:val="16"/>
              </w:rPr>
            </w:pPr>
            <w:r>
              <w:rPr>
                <w:b/>
                <w:w w:val="100"/>
                <w:sz w:val="16"/>
              </w:rPr>
              <w:t>I</w:t>
            </w:r>
          </w:p>
        </w:tc>
        <w:tc>
          <w:tcPr>
            <w:tcW w:w="5883" w:type="dxa"/>
            <w:shd w:val="clear" w:color="auto" w:fill="D9D9D9"/>
          </w:tcPr>
          <w:p>
            <w:pPr>
              <w:pStyle w:val="TableParagraph"/>
              <w:spacing w:before="9"/>
              <w:ind w:left="69"/>
              <w:rPr>
                <w:b/>
                <w:sz w:val="16"/>
              </w:rPr>
            </w:pPr>
            <w:r>
              <w:rPr>
                <w:b/>
                <w:sz w:val="16"/>
              </w:rPr>
              <w:t>ONG, información pública y medios de comunicación</w:t>
            </w:r>
          </w:p>
        </w:tc>
        <w:tc>
          <w:tcPr>
            <w:tcW w:w="892" w:type="dxa"/>
            <w:shd w:val="clear" w:color="auto" w:fill="D9D9D9"/>
          </w:tcPr>
          <w:p>
            <w:pPr>
              <w:pStyle w:val="TableParagraph"/>
              <w:spacing w:before="9"/>
              <w:ind w:left="291" w:right="292"/>
              <w:jc w:val="center"/>
              <w:rPr>
                <w:b/>
                <w:sz w:val="16"/>
              </w:rPr>
            </w:pPr>
            <w:r>
              <w:rPr>
                <w:b/>
                <w:sz w:val="16"/>
              </w:rPr>
              <w:t>86</w:t>
            </w:r>
          </w:p>
        </w:tc>
        <w:tc>
          <w:tcPr>
            <w:tcW w:w="712" w:type="dxa"/>
            <w:tcBorders>
              <w:top w:val="single" w:sz="12" w:space="0" w:color="D9D9D9"/>
            </w:tcBorders>
            <w:shd w:val="clear" w:color="auto" w:fill="E26C09"/>
          </w:tcPr>
          <w:p>
            <w:pPr>
              <w:pStyle w:val="TableParagraph"/>
              <w:spacing w:line="179" w:lineRule="exact"/>
              <w:ind w:left="202" w:right="201"/>
              <w:jc w:val="center"/>
              <w:rPr>
                <w:b/>
                <w:sz w:val="16"/>
              </w:rPr>
            </w:pPr>
            <w:r>
              <w:rPr>
                <w:b/>
                <w:sz w:val="16"/>
              </w:rPr>
              <w:t>64</w:t>
            </w:r>
          </w:p>
        </w:tc>
        <w:tc>
          <w:tcPr>
            <w:tcW w:w="511" w:type="dxa"/>
            <w:shd w:val="clear" w:color="auto" w:fill="D9D9D9"/>
          </w:tcPr>
          <w:p>
            <w:pPr>
              <w:pStyle w:val="TableParagraph"/>
              <w:spacing w:before="9"/>
              <w:ind w:right="167"/>
              <w:jc w:val="right"/>
              <w:rPr>
                <w:b/>
                <w:sz w:val="16"/>
              </w:rPr>
            </w:pPr>
            <w:r>
              <w:rPr>
                <w:b/>
                <w:sz w:val="16"/>
              </w:rPr>
              <w:t>87</w:t>
            </w:r>
          </w:p>
        </w:tc>
      </w:tr>
      <w:tr>
        <w:trPr>
          <w:trHeight w:val="189" w:hRule="exact"/>
        </w:trPr>
        <w:tc>
          <w:tcPr>
            <w:tcW w:w="842" w:type="dxa"/>
            <w:tcBorders>
              <w:left w:val="single" w:sz="12" w:space="0" w:color="D9D9D9"/>
            </w:tcBorders>
          </w:tcPr>
          <w:p>
            <w:pPr/>
          </w:p>
        </w:tc>
        <w:tc>
          <w:tcPr>
            <w:tcW w:w="5883" w:type="dxa"/>
          </w:tcPr>
          <w:p>
            <w:pPr>
              <w:pStyle w:val="TableParagraph"/>
              <w:spacing w:line="180" w:lineRule="exact"/>
              <w:ind w:left="69"/>
              <w:rPr>
                <w:sz w:val="16"/>
              </w:rPr>
            </w:pPr>
            <w:r>
              <w:rPr>
                <w:sz w:val="16"/>
              </w:rPr>
              <w:t>ONG-Anticorrupción.</w:t>
            </w:r>
          </w:p>
        </w:tc>
        <w:tc>
          <w:tcPr>
            <w:tcW w:w="892" w:type="dxa"/>
          </w:tcPr>
          <w:p>
            <w:pPr>
              <w:pStyle w:val="TableParagraph"/>
              <w:spacing w:line="180" w:lineRule="exact"/>
              <w:ind w:left="291" w:right="292"/>
              <w:jc w:val="center"/>
              <w:rPr>
                <w:sz w:val="16"/>
              </w:rPr>
            </w:pPr>
            <w:r>
              <w:rPr>
                <w:sz w:val="16"/>
              </w:rPr>
              <w:t>90</w:t>
            </w:r>
          </w:p>
        </w:tc>
        <w:tc>
          <w:tcPr>
            <w:tcW w:w="712" w:type="dxa"/>
          </w:tcPr>
          <w:p>
            <w:pPr>
              <w:pStyle w:val="TableParagraph"/>
              <w:spacing w:line="180" w:lineRule="exact"/>
              <w:ind w:left="202" w:right="201"/>
              <w:jc w:val="center"/>
              <w:rPr>
                <w:sz w:val="16"/>
              </w:rPr>
            </w:pPr>
            <w:r>
              <w:rPr>
                <w:sz w:val="16"/>
              </w:rPr>
              <w:t>60</w:t>
            </w:r>
          </w:p>
        </w:tc>
        <w:tc>
          <w:tcPr>
            <w:tcW w:w="511" w:type="dxa"/>
            <w:tcBorders>
              <w:right w:val="single" w:sz="12" w:space="0" w:color="D9D9D9"/>
            </w:tcBorders>
          </w:tcPr>
          <w:p>
            <w:pPr>
              <w:pStyle w:val="TableParagraph"/>
              <w:spacing w:line="180" w:lineRule="exact"/>
              <w:ind w:right="151"/>
              <w:jc w:val="right"/>
              <w:rPr>
                <w:sz w:val="16"/>
              </w:rPr>
            </w:pPr>
            <w:r>
              <w:rPr>
                <w:sz w:val="16"/>
              </w:rPr>
              <w:t>90</w:t>
            </w:r>
          </w:p>
        </w:tc>
      </w:tr>
      <w:tr>
        <w:trPr>
          <w:trHeight w:val="185"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Capacidad de los medios para informar sobre corrupción.</w:t>
            </w:r>
          </w:p>
        </w:tc>
        <w:tc>
          <w:tcPr>
            <w:tcW w:w="892" w:type="dxa"/>
          </w:tcPr>
          <w:p>
            <w:pPr>
              <w:pStyle w:val="TableParagraph"/>
              <w:spacing w:line="176" w:lineRule="exact"/>
              <w:ind w:left="291" w:right="292"/>
              <w:jc w:val="center"/>
              <w:rPr>
                <w:sz w:val="16"/>
              </w:rPr>
            </w:pPr>
            <w:r>
              <w:rPr>
                <w:sz w:val="16"/>
              </w:rPr>
              <w:t>97</w:t>
            </w:r>
          </w:p>
        </w:tc>
        <w:tc>
          <w:tcPr>
            <w:tcW w:w="712" w:type="dxa"/>
          </w:tcPr>
          <w:p>
            <w:pPr>
              <w:pStyle w:val="TableParagraph"/>
              <w:spacing w:line="176" w:lineRule="exact"/>
              <w:ind w:left="202" w:right="201"/>
              <w:jc w:val="center"/>
              <w:rPr>
                <w:sz w:val="16"/>
              </w:rPr>
            </w:pPr>
            <w:r>
              <w:rPr>
                <w:sz w:val="16"/>
              </w:rPr>
              <w:t>58</w:t>
            </w:r>
          </w:p>
        </w:tc>
        <w:tc>
          <w:tcPr>
            <w:tcW w:w="511" w:type="dxa"/>
            <w:tcBorders>
              <w:right w:val="single" w:sz="12" w:space="0" w:color="D9D9D9"/>
            </w:tcBorders>
          </w:tcPr>
          <w:p>
            <w:pPr>
              <w:pStyle w:val="TableParagraph"/>
              <w:spacing w:line="176" w:lineRule="exact"/>
              <w:ind w:right="151"/>
              <w:jc w:val="right"/>
              <w:rPr>
                <w:sz w:val="16"/>
              </w:rPr>
            </w:pPr>
            <w:r>
              <w:rPr>
                <w:sz w:val="16"/>
              </w:rPr>
              <w:t>91</w:t>
            </w:r>
          </w:p>
        </w:tc>
      </w:tr>
      <w:tr>
        <w:trPr>
          <w:trHeight w:val="178"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Requerimientos de información gubernamental.</w:t>
            </w:r>
          </w:p>
        </w:tc>
        <w:tc>
          <w:tcPr>
            <w:tcW w:w="892" w:type="dxa"/>
          </w:tcPr>
          <w:p>
            <w:pPr>
              <w:pStyle w:val="TableParagraph"/>
              <w:spacing w:line="176" w:lineRule="exact"/>
              <w:ind w:left="291" w:right="292"/>
              <w:jc w:val="center"/>
              <w:rPr>
                <w:sz w:val="16"/>
              </w:rPr>
            </w:pPr>
            <w:r>
              <w:rPr>
                <w:sz w:val="16"/>
              </w:rPr>
              <w:t>73</w:t>
            </w:r>
          </w:p>
        </w:tc>
        <w:tc>
          <w:tcPr>
            <w:tcW w:w="712" w:type="dxa"/>
          </w:tcPr>
          <w:p>
            <w:pPr>
              <w:pStyle w:val="TableParagraph"/>
              <w:spacing w:line="176" w:lineRule="exact"/>
              <w:ind w:left="202" w:right="201"/>
              <w:jc w:val="center"/>
              <w:rPr>
                <w:sz w:val="16"/>
              </w:rPr>
            </w:pPr>
            <w:r>
              <w:rPr>
                <w:sz w:val="16"/>
              </w:rPr>
              <w:t>73</w:t>
            </w:r>
          </w:p>
        </w:tc>
        <w:tc>
          <w:tcPr>
            <w:tcW w:w="511" w:type="dxa"/>
            <w:tcBorders>
              <w:right w:val="single" w:sz="12" w:space="0" w:color="D9D9D9"/>
            </w:tcBorders>
          </w:tcPr>
          <w:p>
            <w:pPr>
              <w:pStyle w:val="TableParagraph"/>
              <w:spacing w:line="176" w:lineRule="exact"/>
              <w:ind w:right="151"/>
              <w:jc w:val="right"/>
              <w:rPr>
                <w:sz w:val="16"/>
              </w:rPr>
            </w:pPr>
            <w:r>
              <w:rPr>
                <w:sz w:val="16"/>
              </w:rPr>
              <w:t>79</w:t>
            </w:r>
          </w:p>
        </w:tc>
      </w:tr>
      <w:tr>
        <w:trPr>
          <w:trHeight w:val="185" w:hRule="exact"/>
        </w:trPr>
        <w:tc>
          <w:tcPr>
            <w:tcW w:w="842" w:type="dxa"/>
            <w:shd w:val="clear" w:color="auto" w:fill="D9D9D9"/>
          </w:tcPr>
          <w:p>
            <w:pPr>
              <w:pStyle w:val="TableParagraph"/>
              <w:spacing w:line="178" w:lineRule="exact"/>
              <w:ind w:left="325" w:right="325"/>
              <w:jc w:val="center"/>
              <w:rPr>
                <w:b/>
                <w:sz w:val="16"/>
              </w:rPr>
            </w:pPr>
            <w:r>
              <w:rPr>
                <w:b/>
                <w:sz w:val="16"/>
              </w:rPr>
              <w:t>II</w:t>
            </w:r>
          </w:p>
        </w:tc>
        <w:tc>
          <w:tcPr>
            <w:tcW w:w="5883" w:type="dxa"/>
            <w:shd w:val="clear" w:color="auto" w:fill="D9D9D9"/>
          </w:tcPr>
          <w:p>
            <w:pPr>
              <w:pStyle w:val="TableParagraph"/>
              <w:spacing w:line="178" w:lineRule="exact"/>
              <w:ind w:left="69"/>
              <w:rPr>
                <w:b/>
                <w:sz w:val="16"/>
              </w:rPr>
            </w:pPr>
            <w:r>
              <w:rPr>
                <w:b/>
                <w:sz w:val="16"/>
              </w:rPr>
              <w:t>Elecciones</w:t>
            </w:r>
          </w:p>
        </w:tc>
        <w:tc>
          <w:tcPr>
            <w:tcW w:w="892" w:type="dxa"/>
            <w:shd w:val="clear" w:color="auto" w:fill="D9D9D9"/>
          </w:tcPr>
          <w:p>
            <w:pPr>
              <w:pStyle w:val="TableParagraph"/>
              <w:spacing w:line="178" w:lineRule="exact"/>
              <w:ind w:left="291" w:right="292"/>
              <w:jc w:val="center"/>
              <w:rPr>
                <w:b/>
                <w:sz w:val="16"/>
              </w:rPr>
            </w:pPr>
            <w:r>
              <w:rPr>
                <w:b/>
                <w:sz w:val="16"/>
              </w:rPr>
              <w:t>79</w:t>
            </w:r>
          </w:p>
        </w:tc>
        <w:tc>
          <w:tcPr>
            <w:tcW w:w="712" w:type="dxa"/>
            <w:shd w:val="clear" w:color="auto" w:fill="E26C09"/>
          </w:tcPr>
          <w:p>
            <w:pPr>
              <w:pStyle w:val="TableParagraph"/>
              <w:spacing w:line="178" w:lineRule="exact"/>
              <w:ind w:left="202" w:right="201"/>
              <w:jc w:val="center"/>
              <w:rPr>
                <w:b/>
                <w:sz w:val="16"/>
              </w:rPr>
            </w:pPr>
            <w:r>
              <w:rPr>
                <w:b/>
                <w:sz w:val="16"/>
              </w:rPr>
              <w:t>77</w:t>
            </w:r>
          </w:p>
        </w:tc>
        <w:tc>
          <w:tcPr>
            <w:tcW w:w="511" w:type="dxa"/>
            <w:shd w:val="clear" w:color="auto" w:fill="D9D9D9"/>
          </w:tcPr>
          <w:p>
            <w:pPr>
              <w:pStyle w:val="TableParagraph"/>
              <w:spacing w:line="178" w:lineRule="exact"/>
              <w:ind w:right="167"/>
              <w:jc w:val="right"/>
              <w:rPr>
                <w:b/>
                <w:sz w:val="16"/>
              </w:rPr>
            </w:pPr>
            <w:r>
              <w:rPr>
                <w:b/>
                <w:sz w:val="16"/>
              </w:rPr>
              <w:t>88</w:t>
            </w:r>
          </w:p>
        </w:tc>
      </w:tr>
      <w:tr>
        <w:trPr>
          <w:trHeight w:val="189" w:hRule="exact"/>
        </w:trPr>
        <w:tc>
          <w:tcPr>
            <w:tcW w:w="842" w:type="dxa"/>
            <w:tcBorders>
              <w:left w:val="single" w:sz="12" w:space="0" w:color="D9D9D9"/>
            </w:tcBorders>
          </w:tcPr>
          <w:p>
            <w:pPr/>
          </w:p>
        </w:tc>
        <w:tc>
          <w:tcPr>
            <w:tcW w:w="5883" w:type="dxa"/>
          </w:tcPr>
          <w:p>
            <w:pPr>
              <w:pStyle w:val="TableParagraph"/>
              <w:spacing w:line="180" w:lineRule="exact"/>
              <w:ind w:left="69"/>
              <w:rPr>
                <w:sz w:val="16"/>
              </w:rPr>
            </w:pPr>
            <w:r>
              <w:rPr>
                <w:sz w:val="16"/>
              </w:rPr>
              <w:t>Votaciones y formación de partidos.</w:t>
            </w:r>
          </w:p>
        </w:tc>
        <w:tc>
          <w:tcPr>
            <w:tcW w:w="892" w:type="dxa"/>
          </w:tcPr>
          <w:p>
            <w:pPr>
              <w:pStyle w:val="TableParagraph"/>
              <w:spacing w:line="180" w:lineRule="exact"/>
              <w:ind w:left="291" w:right="292"/>
              <w:jc w:val="center"/>
              <w:rPr>
                <w:sz w:val="16"/>
              </w:rPr>
            </w:pPr>
            <w:r>
              <w:rPr>
                <w:sz w:val="16"/>
              </w:rPr>
              <w:t>94</w:t>
            </w:r>
          </w:p>
        </w:tc>
        <w:tc>
          <w:tcPr>
            <w:tcW w:w="712" w:type="dxa"/>
          </w:tcPr>
          <w:p>
            <w:pPr>
              <w:pStyle w:val="TableParagraph"/>
              <w:spacing w:line="180" w:lineRule="exact"/>
              <w:ind w:left="202" w:right="201"/>
              <w:jc w:val="center"/>
              <w:rPr>
                <w:sz w:val="16"/>
              </w:rPr>
            </w:pPr>
            <w:r>
              <w:rPr>
                <w:sz w:val="16"/>
              </w:rPr>
              <w:t>88</w:t>
            </w:r>
          </w:p>
        </w:tc>
        <w:tc>
          <w:tcPr>
            <w:tcW w:w="511" w:type="dxa"/>
            <w:tcBorders>
              <w:right w:val="single" w:sz="12" w:space="0" w:color="D9D9D9"/>
            </w:tcBorders>
          </w:tcPr>
          <w:p>
            <w:pPr>
              <w:pStyle w:val="TableParagraph"/>
              <w:spacing w:line="180" w:lineRule="exact"/>
              <w:ind w:right="151"/>
              <w:jc w:val="right"/>
              <w:rPr>
                <w:sz w:val="16"/>
              </w:rPr>
            </w:pPr>
            <w:r>
              <w:rPr>
                <w:sz w:val="16"/>
              </w:rPr>
              <w:t>98</w:t>
            </w:r>
          </w:p>
        </w:tc>
      </w:tr>
      <w:tr>
        <w:trPr>
          <w:trHeight w:val="184"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Integridad electoral.</w:t>
            </w:r>
          </w:p>
        </w:tc>
        <w:tc>
          <w:tcPr>
            <w:tcW w:w="892" w:type="dxa"/>
          </w:tcPr>
          <w:p>
            <w:pPr>
              <w:pStyle w:val="TableParagraph"/>
              <w:spacing w:line="176" w:lineRule="exact"/>
              <w:ind w:left="291" w:right="292"/>
              <w:jc w:val="center"/>
              <w:rPr>
                <w:sz w:val="16"/>
              </w:rPr>
            </w:pPr>
            <w:r>
              <w:rPr>
                <w:sz w:val="16"/>
              </w:rPr>
              <w:t>96</w:t>
            </w:r>
          </w:p>
        </w:tc>
        <w:tc>
          <w:tcPr>
            <w:tcW w:w="712" w:type="dxa"/>
          </w:tcPr>
          <w:p>
            <w:pPr>
              <w:pStyle w:val="TableParagraph"/>
              <w:spacing w:line="176" w:lineRule="exact"/>
              <w:ind w:left="202" w:right="201"/>
              <w:jc w:val="center"/>
              <w:rPr>
                <w:sz w:val="16"/>
              </w:rPr>
            </w:pPr>
            <w:r>
              <w:rPr>
                <w:sz w:val="16"/>
              </w:rPr>
              <w:t>83</w:t>
            </w:r>
          </w:p>
        </w:tc>
        <w:tc>
          <w:tcPr>
            <w:tcW w:w="511" w:type="dxa"/>
            <w:tcBorders>
              <w:right w:val="single" w:sz="12" w:space="0" w:color="D9D9D9"/>
            </w:tcBorders>
          </w:tcPr>
          <w:p>
            <w:pPr>
              <w:pStyle w:val="TableParagraph"/>
              <w:spacing w:line="176" w:lineRule="exact"/>
              <w:ind w:right="151"/>
              <w:jc w:val="right"/>
              <w:rPr>
                <w:sz w:val="16"/>
              </w:rPr>
            </w:pPr>
            <w:r>
              <w:rPr>
                <w:sz w:val="16"/>
              </w:rPr>
              <w:t>91</w:t>
            </w:r>
          </w:p>
        </w:tc>
      </w:tr>
      <w:tr>
        <w:trPr>
          <w:trHeight w:val="179" w:hRule="exact"/>
        </w:trPr>
        <w:tc>
          <w:tcPr>
            <w:tcW w:w="842" w:type="dxa"/>
            <w:tcBorders>
              <w:left w:val="single" w:sz="12" w:space="0" w:color="D9D9D9"/>
            </w:tcBorders>
          </w:tcPr>
          <w:p>
            <w:pPr/>
          </w:p>
        </w:tc>
        <w:tc>
          <w:tcPr>
            <w:tcW w:w="5883" w:type="dxa"/>
          </w:tcPr>
          <w:p>
            <w:pPr>
              <w:pStyle w:val="TableParagraph"/>
              <w:spacing w:line="175" w:lineRule="exact"/>
              <w:ind w:left="69"/>
              <w:rPr>
                <w:sz w:val="16"/>
              </w:rPr>
            </w:pPr>
            <w:r>
              <w:rPr>
                <w:sz w:val="16"/>
              </w:rPr>
              <w:t>Transparencia del financiamiento político.</w:t>
            </w:r>
          </w:p>
        </w:tc>
        <w:tc>
          <w:tcPr>
            <w:tcW w:w="892" w:type="dxa"/>
          </w:tcPr>
          <w:p>
            <w:pPr>
              <w:pStyle w:val="TableParagraph"/>
              <w:spacing w:line="175" w:lineRule="exact"/>
              <w:ind w:left="291" w:right="292"/>
              <w:jc w:val="center"/>
              <w:rPr>
                <w:sz w:val="16"/>
              </w:rPr>
            </w:pPr>
            <w:r>
              <w:rPr>
                <w:sz w:val="16"/>
              </w:rPr>
              <w:t>48</w:t>
            </w:r>
          </w:p>
        </w:tc>
        <w:tc>
          <w:tcPr>
            <w:tcW w:w="712" w:type="dxa"/>
          </w:tcPr>
          <w:p>
            <w:pPr>
              <w:pStyle w:val="TableParagraph"/>
              <w:spacing w:line="175" w:lineRule="exact"/>
              <w:ind w:left="202" w:right="201"/>
              <w:jc w:val="center"/>
              <w:rPr>
                <w:sz w:val="16"/>
              </w:rPr>
            </w:pPr>
            <w:r>
              <w:rPr>
                <w:sz w:val="16"/>
              </w:rPr>
              <w:t>60</w:t>
            </w:r>
          </w:p>
        </w:tc>
        <w:tc>
          <w:tcPr>
            <w:tcW w:w="511" w:type="dxa"/>
            <w:tcBorders>
              <w:right w:val="single" w:sz="12" w:space="0" w:color="D9D9D9"/>
            </w:tcBorders>
          </w:tcPr>
          <w:p>
            <w:pPr>
              <w:pStyle w:val="TableParagraph"/>
              <w:spacing w:line="175" w:lineRule="exact"/>
              <w:ind w:right="151"/>
              <w:jc w:val="right"/>
              <w:rPr>
                <w:sz w:val="16"/>
              </w:rPr>
            </w:pPr>
            <w:r>
              <w:rPr>
                <w:sz w:val="16"/>
              </w:rPr>
              <w:t>74</w:t>
            </w:r>
          </w:p>
        </w:tc>
      </w:tr>
      <w:tr>
        <w:trPr>
          <w:trHeight w:val="233" w:hRule="exact"/>
        </w:trPr>
        <w:tc>
          <w:tcPr>
            <w:tcW w:w="842" w:type="dxa"/>
            <w:shd w:val="clear" w:color="auto" w:fill="D9D9D9"/>
          </w:tcPr>
          <w:p>
            <w:pPr>
              <w:pStyle w:val="TableParagraph"/>
              <w:spacing w:before="18"/>
              <w:ind w:left="325" w:right="325"/>
              <w:jc w:val="center"/>
              <w:rPr>
                <w:b/>
                <w:sz w:val="16"/>
              </w:rPr>
            </w:pPr>
            <w:r>
              <w:rPr>
                <w:b/>
                <w:sz w:val="16"/>
              </w:rPr>
              <w:t>III</w:t>
            </w:r>
          </w:p>
        </w:tc>
        <w:tc>
          <w:tcPr>
            <w:tcW w:w="5883" w:type="dxa"/>
            <w:shd w:val="clear" w:color="auto" w:fill="D9D9D9"/>
          </w:tcPr>
          <w:p>
            <w:pPr>
              <w:pStyle w:val="TableParagraph"/>
              <w:spacing w:before="18"/>
              <w:ind w:left="69"/>
              <w:rPr>
                <w:b/>
                <w:sz w:val="16"/>
              </w:rPr>
            </w:pPr>
            <w:r>
              <w:rPr>
                <w:b/>
                <w:sz w:val="16"/>
              </w:rPr>
              <w:t>Prevención del conflicto de intereses del gobierno, controles y equilibrios</w:t>
            </w:r>
          </w:p>
        </w:tc>
        <w:tc>
          <w:tcPr>
            <w:tcW w:w="892" w:type="dxa"/>
            <w:shd w:val="clear" w:color="auto" w:fill="D9D9D9"/>
          </w:tcPr>
          <w:p>
            <w:pPr>
              <w:pStyle w:val="TableParagraph"/>
              <w:spacing w:before="18"/>
              <w:ind w:left="291" w:right="292"/>
              <w:jc w:val="center"/>
              <w:rPr>
                <w:b/>
                <w:sz w:val="16"/>
              </w:rPr>
            </w:pPr>
            <w:r>
              <w:rPr>
                <w:b/>
                <w:sz w:val="16"/>
              </w:rPr>
              <w:t>68</w:t>
            </w:r>
          </w:p>
        </w:tc>
        <w:tc>
          <w:tcPr>
            <w:tcW w:w="712" w:type="dxa"/>
            <w:shd w:val="clear" w:color="auto" w:fill="E26C09"/>
          </w:tcPr>
          <w:p>
            <w:pPr>
              <w:pStyle w:val="TableParagraph"/>
              <w:spacing w:before="18"/>
              <w:ind w:left="202" w:right="201"/>
              <w:jc w:val="center"/>
              <w:rPr>
                <w:b/>
                <w:sz w:val="16"/>
              </w:rPr>
            </w:pPr>
            <w:r>
              <w:rPr>
                <w:b/>
                <w:sz w:val="16"/>
              </w:rPr>
              <w:t>59</w:t>
            </w:r>
          </w:p>
        </w:tc>
        <w:tc>
          <w:tcPr>
            <w:tcW w:w="511" w:type="dxa"/>
            <w:shd w:val="clear" w:color="auto" w:fill="D9D9D9"/>
          </w:tcPr>
          <w:p>
            <w:pPr>
              <w:pStyle w:val="TableParagraph"/>
              <w:spacing w:before="18"/>
              <w:ind w:right="167"/>
              <w:jc w:val="right"/>
              <w:rPr>
                <w:b/>
                <w:sz w:val="16"/>
              </w:rPr>
            </w:pPr>
            <w:r>
              <w:rPr>
                <w:b/>
                <w:sz w:val="16"/>
              </w:rPr>
              <w:t>85</w:t>
            </w:r>
          </w:p>
        </w:tc>
      </w:tr>
      <w:tr>
        <w:trPr>
          <w:trHeight w:val="189" w:hRule="exact"/>
        </w:trPr>
        <w:tc>
          <w:tcPr>
            <w:tcW w:w="842" w:type="dxa"/>
            <w:tcBorders>
              <w:left w:val="single" w:sz="12" w:space="0" w:color="D9D9D9"/>
            </w:tcBorders>
          </w:tcPr>
          <w:p>
            <w:pPr/>
          </w:p>
        </w:tc>
        <w:tc>
          <w:tcPr>
            <w:tcW w:w="5883" w:type="dxa"/>
          </w:tcPr>
          <w:p>
            <w:pPr>
              <w:pStyle w:val="TableParagraph"/>
              <w:spacing w:line="180" w:lineRule="exact"/>
              <w:ind w:left="69"/>
              <w:rPr>
                <w:sz w:val="16"/>
              </w:rPr>
            </w:pPr>
            <w:r>
              <w:rPr>
                <w:sz w:val="16"/>
              </w:rPr>
              <w:t>Poder Ejecutivo.</w:t>
            </w:r>
          </w:p>
        </w:tc>
        <w:tc>
          <w:tcPr>
            <w:tcW w:w="892" w:type="dxa"/>
          </w:tcPr>
          <w:p>
            <w:pPr>
              <w:pStyle w:val="TableParagraph"/>
              <w:spacing w:line="180" w:lineRule="exact"/>
              <w:ind w:left="291" w:right="292"/>
              <w:jc w:val="center"/>
              <w:rPr>
                <w:sz w:val="16"/>
              </w:rPr>
            </w:pPr>
            <w:r>
              <w:rPr>
                <w:sz w:val="16"/>
              </w:rPr>
              <w:t>64</w:t>
            </w:r>
          </w:p>
        </w:tc>
        <w:tc>
          <w:tcPr>
            <w:tcW w:w="712" w:type="dxa"/>
          </w:tcPr>
          <w:p>
            <w:pPr>
              <w:pStyle w:val="TableParagraph"/>
              <w:spacing w:line="180" w:lineRule="exact"/>
              <w:ind w:left="202" w:right="201"/>
              <w:jc w:val="center"/>
              <w:rPr>
                <w:sz w:val="16"/>
              </w:rPr>
            </w:pPr>
            <w:r>
              <w:rPr>
                <w:sz w:val="16"/>
              </w:rPr>
              <w:t>62</w:t>
            </w:r>
          </w:p>
        </w:tc>
        <w:tc>
          <w:tcPr>
            <w:tcW w:w="511" w:type="dxa"/>
            <w:tcBorders>
              <w:right w:val="single" w:sz="12" w:space="0" w:color="D9D9D9"/>
            </w:tcBorders>
          </w:tcPr>
          <w:p>
            <w:pPr>
              <w:pStyle w:val="TableParagraph"/>
              <w:spacing w:line="180" w:lineRule="exact"/>
              <w:ind w:right="151"/>
              <w:jc w:val="right"/>
              <w:rPr>
                <w:sz w:val="16"/>
              </w:rPr>
            </w:pPr>
            <w:r>
              <w:rPr>
                <w:sz w:val="16"/>
              </w:rPr>
              <w:t>95</w:t>
            </w:r>
          </w:p>
        </w:tc>
      </w:tr>
      <w:tr>
        <w:trPr>
          <w:trHeight w:val="184"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Poder Legislativo.</w:t>
            </w:r>
          </w:p>
        </w:tc>
        <w:tc>
          <w:tcPr>
            <w:tcW w:w="892" w:type="dxa"/>
          </w:tcPr>
          <w:p>
            <w:pPr>
              <w:pStyle w:val="TableParagraph"/>
              <w:spacing w:line="176" w:lineRule="exact"/>
              <w:ind w:left="291" w:right="292"/>
              <w:jc w:val="center"/>
              <w:rPr>
                <w:sz w:val="16"/>
              </w:rPr>
            </w:pPr>
            <w:r>
              <w:rPr>
                <w:sz w:val="16"/>
              </w:rPr>
              <w:t>58</w:t>
            </w:r>
          </w:p>
        </w:tc>
        <w:tc>
          <w:tcPr>
            <w:tcW w:w="712" w:type="dxa"/>
          </w:tcPr>
          <w:p>
            <w:pPr>
              <w:pStyle w:val="TableParagraph"/>
              <w:spacing w:line="176" w:lineRule="exact"/>
              <w:ind w:left="202" w:right="201"/>
              <w:jc w:val="center"/>
              <w:rPr>
                <w:sz w:val="16"/>
              </w:rPr>
            </w:pPr>
            <w:r>
              <w:rPr>
                <w:sz w:val="16"/>
              </w:rPr>
              <w:t>52</w:t>
            </w:r>
          </w:p>
        </w:tc>
        <w:tc>
          <w:tcPr>
            <w:tcW w:w="511" w:type="dxa"/>
            <w:tcBorders>
              <w:right w:val="single" w:sz="12" w:space="0" w:color="D9D9D9"/>
            </w:tcBorders>
          </w:tcPr>
          <w:p>
            <w:pPr>
              <w:pStyle w:val="TableParagraph"/>
              <w:spacing w:line="176" w:lineRule="exact"/>
              <w:ind w:right="151"/>
              <w:jc w:val="right"/>
              <w:rPr>
                <w:sz w:val="16"/>
              </w:rPr>
            </w:pPr>
            <w:r>
              <w:rPr>
                <w:sz w:val="16"/>
              </w:rPr>
              <w:t>86</w:t>
            </w:r>
          </w:p>
        </w:tc>
      </w:tr>
      <w:tr>
        <w:trPr>
          <w:trHeight w:val="184" w:hRule="exact"/>
        </w:trPr>
        <w:tc>
          <w:tcPr>
            <w:tcW w:w="842" w:type="dxa"/>
            <w:tcBorders>
              <w:left w:val="single" w:sz="12" w:space="0" w:color="D9D9D9"/>
            </w:tcBorders>
          </w:tcPr>
          <w:p>
            <w:pPr/>
          </w:p>
        </w:tc>
        <w:tc>
          <w:tcPr>
            <w:tcW w:w="5883" w:type="dxa"/>
          </w:tcPr>
          <w:p>
            <w:pPr>
              <w:pStyle w:val="TableParagraph"/>
              <w:spacing w:line="175" w:lineRule="exact"/>
              <w:ind w:left="69"/>
              <w:rPr>
                <w:sz w:val="16"/>
              </w:rPr>
            </w:pPr>
            <w:r>
              <w:rPr>
                <w:sz w:val="16"/>
              </w:rPr>
              <w:t>Poder Judicial.</w:t>
            </w:r>
          </w:p>
        </w:tc>
        <w:tc>
          <w:tcPr>
            <w:tcW w:w="892" w:type="dxa"/>
          </w:tcPr>
          <w:p>
            <w:pPr>
              <w:pStyle w:val="TableParagraph"/>
              <w:spacing w:line="175" w:lineRule="exact"/>
              <w:ind w:left="291" w:right="292"/>
              <w:jc w:val="center"/>
              <w:rPr>
                <w:sz w:val="16"/>
              </w:rPr>
            </w:pPr>
            <w:r>
              <w:rPr>
                <w:sz w:val="16"/>
              </w:rPr>
              <w:t>56</w:t>
            </w:r>
          </w:p>
        </w:tc>
        <w:tc>
          <w:tcPr>
            <w:tcW w:w="712" w:type="dxa"/>
          </w:tcPr>
          <w:p>
            <w:pPr>
              <w:pStyle w:val="TableParagraph"/>
              <w:spacing w:line="175" w:lineRule="exact"/>
              <w:ind w:left="202" w:right="201"/>
              <w:jc w:val="center"/>
              <w:rPr>
                <w:sz w:val="16"/>
              </w:rPr>
            </w:pPr>
            <w:r>
              <w:rPr>
                <w:sz w:val="16"/>
              </w:rPr>
              <w:t>46</w:t>
            </w:r>
          </w:p>
        </w:tc>
        <w:tc>
          <w:tcPr>
            <w:tcW w:w="511" w:type="dxa"/>
            <w:tcBorders>
              <w:right w:val="single" w:sz="12" w:space="0" w:color="D9D9D9"/>
            </w:tcBorders>
          </w:tcPr>
          <w:p>
            <w:pPr>
              <w:pStyle w:val="TableParagraph"/>
              <w:spacing w:line="175" w:lineRule="exact"/>
              <w:ind w:right="151"/>
              <w:jc w:val="right"/>
              <w:rPr>
                <w:sz w:val="16"/>
              </w:rPr>
            </w:pPr>
            <w:r>
              <w:rPr>
                <w:sz w:val="16"/>
              </w:rPr>
              <w:t>69</w:t>
            </w:r>
          </w:p>
        </w:tc>
      </w:tr>
      <w:tr>
        <w:trPr>
          <w:trHeight w:val="181" w:hRule="exact"/>
        </w:trPr>
        <w:tc>
          <w:tcPr>
            <w:tcW w:w="842" w:type="dxa"/>
            <w:tcBorders>
              <w:left w:val="single" w:sz="12" w:space="0" w:color="D9D9D9"/>
            </w:tcBorders>
          </w:tcPr>
          <w:p>
            <w:pPr/>
          </w:p>
        </w:tc>
        <w:tc>
          <w:tcPr>
            <w:tcW w:w="5883" w:type="dxa"/>
          </w:tcPr>
          <w:p>
            <w:pPr>
              <w:pStyle w:val="TableParagraph"/>
              <w:spacing w:line="177" w:lineRule="exact"/>
              <w:ind w:left="69"/>
              <w:rPr>
                <w:sz w:val="16"/>
              </w:rPr>
            </w:pPr>
            <w:r>
              <w:rPr>
                <w:sz w:val="16"/>
              </w:rPr>
              <w:t>Supervisión del proceso presupuestario y transparencia.</w:t>
            </w:r>
          </w:p>
        </w:tc>
        <w:tc>
          <w:tcPr>
            <w:tcW w:w="892" w:type="dxa"/>
          </w:tcPr>
          <w:p>
            <w:pPr>
              <w:pStyle w:val="TableParagraph"/>
              <w:spacing w:line="177" w:lineRule="exact"/>
              <w:ind w:left="291" w:right="292"/>
              <w:jc w:val="center"/>
              <w:rPr>
                <w:sz w:val="16"/>
              </w:rPr>
            </w:pPr>
            <w:r>
              <w:rPr>
                <w:sz w:val="16"/>
              </w:rPr>
              <w:t>94</w:t>
            </w:r>
          </w:p>
        </w:tc>
        <w:tc>
          <w:tcPr>
            <w:tcW w:w="712" w:type="dxa"/>
          </w:tcPr>
          <w:p>
            <w:pPr>
              <w:pStyle w:val="TableParagraph"/>
              <w:spacing w:line="177" w:lineRule="exact"/>
              <w:ind w:left="202" w:right="201"/>
              <w:jc w:val="center"/>
              <w:rPr>
                <w:sz w:val="16"/>
              </w:rPr>
            </w:pPr>
            <w:r>
              <w:rPr>
                <w:sz w:val="16"/>
              </w:rPr>
              <w:t>75</w:t>
            </w:r>
          </w:p>
        </w:tc>
        <w:tc>
          <w:tcPr>
            <w:tcW w:w="511" w:type="dxa"/>
            <w:tcBorders>
              <w:right w:val="single" w:sz="12" w:space="0" w:color="D9D9D9"/>
            </w:tcBorders>
          </w:tcPr>
          <w:p>
            <w:pPr>
              <w:pStyle w:val="TableParagraph"/>
              <w:spacing w:line="177" w:lineRule="exact"/>
              <w:ind w:right="151"/>
              <w:jc w:val="right"/>
              <w:rPr>
                <w:sz w:val="16"/>
              </w:rPr>
            </w:pPr>
            <w:r>
              <w:rPr>
                <w:sz w:val="16"/>
              </w:rPr>
              <w:t>90</w:t>
            </w:r>
          </w:p>
        </w:tc>
      </w:tr>
      <w:tr>
        <w:trPr>
          <w:trHeight w:val="182" w:hRule="exact"/>
        </w:trPr>
        <w:tc>
          <w:tcPr>
            <w:tcW w:w="842" w:type="dxa"/>
            <w:shd w:val="clear" w:color="auto" w:fill="D9D9D9"/>
          </w:tcPr>
          <w:p>
            <w:pPr>
              <w:pStyle w:val="TableParagraph"/>
              <w:spacing w:line="178" w:lineRule="exact"/>
              <w:ind w:left="325" w:right="325"/>
              <w:jc w:val="center"/>
              <w:rPr>
                <w:b/>
                <w:sz w:val="16"/>
              </w:rPr>
            </w:pPr>
            <w:r>
              <w:rPr>
                <w:b/>
                <w:sz w:val="16"/>
              </w:rPr>
              <w:t>IV</w:t>
            </w:r>
          </w:p>
        </w:tc>
        <w:tc>
          <w:tcPr>
            <w:tcW w:w="5883" w:type="dxa"/>
            <w:shd w:val="clear" w:color="auto" w:fill="D9D9D9"/>
          </w:tcPr>
          <w:p>
            <w:pPr>
              <w:pStyle w:val="TableParagraph"/>
              <w:spacing w:line="178" w:lineRule="exact"/>
              <w:ind w:left="69"/>
              <w:rPr>
                <w:b/>
                <w:sz w:val="16"/>
              </w:rPr>
            </w:pPr>
            <w:r>
              <w:rPr>
                <w:b/>
                <w:sz w:val="16"/>
              </w:rPr>
              <w:t>Administración Pública y profesionalismo</w:t>
            </w:r>
          </w:p>
        </w:tc>
        <w:tc>
          <w:tcPr>
            <w:tcW w:w="892" w:type="dxa"/>
            <w:shd w:val="clear" w:color="auto" w:fill="D9D9D9"/>
          </w:tcPr>
          <w:p>
            <w:pPr>
              <w:pStyle w:val="TableParagraph"/>
              <w:spacing w:line="178" w:lineRule="exact"/>
              <w:ind w:left="291" w:right="292"/>
              <w:jc w:val="center"/>
              <w:rPr>
                <w:b/>
                <w:sz w:val="16"/>
              </w:rPr>
            </w:pPr>
            <w:r>
              <w:rPr>
                <w:b/>
                <w:sz w:val="16"/>
              </w:rPr>
              <w:t>68</w:t>
            </w:r>
          </w:p>
        </w:tc>
        <w:tc>
          <w:tcPr>
            <w:tcW w:w="712" w:type="dxa"/>
            <w:shd w:val="clear" w:color="auto" w:fill="E26C09"/>
          </w:tcPr>
          <w:p>
            <w:pPr>
              <w:pStyle w:val="TableParagraph"/>
              <w:spacing w:line="178" w:lineRule="exact"/>
              <w:ind w:left="202" w:right="201"/>
              <w:jc w:val="center"/>
              <w:rPr>
                <w:b/>
                <w:sz w:val="16"/>
              </w:rPr>
            </w:pPr>
            <w:r>
              <w:rPr>
                <w:b/>
                <w:sz w:val="16"/>
              </w:rPr>
              <w:t>61</w:t>
            </w:r>
          </w:p>
        </w:tc>
        <w:tc>
          <w:tcPr>
            <w:tcW w:w="511" w:type="dxa"/>
            <w:shd w:val="clear" w:color="auto" w:fill="D9D9D9"/>
          </w:tcPr>
          <w:p>
            <w:pPr>
              <w:pStyle w:val="TableParagraph"/>
              <w:spacing w:line="178" w:lineRule="exact"/>
              <w:ind w:right="167"/>
              <w:jc w:val="right"/>
              <w:rPr>
                <w:b/>
                <w:sz w:val="16"/>
              </w:rPr>
            </w:pPr>
            <w:r>
              <w:rPr>
                <w:b/>
                <w:sz w:val="16"/>
              </w:rPr>
              <w:t>85</w:t>
            </w:r>
          </w:p>
        </w:tc>
      </w:tr>
      <w:tr>
        <w:trPr>
          <w:trHeight w:val="189" w:hRule="exact"/>
        </w:trPr>
        <w:tc>
          <w:tcPr>
            <w:tcW w:w="842" w:type="dxa"/>
            <w:tcBorders>
              <w:left w:val="single" w:sz="12" w:space="0" w:color="D9D9D9"/>
            </w:tcBorders>
          </w:tcPr>
          <w:p>
            <w:pPr/>
          </w:p>
        </w:tc>
        <w:tc>
          <w:tcPr>
            <w:tcW w:w="5883" w:type="dxa"/>
          </w:tcPr>
          <w:p>
            <w:pPr>
              <w:pStyle w:val="TableParagraph"/>
              <w:spacing w:line="180" w:lineRule="exact"/>
              <w:ind w:left="69"/>
              <w:rPr>
                <w:sz w:val="16"/>
              </w:rPr>
            </w:pPr>
            <w:r>
              <w:rPr>
                <w:sz w:val="16"/>
              </w:rPr>
              <w:t>Servicio civil: Prevenir el conflicto de intereses e independencia política.</w:t>
            </w:r>
          </w:p>
        </w:tc>
        <w:tc>
          <w:tcPr>
            <w:tcW w:w="892" w:type="dxa"/>
          </w:tcPr>
          <w:p>
            <w:pPr>
              <w:pStyle w:val="TableParagraph"/>
              <w:spacing w:line="180" w:lineRule="exact"/>
              <w:ind w:left="291" w:right="292"/>
              <w:jc w:val="center"/>
              <w:rPr>
                <w:sz w:val="16"/>
              </w:rPr>
            </w:pPr>
            <w:r>
              <w:rPr>
                <w:sz w:val="16"/>
              </w:rPr>
              <w:t>72</w:t>
            </w:r>
          </w:p>
        </w:tc>
        <w:tc>
          <w:tcPr>
            <w:tcW w:w="712" w:type="dxa"/>
          </w:tcPr>
          <w:p>
            <w:pPr>
              <w:pStyle w:val="TableParagraph"/>
              <w:spacing w:line="180" w:lineRule="exact"/>
              <w:ind w:left="202" w:right="201"/>
              <w:jc w:val="center"/>
              <w:rPr>
                <w:sz w:val="16"/>
              </w:rPr>
            </w:pPr>
            <w:r>
              <w:rPr>
                <w:sz w:val="16"/>
              </w:rPr>
              <w:t>41</w:t>
            </w:r>
          </w:p>
        </w:tc>
        <w:tc>
          <w:tcPr>
            <w:tcW w:w="511" w:type="dxa"/>
            <w:tcBorders>
              <w:right w:val="single" w:sz="12" w:space="0" w:color="D9D9D9"/>
            </w:tcBorders>
          </w:tcPr>
          <w:p>
            <w:pPr>
              <w:pStyle w:val="TableParagraph"/>
              <w:spacing w:line="180" w:lineRule="exact"/>
              <w:ind w:right="151"/>
              <w:jc w:val="right"/>
              <w:rPr>
                <w:sz w:val="16"/>
              </w:rPr>
            </w:pPr>
            <w:r>
              <w:rPr>
                <w:sz w:val="16"/>
              </w:rPr>
              <w:t>84</w:t>
            </w:r>
          </w:p>
        </w:tc>
      </w:tr>
      <w:tr>
        <w:trPr>
          <w:trHeight w:val="185"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Protección a denunciantes de delitos.</w:t>
            </w:r>
          </w:p>
        </w:tc>
        <w:tc>
          <w:tcPr>
            <w:tcW w:w="892" w:type="dxa"/>
          </w:tcPr>
          <w:p>
            <w:pPr>
              <w:pStyle w:val="TableParagraph"/>
              <w:spacing w:line="176" w:lineRule="exact"/>
              <w:ind w:left="291" w:right="292"/>
              <w:jc w:val="center"/>
              <w:rPr>
                <w:sz w:val="16"/>
              </w:rPr>
            </w:pPr>
            <w:r>
              <w:rPr>
                <w:sz w:val="16"/>
              </w:rPr>
              <w:t>19</w:t>
            </w:r>
          </w:p>
        </w:tc>
        <w:tc>
          <w:tcPr>
            <w:tcW w:w="712" w:type="dxa"/>
          </w:tcPr>
          <w:p>
            <w:pPr>
              <w:pStyle w:val="TableParagraph"/>
              <w:spacing w:line="176" w:lineRule="exact"/>
              <w:ind w:left="202" w:right="201"/>
              <w:jc w:val="center"/>
              <w:rPr>
                <w:sz w:val="16"/>
              </w:rPr>
            </w:pPr>
            <w:r>
              <w:rPr>
                <w:sz w:val="16"/>
              </w:rPr>
              <w:t>58</w:t>
            </w:r>
          </w:p>
        </w:tc>
        <w:tc>
          <w:tcPr>
            <w:tcW w:w="511" w:type="dxa"/>
            <w:tcBorders>
              <w:right w:val="single" w:sz="12" w:space="0" w:color="D9D9D9"/>
            </w:tcBorders>
          </w:tcPr>
          <w:p>
            <w:pPr>
              <w:pStyle w:val="TableParagraph"/>
              <w:spacing w:line="176" w:lineRule="exact"/>
              <w:ind w:right="151"/>
              <w:jc w:val="right"/>
              <w:rPr>
                <w:sz w:val="16"/>
              </w:rPr>
            </w:pPr>
            <w:r>
              <w:rPr>
                <w:sz w:val="16"/>
              </w:rPr>
              <w:t>79</w:t>
            </w:r>
          </w:p>
        </w:tc>
      </w:tr>
      <w:tr>
        <w:trPr>
          <w:trHeight w:val="367" w:hRule="exact"/>
        </w:trPr>
        <w:tc>
          <w:tcPr>
            <w:tcW w:w="842" w:type="dxa"/>
            <w:tcBorders>
              <w:left w:val="single" w:sz="12" w:space="0" w:color="D9D9D9"/>
            </w:tcBorders>
          </w:tcPr>
          <w:p>
            <w:pPr/>
          </w:p>
        </w:tc>
        <w:tc>
          <w:tcPr>
            <w:tcW w:w="5883" w:type="dxa"/>
          </w:tcPr>
          <w:p>
            <w:pPr>
              <w:pStyle w:val="TableParagraph"/>
              <w:spacing w:line="237" w:lineRule="auto"/>
              <w:ind w:left="69" w:right="146"/>
              <w:rPr>
                <w:sz w:val="16"/>
              </w:rPr>
            </w:pPr>
            <w:r>
              <w:rPr>
                <w:sz w:val="16"/>
              </w:rPr>
              <w:t>Procesos gubernamentales: transparencia, justicia y prevención del conflicto de intereses.</w:t>
            </w:r>
          </w:p>
        </w:tc>
        <w:tc>
          <w:tcPr>
            <w:tcW w:w="892" w:type="dxa"/>
          </w:tcPr>
          <w:p>
            <w:pPr>
              <w:pStyle w:val="TableParagraph"/>
              <w:spacing w:before="2"/>
              <w:rPr>
                <w:sz w:val="15"/>
              </w:rPr>
            </w:pPr>
          </w:p>
          <w:p>
            <w:pPr>
              <w:pStyle w:val="TableParagraph"/>
              <w:ind w:left="291" w:right="292"/>
              <w:jc w:val="center"/>
              <w:rPr>
                <w:sz w:val="16"/>
              </w:rPr>
            </w:pPr>
            <w:r>
              <w:rPr>
                <w:sz w:val="16"/>
              </w:rPr>
              <w:t>89</w:t>
            </w:r>
          </w:p>
        </w:tc>
        <w:tc>
          <w:tcPr>
            <w:tcW w:w="712" w:type="dxa"/>
          </w:tcPr>
          <w:p>
            <w:pPr>
              <w:pStyle w:val="TableParagraph"/>
              <w:spacing w:before="2"/>
              <w:rPr>
                <w:sz w:val="15"/>
              </w:rPr>
            </w:pPr>
          </w:p>
          <w:p>
            <w:pPr>
              <w:pStyle w:val="TableParagraph"/>
              <w:ind w:left="202" w:right="201"/>
              <w:jc w:val="center"/>
              <w:rPr>
                <w:sz w:val="16"/>
              </w:rPr>
            </w:pPr>
            <w:r>
              <w:rPr>
                <w:sz w:val="16"/>
              </w:rPr>
              <w:t>85</w:t>
            </w:r>
          </w:p>
        </w:tc>
        <w:tc>
          <w:tcPr>
            <w:tcW w:w="511" w:type="dxa"/>
            <w:tcBorders>
              <w:right w:val="single" w:sz="12" w:space="0" w:color="D9D9D9"/>
            </w:tcBorders>
          </w:tcPr>
          <w:p>
            <w:pPr>
              <w:pStyle w:val="TableParagraph"/>
              <w:spacing w:before="2"/>
              <w:rPr>
                <w:sz w:val="15"/>
              </w:rPr>
            </w:pPr>
          </w:p>
          <w:p>
            <w:pPr>
              <w:pStyle w:val="TableParagraph"/>
              <w:ind w:right="151"/>
              <w:jc w:val="right"/>
              <w:rPr>
                <w:sz w:val="16"/>
              </w:rPr>
            </w:pPr>
            <w:r>
              <w:rPr>
                <w:sz w:val="16"/>
              </w:rPr>
              <w:t>86</w:t>
            </w:r>
          </w:p>
        </w:tc>
      </w:tr>
      <w:tr>
        <w:trPr>
          <w:trHeight w:val="363" w:hRule="exact"/>
        </w:trPr>
        <w:tc>
          <w:tcPr>
            <w:tcW w:w="842" w:type="dxa"/>
            <w:tcBorders>
              <w:left w:val="single" w:sz="12" w:space="0" w:color="D9D9D9"/>
            </w:tcBorders>
          </w:tcPr>
          <w:p>
            <w:pPr/>
          </w:p>
        </w:tc>
        <w:tc>
          <w:tcPr>
            <w:tcW w:w="5883" w:type="dxa"/>
          </w:tcPr>
          <w:p>
            <w:pPr>
              <w:pStyle w:val="TableParagraph"/>
              <w:ind w:left="69" w:right="458"/>
              <w:rPr>
                <w:sz w:val="16"/>
              </w:rPr>
            </w:pPr>
            <w:r>
              <w:rPr>
                <w:sz w:val="16"/>
              </w:rPr>
              <w:t>Privatización de funciones públicas: transparencia, justicia y prevención del conflicto de intereses.</w:t>
            </w:r>
          </w:p>
        </w:tc>
        <w:tc>
          <w:tcPr>
            <w:tcW w:w="892" w:type="dxa"/>
          </w:tcPr>
          <w:p>
            <w:pPr>
              <w:pStyle w:val="TableParagraph"/>
              <w:spacing w:before="4"/>
              <w:rPr>
                <w:sz w:val="15"/>
              </w:rPr>
            </w:pPr>
          </w:p>
          <w:p>
            <w:pPr>
              <w:pStyle w:val="TableParagraph"/>
              <w:ind w:left="291" w:right="292"/>
              <w:jc w:val="center"/>
              <w:rPr>
                <w:sz w:val="16"/>
              </w:rPr>
            </w:pPr>
            <w:r>
              <w:rPr>
                <w:sz w:val="16"/>
              </w:rPr>
              <w:t>92</w:t>
            </w:r>
          </w:p>
        </w:tc>
        <w:tc>
          <w:tcPr>
            <w:tcW w:w="712" w:type="dxa"/>
          </w:tcPr>
          <w:p>
            <w:pPr>
              <w:pStyle w:val="TableParagraph"/>
              <w:spacing w:before="4"/>
              <w:rPr>
                <w:sz w:val="15"/>
              </w:rPr>
            </w:pPr>
          </w:p>
          <w:p>
            <w:pPr>
              <w:pStyle w:val="TableParagraph"/>
              <w:ind w:left="202" w:right="201"/>
              <w:jc w:val="center"/>
              <w:rPr>
                <w:sz w:val="16"/>
              </w:rPr>
            </w:pPr>
            <w:r>
              <w:rPr>
                <w:sz w:val="16"/>
              </w:rPr>
              <w:t>60</w:t>
            </w:r>
          </w:p>
        </w:tc>
        <w:tc>
          <w:tcPr>
            <w:tcW w:w="511" w:type="dxa"/>
            <w:tcBorders>
              <w:right w:val="single" w:sz="12" w:space="0" w:color="D9D9D9"/>
            </w:tcBorders>
          </w:tcPr>
          <w:p>
            <w:pPr>
              <w:pStyle w:val="TableParagraph"/>
              <w:spacing w:before="4"/>
              <w:rPr>
                <w:sz w:val="15"/>
              </w:rPr>
            </w:pPr>
          </w:p>
          <w:p>
            <w:pPr>
              <w:pStyle w:val="TableParagraph"/>
              <w:ind w:right="151"/>
              <w:jc w:val="right"/>
              <w:rPr>
                <w:sz w:val="16"/>
              </w:rPr>
            </w:pPr>
            <w:r>
              <w:rPr>
                <w:sz w:val="16"/>
              </w:rPr>
              <w:t>92</w:t>
            </w:r>
          </w:p>
        </w:tc>
      </w:tr>
      <w:tr>
        <w:trPr>
          <w:trHeight w:val="185" w:hRule="exact"/>
        </w:trPr>
        <w:tc>
          <w:tcPr>
            <w:tcW w:w="842" w:type="dxa"/>
            <w:shd w:val="clear" w:color="auto" w:fill="D9D9D9"/>
          </w:tcPr>
          <w:p>
            <w:pPr>
              <w:pStyle w:val="TableParagraph"/>
              <w:spacing w:line="178" w:lineRule="exact"/>
              <w:jc w:val="center"/>
              <w:rPr>
                <w:b/>
                <w:sz w:val="16"/>
              </w:rPr>
            </w:pPr>
            <w:r>
              <w:rPr>
                <w:b/>
                <w:w w:val="100"/>
                <w:sz w:val="16"/>
              </w:rPr>
              <w:t>V</w:t>
            </w:r>
          </w:p>
        </w:tc>
        <w:tc>
          <w:tcPr>
            <w:tcW w:w="5883" w:type="dxa"/>
            <w:shd w:val="clear" w:color="auto" w:fill="D9D9D9"/>
          </w:tcPr>
          <w:p>
            <w:pPr>
              <w:pStyle w:val="TableParagraph"/>
              <w:spacing w:line="178" w:lineRule="exact"/>
              <w:ind w:left="69"/>
              <w:rPr>
                <w:b/>
                <w:sz w:val="16"/>
              </w:rPr>
            </w:pPr>
            <w:r>
              <w:rPr>
                <w:b/>
                <w:sz w:val="16"/>
              </w:rPr>
              <w:t>Vigilancia y control gubernamental</w:t>
            </w:r>
          </w:p>
        </w:tc>
        <w:tc>
          <w:tcPr>
            <w:tcW w:w="892" w:type="dxa"/>
            <w:shd w:val="clear" w:color="auto" w:fill="D9D9D9"/>
          </w:tcPr>
          <w:p>
            <w:pPr>
              <w:pStyle w:val="TableParagraph"/>
              <w:spacing w:line="178" w:lineRule="exact"/>
              <w:ind w:left="291" w:right="292"/>
              <w:jc w:val="center"/>
              <w:rPr>
                <w:b/>
                <w:sz w:val="16"/>
              </w:rPr>
            </w:pPr>
            <w:r>
              <w:rPr>
                <w:b/>
                <w:sz w:val="16"/>
              </w:rPr>
              <w:t>86</w:t>
            </w:r>
          </w:p>
        </w:tc>
        <w:tc>
          <w:tcPr>
            <w:tcW w:w="712" w:type="dxa"/>
            <w:shd w:val="clear" w:color="auto" w:fill="E26C09"/>
          </w:tcPr>
          <w:p>
            <w:pPr>
              <w:pStyle w:val="TableParagraph"/>
              <w:spacing w:line="178" w:lineRule="exact"/>
              <w:ind w:left="202" w:right="201"/>
              <w:jc w:val="center"/>
              <w:rPr>
                <w:b/>
                <w:sz w:val="16"/>
              </w:rPr>
            </w:pPr>
            <w:r>
              <w:rPr>
                <w:b/>
                <w:sz w:val="16"/>
              </w:rPr>
              <w:t>76</w:t>
            </w:r>
          </w:p>
        </w:tc>
        <w:tc>
          <w:tcPr>
            <w:tcW w:w="511" w:type="dxa"/>
            <w:shd w:val="clear" w:color="auto" w:fill="D9D9D9"/>
          </w:tcPr>
          <w:p>
            <w:pPr>
              <w:pStyle w:val="TableParagraph"/>
              <w:spacing w:line="178" w:lineRule="exact"/>
              <w:ind w:right="167"/>
              <w:jc w:val="right"/>
              <w:rPr>
                <w:b/>
                <w:sz w:val="16"/>
              </w:rPr>
            </w:pPr>
            <w:r>
              <w:rPr>
                <w:b/>
                <w:sz w:val="16"/>
              </w:rPr>
              <w:t>82</w:t>
            </w:r>
          </w:p>
        </w:tc>
      </w:tr>
      <w:tr>
        <w:trPr>
          <w:trHeight w:val="189" w:hRule="exact"/>
        </w:trPr>
        <w:tc>
          <w:tcPr>
            <w:tcW w:w="842" w:type="dxa"/>
            <w:tcBorders>
              <w:left w:val="single" w:sz="12" w:space="0" w:color="D9D9D9"/>
            </w:tcBorders>
          </w:tcPr>
          <w:p>
            <w:pPr/>
          </w:p>
        </w:tc>
        <w:tc>
          <w:tcPr>
            <w:tcW w:w="5883" w:type="dxa"/>
          </w:tcPr>
          <w:p>
            <w:pPr>
              <w:pStyle w:val="TableParagraph"/>
              <w:spacing w:line="180" w:lineRule="exact"/>
              <w:ind w:left="69"/>
              <w:rPr>
                <w:sz w:val="16"/>
              </w:rPr>
            </w:pPr>
            <w:r>
              <w:rPr>
                <w:sz w:val="16"/>
              </w:rPr>
              <w:t>Defensor de la nación (</w:t>
            </w:r>
            <w:r>
              <w:rPr>
                <w:i/>
                <w:sz w:val="16"/>
              </w:rPr>
              <w:t>Ombudsman nacional</w:t>
            </w:r>
            <w:r>
              <w:rPr>
                <w:sz w:val="16"/>
              </w:rPr>
              <w:t>).</w:t>
            </w:r>
          </w:p>
        </w:tc>
        <w:tc>
          <w:tcPr>
            <w:tcW w:w="892" w:type="dxa"/>
          </w:tcPr>
          <w:p>
            <w:pPr>
              <w:pStyle w:val="TableParagraph"/>
              <w:spacing w:line="180" w:lineRule="exact"/>
              <w:ind w:left="291" w:right="292"/>
              <w:jc w:val="center"/>
              <w:rPr>
                <w:sz w:val="16"/>
              </w:rPr>
            </w:pPr>
            <w:r>
              <w:rPr>
                <w:sz w:val="16"/>
              </w:rPr>
              <w:t>55</w:t>
            </w:r>
          </w:p>
        </w:tc>
        <w:tc>
          <w:tcPr>
            <w:tcW w:w="712" w:type="dxa"/>
          </w:tcPr>
          <w:p>
            <w:pPr>
              <w:pStyle w:val="TableParagraph"/>
              <w:spacing w:line="180" w:lineRule="exact"/>
              <w:ind w:left="202" w:right="201"/>
              <w:jc w:val="center"/>
              <w:rPr>
                <w:sz w:val="16"/>
              </w:rPr>
            </w:pPr>
            <w:r>
              <w:rPr>
                <w:sz w:val="16"/>
              </w:rPr>
              <w:t>85</w:t>
            </w:r>
          </w:p>
        </w:tc>
        <w:tc>
          <w:tcPr>
            <w:tcW w:w="511" w:type="dxa"/>
            <w:tcBorders>
              <w:right w:val="single" w:sz="12" w:space="0" w:color="D9D9D9"/>
            </w:tcBorders>
          </w:tcPr>
          <w:p>
            <w:pPr>
              <w:pStyle w:val="TableParagraph"/>
              <w:spacing w:line="180" w:lineRule="exact"/>
              <w:ind w:right="151"/>
              <w:jc w:val="right"/>
              <w:rPr>
                <w:sz w:val="16"/>
              </w:rPr>
            </w:pPr>
            <w:r>
              <w:rPr>
                <w:sz w:val="16"/>
              </w:rPr>
              <w:t>46</w:t>
            </w:r>
          </w:p>
        </w:tc>
      </w:tr>
      <w:tr>
        <w:trPr>
          <w:trHeight w:val="184"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Entidad de Fiscalización Superior.</w:t>
            </w:r>
          </w:p>
        </w:tc>
        <w:tc>
          <w:tcPr>
            <w:tcW w:w="892" w:type="dxa"/>
          </w:tcPr>
          <w:p>
            <w:pPr>
              <w:pStyle w:val="TableParagraph"/>
              <w:spacing w:line="176" w:lineRule="exact"/>
              <w:ind w:left="291" w:right="292"/>
              <w:jc w:val="center"/>
              <w:rPr>
                <w:sz w:val="16"/>
              </w:rPr>
            </w:pPr>
            <w:r>
              <w:rPr>
                <w:sz w:val="16"/>
              </w:rPr>
              <w:t>86</w:t>
            </w:r>
          </w:p>
        </w:tc>
        <w:tc>
          <w:tcPr>
            <w:tcW w:w="712" w:type="dxa"/>
          </w:tcPr>
          <w:p>
            <w:pPr>
              <w:pStyle w:val="TableParagraph"/>
              <w:spacing w:line="176" w:lineRule="exact"/>
              <w:ind w:left="202" w:right="201"/>
              <w:jc w:val="center"/>
              <w:rPr>
                <w:sz w:val="16"/>
              </w:rPr>
            </w:pPr>
            <w:r>
              <w:rPr>
                <w:sz w:val="16"/>
              </w:rPr>
              <w:t>88</w:t>
            </w:r>
          </w:p>
        </w:tc>
        <w:tc>
          <w:tcPr>
            <w:tcW w:w="511" w:type="dxa"/>
            <w:tcBorders>
              <w:right w:val="single" w:sz="12" w:space="0" w:color="D9D9D9"/>
            </w:tcBorders>
          </w:tcPr>
          <w:p>
            <w:pPr>
              <w:pStyle w:val="TableParagraph"/>
              <w:spacing w:line="176" w:lineRule="exact"/>
              <w:ind w:right="151"/>
              <w:jc w:val="right"/>
              <w:rPr>
                <w:sz w:val="16"/>
              </w:rPr>
            </w:pPr>
            <w:r>
              <w:rPr>
                <w:sz w:val="16"/>
              </w:rPr>
              <w:t>93</w:t>
            </w:r>
          </w:p>
        </w:tc>
      </w:tr>
      <w:tr>
        <w:trPr>
          <w:trHeight w:val="184" w:hRule="exact"/>
        </w:trPr>
        <w:tc>
          <w:tcPr>
            <w:tcW w:w="842" w:type="dxa"/>
            <w:tcBorders>
              <w:left w:val="single" w:sz="12" w:space="0" w:color="D9D9D9"/>
            </w:tcBorders>
          </w:tcPr>
          <w:p>
            <w:pPr/>
          </w:p>
        </w:tc>
        <w:tc>
          <w:tcPr>
            <w:tcW w:w="5883" w:type="dxa"/>
          </w:tcPr>
          <w:p>
            <w:pPr>
              <w:pStyle w:val="TableParagraph"/>
              <w:spacing w:line="175" w:lineRule="exact"/>
              <w:ind w:left="69"/>
              <w:rPr>
                <w:sz w:val="16"/>
              </w:rPr>
            </w:pPr>
            <w:r>
              <w:rPr>
                <w:sz w:val="16"/>
              </w:rPr>
              <w:t>Impuestos y Derechos: equidad y capacidad.</w:t>
            </w:r>
          </w:p>
        </w:tc>
        <w:tc>
          <w:tcPr>
            <w:tcW w:w="892" w:type="dxa"/>
          </w:tcPr>
          <w:p>
            <w:pPr>
              <w:pStyle w:val="TableParagraph"/>
              <w:spacing w:line="175" w:lineRule="exact"/>
              <w:ind w:left="291" w:right="292"/>
              <w:jc w:val="center"/>
              <w:rPr>
                <w:sz w:val="16"/>
              </w:rPr>
            </w:pPr>
            <w:r>
              <w:rPr>
                <w:sz w:val="16"/>
              </w:rPr>
              <w:t>100</w:t>
            </w:r>
          </w:p>
        </w:tc>
        <w:tc>
          <w:tcPr>
            <w:tcW w:w="712" w:type="dxa"/>
          </w:tcPr>
          <w:p>
            <w:pPr>
              <w:pStyle w:val="TableParagraph"/>
              <w:spacing w:line="175" w:lineRule="exact"/>
              <w:ind w:left="202" w:right="201"/>
              <w:jc w:val="center"/>
              <w:rPr>
                <w:sz w:val="16"/>
              </w:rPr>
            </w:pPr>
            <w:r>
              <w:rPr>
                <w:sz w:val="16"/>
              </w:rPr>
              <w:t>65</w:t>
            </w:r>
          </w:p>
        </w:tc>
        <w:tc>
          <w:tcPr>
            <w:tcW w:w="511" w:type="dxa"/>
            <w:tcBorders>
              <w:right w:val="single" w:sz="12" w:space="0" w:color="D9D9D9"/>
            </w:tcBorders>
          </w:tcPr>
          <w:p>
            <w:pPr>
              <w:pStyle w:val="TableParagraph"/>
              <w:spacing w:line="175" w:lineRule="exact"/>
              <w:ind w:right="151"/>
              <w:jc w:val="right"/>
              <w:rPr>
                <w:sz w:val="16"/>
              </w:rPr>
            </w:pPr>
            <w:r>
              <w:rPr>
                <w:sz w:val="16"/>
              </w:rPr>
              <w:t>81</w:t>
            </w:r>
          </w:p>
        </w:tc>
      </w:tr>
      <w:tr>
        <w:trPr>
          <w:trHeight w:val="185"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Supervisión de paraestatales.</w:t>
            </w:r>
          </w:p>
        </w:tc>
        <w:tc>
          <w:tcPr>
            <w:tcW w:w="892" w:type="dxa"/>
          </w:tcPr>
          <w:p>
            <w:pPr>
              <w:pStyle w:val="TableParagraph"/>
              <w:spacing w:line="176" w:lineRule="exact"/>
              <w:ind w:left="291" w:right="292"/>
              <w:jc w:val="center"/>
              <w:rPr>
                <w:sz w:val="16"/>
              </w:rPr>
            </w:pPr>
            <w:r>
              <w:rPr>
                <w:sz w:val="16"/>
              </w:rPr>
              <w:t>95</w:t>
            </w:r>
          </w:p>
        </w:tc>
        <w:tc>
          <w:tcPr>
            <w:tcW w:w="712" w:type="dxa"/>
          </w:tcPr>
          <w:p>
            <w:pPr>
              <w:pStyle w:val="TableParagraph"/>
              <w:spacing w:line="176" w:lineRule="exact"/>
              <w:ind w:left="202" w:right="201"/>
              <w:jc w:val="center"/>
              <w:rPr>
                <w:sz w:val="16"/>
              </w:rPr>
            </w:pPr>
            <w:r>
              <w:rPr>
                <w:sz w:val="16"/>
              </w:rPr>
              <w:t>67</w:t>
            </w:r>
          </w:p>
        </w:tc>
        <w:tc>
          <w:tcPr>
            <w:tcW w:w="511" w:type="dxa"/>
            <w:tcBorders>
              <w:right w:val="single" w:sz="12" w:space="0" w:color="D9D9D9"/>
            </w:tcBorders>
          </w:tcPr>
          <w:p>
            <w:pPr>
              <w:pStyle w:val="TableParagraph"/>
              <w:spacing w:line="176" w:lineRule="exact"/>
              <w:ind w:right="151"/>
              <w:jc w:val="right"/>
              <w:rPr>
                <w:sz w:val="16"/>
              </w:rPr>
            </w:pPr>
            <w:r>
              <w:rPr>
                <w:sz w:val="16"/>
              </w:rPr>
              <w:t>98</w:t>
            </w:r>
          </w:p>
        </w:tc>
      </w:tr>
      <w:tr>
        <w:trPr>
          <w:trHeight w:val="178"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Licencias empresariales y regulación.</w:t>
            </w:r>
          </w:p>
        </w:tc>
        <w:tc>
          <w:tcPr>
            <w:tcW w:w="892" w:type="dxa"/>
          </w:tcPr>
          <w:p>
            <w:pPr>
              <w:pStyle w:val="TableParagraph"/>
              <w:spacing w:line="176" w:lineRule="exact"/>
              <w:ind w:left="291" w:right="292"/>
              <w:jc w:val="center"/>
              <w:rPr>
                <w:sz w:val="16"/>
              </w:rPr>
            </w:pPr>
            <w:r>
              <w:rPr>
                <w:sz w:val="16"/>
              </w:rPr>
              <w:t>94</w:t>
            </w:r>
          </w:p>
        </w:tc>
        <w:tc>
          <w:tcPr>
            <w:tcW w:w="712" w:type="dxa"/>
          </w:tcPr>
          <w:p>
            <w:pPr>
              <w:pStyle w:val="TableParagraph"/>
              <w:spacing w:line="176" w:lineRule="exact"/>
              <w:ind w:left="202" w:right="201"/>
              <w:jc w:val="center"/>
              <w:rPr>
                <w:sz w:val="16"/>
              </w:rPr>
            </w:pPr>
            <w:r>
              <w:rPr>
                <w:sz w:val="16"/>
              </w:rPr>
              <w:t>75</w:t>
            </w:r>
          </w:p>
        </w:tc>
        <w:tc>
          <w:tcPr>
            <w:tcW w:w="511" w:type="dxa"/>
            <w:tcBorders>
              <w:right w:val="single" w:sz="12" w:space="0" w:color="D9D9D9"/>
            </w:tcBorders>
          </w:tcPr>
          <w:p>
            <w:pPr>
              <w:pStyle w:val="TableParagraph"/>
              <w:spacing w:line="176" w:lineRule="exact"/>
              <w:ind w:right="151"/>
              <w:jc w:val="right"/>
              <w:rPr>
                <w:sz w:val="16"/>
              </w:rPr>
            </w:pPr>
            <w:r>
              <w:rPr>
                <w:sz w:val="16"/>
              </w:rPr>
              <w:t>92</w:t>
            </w:r>
          </w:p>
        </w:tc>
      </w:tr>
      <w:tr>
        <w:trPr>
          <w:trHeight w:val="370" w:hRule="exact"/>
        </w:trPr>
        <w:tc>
          <w:tcPr>
            <w:tcW w:w="842" w:type="dxa"/>
            <w:shd w:val="clear" w:color="auto" w:fill="D9D9D9"/>
          </w:tcPr>
          <w:p>
            <w:pPr>
              <w:pStyle w:val="TableParagraph"/>
              <w:spacing w:before="87"/>
              <w:ind w:left="325" w:right="325"/>
              <w:jc w:val="center"/>
              <w:rPr>
                <w:b/>
                <w:sz w:val="16"/>
              </w:rPr>
            </w:pPr>
            <w:r>
              <w:rPr>
                <w:b/>
                <w:sz w:val="16"/>
              </w:rPr>
              <w:t>VI</w:t>
            </w:r>
          </w:p>
        </w:tc>
        <w:tc>
          <w:tcPr>
            <w:tcW w:w="5883" w:type="dxa"/>
            <w:shd w:val="clear" w:color="auto" w:fill="D9D9D9"/>
          </w:tcPr>
          <w:p>
            <w:pPr>
              <w:pStyle w:val="TableParagraph"/>
              <w:ind w:left="69" w:right="584"/>
              <w:rPr>
                <w:b/>
                <w:sz w:val="16"/>
              </w:rPr>
            </w:pPr>
            <w:r>
              <w:rPr>
                <w:b/>
                <w:sz w:val="16"/>
              </w:rPr>
              <w:t>Lucha legal contra la corrupción, impartición de justicia y aplicación profesional de la ley</w:t>
            </w:r>
          </w:p>
        </w:tc>
        <w:tc>
          <w:tcPr>
            <w:tcW w:w="892" w:type="dxa"/>
            <w:shd w:val="clear" w:color="auto" w:fill="D9D9D9"/>
          </w:tcPr>
          <w:p>
            <w:pPr>
              <w:pStyle w:val="TableParagraph"/>
              <w:spacing w:before="87"/>
              <w:ind w:left="291" w:right="292"/>
              <w:jc w:val="center"/>
              <w:rPr>
                <w:b/>
                <w:sz w:val="16"/>
              </w:rPr>
            </w:pPr>
            <w:r>
              <w:rPr>
                <w:b/>
                <w:sz w:val="16"/>
              </w:rPr>
              <w:t>88</w:t>
            </w:r>
          </w:p>
        </w:tc>
        <w:tc>
          <w:tcPr>
            <w:tcW w:w="712" w:type="dxa"/>
            <w:shd w:val="clear" w:color="auto" w:fill="E26C09"/>
          </w:tcPr>
          <w:p>
            <w:pPr>
              <w:pStyle w:val="TableParagraph"/>
              <w:spacing w:before="87"/>
              <w:ind w:left="202" w:right="201"/>
              <w:jc w:val="center"/>
              <w:rPr>
                <w:b/>
                <w:sz w:val="16"/>
              </w:rPr>
            </w:pPr>
            <w:r>
              <w:rPr>
                <w:b/>
                <w:sz w:val="16"/>
              </w:rPr>
              <w:t>68</w:t>
            </w:r>
          </w:p>
        </w:tc>
        <w:tc>
          <w:tcPr>
            <w:tcW w:w="511" w:type="dxa"/>
            <w:shd w:val="clear" w:color="auto" w:fill="D9D9D9"/>
          </w:tcPr>
          <w:p>
            <w:pPr>
              <w:pStyle w:val="TableParagraph"/>
              <w:spacing w:before="87"/>
              <w:ind w:right="167"/>
              <w:jc w:val="right"/>
              <w:rPr>
                <w:b/>
                <w:sz w:val="16"/>
              </w:rPr>
            </w:pPr>
            <w:r>
              <w:rPr>
                <w:b/>
                <w:sz w:val="16"/>
              </w:rPr>
              <w:t>86</w:t>
            </w:r>
          </w:p>
        </w:tc>
      </w:tr>
      <w:tr>
        <w:trPr>
          <w:trHeight w:val="226" w:hRule="exact"/>
        </w:trPr>
        <w:tc>
          <w:tcPr>
            <w:tcW w:w="842" w:type="dxa"/>
            <w:tcBorders>
              <w:left w:val="single" w:sz="12" w:space="0" w:color="D9D9D9"/>
            </w:tcBorders>
          </w:tcPr>
          <w:p>
            <w:pPr/>
          </w:p>
        </w:tc>
        <w:tc>
          <w:tcPr>
            <w:tcW w:w="5883" w:type="dxa"/>
          </w:tcPr>
          <w:p>
            <w:pPr>
              <w:pStyle w:val="TableParagraph"/>
              <w:spacing w:before="34"/>
              <w:ind w:left="69"/>
              <w:rPr>
                <w:sz w:val="16"/>
              </w:rPr>
            </w:pPr>
            <w:r>
              <w:rPr>
                <w:sz w:val="16"/>
              </w:rPr>
              <w:t>Ley anticorrupción.</w:t>
            </w:r>
          </w:p>
        </w:tc>
        <w:tc>
          <w:tcPr>
            <w:tcW w:w="892" w:type="dxa"/>
          </w:tcPr>
          <w:p>
            <w:pPr>
              <w:pStyle w:val="TableParagraph"/>
              <w:spacing w:before="34"/>
              <w:ind w:left="291" w:right="292"/>
              <w:jc w:val="center"/>
              <w:rPr>
                <w:sz w:val="16"/>
              </w:rPr>
            </w:pPr>
            <w:r>
              <w:rPr>
                <w:sz w:val="16"/>
              </w:rPr>
              <w:t>100</w:t>
            </w:r>
          </w:p>
        </w:tc>
        <w:tc>
          <w:tcPr>
            <w:tcW w:w="712" w:type="dxa"/>
          </w:tcPr>
          <w:p>
            <w:pPr>
              <w:pStyle w:val="TableParagraph"/>
              <w:spacing w:before="34"/>
              <w:ind w:left="202" w:right="202"/>
              <w:jc w:val="center"/>
              <w:rPr>
                <w:sz w:val="16"/>
              </w:rPr>
            </w:pPr>
            <w:r>
              <w:rPr>
                <w:sz w:val="16"/>
              </w:rPr>
              <w:t>100</w:t>
            </w:r>
          </w:p>
        </w:tc>
        <w:tc>
          <w:tcPr>
            <w:tcW w:w="511" w:type="dxa"/>
            <w:tcBorders>
              <w:right w:val="single" w:sz="12" w:space="0" w:color="D9D9D9"/>
            </w:tcBorders>
          </w:tcPr>
          <w:p>
            <w:pPr>
              <w:pStyle w:val="TableParagraph"/>
              <w:spacing w:before="34"/>
              <w:ind w:right="107"/>
              <w:jc w:val="right"/>
              <w:rPr>
                <w:sz w:val="16"/>
              </w:rPr>
            </w:pPr>
            <w:r>
              <w:rPr>
                <w:sz w:val="16"/>
              </w:rPr>
              <w:t>100</w:t>
            </w:r>
          </w:p>
        </w:tc>
      </w:tr>
      <w:tr>
        <w:trPr>
          <w:trHeight w:val="184" w:hRule="exact"/>
        </w:trPr>
        <w:tc>
          <w:tcPr>
            <w:tcW w:w="842" w:type="dxa"/>
            <w:tcBorders>
              <w:left w:val="single" w:sz="12" w:space="0" w:color="D9D9D9"/>
            </w:tcBorders>
          </w:tcPr>
          <w:p>
            <w:pPr/>
          </w:p>
        </w:tc>
        <w:tc>
          <w:tcPr>
            <w:tcW w:w="5883" w:type="dxa"/>
          </w:tcPr>
          <w:p>
            <w:pPr>
              <w:pStyle w:val="TableParagraph"/>
              <w:spacing w:line="175" w:lineRule="exact"/>
              <w:ind w:left="69"/>
              <w:rPr>
                <w:sz w:val="16"/>
              </w:rPr>
            </w:pPr>
            <w:r>
              <w:rPr>
                <w:sz w:val="16"/>
              </w:rPr>
              <w:t>Oficina anticorrupción o mecanismo equivalente.</w:t>
            </w:r>
          </w:p>
        </w:tc>
        <w:tc>
          <w:tcPr>
            <w:tcW w:w="892" w:type="dxa"/>
          </w:tcPr>
          <w:p>
            <w:pPr>
              <w:pStyle w:val="TableParagraph"/>
              <w:spacing w:line="175" w:lineRule="exact"/>
              <w:ind w:left="291" w:right="292"/>
              <w:jc w:val="center"/>
              <w:rPr>
                <w:sz w:val="16"/>
              </w:rPr>
            </w:pPr>
            <w:r>
              <w:rPr>
                <w:sz w:val="16"/>
              </w:rPr>
              <w:t>84</w:t>
            </w:r>
          </w:p>
        </w:tc>
        <w:tc>
          <w:tcPr>
            <w:tcW w:w="712" w:type="dxa"/>
          </w:tcPr>
          <w:p>
            <w:pPr>
              <w:pStyle w:val="TableParagraph"/>
              <w:spacing w:line="175" w:lineRule="exact"/>
              <w:ind w:left="202" w:right="201"/>
              <w:jc w:val="center"/>
              <w:rPr>
                <w:sz w:val="16"/>
              </w:rPr>
            </w:pPr>
            <w:r>
              <w:rPr>
                <w:sz w:val="16"/>
              </w:rPr>
              <w:t>65</w:t>
            </w:r>
          </w:p>
        </w:tc>
        <w:tc>
          <w:tcPr>
            <w:tcW w:w="511" w:type="dxa"/>
            <w:tcBorders>
              <w:right w:val="single" w:sz="12" w:space="0" w:color="D9D9D9"/>
            </w:tcBorders>
          </w:tcPr>
          <w:p>
            <w:pPr>
              <w:pStyle w:val="TableParagraph"/>
              <w:spacing w:line="175" w:lineRule="exact"/>
              <w:ind w:right="151"/>
              <w:jc w:val="right"/>
              <w:rPr>
                <w:sz w:val="16"/>
              </w:rPr>
            </w:pPr>
            <w:r>
              <w:rPr>
                <w:sz w:val="16"/>
              </w:rPr>
              <w:t>75</w:t>
            </w:r>
          </w:p>
        </w:tc>
      </w:tr>
      <w:tr>
        <w:trPr>
          <w:trHeight w:val="185"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Independencia judicial, justicia y acceso ciudadano a la justicia.</w:t>
            </w:r>
          </w:p>
        </w:tc>
        <w:tc>
          <w:tcPr>
            <w:tcW w:w="892" w:type="dxa"/>
          </w:tcPr>
          <w:p>
            <w:pPr>
              <w:pStyle w:val="TableParagraph"/>
              <w:spacing w:line="176" w:lineRule="exact"/>
              <w:ind w:left="291" w:right="292"/>
              <w:jc w:val="center"/>
              <w:rPr>
                <w:sz w:val="16"/>
              </w:rPr>
            </w:pPr>
            <w:r>
              <w:rPr>
                <w:sz w:val="16"/>
              </w:rPr>
              <w:t>96</w:t>
            </w:r>
          </w:p>
        </w:tc>
        <w:tc>
          <w:tcPr>
            <w:tcW w:w="712" w:type="dxa"/>
          </w:tcPr>
          <w:p>
            <w:pPr>
              <w:pStyle w:val="TableParagraph"/>
              <w:spacing w:line="176" w:lineRule="exact"/>
              <w:ind w:left="202" w:right="201"/>
              <w:jc w:val="center"/>
              <w:rPr>
                <w:sz w:val="16"/>
              </w:rPr>
            </w:pPr>
            <w:r>
              <w:rPr>
                <w:sz w:val="16"/>
              </w:rPr>
              <w:t>43</w:t>
            </w:r>
          </w:p>
        </w:tc>
        <w:tc>
          <w:tcPr>
            <w:tcW w:w="511" w:type="dxa"/>
            <w:tcBorders>
              <w:right w:val="single" w:sz="12" w:space="0" w:color="D9D9D9"/>
            </w:tcBorders>
          </w:tcPr>
          <w:p>
            <w:pPr>
              <w:pStyle w:val="TableParagraph"/>
              <w:spacing w:line="176" w:lineRule="exact"/>
              <w:ind w:right="151"/>
              <w:jc w:val="right"/>
              <w:rPr>
                <w:sz w:val="16"/>
              </w:rPr>
            </w:pPr>
            <w:r>
              <w:rPr>
                <w:sz w:val="16"/>
              </w:rPr>
              <w:t>94</w:t>
            </w:r>
          </w:p>
        </w:tc>
      </w:tr>
      <w:tr>
        <w:trPr>
          <w:trHeight w:val="178" w:hRule="exact"/>
        </w:trPr>
        <w:tc>
          <w:tcPr>
            <w:tcW w:w="842" w:type="dxa"/>
            <w:tcBorders>
              <w:left w:val="single" w:sz="12" w:space="0" w:color="D9D9D9"/>
            </w:tcBorders>
          </w:tcPr>
          <w:p>
            <w:pPr/>
          </w:p>
        </w:tc>
        <w:tc>
          <w:tcPr>
            <w:tcW w:w="5883" w:type="dxa"/>
          </w:tcPr>
          <w:p>
            <w:pPr>
              <w:pStyle w:val="TableParagraph"/>
              <w:spacing w:line="176" w:lineRule="exact"/>
              <w:ind w:left="69"/>
              <w:rPr>
                <w:sz w:val="16"/>
              </w:rPr>
            </w:pPr>
            <w:r>
              <w:rPr>
                <w:sz w:val="16"/>
              </w:rPr>
              <w:t>Aplicación de la ley: prevención de conflictos de intereses y profesionalismo.</w:t>
            </w:r>
          </w:p>
        </w:tc>
        <w:tc>
          <w:tcPr>
            <w:tcW w:w="892" w:type="dxa"/>
          </w:tcPr>
          <w:p>
            <w:pPr>
              <w:pStyle w:val="TableParagraph"/>
              <w:spacing w:line="176" w:lineRule="exact"/>
              <w:ind w:left="291" w:right="292"/>
              <w:jc w:val="center"/>
              <w:rPr>
                <w:sz w:val="16"/>
              </w:rPr>
            </w:pPr>
            <w:r>
              <w:rPr>
                <w:sz w:val="16"/>
              </w:rPr>
              <w:t>73</w:t>
            </w:r>
          </w:p>
        </w:tc>
        <w:tc>
          <w:tcPr>
            <w:tcW w:w="712" w:type="dxa"/>
          </w:tcPr>
          <w:p>
            <w:pPr>
              <w:pStyle w:val="TableParagraph"/>
              <w:spacing w:line="176" w:lineRule="exact"/>
              <w:ind w:left="202" w:right="201"/>
              <w:jc w:val="center"/>
              <w:rPr>
                <w:sz w:val="16"/>
              </w:rPr>
            </w:pPr>
            <w:r>
              <w:rPr>
                <w:sz w:val="16"/>
              </w:rPr>
              <w:t>63</w:t>
            </w:r>
          </w:p>
        </w:tc>
        <w:tc>
          <w:tcPr>
            <w:tcW w:w="511" w:type="dxa"/>
            <w:tcBorders>
              <w:right w:val="single" w:sz="12" w:space="0" w:color="D9D9D9"/>
            </w:tcBorders>
          </w:tcPr>
          <w:p>
            <w:pPr>
              <w:pStyle w:val="TableParagraph"/>
              <w:spacing w:line="176" w:lineRule="exact"/>
              <w:ind w:right="151"/>
              <w:jc w:val="right"/>
              <w:rPr>
                <w:sz w:val="16"/>
              </w:rPr>
            </w:pPr>
            <w:r>
              <w:rPr>
                <w:sz w:val="16"/>
              </w:rPr>
              <w:t>77</w:t>
            </w:r>
          </w:p>
        </w:tc>
      </w:tr>
      <w:tr>
        <w:trPr>
          <w:trHeight w:val="187" w:hRule="exact"/>
        </w:trPr>
        <w:tc>
          <w:tcPr>
            <w:tcW w:w="842" w:type="dxa"/>
            <w:shd w:val="clear" w:color="auto" w:fill="D9D9D9"/>
          </w:tcPr>
          <w:p>
            <w:pPr/>
          </w:p>
        </w:tc>
        <w:tc>
          <w:tcPr>
            <w:tcW w:w="5883" w:type="dxa"/>
            <w:shd w:val="clear" w:color="auto" w:fill="D9D9D9"/>
          </w:tcPr>
          <w:p>
            <w:pPr>
              <w:pStyle w:val="TableParagraph"/>
              <w:spacing w:line="178" w:lineRule="exact"/>
              <w:ind w:left="69"/>
              <w:rPr>
                <w:b/>
                <w:sz w:val="16"/>
              </w:rPr>
            </w:pPr>
            <w:r>
              <w:rPr>
                <w:b/>
                <w:sz w:val="16"/>
              </w:rPr>
              <w:t>Puntuación por país</w:t>
            </w:r>
          </w:p>
        </w:tc>
        <w:tc>
          <w:tcPr>
            <w:tcW w:w="892" w:type="dxa"/>
            <w:shd w:val="clear" w:color="auto" w:fill="D9D9D9"/>
          </w:tcPr>
          <w:p>
            <w:pPr>
              <w:pStyle w:val="TableParagraph"/>
              <w:spacing w:line="178" w:lineRule="exact"/>
              <w:ind w:left="291" w:right="292"/>
              <w:jc w:val="center"/>
              <w:rPr>
                <w:b/>
                <w:sz w:val="16"/>
              </w:rPr>
            </w:pPr>
            <w:r>
              <w:rPr>
                <w:b/>
                <w:sz w:val="16"/>
              </w:rPr>
              <w:t>79</w:t>
            </w:r>
          </w:p>
        </w:tc>
        <w:tc>
          <w:tcPr>
            <w:tcW w:w="712" w:type="dxa"/>
            <w:shd w:val="clear" w:color="auto" w:fill="E26C09"/>
          </w:tcPr>
          <w:p>
            <w:pPr>
              <w:pStyle w:val="TableParagraph"/>
              <w:spacing w:line="178" w:lineRule="exact"/>
              <w:ind w:left="202" w:right="201"/>
              <w:jc w:val="center"/>
              <w:rPr>
                <w:b/>
                <w:sz w:val="16"/>
              </w:rPr>
            </w:pPr>
            <w:r>
              <w:rPr>
                <w:b/>
                <w:sz w:val="16"/>
              </w:rPr>
              <w:t>67</w:t>
            </w:r>
          </w:p>
        </w:tc>
        <w:tc>
          <w:tcPr>
            <w:tcW w:w="511" w:type="dxa"/>
            <w:shd w:val="clear" w:color="auto" w:fill="D9D9D9"/>
          </w:tcPr>
          <w:p>
            <w:pPr>
              <w:pStyle w:val="TableParagraph"/>
              <w:spacing w:line="178" w:lineRule="exact"/>
              <w:ind w:right="167"/>
              <w:jc w:val="right"/>
              <w:rPr>
                <w:b/>
                <w:sz w:val="16"/>
              </w:rPr>
            </w:pPr>
            <w:r>
              <w:rPr>
                <w:b/>
                <w:sz w:val="16"/>
              </w:rPr>
              <w:t>85</w:t>
            </w:r>
          </w:p>
        </w:tc>
      </w:tr>
      <w:tr>
        <w:trPr>
          <w:trHeight w:val="185" w:hRule="exact"/>
        </w:trPr>
        <w:tc>
          <w:tcPr>
            <w:tcW w:w="842" w:type="dxa"/>
            <w:shd w:val="clear" w:color="auto" w:fill="D9D9D9"/>
          </w:tcPr>
          <w:p>
            <w:pPr/>
          </w:p>
        </w:tc>
        <w:tc>
          <w:tcPr>
            <w:tcW w:w="5883" w:type="dxa"/>
            <w:shd w:val="clear" w:color="auto" w:fill="D9D9D9"/>
          </w:tcPr>
          <w:p>
            <w:pPr>
              <w:pStyle w:val="TableParagraph"/>
              <w:spacing w:line="176" w:lineRule="exact"/>
              <w:ind w:left="69"/>
              <w:rPr>
                <w:b/>
                <w:sz w:val="16"/>
              </w:rPr>
            </w:pPr>
            <w:r>
              <w:rPr>
                <w:b/>
                <w:sz w:val="16"/>
              </w:rPr>
              <w:t>Puntuación del marco legal</w:t>
            </w:r>
          </w:p>
        </w:tc>
        <w:tc>
          <w:tcPr>
            <w:tcW w:w="892" w:type="dxa"/>
            <w:shd w:val="clear" w:color="auto" w:fill="D9D9D9"/>
          </w:tcPr>
          <w:p>
            <w:pPr>
              <w:pStyle w:val="TableParagraph"/>
              <w:spacing w:line="176" w:lineRule="exact"/>
              <w:ind w:left="291" w:right="292"/>
              <w:jc w:val="center"/>
              <w:rPr>
                <w:b/>
                <w:sz w:val="16"/>
              </w:rPr>
            </w:pPr>
            <w:r>
              <w:rPr>
                <w:b/>
                <w:sz w:val="16"/>
              </w:rPr>
              <w:t>84</w:t>
            </w:r>
          </w:p>
        </w:tc>
        <w:tc>
          <w:tcPr>
            <w:tcW w:w="712" w:type="dxa"/>
            <w:shd w:val="clear" w:color="auto" w:fill="E26C09"/>
          </w:tcPr>
          <w:p>
            <w:pPr>
              <w:pStyle w:val="TableParagraph"/>
              <w:spacing w:line="176" w:lineRule="exact"/>
              <w:ind w:left="202" w:right="201"/>
              <w:jc w:val="center"/>
              <w:rPr>
                <w:b/>
                <w:sz w:val="16"/>
              </w:rPr>
            </w:pPr>
            <w:r>
              <w:rPr>
                <w:b/>
                <w:sz w:val="16"/>
              </w:rPr>
              <w:t>83</w:t>
            </w:r>
          </w:p>
        </w:tc>
        <w:tc>
          <w:tcPr>
            <w:tcW w:w="511" w:type="dxa"/>
            <w:shd w:val="clear" w:color="auto" w:fill="D9D9D9"/>
          </w:tcPr>
          <w:p>
            <w:pPr>
              <w:pStyle w:val="TableParagraph"/>
              <w:spacing w:line="176" w:lineRule="exact"/>
              <w:ind w:right="167"/>
              <w:jc w:val="right"/>
              <w:rPr>
                <w:b/>
                <w:sz w:val="16"/>
              </w:rPr>
            </w:pPr>
            <w:r>
              <w:rPr>
                <w:b/>
                <w:sz w:val="16"/>
              </w:rPr>
              <w:t>90</w:t>
            </w:r>
          </w:p>
        </w:tc>
      </w:tr>
      <w:tr>
        <w:trPr>
          <w:trHeight w:val="196" w:hRule="exact"/>
        </w:trPr>
        <w:tc>
          <w:tcPr>
            <w:tcW w:w="842" w:type="dxa"/>
            <w:shd w:val="clear" w:color="auto" w:fill="D9D9D9"/>
          </w:tcPr>
          <w:p>
            <w:pPr/>
          </w:p>
        </w:tc>
        <w:tc>
          <w:tcPr>
            <w:tcW w:w="5883" w:type="dxa"/>
            <w:shd w:val="clear" w:color="auto" w:fill="D9D9D9"/>
          </w:tcPr>
          <w:p>
            <w:pPr>
              <w:pStyle w:val="TableParagraph"/>
              <w:spacing w:line="176" w:lineRule="exact"/>
              <w:ind w:left="69"/>
              <w:rPr>
                <w:b/>
                <w:sz w:val="16"/>
              </w:rPr>
            </w:pPr>
            <w:r>
              <w:rPr>
                <w:b/>
                <w:sz w:val="16"/>
              </w:rPr>
              <w:t>Puntuación por implementación actual</w:t>
            </w:r>
          </w:p>
        </w:tc>
        <w:tc>
          <w:tcPr>
            <w:tcW w:w="892" w:type="dxa"/>
            <w:shd w:val="clear" w:color="auto" w:fill="D9D9D9"/>
          </w:tcPr>
          <w:p>
            <w:pPr>
              <w:pStyle w:val="TableParagraph"/>
              <w:spacing w:line="176" w:lineRule="exact"/>
              <w:ind w:left="291" w:right="292"/>
              <w:jc w:val="center"/>
              <w:rPr>
                <w:b/>
                <w:sz w:val="16"/>
              </w:rPr>
            </w:pPr>
            <w:r>
              <w:rPr>
                <w:b/>
                <w:sz w:val="16"/>
              </w:rPr>
              <w:t>75</w:t>
            </w:r>
          </w:p>
        </w:tc>
        <w:tc>
          <w:tcPr>
            <w:tcW w:w="712" w:type="dxa"/>
            <w:tcBorders>
              <w:bottom w:val="single" w:sz="12" w:space="0" w:color="D9D9D9"/>
            </w:tcBorders>
            <w:shd w:val="clear" w:color="auto" w:fill="E26C09"/>
          </w:tcPr>
          <w:p>
            <w:pPr>
              <w:pStyle w:val="TableParagraph"/>
              <w:spacing w:line="176" w:lineRule="exact"/>
              <w:ind w:left="202" w:right="201"/>
              <w:jc w:val="center"/>
              <w:rPr>
                <w:b/>
                <w:sz w:val="16"/>
              </w:rPr>
            </w:pPr>
            <w:r>
              <w:rPr>
                <w:b/>
                <w:sz w:val="16"/>
              </w:rPr>
              <w:t>51</w:t>
            </w:r>
          </w:p>
        </w:tc>
        <w:tc>
          <w:tcPr>
            <w:tcW w:w="511" w:type="dxa"/>
            <w:shd w:val="clear" w:color="auto" w:fill="D9D9D9"/>
          </w:tcPr>
          <w:p>
            <w:pPr>
              <w:pStyle w:val="TableParagraph"/>
              <w:spacing w:line="176" w:lineRule="exact"/>
              <w:ind w:right="167"/>
              <w:jc w:val="right"/>
              <w:rPr>
                <w:b/>
                <w:sz w:val="16"/>
              </w:rPr>
            </w:pPr>
            <w:r>
              <w:rPr>
                <w:b/>
                <w:sz w:val="16"/>
              </w:rPr>
              <w:t>79</w:t>
            </w:r>
          </w:p>
        </w:tc>
      </w:tr>
    </w:tbl>
    <w:p>
      <w:pPr>
        <w:pStyle w:val="BodyText"/>
        <w:rPr>
          <w:sz w:val="20"/>
        </w:rPr>
      </w:pPr>
    </w:p>
    <w:p>
      <w:pPr>
        <w:pStyle w:val="BodyText"/>
        <w:spacing w:before="3"/>
        <w:rPr>
          <w:sz w:val="17"/>
        </w:rPr>
      </w:pPr>
    </w:p>
    <w:p>
      <w:pPr>
        <w:spacing w:before="0"/>
        <w:ind w:left="102" w:right="0" w:firstLine="0"/>
        <w:jc w:val="left"/>
        <w:rPr>
          <w:sz w:val="12"/>
        </w:rPr>
      </w:pPr>
      <w:r>
        <w:rPr>
          <w:sz w:val="12"/>
        </w:rPr>
        <w:t>FUENTE:      Elaboración propia con base en:</w:t>
      </w:r>
    </w:p>
    <w:p>
      <w:pPr>
        <w:spacing w:line="137" w:lineRule="exact" w:before="1"/>
        <w:ind w:left="810" w:right="0" w:firstLine="0"/>
        <w:jc w:val="left"/>
        <w:rPr>
          <w:sz w:val="12"/>
        </w:rPr>
      </w:pPr>
      <w:r>
        <w:rPr>
          <w:sz w:val="12"/>
        </w:rPr>
        <w:t>Global Integrity </w:t>
      </w:r>
      <w:r>
        <w:rPr>
          <w:i/>
          <w:sz w:val="12"/>
        </w:rPr>
        <w:t>the Global Integrity Report: 2011 executive Summary</w:t>
      </w:r>
      <w:r>
        <w:rPr>
          <w:sz w:val="12"/>
        </w:rPr>
        <w:t>, pp. 20, 30 y 38.</w:t>
      </w:r>
    </w:p>
    <w:p>
      <w:pPr>
        <w:spacing w:before="0"/>
        <w:ind w:left="810" w:right="4974" w:firstLine="0"/>
        <w:jc w:val="left"/>
        <w:rPr>
          <w:sz w:val="12"/>
        </w:rPr>
      </w:pPr>
      <w:r>
        <w:rPr>
          <w:sz w:val="12"/>
        </w:rPr>
        <w:t>Disponible en: </w:t>
      </w:r>
      <w:hyperlink r:id="rId97">
        <w:r>
          <w:rPr>
            <w:sz w:val="12"/>
          </w:rPr>
          <w:t>http://www.globalintegrity.org/files/GIR2011.pdf</w:t>
        </w:r>
      </w:hyperlink>
      <w:r>
        <w:rPr>
          <w:sz w:val="12"/>
        </w:rPr>
        <w:t> [Fecha consulta 6 de agosto, 2015]</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0"/>
        <w:rPr>
          <w:sz w:val="17"/>
        </w:rPr>
      </w:pPr>
    </w:p>
    <w:p>
      <w:pPr>
        <w:pStyle w:val="BodyText"/>
        <w:spacing w:line="360" w:lineRule="auto"/>
        <w:ind w:left="102" w:right="162" w:firstLine="707"/>
        <w:jc w:val="both"/>
      </w:pPr>
      <w:r>
        <w:rPr/>
        <w:t>El Estado mexicano obtuvo 67 puntos (débil), el alemán 79 (moderado) y el estadounidense</w:t>
      </w:r>
      <w:r>
        <w:rPr>
          <w:spacing w:val="-7"/>
        </w:rPr>
        <w:t> </w:t>
      </w:r>
      <w:r>
        <w:rPr/>
        <w:t>85</w:t>
      </w:r>
      <w:r>
        <w:rPr>
          <w:spacing w:val="-7"/>
        </w:rPr>
        <w:t> </w:t>
      </w:r>
      <w:r>
        <w:rPr/>
        <w:t>(fuerte).</w:t>
      </w:r>
      <w:r>
        <w:rPr>
          <w:spacing w:val="-8"/>
        </w:rPr>
        <w:t> </w:t>
      </w:r>
      <w:r>
        <w:rPr/>
        <w:t>La</w:t>
      </w:r>
      <w:r>
        <w:rPr>
          <w:spacing w:val="-7"/>
        </w:rPr>
        <w:t> </w:t>
      </w:r>
      <w:r>
        <w:rPr/>
        <w:t>institución</w:t>
      </w:r>
      <w:r>
        <w:rPr>
          <w:spacing w:val="-9"/>
        </w:rPr>
        <w:t> </w:t>
      </w:r>
      <w:r>
        <w:rPr/>
        <w:t>afirmó</w:t>
      </w:r>
      <w:r>
        <w:rPr>
          <w:spacing w:val="-7"/>
        </w:rPr>
        <w:t> </w:t>
      </w:r>
      <w:r>
        <w:rPr/>
        <w:t>que</w:t>
      </w:r>
      <w:r>
        <w:rPr>
          <w:spacing w:val="-7"/>
        </w:rPr>
        <w:t> </w:t>
      </w:r>
      <w:r>
        <w:rPr/>
        <w:t>en</w:t>
      </w:r>
      <w:r>
        <w:rPr>
          <w:spacing w:val="-7"/>
        </w:rPr>
        <w:t> </w:t>
      </w:r>
      <w:r>
        <w:rPr/>
        <w:t>México</w:t>
      </w:r>
      <w:r>
        <w:rPr>
          <w:spacing w:val="-7"/>
        </w:rPr>
        <w:t> </w:t>
      </w:r>
      <w:r>
        <w:rPr/>
        <w:t>la</w:t>
      </w:r>
      <w:r>
        <w:rPr>
          <w:spacing w:val="-7"/>
        </w:rPr>
        <w:t> </w:t>
      </w:r>
      <w:r>
        <w:rPr/>
        <w:t>guerra</w:t>
      </w:r>
      <w:r>
        <w:rPr>
          <w:spacing w:val="-7"/>
        </w:rPr>
        <w:t> </w:t>
      </w:r>
      <w:r>
        <w:rPr/>
        <w:t>contra</w:t>
      </w:r>
      <w:r>
        <w:rPr>
          <w:spacing w:val="-7"/>
        </w:rPr>
        <w:t> </w:t>
      </w:r>
      <w:r>
        <w:rPr/>
        <w:t>las drogas ha influido negativamente en la transparencia y en la lucha contra la corrupción.</w:t>
      </w:r>
      <w:r>
        <w:rPr>
          <w:spacing w:val="-22"/>
        </w:rPr>
        <w:t> </w:t>
      </w:r>
      <w:r>
        <w:rPr/>
        <w:t>También</w:t>
      </w:r>
      <w:r>
        <w:rPr>
          <w:spacing w:val="-19"/>
        </w:rPr>
        <w:t> </w:t>
      </w:r>
      <w:r>
        <w:rPr/>
        <w:t>se</w:t>
      </w:r>
      <w:r>
        <w:rPr>
          <w:spacing w:val="-19"/>
        </w:rPr>
        <w:t> </w:t>
      </w:r>
      <w:r>
        <w:rPr/>
        <w:t>mencionó</w:t>
      </w:r>
      <w:r>
        <w:rPr>
          <w:spacing w:val="-19"/>
        </w:rPr>
        <w:t> </w:t>
      </w:r>
      <w:r>
        <w:rPr/>
        <w:t>que</w:t>
      </w:r>
      <w:r>
        <w:rPr>
          <w:spacing w:val="-19"/>
        </w:rPr>
        <w:t> </w:t>
      </w:r>
      <w:r>
        <w:rPr/>
        <w:t>hay</w:t>
      </w:r>
      <w:r>
        <w:rPr>
          <w:spacing w:val="-22"/>
        </w:rPr>
        <w:t> </w:t>
      </w:r>
      <w:r>
        <w:rPr/>
        <w:t>la</w:t>
      </w:r>
      <w:r>
        <w:rPr>
          <w:spacing w:val="-19"/>
        </w:rPr>
        <w:t> </w:t>
      </w:r>
      <w:r>
        <w:rPr/>
        <w:t>negativa</w:t>
      </w:r>
      <w:r>
        <w:rPr>
          <w:spacing w:val="-19"/>
        </w:rPr>
        <w:t> </w:t>
      </w:r>
      <w:r>
        <w:rPr/>
        <w:t>de</w:t>
      </w:r>
      <w:r>
        <w:rPr>
          <w:spacing w:val="-19"/>
        </w:rPr>
        <w:t> </w:t>
      </w:r>
      <w:r>
        <w:rPr/>
        <w:t>las</w:t>
      </w:r>
      <w:r>
        <w:rPr>
          <w:spacing w:val="-19"/>
        </w:rPr>
        <w:t> </w:t>
      </w:r>
      <w:r>
        <w:rPr/>
        <w:t>autoridades</w:t>
      </w:r>
      <w:r>
        <w:rPr>
          <w:spacing w:val="-20"/>
        </w:rPr>
        <w:t> </w:t>
      </w:r>
      <w:r>
        <w:rPr/>
        <w:t>de</w:t>
      </w:r>
      <w:r>
        <w:rPr>
          <w:spacing w:val="-19"/>
        </w:rPr>
        <w:t> </w:t>
      </w:r>
      <w:r>
        <w:rPr/>
        <w:t>publicar información sobre la seguridad pública. La autocensura, de acuerdo con el</w:t>
      </w:r>
      <w:r>
        <w:rPr>
          <w:spacing w:val="-41"/>
        </w:rPr>
        <w:t> </w:t>
      </w:r>
      <w:r>
        <w:rPr/>
        <w:t>estudio, es más común encontrarla en los medios de comunicación, los ciudadanos y las organizaciones civiles de rendición de cuentas del Estado</w:t>
      </w:r>
      <w:r>
        <w:rPr>
          <w:spacing w:val="-27"/>
        </w:rPr>
        <w:t> </w:t>
      </w:r>
      <w:r>
        <w:rPr/>
        <w:t>mexicano.</w:t>
      </w:r>
    </w:p>
    <w:p>
      <w:pPr>
        <w:spacing w:after="0" w:line="360" w:lineRule="auto"/>
        <w:jc w:val="both"/>
        <w:sectPr>
          <w:pgSz w:w="12240" w:h="15840"/>
          <w:pgMar w:header="0" w:footer="1003" w:top="1360" w:bottom="1200" w:left="1600" w:right="1540"/>
        </w:sectPr>
      </w:pPr>
    </w:p>
    <w:p>
      <w:pPr>
        <w:pStyle w:val="Heading1"/>
        <w:spacing w:line="360" w:lineRule="auto"/>
        <w:ind w:left="545" w:right="558" w:firstLine="5"/>
      </w:pPr>
      <w:bookmarkStart w:name="_bookmark39" w:id="50"/>
      <w:bookmarkEnd w:id="50"/>
      <w:r>
        <w:rPr>
          <w:b w:val="0"/>
        </w:rPr>
      </w:r>
      <w:r>
        <w:rPr/>
        <w:t>CAPÍTULO SEGUNDO. LA EVOLUCIÓN DEL ESTADO Y LA RENDICIÓN DE CUENTAS EN MÉXICO: UNA PERSPECTIVA POLÍTICA</w:t>
      </w:r>
    </w:p>
    <w:p>
      <w:pPr>
        <w:pStyle w:val="BodyText"/>
        <w:spacing w:before="1"/>
        <w:rPr>
          <w:b/>
          <w:sz w:val="25"/>
        </w:rPr>
      </w:pPr>
    </w:p>
    <w:p>
      <w:pPr>
        <w:pStyle w:val="BodyText"/>
        <w:spacing w:line="360" w:lineRule="auto"/>
        <w:ind w:left="102" w:right="120"/>
        <w:jc w:val="both"/>
      </w:pPr>
      <w:r>
        <w:rPr/>
        <w:t>Más que fechas, datos y acontecimientos, la evolución del Estado y la política muestra los efectos simultáneos de fuerzas políticas y económicas que tienen un peso</w:t>
      </w:r>
      <w:r>
        <w:rPr>
          <w:spacing w:val="-8"/>
        </w:rPr>
        <w:t> </w:t>
      </w:r>
      <w:r>
        <w:rPr/>
        <w:t>extraordinario</w:t>
      </w:r>
      <w:r>
        <w:rPr>
          <w:spacing w:val="-8"/>
        </w:rPr>
        <w:t> </w:t>
      </w:r>
      <w:r>
        <w:rPr/>
        <w:t>en</w:t>
      </w:r>
      <w:r>
        <w:rPr>
          <w:spacing w:val="-8"/>
        </w:rPr>
        <w:t> </w:t>
      </w:r>
      <w:r>
        <w:rPr/>
        <w:t>la</w:t>
      </w:r>
      <w:r>
        <w:rPr>
          <w:spacing w:val="-6"/>
        </w:rPr>
        <w:t> </w:t>
      </w:r>
      <w:r>
        <w:rPr/>
        <w:t>situación</w:t>
      </w:r>
      <w:r>
        <w:rPr>
          <w:spacing w:val="-6"/>
        </w:rPr>
        <w:t> </w:t>
      </w:r>
      <w:r>
        <w:rPr/>
        <w:t>actual</w:t>
      </w:r>
      <w:r>
        <w:rPr>
          <w:spacing w:val="-10"/>
        </w:rPr>
        <w:t> </w:t>
      </w:r>
      <w:r>
        <w:rPr/>
        <w:t>del</w:t>
      </w:r>
      <w:r>
        <w:rPr>
          <w:spacing w:val="-10"/>
        </w:rPr>
        <w:t> </w:t>
      </w:r>
      <w:r>
        <w:rPr/>
        <w:t>Estado</w:t>
      </w:r>
      <w:r>
        <w:rPr>
          <w:spacing w:val="-8"/>
        </w:rPr>
        <w:t> </w:t>
      </w:r>
      <w:r>
        <w:rPr/>
        <w:t>mexicano.</w:t>
      </w:r>
      <w:r>
        <w:rPr>
          <w:spacing w:val="-9"/>
        </w:rPr>
        <w:t> </w:t>
      </w:r>
      <w:r>
        <w:rPr/>
        <w:t>Las</w:t>
      </w:r>
      <w:r>
        <w:rPr>
          <w:spacing w:val="-12"/>
        </w:rPr>
        <w:t> </w:t>
      </w:r>
      <w:r>
        <w:rPr/>
        <w:t>secuelas</w:t>
      </w:r>
      <w:r>
        <w:rPr>
          <w:spacing w:val="-9"/>
        </w:rPr>
        <w:t> </w:t>
      </w:r>
      <w:r>
        <w:rPr/>
        <w:t>de</w:t>
      </w:r>
      <w:r>
        <w:rPr>
          <w:spacing w:val="-8"/>
        </w:rPr>
        <w:t> </w:t>
      </w:r>
      <w:r>
        <w:rPr/>
        <w:t>los acontecimientos internos, intervenciones externas y el entorno internacional dieron como resultado la presente cultura</w:t>
      </w:r>
      <w:r>
        <w:rPr>
          <w:spacing w:val="-14"/>
        </w:rPr>
        <w:t> </w:t>
      </w:r>
      <w:r>
        <w:rPr/>
        <w:t>política.</w:t>
      </w:r>
    </w:p>
    <w:p>
      <w:pPr>
        <w:pStyle w:val="BodyText"/>
        <w:spacing w:line="360" w:lineRule="auto" w:before="2"/>
        <w:ind w:left="102" w:right="126" w:firstLine="427"/>
        <w:jc w:val="both"/>
      </w:pPr>
      <w:r>
        <w:rPr/>
        <w:t>Para comprender el Estado mexicano y la rendición de cuentas, es preciso considerar que, a través de la historia, México ha sido influido y, en ocasiones, ha debido modificar de manera extrema sus políticas.</w:t>
      </w:r>
    </w:p>
    <w:p>
      <w:pPr>
        <w:pStyle w:val="BodyText"/>
        <w:spacing w:line="360" w:lineRule="auto" w:before="5"/>
        <w:ind w:left="102" w:right="123" w:firstLine="427"/>
        <w:jc w:val="both"/>
      </w:pPr>
      <w:r>
        <w:rPr/>
        <w:t>La lucha por la independencia y la idea de construir un Estado sin una orientación definida, crearon muchos desaciertos de la clase política mexicana y propiciaron el aumento de la corrupción.</w:t>
      </w:r>
    </w:p>
    <w:p>
      <w:pPr>
        <w:pStyle w:val="BodyText"/>
        <w:spacing w:line="360" w:lineRule="auto" w:before="2"/>
        <w:ind w:left="102" w:right="116" w:firstLine="427"/>
        <w:jc w:val="both"/>
      </w:pPr>
      <w:r>
        <w:rPr/>
        <w:t>Aunque la idea de independencia en México fue una influencia europea y norteamericana, el caso mexicano no se circunscribe a la teoría política tradicional de esas regiones. La singularidad de México ha radicado, entre otros aspectos, en la geopolítica y en que los modelos extranjeros son adoptados tardía y deficientemente para los requerimientos nacionales.</w:t>
      </w:r>
    </w:p>
    <w:p>
      <w:pPr>
        <w:pStyle w:val="BodyText"/>
        <w:spacing w:line="360" w:lineRule="auto" w:before="5"/>
        <w:ind w:left="102" w:right="124" w:firstLine="427"/>
        <w:jc w:val="both"/>
      </w:pPr>
      <w:r>
        <w:rPr/>
        <w:t>Mientras que en Europa el cambio político permitió abolir el sistema feudal, en México los movimientos armados han dejado vestigios del sistema anterior: el caciquismo, el autoritarismo y el compadrazgo. El poder del Estado mexicano, a través de los siglos XIX y XX, principalmente, se ha caracterizado por la concentración de un poder excesivo, violento y anárquico.</w:t>
      </w:r>
    </w:p>
    <w:p>
      <w:pPr>
        <w:pStyle w:val="BodyText"/>
        <w:spacing w:line="360" w:lineRule="auto" w:before="5"/>
        <w:ind w:left="102" w:right="118" w:firstLine="427"/>
        <w:jc w:val="both"/>
      </w:pPr>
      <w:r>
        <w:rPr/>
        <w:t>Si bien las fechas de los asentamientos de las culturas precolombinas varían, al parecer la práctica hacendaria y los elementos de rendición de cuentas (información,</w:t>
      </w:r>
      <w:r>
        <w:rPr>
          <w:spacing w:val="-19"/>
        </w:rPr>
        <w:t> </w:t>
      </w:r>
      <w:r>
        <w:rPr/>
        <w:t>justificación</w:t>
      </w:r>
      <w:r>
        <w:rPr>
          <w:spacing w:val="-19"/>
        </w:rPr>
        <w:t> </w:t>
      </w:r>
      <w:r>
        <w:rPr/>
        <w:t>y</w:t>
      </w:r>
      <w:r>
        <w:rPr>
          <w:spacing w:val="-21"/>
        </w:rPr>
        <w:t> </w:t>
      </w:r>
      <w:r>
        <w:rPr/>
        <w:t>sanción)</w:t>
      </w:r>
      <w:r>
        <w:rPr>
          <w:spacing w:val="-19"/>
        </w:rPr>
        <w:t> </w:t>
      </w:r>
      <w:r>
        <w:rPr/>
        <w:t>de</w:t>
      </w:r>
      <w:r>
        <w:rPr>
          <w:spacing w:val="-19"/>
        </w:rPr>
        <w:t> </w:t>
      </w:r>
      <w:r>
        <w:rPr/>
        <w:t>los</w:t>
      </w:r>
      <w:r>
        <w:rPr>
          <w:spacing w:val="-21"/>
        </w:rPr>
        <w:t> </w:t>
      </w:r>
      <w:r>
        <w:rPr/>
        <w:t>mexicas</w:t>
      </w:r>
      <w:r>
        <w:rPr>
          <w:spacing w:val="-19"/>
        </w:rPr>
        <w:t> </w:t>
      </w:r>
      <w:r>
        <w:rPr/>
        <w:t>es</w:t>
      </w:r>
      <w:r>
        <w:rPr>
          <w:spacing w:val="-19"/>
        </w:rPr>
        <w:t> </w:t>
      </w:r>
      <w:r>
        <w:rPr/>
        <w:t>más</w:t>
      </w:r>
      <w:r>
        <w:rPr>
          <w:spacing w:val="-19"/>
        </w:rPr>
        <w:t> </w:t>
      </w:r>
      <w:r>
        <w:rPr/>
        <w:t>antigua</w:t>
      </w:r>
      <w:r>
        <w:rPr>
          <w:spacing w:val="-19"/>
        </w:rPr>
        <w:t> </w:t>
      </w:r>
      <w:r>
        <w:rPr/>
        <w:t>que</w:t>
      </w:r>
      <w:r>
        <w:rPr>
          <w:spacing w:val="-19"/>
        </w:rPr>
        <w:t> </w:t>
      </w:r>
      <w:r>
        <w:rPr/>
        <w:t>la</w:t>
      </w:r>
      <w:r>
        <w:rPr>
          <w:spacing w:val="-19"/>
        </w:rPr>
        <w:t> </w:t>
      </w:r>
      <w:r>
        <w:rPr/>
        <w:t>española; por otra parte, la tradición de los reyes europeos de obsequiar propiedades del Estado con sus homólogos, especialmente en el Siglo XIX, les hizo necesario perfeccionar  su  política  fiscal.  Esta  política  reemplazó  al  sistema  mexica    </w:t>
      </w:r>
      <w:r>
        <w:rPr>
          <w:spacing w:val="7"/>
        </w:rPr>
        <w:t> </w:t>
      </w:r>
      <w:r>
        <w:rPr/>
        <w:t>al</w:t>
      </w:r>
    </w:p>
    <w:p>
      <w:pPr>
        <w:spacing w:after="0" w:line="360" w:lineRule="auto"/>
        <w:jc w:val="both"/>
        <w:sectPr>
          <w:pgSz w:w="12240" w:h="15840"/>
          <w:pgMar w:header="0" w:footer="1003" w:top="1360" w:bottom="1200" w:left="1600" w:right="1580"/>
        </w:sectPr>
      </w:pPr>
    </w:p>
    <w:p>
      <w:pPr>
        <w:pStyle w:val="BodyText"/>
        <w:spacing w:line="362" w:lineRule="auto" w:before="54"/>
        <w:ind w:left="102"/>
      </w:pPr>
      <w:r>
        <w:rPr/>
        <w:t>establecerse</w:t>
      </w:r>
      <w:r>
        <w:rPr>
          <w:spacing w:val="-17"/>
        </w:rPr>
        <w:t> </w:t>
      </w:r>
      <w:r>
        <w:rPr/>
        <w:t>en</w:t>
      </w:r>
      <w:r>
        <w:rPr>
          <w:spacing w:val="-16"/>
        </w:rPr>
        <w:t> </w:t>
      </w:r>
      <w:r>
        <w:rPr/>
        <w:t>las</w:t>
      </w:r>
      <w:r>
        <w:rPr>
          <w:spacing w:val="-17"/>
        </w:rPr>
        <w:t> </w:t>
      </w:r>
      <w:r>
        <w:rPr/>
        <w:t>Américas</w:t>
      </w:r>
      <w:r>
        <w:rPr>
          <w:spacing w:val="-15"/>
        </w:rPr>
        <w:t> </w:t>
      </w:r>
      <w:r>
        <w:rPr/>
        <w:t>(los</w:t>
      </w:r>
      <w:r>
        <w:rPr>
          <w:spacing w:val="-17"/>
        </w:rPr>
        <w:t> </w:t>
      </w:r>
      <w:r>
        <w:rPr/>
        <w:t>mexicas</w:t>
      </w:r>
      <w:r>
        <w:rPr>
          <w:spacing w:val="-17"/>
        </w:rPr>
        <w:t> </w:t>
      </w:r>
      <w:r>
        <w:rPr/>
        <w:t>fueron</w:t>
      </w:r>
      <w:r>
        <w:rPr>
          <w:spacing w:val="-16"/>
        </w:rPr>
        <w:t> </w:t>
      </w:r>
      <w:r>
        <w:rPr/>
        <w:t>gobernados</w:t>
      </w:r>
      <w:r>
        <w:rPr>
          <w:spacing w:val="-20"/>
        </w:rPr>
        <w:t> </w:t>
      </w:r>
      <w:r>
        <w:rPr/>
        <w:t>mediante</w:t>
      </w:r>
      <w:r>
        <w:rPr>
          <w:spacing w:val="-14"/>
        </w:rPr>
        <w:t> </w:t>
      </w:r>
      <w:r>
        <w:rPr/>
        <w:t>una</w:t>
      </w:r>
      <w:r>
        <w:rPr>
          <w:spacing w:val="-16"/>
        </w:rPr>
        <w:t> </w:t>
      </w:r>
      <w:r>
        <w:rPr/>
        <w:t>política despótica, aunque efectiva para mantener su nivel de</w:t>
      </w:r>
      <w:r>
        <w:rPr>
          <w:spacing w:val="-27"/>
        </w:rPr>
        <w:t> </w:t>
      </w:r>
      <w:r>
        <w:rPr/>
        <w:t>gobernabilidad).</w:t>
      </w:r>
    </w:p>
    <w:p>
      <w:pPr>
        <w:pStyle w:val="BodyText"/>
      </w:pPr>
    </w:p>
    <w:p>
      <w:pPr>
        <w:pStyle w:val="BodyText"/>
        <w:spacing w:line="360" w:lineRule="auto" w:before="139"/>
        <w:ind w:left="102" w:right="125" w:firstLine="427"/>
        <w:jc w:val="both"/>
      </w:pPr>
      <w:r>
        <w:rPr/>
        <w:t>La cultura prehispánica mexica contó con un sistema político fuerte, donde el liderazgo del sistema político, económico y religioso fue depositado en una sola persona.</w:t>
      </w:r>
    </w:p>
    <w:p>
      <w:pPr>
        <w:pStyle w:val="BodyText"/>
        <w:spacing w:line="360" w:lineRule="auto" w:before="2"/>
        <w:ind w:left="102" w:right="119" w:firstLine="427"/>
        <w:jc w:val="both"/>
      </w:pPr>
      <w:r>
        <w:rPr/>
        <w:t>El Estado de las comunidades prehispánicas que aseguraba sustento a sus habitantes con el tiempo pasó a ser mercantilista, subsidiario del capital extranjero, que incrementó la desigualdad social, la pobreza y la corrupción.</w:t>
      </w:r>
    </w:p>
    <w:p>
      <w:pPr>
        <w:pStyle w:val="BodyText"/>
        <w:spacing w:line="360" w:lineRule="auto" w:before="5"/>
        <w:ind w:left="102" w:right="116" w:firstLine="427"/>
        <w:jc w:val="both"/>
      </w:pPr>
      <w:r>
        <w:rPr/>
        <w:t>Las instituciones políticas españolas que se implantaron en la Nueva España eliminaron los vestigios del sistema político mexica, lo que hizo obligatoria la adopción de las formas de organización europea en la región americana.</w:t>
      </w:r>
    </w:p>
    <w:p>
      <w:pPr>
        <w:pStyle w:val="BodyText"/>
        <w:spacing w:line="360" w:lineRule="auto" w:before="2"/>
        <w:ind w:left="102" w:right="114" w:firstLine="427"/>
        <w:jc w:val="both"/>
      </w:pPr>
      <w:r>
        <w:rPr/>
        <w:t>A partir de la conquista y la independencia, un grupo político se apropió del Estado a fin de obtener beneficios para su provecho, lo que generó corrupción. El Estado mexicano, caracterizado en el Siglo XX por el predominio del Poder Ejecutivo</w:t>
      </w:r>
      <w:r>
        <w:rPr>
          <w:color w:val="00AF50"/>
        </w:rPr>
        <w:t>, </w:t>
      </w:r>
      <w:r>
        <w:rPr/>
        <w:t>fue una mezcla de alta dictadura y escasa representación democrática.</w:t>
      </w:r>
    </w:p>
    <w:p>
      <w:pPr>
        <w:pStyle w:val="BodyText"/>
        <w:spacing w:line="360" w:lineRule="auto" w:before="2"/>
        <w:ind w:left="102" w:right="116" w:firstLine="427"/>
        <w:jc w:val="both"/>
      </w:pPr>
      <w:r>
        <w:rPr/>
        <w:t>Los independentistas mexicanos del Siglo XIX aprovecharon el ejemplo de la administración pública española para conformar tanto las instituciones</w:t>
      </w:r>
      <w:r>
        <w:rPr>
          <w:spacing w:val="-37"/>
        </w:rPr>
        <w:t> </w:t>
      </w:r>
      <w:r>
        <w:rPr/>
        <w:t>hacendarias como aquellas encargadas de la revisión de las cuentas del naciente Estado mexicano.</w:t>
      </w:r>
    </w:p>
    <w:p>
      <w:pPr>
        <w:pStyle w:val="BodyText"/>
        <w:spacing w:line="360" w:lineRule="auto" w:before="2"/>
        <w:ind w:left="102" w:right="117" w:firstLine="427"/>
        <w:jc w:val="both"/>
      </w:pPr>
      <w:r>
        <w:rPr/>
        <w:t>Si bien la división de poderes ha sido instituida desde la primera Constitución Federal, en México, la figura presidencial representó un poder supremo sobre los otros dos poderes. En la actualidad se comprende que existe un intercambio recíproco entre justicia y legitimidad, ya que solo un sistema justo permite que una sociedad organizada le otorgue legitimidad al Estado. En este sentido, la rendición de cuentas se ha venido construyendo como ese puente entre justicia y legitimidad del Estado a lo largo del Siglo XX.</w:t>
      </w:r>
    </w:p>
    <w:p>
      <w:pPr>
        <w:pStyle w:val="BodyText"/>
        <w:spacing w:line="360" w:lineRule="auto" w:before="5"/>
        <w:ind w:left="102" w:right="123" w:firstLine="427"/>
        <w:jc w:val="both"/>
      </w:pPr>
      <w:r>
        <w:rPr/>
        <w:t>Resulta complicado revisar todos los aspectos políticos que se sucedieron en México y la evolución de los elementos de rendición de cuentas, por lo que en este capítulo solo se presenta una visión sintetizada de los acontecimientos más relevantes, desde las civilizaciones prehispánicas hasta el Siglo XX.</w:t>
      </w:r>
    </w:p>
    <w:p>
      <w:pPr>
        <w:spacing w:after="0" w:line="360" w:lineRule="auto"/>
        <w:jc w:val="both"/>
        <w:sectPr>
          <w:pgSz w:w="12240" w:h="15840"/>
          <w:pgMar w:header="0" w:footer="1003" w:top="1360" w:bottom="1200" w:left="1600" w:right="1580"/>
        </w:sectPr>
      </w:pPr>
    </w:p>
    <w:p>
      <w:pPr>
        <w:pStyle w:val="BodyText"/>
        <w:spacing w:line="360" w:lineRule="auto" w:before="54"/>
        <w:ind w:left="142" w:right="119" w:firstLine="427"/>
        <w:jc w:val="both"/>
      </w:pPr>
      <w:r>
        <w:rPr/>
        <w:t>Mediante el estudio de la historia se hacen presentes los elementos que hacen singular a México: el nacimiento del Estado, carente de una orientación definida hacia “el buen gobierno” y una división de poderes no pragmática, que dieron paso a una elevada concentración del poder, el abuso de la clase política y la excesiva intervención del Estado, que en forma conjunta aumentaron la corrupción.</w:t>
      </w:r>
    </w:p>
    <w:p>
      <w:pPr>
        <w:pStyle w:val="BodyText"/>
      </w:pPr>
    </w:p>
    <w:p>
      <w:pPr>
        <w:pStyle w:val="BodyText"/>
        <w:spacing w:line="362" w:lineRule="auto" w:before="139"/>
        <w:ind w:left="142" w:right="113" w:firstLine="427"/>
        <w:jc w:val="both"/>
      </w:pPr>
      <w:r>
        <w:rPr/>
        <w:t>En el esquema siguiente se presenta </w:t>
      </w:r>
      <w:r>
        <w:rPr>
          <w:i/>
        </w:rPr>
        <w:t>grosso modo</w:t>
      </w:r>
      <w:r>
        <w:rPr/>
        <w:t>, la evolución del Estado y sus</w:t>
      </w:r>
      <w:r>
        <w:rPr>
          <w:spacing w:val="-8"/>
        </w:rPr>
        <w:t> </w:t>
      </w:r>
      <w:r>
        <w:rPr/>
        <w:t>mecanismos</w:t>
      </w:r>
      <w:r>
        <w:rPr>
          <w:spacing w:val="-5"/>
        </w:rPr>
        <w:t> </w:t>
      </w:r>
      <w:r>
        <w:rPr/>
        <w:t>de</w:t>
      </w:r>
      <w:r>
        <w:rPr>
          <w:spacing w:val="-5"/>
        </w:rPr>
        <w:t> </w:t>
      </w:r>
      <w:r>
        <w:rPr/>
        <w:t>control,</w:t>
      </w:r>
      <w:r>
        <w:rPr>
          <w:spacing w:val="-5"/>
        </w:rPr>
        <w:t> </w:t>
      </w:r>
      <w:r>
        <w:rPr/>
        <w:t>tanto</w:t>
      </w:r>
      <w:r>
        <w:rPr>
          <w:spacing w:val="-5"/>
        </w:rPr>
        <w:t> </w:t>
      </w:r>
      <w:r>
        <w:rPr/>
        <w:t>interno</w:t>
      </w:r>
      <w:r>
        <w:rPr>
          <w:spacing w:val="-7"/>
        </w:rPr>
        <w:t> </w:t>
      </w:r>
      <w:r>
        <w:rPr/>
        <w:t>como</w:t>
      </w:r>
      <w:r>
        <w:rPr>
          <w:spacing w:val="-5"/>
        </w:rPr>
        <w:t> </w:t>
      </w:r>
      <w:r>
        <w:rPr/>
        <w:t>externo,</w:t>
      </w:r>
      <w:r>
        <w:rPr>
          <w:spacing w:val="-10"/>
        </w:rPr>
        <w:t> </w:t>
      </w:r>
      <w:r>
        <w:rPr/>
        <w:t>mostrando</w:t>
      </w:r>
      <w:r>
        <w:rPr>
          <w:spacing w:val="-9"/>
        </w:rPr>
        <w:t> </w:t>
      </w:r>
      <w:r>
        <w:rPr/>
        <w:t>el</w:t>
      </w:r>
      <w:r>
        <w:rPr>
          <w:spacing w:val="-6"/>
        </w:rPr>
        <w:t> </w:t>
      </w:r>
      <w:r>
        <w:rPr/>
        <w:t>desarrollo</w:t>
      </w:r>
      <w:r>
        <w:rPr>
          <w:spacing w:val="-5"/>
        </w:rPr>
        <w:t> </w:t>
      </w:r>
      <w:r>
        <w:rPr/>
        <w:t>de las dos instituciones encargadas de vigilar el uso adecuado de los recursos mediante la rendición de</w:t>
      </w:r>
      <w:r>
        <w:rPr>
          <w:spacing w:val="-15"/>
        </w:rPr>
        <w:t> </w:t>
      </w:r>
      <w:r>
        <w:rPr/>
        <w:t>cuentas.</w:t>
      </w:r>
    </w:p>
    <w:p>
      <w:pPr>
        <w:pStyle w:val="BodyText"/>
      </w:pPr>
    </w:p>
    <w:p>
      <w:pPr>
        <w:pStyle w:val="BodyText"/>
      </w:pPr>
    </w:p>
    <w:p>
      <w:pPr>
        <w:pStyle w:val="BodyText"/>
      </w:pPr>
    </w:p>
    <w:p>
      <w:pPr>
        <w:pStyle w:val="BodyText"/>
        <w:rPr>
          <w:sz w:val="21"/>
        </w:rPr>
      </w:pPr>
    </w:p>
    <w:p>
      <w:pPr>
        <w:spacing w:before="0"/>
        <w:ind w:left="1608" w:right="0" w:firstLine="0"/>
        <w:jc w:val="left"/>
        <w:rPr>
          <w:sz w:val="20"/>
        </w:rPr>
      </w:pPr>
      <w:bookmarkStart w:name="_bookmark40" w:id="51"/>
      <w:bookmarkEnd w:id="51"/>
      <w:r>
        <w:rPr/>
      </w:r>
      <w:r>
        <w:rPr>
          <w:sz w:val="20"/>
        </w:rPr>
        <w:t>Esquema 2. 1. Evolución del Estado mexicano y del control estatal</w:t>
      </w:r>
    </w:p>
    <w:p>
      <w:pPr>
        <w:pStyle w:val="BodyText"/>
        <w:rPr>
          <w:sz w:val="20"/>
        </w:rPr>
      </w:pPr>
    </w:p>
    <w:p>
      <w:pPr>
        <w:pStyle w:val="BodyText"/>
        <w:rPr>
          <w:sz w:val="20"/>
        </w:rPr>
      </w:pPr>
    </w:p>
    <w:p>
      <w:pPr>
        <w:pStyle w:val="BodyText"/>
        <w:spacing w:before="1"/>
        <w:rPr>
          <w:sz w:val="18"/>
        </w:rPr>
      </w:pPr>
      <w:r>
        <w:rPr/>
        <w:pict>
          <v:group style="position:absolute;margin-left:83.160004pt;margin-top:12.392827pt;width:433.6pt;height:256.45pt;mso-position-horizontal-relative:page;mso-position-vertical-relative:paragraph;z-index:5872;mso-wrap-distance-left:0;mso-wrap-distance-right:0" coordorigin="1663,248" coordsize="8672,5129">
            <v:shape style="position:absolute;left:1663;top:248;width:8671;height:5129" type="#_x0000_t75" stroked="false">
              <v:imagedata r:id="rId98" o:title=""/>
            </v:shape>
            <v:rect style="position:absolute;left:1790;top:279;width:8503;height:5011" filled="true" fillcolor="#edebe0" stroked="false">
              <v:fill type="solid"/>
            </v:rect>
            <v:rect style="position:absolute;left:8848;top:1653;width:1208;height:452" filled="true" fillcolor="#ffffff" stroked="false">
              <v:fill type="solid"/>
            </v:rect>
            <v:rect style="position:absolute;left:8848;top:1653;width:1208;height:452" filled="false" stroked="true" strokeweight="1.081058pt" strokecolor="#000000"/>
            <v:shape style="position:absolute;left:1791;top:946;width:8230;height:4084" coordorigin="1791,946" coordsize="8230,4084" path="m9854,998l1791,4984,1822,5029,9885,1044,9915,999,9854,998xm10018,950l9953,950,9983,995,9885,1044,9836,1117,9832,1127,9833,1137,9838,1146,9847,1153,9859,1156,9871,1156,9881,1151,9889,1143,10018,950xm9959,960l9941,960,9968,999,9915,999,9885,1044,9976,999,9968,999,9976,999,9983,995,9959,960xm9941,960l9915,999,9968,999,9941,960xm9953,950l9854,998,9915,999,9941,960,9959,960,9953,950xm9755,946l9743,948,9733,953,9726,962,9724,972,9726,982,9733,990,9743,996,9755,998,9854,998,9953,950,10018,950,10020,946,9755,946xe" filled="true" fillcolor="#001f5f" stroked="false">
              <v:path arrowok="t"/>
              <v:fill type="solid"/>
            </v:shape>
            <v:shape style="position:absolute;left:2084;top:4974;width:229;height:139" type="#_x0000_t75" stroked="false">
              <v:imagedata r:id="rId99" o:title=""/>
            </v:shape>
            <v:shape style="position:absolute;left:3195;top:4396;width:226;height:149" type="#_x0000_t75" stroked="false">
              <v:imagedata r:id="rId100" o:title=""/>
            </v:shape>
            <v:shape style="position:absolute;left:1941;top:3418;width:2368;height:1711" type="#_x0000_t75" stroked="false">
              <v:imagedata r:id="rId101" o:title=""/>
            </v:shape>
            <v:shape style="position:absolute;left:3655;top:4477;width:169;height:229" type="#_x0000_t75" stroked="false">
              <v:imagedata r:id="rId102" o:title=""/>
            </v:shape>
            <v:shape style="position:absolute;left:3175;top:3889;width:170;height:420" coordorigin="3175,3889" coordsize="170,420" path="m3282,4214l3246,4214,3248,4308,3284,4307,3282,4214xm3280,4089l3243,4090,3245,4183,3282,4183,3280,4089xm3269,3965l3249,3965,3241,3977,3243,4059,3279,4058,3278,3977,3269,3965xm3258,3889l3180,4006,3175,4014,3179,4023,3187,4027,3196,4032,3207,4029,3212,4021,3241,3977,3241,3965,3249,3965,3259,3950,3247,3934,3240,3934,3240,3920,3277,3919,3280,3919,3258,3889xm3312,3965l3278,3965,3278,3977,3314,4027,3325,4030,3334,4025,3342,4021,3345,4011,3312,3965xm3249,3965l3241,3965,3241,3977,3249,3965xm3278,3965l3269,3965,3278,3977,3278,3965xm3280,3919l3277,3919,3277,3934,3270,3934,3259,3950,3269,3965,3278,3965,3312,3965,3280,3919xm3270,3934l3247,3934,3259,3950,3270,3934xm3277,3919l3240,3920,3240,3934,3247,3934,3243,3928,3274,3927,3277,3927,3277,3919xm3247,3934l3240,3934,3247,3934,3247,3934xm3274,3927l3243,3928,3247,3934,3270,3934,3274,3927xm3277,3927l3274,3927,3270,3934,3277,3934,3277,3927xe" filled="true" fillcolor="#001f5f" stroked="false">
              <v:path arrowok="t"/>
              <v:fill type="solid"/>
            </v:shape>
            <v:shape style="position:absolute;left:2429;top:4536;width:978;height:634" type="#_x0000_t75" stroked="false">
              <v:imagedata r:id="rId103" o:title=""/>
            </v:shape>
            <v:shape style="position:absolute;left:4292;top:3406;width:683;height:145" coordorigin="4292,3406" coordsize="683,145" path="m4401,3467l4292,3468,4292,3499,4402,3498,4401,3467xm4548,3465l4438,3466,4438,3497,4548,3496,4548,3465xm4694,3464l4584,3465,4585,3496,4694,3495,4694,3464xm4877,3490l4811,3523,4809,3533,4814,3540,4819,3548,4830,3550,4942,3493,4877,3493,4877,3490xm4840,3462l4730,3463,4731,3495,4840,3493,4840,3462xm4902,3477l4877,3490,4877,3493,4938,3492,4938,3490,4929,3490,4902,3477xm4943,3461l4938,3461,4938,3492,4877,3493,4942,3493,4974,3476,4943,3461xm4929,3464l4902,3477,4929,3490,4929,3464xm4938,3464l4929,3464,4929,3490,4938,3490,4938,3464xm4876,3465l4877,3490,4902,3477,4876,3465xm4938,3461l4876,3462,4876,3465,4902,3477,4929,3464,4938,3464,4938,3461xm4828,3406l4817,3408,4807,3423,4810,3433,4876,3465,4876,3462,4938,3461,4943,3461,4828,3406xe" filled="true" fillcolor="#c00000" stroked="false">
              <v:path arrowok="t"/>
              <v:fill type="solid"/>
            </v:shape>
            <v:shape style="position:absolute;left:4760;top:3006;width:170;height:458" coordorigin="4760,3006" coordsize="170,458" path="m4863,3369l4826,3369,4826,3463,4863,3463,4863,3369xm4863,3245l4826,3245,4826,3338,4863,3338,4863,3245xm4863,3120l4826,3120,4826,3214,4863,3214,4863,3120xm4844,3006l4765,3122,4760,3130,4762,3139,4780,3148,4791,3145,4829,3089,4826,3089,4826,3037,4865,3037,4844,3006xm4863,3044l4860,3044,4844,3067,4892,3138,4898,3145,4909,3148,4926,3139,4929,3130,4924,3122,4902,3089,4863,3089,4863,3044xm4863,3037l4826,3037,4826,3089,4829,3089,4844,3067,4828,3044,4863,3044,4863,3037xm4844,3067l4829,3089,4859,3089,4844,3067xm4865,3037l4863,3037,4863,3089,4902,3089,4865,3037xm4860,3044l4828,3044,4844,3067,4860,3044xe" filled="true" fillcolor="#c00000" stroked="false">
              <v:path arrowok="t"/>
              <v:fill type="solid"/>
            </v:shape>
            <v:shape style="position:absolute;left:4844;top:2992;width:898;height:145" coordorigin="4844,2992" coordsize="898,145" path="m4954,3049l4844,3049,4844,3080,4954,3080,4954,3049xm5100,3049l4990,3049,4990,3080,5100,3080,5100,3049xm5246,3049l5136,3049,5136,3080,5246,3080,5246,3049xm5392,3049l5283,3049,5283,3080,5392,3080,5392,3049xm5538,3049l5429,3049,5429,3080,5538,3080,5538,3049xm5669,3064l5578,3110,5575,3119,5580,3127,5585,3134,5596,3136,5710,3080,5684,3080,5684,3072,5669,3064xm5638,3049l5575,3049,5575,3080,5638,3080,5669,3064,5638,3049xm5684,3072l5684,3080,5710,3080,5715,3078,5696,3078,5684,3072xm5696,3051l5684,3057,5684,3072,5696,3078,5696,3051xm5715,3051l5696,3051,5696,3078,5715,3078,5742,3064,5715,3051xm5684,3057l5669,3064,5684,3072,5684,3057xm5596,2992l5585,2995,5580,3002,5575,3009,5578,3019,5669,3064,5684,3057,5684,3049,5710,3049,5596,2992xm5710,3049l5684,3049,5684,3057,5696,3051,5715,3051,5710,3049xe" filled="true" fillcolor="#c00000" stroked="false">
              <v:path arrowok="t"/>
              <v:fill type="solid"/>
            </v:shape>
            <v:line style="position:absolute" from="5759,512" to="5759,606" stroked="true" strokeweight=".371299pt" strokecolor="#000000"/>
            <v:line style="position:absolute" from="5743,512" to="5743,606" stroked="true" strokeweight=".675643pt" strokecolor="#000000"/>
            <v:line style="position:absolute" from="5728,513" to="5728,606" stroked="true" strokeweight=".371299pt" strokecolor="#000000"/>
            <v:line style="position:absolute" from="5760,637" to="5760,730" stroked="true" strokeweight=".371299pt" strokecolor="#000000"/>
            <v:line style="position:absolute" from="5745,637" to="5745,730" stroked="true" strokeweight=".675643pt" strokecolor="#000000"/>
            <v:line style="position:absolute" from="5730,637" to="5730,731" stroked="true" strokeweight=".371299pt" strokecolor="#000000"/>
            <v:line style="position:absolute" from="5762,761" to="5762,855" stroked="true" strokeweight=".371299pt" strokecolor="#000000"/>
            <v:line style="position:absolute" from="5747,761" to="5747,855" stroked="true" strokeweight=".675643pt" strokecolor="#000000"/>
            <v:line style="position:absolute" from="5732,762" to="5732,855" stroked="true" strokeweight=".371299pt" strokecolor="#000000"/>
            <v:line style="position:absolute" from="5764,886" to="5764,979" stroked="true" strokeweight=".377386pt" strokecolor="#000000"/>
            <v:line style="position:absolute" from="5749,886" to="5749,980" stroked="true" strokeweight=".68173pt" strokecolor="#000000"/>
            <v:line style="position:absolute" from="5734,886" to="5734,980" stroked="true" strokeweight=".377386pt" strokecolor="#000000"/>
            <v:line style="position:absolute" from="5766,1010" to="5766,1104" stroked="true" strokeweight=".371299pt" strokecolor="#000000"/>
            <v:line style="position:absolute" from="5751,1011" to="5751,1104" stroked="true" strokeweight=".675643pt" strokecolor="#000000"/>
            <v:line style="position:absolute" from="5735,1011" to="5735,1104" stroked="true" strokeweight=".371299pt" strokecolor="#000000"/>
            <v:line style="position:absolute" from="5771,1384" to="5771,1477" stroked="true" strokeweight=".371299pt" strokecolor="#000000"/>
            <v:line style="position:absolute" from="5756,1384" to="5756,1478" stroked="true" strokeweight=".675643pt" strokecolor="#000000"/>
            <v:line style="position:absolute" from="5741,1384" to="5741,1478" stroked="true" strokeweight=".371299pt" strokecolor="#000000"/>
            <v:line style="position:absolute" from="5773,1508" to="5773,1602" stroked="true" strokeweight=".377386pt" strokecolor="#000000"/>
            <v:line style="position:absolute" from="5758,1509" to="5758,1602" stroked="true" strokeweight=".675643pt" strokecolor="#000000"/>
            <v:line style="position:absolute" from="5743,1509" to="5743,1602" stroked="true" strokeweight=".371299pt" strokecolor="#000000"/>
            <v:line style="position:absolute" from="5775,1633" to="5775,1727" stroked="true" strokeweight=".371299pt" strokecolor="#000000"/>
            <v:line style="position:absolute" from="5760,1633" to="5760,1727" stroked="true" strokeweight=".675643pt" strokecolor="#000000"/>
            <v:line style="position:absolute" from="5744,1633" to="5744,1727" stroked="true" strokeweight=".371299pt" strokecolor="#000000"/>
            <v:line style="position:absolute" from="5777,1758" to="5777,1851" stroked="true" strokeweight=".371299pt" strokecolor="#000000"/>
            <v:line style="position:absolute" from="5761,1758" to="5761,1851" stroked="true" strokeweight=".675643pt" strokecolor="#000000"/>
            <v:line style="position:absolute" from="5746,1758" to="5746,1851" stroked="true" strokeweight=".371299pt" strokecolor="#000000"/>
            <v:line style="position:absolute" from="5778,1882" to="5778,1976" stroked="true" strokeweight=".371299pt" strokecolor="#000000"/>
            <v:line style="position:absolute" from="5763,1882" to="5763,1976" stroked="true" strokeweight=".675643pt" strokecolor="#000000"/>
            <v:line style="position:absolute" from="5748,1882" to="5748,1976" stroked="true" strokeweight=".371299pt" strokecolor="#000000"/>
            <v:line style="position:absolute" from="5780,2007" to="5780,2100" stroked="true" strokeweight=".371299pt" strokecolor="#000000"/>
            <v:line style="position:absolute" from="5765,2007" to="5765,2100" stroked="true" strokeweight=".675643pt" strokecolor="#000000"/>
            <v:line style="position:absolute" from="5750,2007" to="5750,2100" stroked="true" strokeweight=".371299pt" strokecolor="#000000"/>
            <v:line style="position:absolute" from="5782,2131" to="5782,2225" stroked="true" strokeweight=".371299pt" strokecolor="#000000"/>
            <v:line style="position:absolute" from="5767,2131" to="5767,2225" stroked="true" strokeweight=".675643pt" strokecolor="#000000"/>
            <v:line style="position:absolute" from="5752,2131" to="5752,2225" stroked="true" strokeweight=".371299pt" strokecolor="#000000"/>
            <v:line style="position:absolute" from="5784,2256" to="5784,2349" stroked="true" strokeweight=".371299pt" strokecolor="#000000"/>
            <v:line style="position:absolute" from="5769,2256" to="5769,2349" stroked="true" strokeweight=".675643pt" strokecolor="#000000"/>
            <v:line style="position:absolute" from="5753,2256" to="5753,2349" stroked="true" strokeweight=".371299pt" strokecolor="#000000"/>
            <v:line style="position:absolute" from="5786,2380" to="5786,2474" stroked="true" strokeweight=".371299pt" strokecolor="#000000"/>
            <v:line style="position:absolute" from="5770,2380" to="5770,2474" stroked="true" strokeweight=".675643pt" strokecolor="#000000"/>
            <v:line style="position:absolute" from="5755,2381" to="5755,2474" stroked="true" strokeweight=".371299pt" strokecolor="#000000"/>
            <v:line style="position:absolute" from="5787,2505" to="5787,2598" stroked="true" strokeweight=".371299pt" strokecolor="#000000"/>
            <v:line style="position:absolute" from="5772,2505" to="5772,2598" stroked="true" strokeweight=".675643pt" strokecolor="#000000"/>
            <v:line style="position:absolute" from="5757,2505" to="5757,2598" stroked="true" strokeweight=".371299pt" strokecolor="#000000"/>
            <v:line style="position:absolute" from="5789,2629" to="5789,2723" stroked="true" strokeweight=".371299pt" strokecolor="#000000"/>
            <v:line style="position:absolute" from="5774,2629" to="5774,2723" stroked="true" strokeweight=".675643pt" strokecolor="#000000"/>
            <v:line style="position:absolute" from="5759,2630" to="5759,2723" stroked="true" strokeweight=".371299pt" strokecolor="#000000"/>
            <v:line style="position:absolute" from="5791,2754" to="5791,2847" stroked="true" strokeweight=".371299pt" strokecolor="#000000"/>
            <v:line style="position:absolute" from="5776,2754" to="5776,2847" stroked="true" strokeweight=".675643pt" strokecolor="#000000"/>
            <v:line style="position:absolute" from="5761,2754" to="5761,2848" stroked="true" strokeweight=".371299pt" strokecolor="#000000"/>
            <v:line style="position:absolute" from="5793,2878" to="5793,2972" stroked="true" strokeweight=".377386pt" strokecolor="#000000"/>
            <v:line style="position:absolute" from="5778,2878" to="5778,2972" stroked="true" strokeweight=".68173pt" strokecolor="#000000"/>
            <v:line style="position:absolute" from="5762,2879" to="5762,2972" stroked="true" strokeweight=".377386pt" strokecolor="#000000"/>
            <v:line style="position:absolute" from="5795,3003" to="5795,3096" stroked="true" strokeweight=".371299pt" strokecolor="#000000"/>
            <v:line style="position:absolute" from="5779,3003" to="5779,3097" stroked="true" strokeweight=".675643pt" strokecolor="#000000"/>
            <v:line style="position:absolute" from="5764,3003" to="5764,3097" stroked="true" strokeweight=".371299pt" strokecolor="#000000"/>
            <v:line style="position:absolute" from="5796,3127" to="5796,3221" stroked="true" strokeweight=".371299pt" strokecolor="#000000"/>
            <v:line style="position:absolute" from="5781,3127" to="5781,3221" stroked="true" strokeweight=".675643pt" strokecolor="#000000"/>
            <v:line style="position:absolute" from="5766,3128" to="5766,3221" stroked="true" strokeweight=".371299pt" strokecolor="#000000"/>
            <v:line style="position:absolute" from="5798,3252" to="5798,3345" stroked="true" strokeweight=".371299pt" strokecolor="#000000"/>
            <v:line style="position:absolute" from="5783,3252" to="5783,3346" stroked="true" strokeweight=".675643pt" strokecolor="#000000"/>
            <v:line style="position:absolute" from="5768,3252" to="5768,3346" stroked="true" strokeweight=".371299pt" strokecolor="#000000"/>
            <v:line style="position:absolute" from="5800,3376" to="5800,3470" stroked="true" strokeweight=".371299pt" strokecolor="#000000"/>
            <v:line style="position:absolute" from="5785,3377" to="5785,3470" stroked="true" strokeweight=".675643pt" strokecolor="#000000"/>
            <v:line style="position:absolute" from="5770,3377" to="5770,3470" stroked="true" strokeweight=".371299pt" strokecolor="#000000"/>
            <v:line style="position:absolute" from="5802,3501" to="5802,3594" stroked="true" strokeweight=".371299pt" strokecolor="#000000"/>
            <v:line style="position:absolute" from="5787,3501" to="5787,3595" stroked="true" strokeweight=".675643pt" strokecolor="#000000"/>
            <v:line style="position:absolute" from="5772,3501" to="5772,3595" stroked="true" strokeweight=".371299pt" strokecolor="#000000"/>
            <v:line style="position:absolute" from="5804,3626" to="5804,3719" stroked="true" strokeweight=".371299pt" strokecolor="#000000"/>
            <v:line style="position:absolute" from="5788,3626" to="5788,3719" stroked="true" strokeweight=".675643pt" strokecolor="#000000"/>
            <v:line style="position:absolute" from="5773,3626" to="5773,3719" stroked="true" strokeweight=".371299pt" strokecolor="#000000"/>
            <v:line style="position:absolute" from="5805,3750" to="5805,3843" stroked="true" strokeweight=".371299pt" strokecolor="#000000"/>
            <v:line style="position:absolute" from="5790,3750" to="5790,3844" stroked="true" strokeweight=".675643pt" strokecolor="#000000"/>
            <v:line style="position:absolute" from="5775,3750" to="5775,3844" stroked="true" strokeweight=".371299pt" strokecolor="#000000"/>
            <v:line style="position:absolute" from="5807,3875" to="5807,3968" stroked="true" strokeweight=".371299pt" strokecolor="#000000"/>
            <v:line style="position:absolute" from="5792,3875" to="5792,3968" stroked="true" strokeweight=".675643pt" strokecolor="#000000"/>
            <v:line style="position:absolute" from="5777,3875" to="5777,3968" stroked="true" strokeweight=".371299pt" strokecolor="#000000"/>
            <v:line style="position:absolute" from="5809,3999" to="5809,4093" stroked="true" strokeweight=".371299pt" strokecolor="#000000"/>
            <v:line style="position:absolute" from="5794,3999" to="5794,4093" stroked="true" strokeweight=".675643pt" strokecolor="#000000"/>
            <v:line style="position:absolute" from="5779,3999" to="5779,4093" stroked="true" strokeweight=".371299pt" strokecolor="#000000"/>
            <v:line style="position:absolute" from="5811,4124" to="5811,4217" stroked="true" strokeweight=".371299pt" strokecolor="#000000"/>
            <v:line style="position:absolute" from="5796,4124" to="5796,4217" stroked="true" strokeweight=".675643pt" strokecolor="#000000"/>
            <v:line style="position:absolute" from="5781,4124" to="5781,4217" stroked="true" strokeweight=".371299pt" strokecolor="#000000"/>
            <v:line style="position:absolute" from="5813,4248" to="5813,4342" stroked="true" strokeweight=".371299pt" strokecolor="#000000"/>
            <v:line style="position:absolute" from="5798,4248" to="5798,4342" stroked="true" strokeweight=".68173pt" strokecolor="#000000"/>
            <v:line style="position:absolute" from="5782,4248" to="5782,4342" stroked="true" strokeweight=".377386pt" strokecolor="#000000"/>
            <v:line style="position:absolute" from="5814,4373" to="5814,4466" stroked="true" strokeweight=".371299pt" strokecolor="#000000"/>
            <v:line style="position:absolute" from="5799,4373" to="5799,4466" stroked="true" strokeweight=".675643pt" strokecolor="#000000"/>
            <v:line style="position:absolute" from="5784,4373" to="5784,4466" stroked="true" strokeweight=".371299pt" strokecolor="#000000"/>
            <v:line style="position:absolute" from="5816,4497" to="5816,4591" stroked="true" strokeweight=".371299pt" strokecolor="#000000"/>
            <v:line style="position:absolute" from="5801,4497" to="5801,4591" stroked="true" strokeweight=".675643pt" strokecolor="#000000"/>
            <v:line style="position:absolute" from="5786,4497" to="5786,4591" stroked="true" strokeweight=".371299pt" strokecolor="#000000"/>
            <v:line style="position:absolute" from="5818,4622" to="5818,4715" stroked="true" strokeweight=".371299pt" strokecolor="#000000"/>
            <v:line style="position:absolute" from="5803,4622" to="5803,4715" stroked="true" strokeweight=".675643pt" strokecolor="#000000"/>
            <v:line style="position:absolute" from="5788,4622" to="5788,4715" stroked="true" strokeweight=".371299pt" strokecolor="#000000"/>
            <v:line style="position:absolute" from="5820,4746" to="5820,4840" stroked="true" strokeweight=".371299pt" strokecolor="#000000"/>
            <v:line style="position:absolute" from="5805,4746" to="5805,4840" stroked="true" strokeweight=".675643pt" strokecolor="#000000"/>
            <v:line style="position:absolute" from="5790,4747" to="5790,4840" stroked="true" strokeweight=".371299pt" strokecolor="#000000"/>
            <v:line style="position:absolute" from="5822,4871" to="5822,4964" stroked="true" strokeweight=".377386pt" strokecolor="#000000"/>
            <v:line style="position:absolute" from="5807,4871" to="5807,4964" stroked="true" strokeweight=".68173pt" strokecolor="#000000"/>
            <v:line style="position:absolute" from="5791,4871" to="5791,4965" stroked="true" strokeweight=".377386pt" strokecolor="#000000"/>
            <v:line style="position:absolute" from="5824,4995" to="5824,5089" stroked="true" strokeweight=".371299pt" strokecolor="#000000"/>
            <v:line style="position:absolute" from="5808,4995" to="5808,5089" stroked="true" strokeweight=".675643pt" strokecolor="#000000"/>
            <v:line style="position:absolute" from="5793,4996" to="5793,5089" stroked="true" strokeweight=".371299pt" strokecolor="#000000"/>
            <v:line style="position:absolute" from="5825,5120" to="5825,5213" stroked="true" strokeweight=".371299pt" strokecolor="#000000"/>
            <v:line style="position:absolute" from="5810,5120" to="5810,5213" stroked="true" strokeweight=".675643pt" strokecolor="#000000"/>
            <v:line style="position:absolute" from="5795,5120" to="5795,5214" stroked="true" strokeweight=".371299pt" strokecolor="#000000"/>
            <v:line style="position:absolute" from="5823,5261" to="5830,5261" stroked="true" strokeweight="1.714611pt" strokecolor="#000000"/>
            <v:line style="position:absolute" from="5805,5262" to="5818,5262" stroked="true" strokeweight="1.717828pt" strokecolor="#000000"/>
            <v:line style="position:absolute" from="5793,5262" to="5800,5262" stroked="true" strokeweight="1.714611pt" strokecolor="#000000"/>
            <v:shape style="position:absolute;left:9246;top:1300;width:169;height:353" type="#_x0000_t75" stroked="false">
              <v:imagedata r:id="rId104" o:title=""/>
            </v:shape>
            <v:shape style="position:absolute;left:5743;top:712;width:483;height:294" coordorigin="5743,712" coordsize="483,294" path="m5754,785l5743,785,5743,932,5754,932,5754,785xm5786,785l5764,785,5764,932,5786,932,5786,785xm6052,712l6052,785,5797,785,5797,932,6052,932,6052,1006,6225,859,6052,712xe" filled="true" fillcolor="#000000" stroked="false">
              <v:path arrowok="t"/>
              <v:fill type="solid"/>
            </v:shape>
            <v:shape style="position:absolute;left:5730;top:686;width:513;height:345" coordorigin="5730,686" coordsize="513,345" path="m6040,932l6040,1031,6070,1006,6065,1006,6044,998,6065,980,6065,943,6052,943,6040,932xm6065,980l6044,998,6065,1006,6065,980xm6207,859l6065,980,6065,1006,6070,1006,6234,866,6216,866,6207,859xm5752,775l5730,775,5730,943,5752,943,5752,932,5741,932,5741,785,5752,785,5752,775xm5752,929l5752,943,5766,943,5766,932,5755,932,5752,929xm5766,923l5766,943,5784,943,5784,932,5773,932,5773,929,5766,923xm5797,922l5786,922,5784,923,5784,943,5798,943,5798,923,5797,922xm5798,923l5798,943,6040,943,6040,932,5809,932,5798,923xm6065,922l5809,922,5809,932,6040,932,6052,943,6065,943,6065,922xm5741,785l5741,932,5748,926,5743,922,5752,922,5752,796,5743,796,5748,791,5741,785xm5748,926l5741,932,5752,932,5752,929,5748,926xm5755,922l5753,922,5752,923,5752,929,5755,932,5755,922xm5766,785l5755,785,5755,932,5766,932,5766,923,5764,922,5766,922,5766,796,5764,796,5766,794,5766,785xm5773,929l5773,932,5775,931,5773,929xm5775,931l5773,932,5777,932,5775,931xm5777,929l5775,931,5777,932,5777,929xm5784,923l5777,929,5777,932,5784,932,5784,923xm5809,785l5798,794,5798,923,5809,932,5809,785xm5775,787l5773,788,5773,929,5775,931,5777,929,5777,788,5775,787xm5752,923l5748,926,5752,929,5752,923xm5773,788l5766,794,5766,923,5773,929,5773,788xm5777,788l5777,929,5784,923,5784,794,5777,788xm5752,922l5743,922,5748,926,5752,923,5752,922xm5784,794l5784,923,5786,922,5798,922,5798,796,5786,796,5784,794xm5798,922l5797,922,5798,923,5798,922xm5752,794l5752,923,5753,922,5755,922,5755,796,5753,796,5752,794xm5766,922l5764,922,5766,923,5766,922xm6216,851l6207,859,6216,866,6216,851xm6234,851l6216,851,6216,866,6234,866,6242,859,6234,851xm6070,712l6065,712,6065,737,6207,859,6216,851,6234,851,6070,712xm5748,791l5743,796,5752,796,5752,794,5748,791xm5755,785l5752,788,5752,794,5753,796,5755,796,5755,785xm5766,794l5764,796,5766,796,5766,794xm5798,775l5784,775,5784,794,5786,796,5797,796,5798,794,5798,775xm5798,794l5797,796,5798,796,5798,794xm6065,775l6052,775,6040,785,5809,785,5809,796,6065,796,6065,775xm5752,788l5748,791,5752,794,5752,788xm5784,775l5766,775,5766,794,5773,788,5773,785,5784,785,5784,775xm5784,785l5777,785,5777,788,5784,794,5784,785xm6040,775l5798,775,5798,794,5809,785,6040,785,6040,775xm5752,785l5741,785,5748,791,5752,788,5752,785xm5766,775l5752,775,5752,788,5755,785,5766,785,5766,775xm5773,785l5773,788,5775,787,5773,785xm5777,785l5775,787,5777,788,5777,785xm5777,785l5773,785,5775,787,5777,785xm6040,686l6040,785,6052,775,6065,775,6065,737,6044,719,6065,712,6070,712,6040,686xm6065,712l6044,719,6065,737,6065,712xe" filled="true" fillcolor="#000000" stroked="false">
              <v:path arrowok="t"/>
              <v:fill type="solid"/>
            </v:shape>
            <v:shape style="position:absolute;left:5811;top:4359;width:483;height:294" coordorigin="5811,4359" coordsize="483,294" path="m5822,4433l5811,4433,5811,4580,5822,4580,5822,4433xm5854,4433l5833,4433,5833,4580,5854,4580,5854,4433xm6121,4359l6121,4433,5865,4433,5865,4580,6121,4580,6121,4653,6293,4506,6121,4359xe" filled="true" fillcolor="#000000" stroked="false">
              <v:path arrowok="t"/>
              <v:fill type="solid"/>
            </v:shape>
            <v:shape style="position:absolute;left:5799;top:4334;width:513;height:345" coordorigin="5799,4334" coordsize="513,345" path="m6109,4580l6109,4679,6139,4653,6134,4653,6112,4646,6134,4628,6134,4590,6121,4590,6109,4580xm6134,4628l6112,4646,6134,4653,6134,4628xm6276,4506l6134,4628,6134,4653,6139,4653,6302,4514,6285,4514,6276,4506xm5821,4422l5799,4422,5799,4590,5821,4590,5821,4580,5810,4580,5810,4433,5821,4433,5821,4422xm5821,4577l5821,4590,5835,4590,5835,4580,5824,4580,5821,4577xm5835,4571l5835,4590,5853,4590,5853,4580,5842,4580,5842,4577,5835,4571xm5865,4569l5854,4569,5853,4571,5853,4590,5867,4590,5867,4571,5865,4569xm5867,4571l5867,4590,6109,4590,6109,4580,5878,4580,5867,4571xm6134,4569l5878,4569,5878,4580,6109,4580,6121,4590,6134,4590,6134,4569xm5810,4433l5810,4580,5817,4574,5811,4569,5821,4569,5821,4444,5811,4444,5817,4439,5810,4433xm5817,4574l5810,4580,5821,4580,5821,4577,5817,4574xm5824,4569l5822,4569,5821,4571,5821,4577,5824,4580,5824,4569xm5835,4433l5824,4433,5824,4580,5835,4580,5835,4571,5833,4569,5835,4569,5835,4444,5833,4444,5835,4442,5835,4433xm5842,4577l5842,4580,5844,4578,5842,4577xm5844,4578l5842,4580,5845,4580,5844,4578xm5845,4577l5844,4578,5845,4580,5845,4577xm5853,4571l5845,4577,5845,4580,5853,4580,5853,4571xm5878,4433l5867,4442,5867,4571,5878,4580,5878,4433xm5844,4434l5842,4436,5842,4577,5844,4578,5845,4577,5845,4436,5844,4434xm5821,4571l5817,4574,5821,4577,5821,4571xm5842,4436l5835,4442,5835,4571,5842,4577,5842,4436xm5845,4436l5845,4577,5853,4571,5853,4442,5845,4436xm5821,4569l5811,4569,5817,4574,5820,4571,5821,4569xm5853,4442l5853,4571,5854,4569,5867,4569,5867,4444,5854,4444,5853,4442xm5867,4569l5865,4569,5867,4571,5867,4569xm5821,4442l5821,4571,5822,4569,5824,4569,5824,4444,5822,4444,5821,4442xm5835,4569l5833,4569,5835,4571,5835,4569xm6285,4499l6276,4506,6285,4514,6285,4499xm6302,4499l6285,4499,6285,4514,6302,4514,6311,4506,6302,4499xm6139,4359l6134,4359,6134,4385,6276,4506,6285,4499,6302,4499,6139,4359xm5817,4439l5811,4444,5821,4444,5820,4442,5817,4439xm5824,4433l5821,4436,5821,4442,5822,4444,5824,4444,5824,4433xm5835,4442l5833,4444,5835,4444,5835,4442xm5867,4422l5853,4422,5853,4442,5854,4444,5865,4444,5867,4442,5867,4422xm5867,4442l5865,4444,5867,4444,5867,4442xm6134,4422l6121,4422,6109,4433,5878,4433,5878,4444,6134,4444,6134,4422xm5821,4436l5817,4439,5821,4442,5821,4436xm5853,4422l5835,4422,5835,4442,5842,4436,5842,4433,5853,4433,5853,4422xm5853,4433l5845,4433,5845,4436,5853,4442,5853,4433xm6109,4422l5867,4422,5867,4442,5878,4433,6109,4433,6109,4422xm5821,4433l5810,4433,5817,4439,5821,4436,5821,4433xm5835,4422l5821,4422,5821,4436,5824,4433,5835,4433,5835,4422xm5842,4433l5842,4436,5844,4434,5842,4433xm5845,4433l5844,4434,5845,4436,5845,4433xm5845,4433l5842,4433,5844,4434,5845,4433xm6109,4334l6109,4433,6121,4422,6134,4422,6134,4385,6112,4367,6134,4359,6139,4359,6109,4334xm6134,4359l6112,4367,6134,4385,6134,4359xe" filled="true" fillcolor="#000000" stroked="false">
              <v:path arrowok="t"/>
              <v:fill type="solid"/>
            </v:shape>
            <v:shape style="position:absolute;left:6761;top:2586;width:223;height:302" type="#_x0000_t75" stroked="false">
              <v:imagedata r:id="rId105" o:title=""/>
            </v:shape>
            <v:rect style="position:absolute;left:5811;top:2476;width:966;height:578" filled="true" fillcolor="#ffffff" stroked="false">
              <v:fill type="solid"/>
            </v:rect>
            <v:rect style="position:absolute;left:5811;top:2476;width:966;height:578" filled="false" stroked="true" strokeweight="1.106858pt" strokecolor="#000000"/>
            <v:shape style="position:absolute;left:7043;top:2105;width:169;height:234" type="#_x0000_t75" stroked="false">
              <v:imagedata r:id="rId106" o:title=""/>
            </v:shape>
            <v:rect style="position:absolute;left:6640;top:1697;width:1034;height:453" filled="true" fillcolor="#ffffff" stroked="false">
              <v:fill type="solid"/>
            </v:rect>
            <v:rect style="position:absolute;left:6640;top:1697;width:1034;height:453" filled="false" stroked="true" strokeweight="1.088077pt" strokecolor="#000000"/>
            <v:shape style="position:absolute;left:8280;top:1418;width:170;height:412" coordorigin="8280,1418" coordsize="170,412" path="m8383,1736l8347,1736,8347,1830,8383,1830,8383,1736xm8383,1612l8347,1612,8347,1705,8383,1705,8383,1612xm8370,1487l8360,1487,8347,1506,8347,1581,8383,1581,8383,1506,8370,1487xm8365,1418l8285,1534,8280,1542,8283,1551,8301,1560,8312,1557,8347,1506,8347,1487,8360,1487,8365,1480,8349,1456,8391,1456,8391,1456,8347,1456,8347,1449,8386,1449,8365,1418xm8413,1487l8383,1487,8383,1506,8418,1557,8429,1560,8447,1551,8450,1542,8445,1534,8413,1487xm8360,1487l8347,1487,8347,1506,8360,1487xm8391,1456l8381,1456,8365,1480,8383,1506,8383,1487,8413,1487,8391,1456xm8381,1456l8349,1456,8365,1480,8381,1456xm8383,1449l8347,1449,8347,1456,8383,1456,8383,1449xm8386,1449l8383,1449,8383,1456,8391,1456,8386,1449xe" filled="true" fillcolor="#001f5f" stroked="false">
              <v:path arrowok="t"/>
              <v:fill type="solid"/>
            </v:shape>
            <v:rect style="position:absolute;left:7922;top:931;width:1173;height:528" filled="true" fillcolor="#ffffff" stroked="false">
              <v:fill type="solid"/>
            </v:rect>
            <v:rect style="position:absolute;left:7922;top:931;width:1173;height:528" filled="false" stroked="true" strokeweight="1.089421pt" strokecolor="#000000"/>
            <v:rect style="position:absolute;left:8572;top:593;width:1518;height:328" filled="true" fillcolor="#ffffff" stroked="false">
              <v:fill type="solid"/>
            </v:rect>
            <v:rect style="position:absolute;left:8572;top:593;width:1518;height:328" filled="false" stroked="true" strokeweight="1.066711pt" strokecolor="#000000"/>
            <v:shape style="position:absolute;left:9316;top:947;width:169;height:294" type="#_x0000_t75" stroked="false">
              <v:imagedata r:id="rId107" o:title=""/>
            </v:shape>
            <v:shape style="position:absolute;left:7452;top:2241;width:169;height:294" type="#_x0000_t75" stroked="false">
              <v:imagedata r:id="rId108" o:title=""/>
            </v:shape>
            <v:rect style="position:absolute;left:2774;top:300;width:2622;height:528" filled="false" stroked="true" strokeweight="1.065699pt" strokecolor="#000000"/>
            <v:rect style="position:absolute;left:6156;top:300;width:2277;height:301" filled="false" stroked="true" strokeweight="1.061714pt" strokecolor="#000000"/>
            <v:shape style="position:absolute;left:5246;top:2348;width:497;height:423" coordorigin="5246,2348" coordsize="497,423" path="m5589,2705l5579,2710,5576,2718,5574,2726,5580,2735,5742,2771,5739,2761,5704,2761,5659,2723,5661,2721,5589,2705xm5661,2721l5659,2723,5704,2761,5712,2753,5699,2753,5691,2728,5661,2721xm5721,2701l5685,2701,5730,2738,5704,2761,5739,2761,5721,2701xm5691,2728l5699,2753,5721,2734,5691,2728xm5685,2701l5683,2702,5691,2728,5721,2734,5699,2753,5712,2753,5730,2738,5685,2701xm5683,2702l5661,2721,5691,2728,5683,2702xm5690,2628l5670,2632,5664,2641,5683,2702,5685,2701,5721,2701,5700,2633,5690,2628xm5582,2613l5556,2635,5634,2701,5659,2679,5582,2613xm5479,2525l5453,2547,5530,2613,5556,2591,5479,2525xm5375,2436l5350,2458,5427,2525,5453,2503,5375,2436xm5272,2348l5246,2370,5324,2436,5350,2414,5272,2348xe" filled="true" fillcolor="#c00000" stroked="false">
              <v:path arrowok="t"/>
              <v:fill type="solid"/>
            </v:shape>
            <v:shape style="position:absolute;left:5182;top:2359;width:508;height:799" coordorigin="5182,2359" coordsize="508,799" path="m5639,3060l5607,3075,5658,3158,5690,3143,5639,3060xm5572,2950l5539,2964,5590,3047,5622,3033,5572,2950xm5504,2839l5472,2854,5523,2937,5555,2922,5504,2839xm5437,2729l5405,2743,5455,2826,5487,2812,5437,2729xm5369,2619l5337,2633,5388,2716,5420,2701,5369,2619xm5302,2508l5270,2523,5320,2605,5353,2591,5302,2508xm5191,2359l5182,2503,5190,2510,5210,2511,5219,2504,5222,2445,5202,2412,5212,2408,5197,2400,5225,2388,5243,2388,5191,2359xm5224,2414l5222,2445,5253,2495,5285,2481,5255,2431,5224,2414xm5262,2398l5234,2398,5255,2431,5305,2458,5313,2462,5325,2460,5330,2453,5335,2445,5333,2436,5324,2431,5262,2398xm5212,2408l5202,2412,5222,2445,5224,2414,5212,2408xm5234,2398l5225,2402,5224,2414,5255,2431,5234,2398xm5225,2402l5212,2408,5224,2414,5225,2402xm5225,2388l5197,2400,5212,2408,5225,2402,5225,2388xm5243,2388l5225,2388,5225,2402,5234,2398,5262,2398,5243,2388xe" filled="true" fillcolor="#c00000" stroked="false">
              <v:path arrowok="t"/>
              <v:fill type="solid"/>
            </v:shape>
            <v:rect style="position:absolute;left:5776;top:1829;width:932;height:641" filled="true" fillcolor="#ffffff" stroked="false">
              <v:fill type="solid"/>
            </v:rect>
            <v:rect style="position:absolute;left:5776;top:1829;width:932;height:641" filled="false" stroked="true" strokeweight="1.117423pt" strokecolor="#000000"/>
            <v:shape style="position:absolute;left:6692;top:2282;width:169;height:195" type="#_x0000_t75" stroked="false">
              <v:imagedata r:id="rId109" o:title=""/>
            </v:shape>
            <v:rect style="position:absolute;left:6777;top:1244;width:1229;height:415" filled="true" fillcolor="#ffffff" stroked="false">
              <v:fill type="solid"/>
            </v:rect>
            <v:rect style="position:absolute;left:6777;top:1244;width:1229;height:415" filled="false" stroked="true" strokeweight="1.077297pt" strokecolor="#000000"/>
            <v:shape style="position:absolute;left:7728;top:1747;width:169;height:234" type="#_x0000_t75" stroked="false">
              <v:imagedata r:id="rId106" o:title=""/>
            </v:shape>
            <v:shape style="position:absolute;left:8572;top:593;width:1518;height:333" type="#_x0000_t202" filled="false" stroked="false">
              <v:textbox inset="0,0,0,0">
                <w:txbxContent>
                  <w:p>
                    <w:pPr>
                      <w:spacing w:line="259" w:lineRule="auto" w:before="44"/>
                      <w:ind w:left="329" w:right="169" w:hanging="148"/>
                      <w:jc w:val="left"/>
                      <w:rPr>
                        <w:sz w:val="10"/>
                      </w:rPr>
                    </w:pPr>
                    <w:r>
                      <w:rPr>
                        <w:w w:val="120"/>
                        <w:sz w:val="10"/>
                      </w:rPr>
                      <w:t>2003 Secretaría de la Función Pública</w:t>
                    </w:r>
                  </w:p>
                </w:txbxContent>
              </v:textbox>
              <w10:wrap type="none"/>
            </v:shape>
            <v:shape style="position:absolute;left:6674;top:1678;width:1000;height:473" type="#_x0000_t202" filled="false" stroked="false">
              <v:textbox inset="0,0,0,0">
                <w:txbxContent>
                  <w:p>
                    <w:pPr>
                      <w:spacing w:before="64"/>
                      <w:ind w:left="98" w:right="129" w:firstLine="0"/>
                      <w:jc w:val="center"/>
                      <w:rPr>
                        <w:sz w:val="10"/>
                      </w:rPr>
                    </w:pPr>
                    <w:r>
                      <w:rPr>
                        <w:w w:val="120"/>
                        <w:sz w:val="10"/>
                      </w:rPr>
                      <w:t>1917:</w:t>
                    </w:r>
                  </w:p>
                  <w:p>
                    <w:pPr>
                      <w:spacing w:line="259" w:lineRule="auto" w:before="9"/>
                      <w:ind w:left="98" w:right="129" w:firstLine="0"/>
                      <w:jc w:val="center"/>
                      <w:rPr>
                        <w:sz w:val="10"/>
                      </w:rPr>
                    </w:pPr>
                    <w:r>
                      <w:rPr>
                        <w:w w:val="120"/>
                        <w:sz w:val="10"/>
                      </w:rPr>
                      <w:t>Departamento de Contraloría</w:t>
                    </w:r>
                  </w:p>
                </w:txbxContent>
              </v:textbox>
              <w10:wrap type="none"/>
            </v:shape>
            <v:shape style="position:absolute;left:5794;top:1829;width:881;height:645" type="#_x0000_t202" filled="false" stroked="false">
              <v:textbox inset="0,0,0,0">
                <w:txbxContent>
                  <w:p>
                    <w:pPr>
                      <w:spacing w:line="259" w:lineRule="auto" w:before="44"/>
                      <w:ind w:left="76" w:right="58" w:firstLine="0"/>
                      <w:jc w:val="center"/>
                      <w:rPr>
                        <w:sz w:val="9"/>
                      </w:rPr>
                    </w:pPr>
                    <w:r>
                      <w:rPr>
                        <w:w w:val="120"/>
                        <w:sz w:val="9"/>
                      </w:rPr>
                      <w:t>1824: Creación del      Departamento de Cuenta y Razón</w:t>
                    </w:r>
                  </w:p>
                </w:txbxContent>
              </v:textbox>
              <w10:wrap type="none"/>
            </v:shape>
            <v:shape style="position:absolute;left:5794;top:2473;width:984;height:581" type="#_x0000_t202" filled="false" stroked="false">
              <v:textbox inset="0,0,0,0">
                <w:txbxContent>
                  <w:p>
                    <w:pPr>
                      <w:spacing w:before="47"/>
                      <w:ind w:left="134" w:right="117" w:firstLine="0"/>
                      <w:jc w:val="center"/>
                      <w:rPr>
                        <w:sz w:val="10"/>
                      </w:rPr>
                    </w:pPr>
                    <w:r>
                      <w:rPr>
                        <w:w w:val="120"/>
                        <w:sz w:val="10"/>
                      </w:rPr>
                      <w:t>1810:</w:t>
                    </w:r>
                  </w:p>
                  <w:p>
                    <w:pPr>
                      <w:spacing w:line="259" w:lineRule="auto" w:before="9"/>
                      <w:ind w:left="137" w:right="117" w:firstLine="0"/>
                      <w:jc w:val="center"/>
                      <w:rPr>
                        <w:sz w:val="10"/>
                      </w:rPr>
                    </w:pPr>
                    <w:r>
                      <w:rPr>
                        <w:w w:val="120"/>
                        <w:sz w:val="10"/>
                      </w:rPr>
                      <w:t>Secretaría de Estado y del Despacho</w:t>
                    </w:r>
                  </w:p>
                </w:txbxContent>
              </v:textbox>
              <w10:wrap type="none"/>
            </v:shape>
            <v:shape style="position:absolute;left:2774;top:279;width:2623;height:549" type="#_x0000_t202" filled="false" stroked="false">
              <v:textbox inset="0,0,0,0">
                <w:txbxContent>
                  <w:p>
                    <w:pPr>
                      <w:spacing w:line="259" w:lineRule="auto" w:before="70"/>
                      <w:ind w:left="804" w:right="167" w:hanging="573"/>
                      <w:jc w:val="left"/>
                      <w:rPr>
                        <w:b/>
                        <w:sz w:val="18"/>
                      </w:rPr>
                    </w:pPr>
                    <w:r>
                      <w:rPr>
                        <w:b/>
                        <w:w w:val="120"/>
                        <w:sz w:val="18"/>
                      </w:rPr>
                      <w:t>Estado prehispánico y colonial</w:t>
                    </w:r>
                  </w:p>
                </w:txbxContent>
              </v:textbox>
              <w10:wrap type="none"/>
            </v:shape>
            <v:shape style="position:absolute;left:6156;top:279;width:2278;height:322" type="#_x0000_t202" filled="false" stroked="false">
              <v:textbox inset="0,0,0,0">
                <w:txbxContent>
                  <w:p>
                    <w:pPr>
                      <w:spacing w:before="70"/>
                      <w:ind w:left="238" w:right="0" w:firstLine="0"/>
                      <w:jc w:val="left"/>
                      <w:rPr>
                        <w:b/>
                        <w:sz w:val="18"/>
                      </w:rPr>
                    </w:pPr>
                    <w:r>
                      <w:rPr>
                        <w:b/>
                        <w:w w:val="120"/>
                        <w:sz w:val="18"/>
                      </w:rPr>
                      <w:t>Estado mexicano</w:t>
                    </w:r>
                  </w:p>
                </w:txbxContent>
              </v:textbox>
              <w10:wrap type="none"/>
            </v:shape>
            <v:shape style="position:absolute;left:6983;top:983;width:2007;height:631" type="#_x0000_t202" filled="false" stroked="false">
              <v:textbox inset="0,0,0,0">
                <w:txbxContent>
                  <w:p>
                    <w:pPr>
                      <w:spacing w:line="95" w:lineRule="exact" w:before="0"/>
                      <w:ind w:left="1045" w:right="0" w:firstLine="0"/>
                      <w:jc w:val="center"/>
                      <w:rPr>
                        <w:sz w:val="9"/>
                      </w:rPr>
                    </w:pPr>
                    <w:r>
                      <w:rPr>
                        <w:w w:val="120"/>
                        <w:sz w:val="9"/>
                      </w:rPr>
                      <w:t>1994: Secretaría de</w:t>
                    </w:r>
                  </w:p>
                  <w:p>
                    <w:pPr>
                      <w:spacing w:line="259" w:lineRule="auto" w:before="8"/>
                      <w:ind w:left="1048" w:right="0" w:firstLine="0"/>
                      <w:jc w:val="center"/>
                      <w:rPr>
                        <w:sz w:val="9"/>
                      </w:rPr>
                    </w:pPr>
                    <w:r>
                      <w:rPr>
                        <w:w w:val="120"/>
                        <w:sz w:val="9"/>
                      </w:rPr>
                      <w:t>la Contraloría y Desarrollo</w:t>
                    </w:r>
                  </w:p>
                  <w:p>
                    <w:pPr>
                      <w:tabs>
                        <w:tab w:pos="1179" w:val="left" w:leader="none"/>
                      </w:tabs>
                      <w:spacing w:line="95" w:lineRule="exact" w:before="0"/>
                      <w:ind w:left="0" w:right="0" w:firstLine="0"/>
                      <w:jc w:val="left"/>
                      <w:rPr>
                        <w:sz w:val="9"/>
                      </w:rPr>
                    </w:pPr>
                    <w:r>
                      <w:rPr>
                        <w:w w:val="120"/>
                        <w:sz w:val="9"/>
                      </w:rPr>
                      <w:t>1982</w:t>
                    </w:r>
                    <w:r>
                      <w:rPr>
                        <w:spacing w:val="1"/>
                        <w:w w:val="120"/>
                        <w:sz w:val="9"/>
                      </w:rPr>
                      <w:t> </w:t>
                    </w:r>
                    <w:r>
                      <w:rPr>
                        <w:w w:val="120"/>
                        <w:sz w:val="9"/>
                      </w:rPr>
                      <w:t>Contraloría</w:t>
                      <w:tab/>
                    </w:r>
                    <w:r>
                      <w:rPr>
                        <w:w w:val="120"/>
                        <w:position w:val="-1"/>
                        <w:sz w:val="9"/>
                      </w:rPr>
                      <w:t>Administrativo</w:t>
                    </w:r>
                  </w:p>
                  <w:p>
                    <w:pPr>
                      <w:spacing w:line="259" w:lineRule="auto" w:before="0"/>
                      <w:ind w:left="132" w:right="1259" w:hanging="53"/>
                      <w:jc w:val="left"/>
                      <w:rPr>
                        <w:sz w:val="9"/>
                      </w:rPr>
                    </w:pPr>
                    <w:r>
                      <w:rPr>
                        <w:w w:val="120"/>
                        <w:sz w:val="9"/>
                      </w:rPr>
                      <w:t>General de la Federación</w:t>
                    </w:r>
                  </w:p>
                </w:txbxContent>
              </v:textbox>
              <w10:wrap type="none"/>
            </v:shape>
            <v:shape style="position:absolute;left:4467;top:2707;width:1099;height:229" type="#_x0000_t202" filled="false" stroked="false">
              <v:textbox inset="0,0,0,0">
                <w:txbxContent>
                  <w:p>
                    <w:pPr>
                      <w:spacing w:line="105" w:lineRule="exact" w:before="0"/>
                      <w:ind w:left="0" w:right="-9" w:firstLine="14"/>
                      <w:jc w:val="left"/>
                      <w:rPr>
                        <w:sz w:val="10"/>
                      </w:rPr>
                    </w:pPr>
                    <w:r>
                      <w:rPr>
                        <w:w w:val="120"/>
                        <w:sz w:val="10"/>
                      </w:rPr>
                      <w:t>1605: Tribunales de</w:t>
                    </w:r>
                  </w:p>
                  <w:p>
                    <w:pPr>
                      <w:spacing w:line="113" w:lineRule="exact" w:before="10"/>
                      <w:ind w:left="0" w:right="-9" w:firstLine="0"/>
                      <w:jc w:val="left"/>
                      <w:rPr>
                        <w:sz w:val="10"/>
                      </w:rPr>
                    </w:pPr>
                    <w:r>
                      <w:rPr>
                        <w:w w:val="120"/>
                        <w:sz w:val="10"/>
                      </w:rPr>
                      <w:t>Cuentas en América</w:t>
                    </w:r>
                  </w:p>
                </w:txbxContent>
              </v:textbox>
              <w10:wrap type="none"/>
            </v:shape>
            <v:shape style="position:absolute;left:7326;top:2590;width:1318;height:228" type="#_x0000_t202" filled="false" stroked="false">
              <v:textbox inset="0,0,0,0">
                <w:txbxContent>
                  <w:p>
                    <w:pPr>
                      <w:spacing w:line="105" w:lineRule="exact" w:before="0"/>
                      <w:ind w:left="0" w:right="-10" w:firstLine="92"/>
                      <w:jc w:val="left"/>
                      <w:rPr>
                        <w:sz w:val="10"/>
                      </w:rPr>
                    </w:pPr>
                    <w:r>
                      <w:rPr>
                        <w:w w:val="120"/>
                        <w:sz w:val="10"/>
                      </w:rPr>
                      <w:t>1910: Suspensión de</w:t>
                    </w:r>
                  </w:p>
                  <w:p>
                    <w:pPr>
                      <w:spacing w:line="113" w:lineRule="exact" w:before="9"/>
                      <w:ind w:left="0" w:right="-10" w:firstLine="0"/>
                      <w:jc w:val="left"/>
                      <w:rPr>
                        <w:sz w:val="10"/>
                      </w:rPr>
                    </w:pPr>
                    <w:r>
                      <w:rPr>
                        <w:w w:val="120"/>
                        <w:sz w:val="10"/>
                      </w:rPr>
                      <w:t>labores por la revolución</w:t>
                    </w:r>
                  </w:p>
                </w:txbxContent>
              </v:textbox>
              <w10:wrap type="none"/>
            </v:shape>
            <v:shape style="position:absolute;left:3319;top:3178;width:1293;height:228" type="#_x0000_t202" filled="false" stroked="false">
              <v:textbox inset="0,0,0,0">
                <w:txbxContent>
                  <w:p>
                    <w:pPr>
                      <w:spacing w:line="105" w:lineRule="exact" w:before="0"/>
                      <w:ind w:left="0" w:right="0" w:firstLine="0"/>
                      <w:jc w:val="center"/>
                      <w:rPr>
                        <w:sz w:val="10"/>
                      </w:rPr>
                    </w:pPr>
                    <w:r>
                      <w:rPr>
                        <w:w w:val="120"/>
                        <w:sz w:val="10"/>
                      </w:rPr>
                      <w:t>1519: Conquista</w:t>
                    </w:r>
                  </w:p>
                  <w:p>
                    <w:pPr>
                      <w:spacing w:line="113" w:lineRule="exact" w:before="9"/>
                      <w:ind w:left="0" w:right="0" w:firstLine="0"/>
                      <w:jc w:val="center"/>
                      <w:rPr>
                        <w:sz w:val="10"/>
                      </w:rPr>
                    </w:pPr>
                    <w:r>
                      <w:rPr>
                        <w:w w:val="120"/>
                        <w:sz w:val="10"/>
                      </w:rPr>
                      <w:t>española  a los mexicas</w:t>
                    </w:r>
                  </w:p>
                </w:txbxContent>
              </v:textbox>
              <w10:wrap type="none"/>
            </v:shape>
            <v:shape style="position:absolute;left:2309;top:3767;width:1712;height:104" type="#_x0000_t202" filled="false" stroked="false">
              <v:textbox inset="0,0,0,0">
                <w:txbxContent>
                  <w:p>
                    <w:pPr>
                      <w:spacing w:line="103" w:lineRule="exact" w:before="0"/>
                      <w:ind w:left="0" w:right="-3" w:firstLine="0"/>
                      <w:jc w:val="left"/>
                      <w:rPr>
                        <w:sz w:val="10"/>
                      </w:rPr>
                    </w:pPr>
                    <w:r>
                      <w:rPr>
                        <w:w w:val="120"/>
                        <w:sz w:val="10"/>
                      </w:rPr>
                      <w:t>1344: Registro tributario mexica</w:t>
                    </w:r>
                  </w:p>
                </w:txbxContent>
              </v:textbox>
              <w10:wrap type="none"/>
            </v:shape>
            <v:shape style="position:absolute;left:3629;top:4709;width:1600;height:228" type="#_x0000_t202" filled="false" stroked="false">
              <v:textbox inset="0,0,0,0">
                <w:txbxContent>
                  <w:p>
                    <w:pPr>
                      <w:spacing w:line="105" w:lineRule="exact" w:before="0"/>
                      <w:ind w:left="0" w:right="0" w:firstLine="0"/>
                      <w:jc w:val="center"/>
                      <w:rPr>
                        <w:sz w:val="10"/>
                      </w:rPr>
                    </w:pPr>
                    <w:r>
                      <w:rPr>
                        <w:w w:val="120"/>
                        <w:sz w:val="10"/>
                      </w:rPr>
                      <w:t>1388: Registro de las cuentas</w:t>
                    </w:r>
                  </w:p>
                  <w:p>
                    <w:pPr>
                      <w:spacing w:line="113" w:lineRule="exact" w:before="9"/>
                      <w:ind w:left="1" w:right="0" w:firstLine="0"/>
                      <w:jc w:val="center"/>
                      <w:rPr>
                        <w:sz w:val="10"/>
                      </w:rPr>
                    </w:pPr>
                    <w:r>
                      <w:rPr>
                        <w:w w:val="120"/>
                        <w:sz w:val="10"/>
                      </w:rPr>
                      <w:t>de la corona española</w:t>
                    </w:r>
                  </w:p>
                </w:txbxContent>
              </v:textbox>
              <w10:wrap type="none"/>
            </v:shape>
            <v:shape style="position:absolute;left:8848;top:1653;width:1209;height:453" type="#_x0000_t202" filled="false" stroked="false">
              <v:textbox inset="0,0,0,0">
                <w:txbxContent>
                  <w:p>
                    <w:pPr>
                      <w:spacing w:line="259" w:lineRule="auto" w:before="43"/>
                      <w:ind w:left="195" w:right="192" w:firstLine="0"/>
                      <w:jc w:val="center"/>
                      <w:rPr>
                        <w:sz w:val="10"/>
                      </w:rPr>
                    </w:pPr>
                    <w:r>
                      <w:rPr>
                        <w:w w:val="120"/>
                        <w:sz w:val="10"/>
                      </w:rPr>
                      <w:t>2000: Auditoría Superior de la Federación</w:t>
                    </w:r>
                  </w:p>
                </w:txbxContent>
              </v:textbox>
              <w10:wrap type="none"/>
            </v:shape>
            <v:shape style="position:absolute;left:6282;top:700;width:1267;height:224" type="#_x0000_t202" filled="true" fillcolor="#000000" stroked="false">
              <v:textbox inset="0,0,0,0">
                <w:txbxContent>
                  <w:p>
                    <w:pPr>
                      <w:spacing w:before="54"/>
                      <w:ind w:left="231" w:right="0" w:firstLine="0"/>
                      <w:jc w:val="left"/>
                      <w:rPr>
                        <w:sz w:val="10"/>
                      </w:rPr>
                    </w:pPr>
                    <w:r>
                      <w:rPr>
                        <w:color w:val="FFFFFF"/>
                        <w:w w:val="120"/>
                        <w:sz w:val="10"/>
                      </w:rPr>
                      <w:t>Control Interno</w:t>
                    </w:r>
                  </w:p>
                </w:txbxContent>
              </v:textbox>
              <v:fill type="solid"/>
              <w10:wrap type="none"/>
            </v:shape>
            <v:shape style="position:absolute;left:3947;top:2006;width:1450;height:328" type="#_x0000_t202" filled="true" fillcolor="#ffffff" stroked="true" strokeweight="1.07059pt" strokecolor="#000000">
              <v:textbox inset="0,0,0,0">
                <w:txbxContent>
                  <w:p>
                    <w:pPr>
                      <w:spacing w:line="259" w:lineRule="auto" w:before="33"/>
                      <w:ind w:left="171" w:right="0" w:firstLine="11"/>
                      <w:jc w:val="left"/>
                      <w:rPr>
                        <w:sz w:val="10"/>
                      </w:rPr>
                    </w:pPr>
                    <w:r>
                      <w:rPr>
                        <w:w w:val="120"/>
                        <w:sz w:val="10"/>
                      </w:rPr>
                      <w:t>1705: Secretaría de Despacho Universal</w:t>
                    </w:r>
                  </w:p>
                </w:txbxContent>
              </v:textbox>
              <v:fill type="solid"/>
              <w10:wrap type="none"/>
            </v:shape>
            <v:shape style="position:absolute;left:6916;top:2889;width:1450;height:453" type="#_x0000_t202" filled="true" fillcolor="#ffffff" stroked="true" strokeweight="1.080191pt" strokecolor="#000000">
              <v:textbox inset="0,0,0,0">
                <w:txbxContent>
                  <w:p>
                    <w:pPr>
                      <w:spacing w:line="259" w:lineRule="auto" w:before="33"/>
                      <w:ind w:left="145" w:right="143" w:hanging="2"/>
                      <w:jc w:val="center"/>
                      <w:rPr>
                        <w:sz w:val="10"/>
                      </w:rPr>
                    </w:pPr>
                    <w:r>
                      <w:rPr>
                        <w:w w:val="120"/>
                        <w:sz w:val="10"/>
                      </w:rPr>
                      <w:t>1824: Creación de la Contaduría Mayor de Hacienda</w:t>
                    </w:r>
                  </w:p>
                </w:txbxContent>
              </v:textbox>
              <v:fill type="solid"/>
              <w10:wrap type="none"/>
            </v:shape>
            <v:shape style="position:absolute;left:5144;top:1063;width:1265;height:351" type="#_x0000_t202" filled="true" fillcolor="#000000" stroked="false">
              <v:textbox inset="0,0,0,0">
                <w:txbxContent>
                  <w:p>
                    <w:pPr>
                      <w:spacing w:before="55"/>
                      <w:ind w:left="218" w:right="219" w:firstLine="0"/>
                      <w:jc w:val="center"/>
                      <w:rPr>
                        <w:sz w:val="10"/>
                      </w:rPr>
                    </w:pPr>
                    <w:r>
                      <w:rPr>
                        <w:color w:val="FFFFFF"/>
                        <w:w w:val="120"/>
                        <w:sz w:val="10"/>
                      </w:rPr>
                      <w:t>1810:</w:t>
                    </w:r>
                  </w:p>
                  <w:p>
                    <w:pPr>
                      <w:spacing w:before="9"/>
                      <w:ind w:left="218" w:right="219" w:firstLine="0"/>
                      <w:jc w:val="center"/>
                      <w:rPr>
                        <w:sz w:val="10"/>
                      </w:rPr>
                    </w:pPr>
                    <w:r>
                      <w:rPr>
                        <w:color w:val="FFFFFF"/>
                        <w:w w:val="120"/>
                        <w:sz w:val="10"/>
                      </w:rPr>
                      <w:t>Independencia</w:t>
                    </w:r>
                  </w:p>
                </w:txbxContent>
              </v:textbox>
              <v:fill type="solid"/>
              <w10:wrap type="none"/>
            </v:shape>
            <v:shape style="position:absolute;left:6421;top:4348;width:1265;height:225" type="#_x0000_t202" filled="true" fillcolor="#000000" stroked="false">
              <v:textbox inset="0,0,0,0">
                <w:txbxContent>
                  <w:p>
                    <w:pPr>
                      <w:spacing w:before="56"/>
                      <w:ind w:left="210" w:right="0" w:firstLine="0"/>
                      <w:jc w:val="left"/>
                      <w:rPr>
                        <w:sz w:val="10"/>
                      </w:rPr>
                    </w:pPr>
                    <w:r>
                      <w:rPr>
                        <w:color w:val="FFFFFF"/>
                        <w:w w:val="120"/>
                        <w:sz w:val="10"/>
                      </w:rPr>
                      <w:t>Control Externo</w:t>
                    </w:r>
                  </w:p>
                </w:txbxContent>
              </v:textbox>
              <v:fill type="solid"/>
              <w10:wrap type="none"/>
            </v:shape>
            <w10:wrap type="topAndBottom"/>
          </v:group>
        </w:pict>
      </w:r>
    </w:p>
    <w:p>
      <w:pPr>
        <w:pStyle w:val="BodyText"/>
        <w:spacing w:before="6"/>
        <w:rPr>
          <w:sz w:val="19"/>
        </w:rPr>
      </w:pPr>
    </w:p>
    <w:p>
      <w:pPr>
        <w:spacing w:before="0"/>
        <w:ind w:left="142" w:right="0" w:firstLine="0"/>
        <w:jc w:val="left"/>
        <w:rPr>
          <w:sz w:val="12"/>
        </w:rPr>
      </w:pPr>
      <w:r>
        <w:rPr>
          <w:sz w:val="12"/>
        </w:rPr>
        <w:t>FUENTE: </w:t>
      </w:r>
      <w:hyperlink r:id="rId110">
        <w:r>
          <w:rPr>
            <w:color w:val="0000FF"/>
            <w:sz w:val="12"/>
            <w:u w:val="single" w:color="0000FF"/>
          </w:rPr>
          <w:t>http://www.shcp.gob.mx/LASHCP/Documents/antecedentes.pd</w:t>
        </w:r>
        <w:r>
          <w:rPr>
            <w:color w:val="0000FF"/>
            <w:sz w:val="12"/>
          </w:rPr>
          <w:t>f</w:t>
        </w:r>
      </w:hyperlink>
      <w:r>
        <w:rPr>
          <w:color w:val="0000FF"/>
          <w:sz w:val="12"/>
        </w:rPr>
        <w:t> </w:t>
      </w:r>
      <w:r>
        <w:rPr>
          <w:sz w:val="12"/>
        </w:rPr>
        <w:t>[Fecha de consulta: 15 de agosto, 2015]</w:t>
      </w:r>
    </w:p>
    <w:p>
      <w:pPr>
        <w:spacing w:after="0"/>
        <w:jc w:val="left"/>
        <w:rPr>
          <w:sz w:val="12"/>
        </w:rPr>
        <w:sectPr>
          <w:pgSz w:w="12240" w:h="15840"/>
          <w:pgMar w:header="0" w:footer="1003" w:top="1360" w:bottom="1200" w:left="1560" w:right="1580"/>
        </w:sectPr>
      </w:pPr>
    </w:p>
    <w:p>
      <w:pPr>
        <w:pStyle w:val="Heading2"/>
        <w:numPr>
          <w:ilvl w:val="1"/>
          <w:numId w:val="41"/>
        </w:numPr>
        <w:tabs>
          <w:tab w:pos="535" w:val="left" w:leader="none"/>
        </w:tabs>
        <w:spacing w:line="240" w:lineRule="auto" w:before="54" w:after="0"/>
        <w:ind w:left="534" w:right="0" w:hanging="432"/>
        <w:jc w:val="both"/>
      </w:pPr>
      <w:bookmarkStart w:name="_bookmark41" w:id="52"/>
      <w:bookmarkEnd w:id="52"/>
      <w:r>
        <w:rPr>
          <w:b w:val="0"/>
        </w:rPr>
      </w:r>
      <w:bookmarkStart w:name="_bookmark41" w:id="53"/>
      <w:bookmarkEnd w:id="53"/>
      <w:r>
        <w:rPr/>
        <w:t>La</w:t>
      </w:r>
      <w:r>
        <w:rPr/>
        <w:t> Nueva España</w:t>
      </w:r>
      <w:r>
        <w:rPr>
          <w:spacing w:val="-5"/>
        </w:rPr>
        <w:t> </w:t>
      </w:r>
      <w:r>
        <w:rPr/>
        <w:t>(1521-1821)</w:t>
      </w:r>
    </w:p>
    <w:p>
      <w:pPr>
        <w:pStyle w:val="BodyText"/>
        <w:spacing w:before="6"/>
        <w:rPr>
          <w:b/>
          <w:sz w:val="30"/>
        </w:rPr>
      </w:pPr>
    </w:p>
    <w:p>
      <w:pPr>
        <w:pStyle w:val="Heading3"/>
        <w:numPr>
          <w:ilvl w:val="2"/>
          <w:numId w:val="41"/>
        </w:numPr>
        <w:tabs>
          <w:tab w:pos="704" w:val="left" w:leader="none"/>
        </w:tabs>
        <w:spacing w:line="360" w:lineRule="auto" w:before="0" w:after="0"/>
        <w:ind w:left="668" w:right="264" w:hanging="566"/>
        <w:jc w:val="left"/>
      </w:pPr>
      <w:bookmarkStart w:name="_bookmark42" w:id="54"/>
      <w:bookmarkEnd w:id="54"/>
      <w:r>
        <w:rPr>
          <w:b w:val="0"/>
        </w:rPr>
      </w:r>
      <w:bookmarkStart w:name="_bookmark42" w:id="55"/>
      <w:bookmarkEnd w:id="55"/>
      <w:r>
        <w:rPr/>
        <w:t>La</w:t>
      </w:r>
      <w:r>
        <w:rPr/>
        <w:t> institución de rendición de cuentas en la Nueva España: La</w:t>
      </w:r>
      <w:r>
        <w:rPr>
          <w:spacing w:val="-24"/>
        </w:rPr>
        <w:t> </w:t>
      </w:r>
      <w:r>
        <w:rPr/>
        <w:t>herencia extranjera</w:t>
      </w:r>
    </w:p>
    <w:p>
      <w:pPr>
        <w:pStyle w:val="BodyText"/>
        <w:rPr>
          <w:b/>
        </w:rPr>
      </w:pPr>
    </w:p>
    <w:p>
      <w:pPr>
        <w:pStyle w:val="BodyText"/>
        <w:spacing w:line="360" w:lineRule="auto" w:before="142"/>
        <w:ind w:left="102" w:right="205"/>
        <w:jc w:val="both"/>
      </w:pPr>
      <w:r>
        <w:rPr/>
        <w:t>Con una tradición heredada de los musulmanes, los hebreos y la comunidad romano-germánica, los españoles instituyeron su política hacendaria y algunos elementos de rendición de cuentas en la época medieval. (Solares, 2004: 211)</w:t>
      </w:r>
    </w:p>
    <w:p>
      <w:pPr>
        <w:pStyle w:val="BodyText"/>
        <w:spacing w:line="360" w:lineRule="auto" w:before="5"/>
        <w:ind w:left="102" w:right="108" w:firstLine="427"/>
        <w:jc w:val="both"/>
      </w:pPr>
      <w:r>
        <w:rPr/>
        <w:t>En Europa del siglo XIII eran frecuentes las donaciones de castillos, heredades y</w:t>
      </w:r>
      <w:r>
        <w:rPr>
          <w:spacing w:val="-21"/>
        </w:rPr>
        <w:t> </w:t>
      </w:r>
      <w:r>
        <w:rPr/>
        <w:t>territorios</w:t>
      </w:r>
      <w:r>
        <w:rPr>
          <w:spacing w:val="-16"/>
        </w:rPr>
        <w:t> </w:t>
      </w:r>
      <w:r>
        <w:rPr/>
        <w:t>que</w:t>
      </w:r>
      <w:r>
        <w:rPr>
          <w:spacing w:val="-18"/>
        </w:rPr>
        <w:t> </w:t>
      </w:r>
      <w:r>
        <w:rPr/>
        <w:t>hacían</w:t>
      </w:r>
      <w:r>
        <w:rPr>
          <w:spacing w:val="-18"/>
        </w:rPr>
        <w:t> </w:t>
      </w:r>
      <w:r>
        <w:rPr/>
        <w:t>los</w:t>
      </w:r>
      <w:r>
        <w:rPr>
          <w:spacing w:val="-18"/>
        </w:rPr>
        <w:t> </w:t>
      </w:r>
      <w:r>
        <w:rPr/>
        <w:t>reyes</w:t>
      </w:r>
      <w:r>
        <w:rPr>
          <w:spacing w:val="-19"/>
        </w:rPr>
        <w:t> </w:t>
      </w:r>
      <w:r>
        <w:rPr/>
        <w:t>entre</w:t>
      </w:r>
      <w:r>
        <w:rPr>
          <w:spacing w:val="-18"/>
        </w:rPr>
        <w:t> </w:t>
      </w:r>
      <w:r>
        <w:rPr/>
        <w:t>sí,</w:t>
      </w:r>
      <w:r>
        <w:rPr>
          <w:spacing w:val="-18"/>
        </w:rPr>
        <w:t> </w:t>
      </w:r>
      <w:r>
        <w:rPr/>
        <w:t>por</w:t>
      </w:r>
      <w:r>
        <w:rPr>
          <w:spacing w:val="-19"/>
        </w:rPr>
        <w:t> </w:t>
      </w:r>
      <w:r>
        <w:rPr/>
        <w:t>lo</w:t>
      </w:r>
      <w:r>
        <w:rPr>
          <w:spacing w:val="-18"/>
        </w:rPr>
        <w:t> </w:t>
      </w:r>
      <w:r>
        <w:rPr/>
        <w:t>que</w:t>
      </w:r>
      <w:r>
        <w:rPr>
          <w:spacing w:val="-18"/>
        </w:rPr>
        <w:t> </w:t>
      </w:r>
      <w:r>
        <w:rPr/>
        <w:t>la</w:t>
      </w:r>
      <w:r>
        <w:rPr>
          <w:spacing w:val="-18"/>
        </w:rPr>
        <w:t> </w:t>
      </w:r>
      <w:r>
        <w:rPr/>
        <w:t>monarquía</w:t>
      </w:r>
      <w:r>
        <w:rPr>
          <w:spacing w:val="-18"/>
        </w:rPr>
        <w:t> </w:t>
      </w:r>
      <w:r>
        <w:rPr/>
        <w:t>española</w:t>
      </w:r>
      <w:r>
        <w:rPr>
          <w:spacing w:val="-18"/>
        </w:rPr>
        <w:t> </w:t>
      </w:r>
      <w:r>
        <w:rPr/>
        <w:t>consideró necesario recuperar la vieja tradición romana que distinguía entre los bienes del Estado</w:t>
      </w:r>
      <w:r>
        <w:rPr>
          <w:spacing w:val="-13"/>
        </w:rPr>
        <w:t> </w:t>
      </w:r>
      <w:r>
        <w:rPr/>
        <w:t>y</w:t>
      </w:r>
      <w:r>
        <w:rPr>
          <w:spacing w:val="-16"/>
        </w:rPr>
        <w:t> </w:t>
      </w:r>
      <w:r>
        <w:rPr/>
        <w:t>los</w:t>
      </w:r>
      <w:r>
        <w:rPr>
          <w:spacing w:val="-16"/>
        </w:rPr>
        <w:t> </w:t>
      </w:r>
      <w:r>
        <w:rPr/>
        <w:t>bienes</w:t>
      </w:r>
      <w:r>
        <w:rPr>
          <w:spacing w:val="-16"/>
        </w:rPr>
        <w:t> </w:t>
      </w:r>
      <w:r>
        <w:rPr/>
        <w:t>del</w:t>
      </w:r>
      <w:r>
        <w:rPr>
          <w:spacing w:val="-17"/>
        </w:rPr>
        <w:t> </w:t>
      </w:r>
      <w:r>
        <w:rPr/>
        <w:t>rey.</w:t>
      </w:r>
      <w:r>
        <w:rPr>
          <w:spacing w:val="-13"/>
        </w:rPr>
        <w:t> </w:t>
      </w:r>
      <w:r>
        <w:rPr/>
        <w:t>Con</w:t>
      </w:r>
      <w:r>
        <w:rPr>
          <w:spacing w:val="-15"/>
        </w:rPr>
        <w:t> </w:t>
      </w:r>
      <w:r>
        <w:rPr/>
        <w:t>ello</w:t>
      </w:r>
      <w:r>
        <w:rPr>
          <w:spacing w:val="-15"/>
        </w:rPr>
        <w:t> </w:t>
      </w:r>
      <w:r>
        <w:rPr/>
        <w:t>se</w:t>
      </w:r>
      <w:r>
        <w:rPr>
          <w:spacing w:val="-16"/>
        </w:rPr>
        <w:t> </w:t>
      </w:r>
      <w:r>
        <w:rPr/>
        <w:t>hizo</w:t>
      </w:r>
      <w:r>
        <w:rPr>
          <w:spacing w:val="-13"/>
        </w:rPr>
        <w:t> </w:t>
      </w:r>
      <w:r>
        <w:rPr/>
        <w:t>necesario</w:t>
      </w:r>
      <w:r>
        <w:rPr>
          <w:spacing w:val="-15"/>
        </w:rPr>
        <w:t> </w:t>
      </w:r>
      <w:r>
        <w:rPr/>
        <w:t>organizar</w:t>
      </w:r>
      <w:r>
        <w:rPr>
          <w:spacing w:val="-15"/>
        </w:rPr>
        <w:t> </w:t>
      </w:r>
      <w:r>
        <w:rPr/>
        <w:t>y</w:t>
      </w:r>
      <w:r>
        <w:rPr>
          <w:spacing w:val="-16"/>
        </w:rPr>
        <w:t> </w:t>
      </w:r>
      <w:r>
        <w:rPr/>
        <w:t>vigilar</w:t>
      </w:r>
      <w:r>
        <w:rPr>
          <w:spacing w:val="-15"/>
        </w:rPr>
        <w:t> </w:t>
      </w:r>
      <w:r>
        <w:rPr/>
        <w:t>los</w:t>
      </w:r>
      <w:r>
        <w:rPr>
          <w:spacing w:val="-13"/>
        </w:rPr>
        <w:t> </w:t>
      </w:r>
      <w:r>
        <w:rPr/>
        <w:t>recursos públicos.</w:t>
      </w:r>
    </w:p>
    <w:p>
      <w:pPr>
        <w:pStyle w:val="BodyText"/>
        <w:spacing w:line="360" w:lineRule="auto" w:before="5"/>
        <w:ind w:left="102" w:right="107" w:firstLine="427"/>
        <w:jc w:val="both"/>
      </w:pPr>
      <w:r>
        <w:rPr/>
        <w:t>A los españoles les requirió tiempo establecer un sistema funcional que les permitiera registrar las donaciones, ingresos y gastos de la monarquía. Solo a fines de la Edad Media, cuando en cumplimiento de la </w:t>
      </w:r>
      <w:r>
        <w:rPr>
          <w:i/>
        </w:rPr>
        <w:t>ordenanza de buen gobierno </w:t>
      </w:r>
      <w:r>
        <w:rPr/>
        <w:t>referente al registro de las cuentas de la corona, en 1388 se promulgó la existencia de Contadores Mayores en Castilla, quienes realizaban el registro de los bienes monárquicos y las tributaciones.</w:t>
      </w:r>
    </w:p>
    <w:p>
      <w:pPr>
        <w:pStyle w:val="BodyText"/>
        <w:spacing w:line="360" w:lineRule="auto" w:before="5"/>
        <w:ind w:left="102" w:right="109" w:firstLine="427"/>
        <w:jc w:val="both"/>
      </w:pPr>
      <w:r>
        <w:rPr/>
        <w:t>Aun</w:t>
      </w:r>
      <w:r>
        <w:rPr>
          <w:spacing w:val="-9"/>
        </w:rPr>
        <w:t> </w:t>
      </w:r>
      <w:r>
        <w:rPr/>
        <w:t>con</w:t>
      </w:r>
      <w:r>
        <w:rPr>
          <w:spacing w:val="-12"/>
        </w:rPr>
        <w:t> </w:t>
      </w:r>
      <w:r>
        <w:rPr/>
        <w:t>esta</w:t>
      </w:r>
      <w:r>
        <w:rPr>
          <w:spacing w:val="-11"/>
        </w:rPr>
        <w:t> </w:t>
      </w:r>
      <w:r>
        <w:rPr/>
        <w:t>disposición</w:t>
      </w:r>
      <w:r>
        <w:rPr>
          <w:spacing w:val="-9"/>
        </w:rPr>
        <w:t> </w:t>
      </w:r>
      <w:r>
        <w:rPr/>
        <w:t>para</w:t>
      </w:r>
      <w:r>
        <w:rPr>
          <w:spacing w:val="-10"/>
        </w:rPr>
        <w:t> </w:t>
      </w:r>
      <w:r>
        <w:rPr/>
        <w:t>regular</w:t>
      </w:r>
      <w:r>
        <w:rPr>
          <w:spacing w:val="-10"/>
        </w:rPr>
        <w:t> </w:t>
      </w:r>
      <w:r>
        <w:rPr/>
        <w:t>la</w:t>
      </w:r>
      <w:r>
        <w:rPr>
          <w:spacing w:val="-12"/>
        </w:rPr>
        <w:t> </w:t>
      </w:r>
      <w:r>
        <w:rPr/>
        <w:t>donación</w:t>
      </w:r>
      <w:r>
        <w:rPr>
          <w:spacing w:val="-9"/>
        </w:rPr>
        <w:t> </w:t>
      </w:r>
      <w:r>
        <w:rPr/>
        <w:t>de</w:t>
      </w:r>
      <w:r>
        <w:rPr>
          <w:spacing w:val="-9"/>
        </w:rPr>
        <w:t> </w:t>
      </w:r>
      <w:r>
        <w:rPr/>
        <w:t>bienes</w:t>
      </w:r>
      <w:r>
        <w:rPr>
          <w:spacing w:val="-13"/>
        </w:rPr>
        <w:t> </w:t>
      </w:r>
      <w:r>
        <w:rPr/>
        <w:t>del</w:t>
      </w:r>
      <w:r>
        <w:rPr>
          <w:spacing w:val="-11"/>
        </w:rPr>
        <w:t> </w:t>
      </w:r>
      <w:r>
        <w:rPr/>
        <w:t>Estado</w:t>
      </w:r>
      <w:r>
        <w:rPr>
          <w:spacing w:val="-9"/>
        </w:rPr>
        <w:t> </w:t>
      </w:r>
      <w:r>
        <w:rPr/>
        <w:t>español, los reyes de España todavía contaban con plena capacidad para enajenar o donar villas,</w:t>
      </w:r>
      <w:r>
        <w:rPr>
          <w:spacing w:val="-4"/>
        </w:rPr>
        <w:t> </w:t>
      </w:r>
      <w:r>
        <w:rPr/>
        <w:t>ciudades,</w:t>
      </w:r>
      <w:r>
        <w:rPr>
          <w:spacing w:val="-6"/>
        </w:rPr>
        <w:t> </w:t>
      </w:r>
      <w:r>
        <w:rPr/>
        <w:t>castillos</w:t>
      </w:r>
      <w:r>
        <w:rPr>
          <w:spacing w:val="-4"/>
        </w:rPr>
        <w:t> </w:t>
      </w:r>
      <w:r>
        <w:rPr/>
        <w:t>y</w:t>
      </w:r>
      <w:r>
        <w:rPr>
          <w:spacing w:val="-7"/>
        </w:rPr>
        <w:t> </w:t>
      </w:r>
      <w:r>
        <w:rPr/>
        <w:t>territorios</w:t>
      </w:r>
      <w:r>
        <w:rPr>
          <w:spacing w:val="-7"/>
        </w:rPr>
        <w:t> </w:t>
      </w:r>
      <w:r>
        <w:rPr/>
        <w:t>del</w:t>
      </w:r>
      <w:r>
        <w:rPr>
          <w:spacing w:val="-5"/>
        </w:rPr>
        <w:t> </w:t>
      </w:r>
      <w:r>
        <w:rPr/>
        <w:t>reino,</w:t>
      </w:r>
      <w:r>
        <w:rPr>
          <w:spacing w:val="-4"/>
        </w:rPr>
        <w:t> </w:t>
      </w:r>
      <w:r>
        <w:rPr/>
        <w:t>y</w:t>
      </w:r>
      <w:r>
        <w:rPr>
          <w:spacing w:val="-7"/>
        </w:rPr>
        <w:t> </w:t>
      </w:r>
      <w:r>
        <w:rPr/>
        <w:t>a</w:t>
      </w:r>
      <w:r>
        <w:rPr>
          <w:spacing w:val="-6"/>
        </w:rPr>
        <w:t> </w:t>
      </w:r>
      <w:r>
        <w:rPr/>
        <w:t>partir</w:t>
      </w:r>
      <w:r>
        <w:rPr>
          <w:spacing w:val="-7"/>
        </w:rPr>
        <w:t> </w:t>
      </w:r>
      <w:r>
        <w:rPr/>
        <w:t>de</w:t>
      </w:r>
      <w:r>
        <w:rPr>
          <w:spacing w:val="-6"/>
        </w:rPr>
        <w:t> </w:t>
      </w:r>
      <w:r>
        <w:rPr/>
        <w:t>1436</w:t>
      </w:r>
      <w:r>
        <w:rPr>
          <w:spacing w:val="-4"/>
        </w:rPr>
        <w:t> </w:t>
      </w:r>
      <w:r>
        <w:rPr/>
        <w:t>se</w:t>
      </w:r>
      <w:r>
        <w:rPr>
          <w:spacing w:val="-6"/>
        </w:rPr>
        <w:t> </w:t>
      </w:r>
      <w:r>
        <w:rPr/>
        <w:t>instauró</w:t>
      </w:r>
      <w:r>
        <w:rPr>
          <w:spacing w:val="-4"/>
        </w:rPr>
        <w:t> </w:t>
      </w:r>
      <w:r>
        <w:rPr/>
        <w:t>la</w:t>
      </w:r>
      <w:r>
        <w:rPr>
          <w:spacing w:val="-6"/>
        </w:rPr>
        <w:t> </w:t>
      </w:r>
      <w:r>
        <w:rPr/>
        <w:t>Casa de Cuentas, y en 1437 con la ordenanza de Juan II se instituyó formalmente la Contaduría Mayor de Cuentas en la Nueva</w:t>
      </w:r>
      <w:r>
        <w:rPr>
          <w:spacing w:val="-18"/>
        </w:rPr>
        <w:t> </w:t>
      </w:r>
      <w:r>
        <w:rPr/>
        <w:t>España.</w:t>
      </w:r>
    </w:p>
    <w:p>
      <w:pPr>
        <w:pStyle w:val="BodyText"/>
        <w:spacing w:line="360" w:lineRule="auto" w:before="2"/>
        <w:ind w:left="102" w:right="103" w:firstLine="427"/>
        <w:jc w:val="both"/>
      </w:pPr>
      <w:r>
        <w:rPr/>
        <w:t>A partir de 1442 las cortes españolas trataron de frenar la costumbre de donaciones</w:t>
      </w:r>
      <w:r>
        <w:rPr>
          <w:spacing w:val="-8"/>
        </w:rPr>
        <w:t> </w:t>
      </w:r>
      <w:r>
        <w:rPr/>
        <w:t>en</w:t>
      </w:r>
      <w:r>
        <w:rPr>
          <w:spacing w:val="-5"/>
        </w:rPr>
        <w:t> </w:t>
      </w:r>
      <w:r>
        <w:rPr/>
        <w:t>su</w:t>
      </w:r>
      <w:r>
        <w:rPr>
          <w:spacing w:val="-5"/>
        </w:rPr>
        <w:t> </w:t>
      </w:r>
      <w:r>
        <w:rPr/>
        <w:t>país</w:t>
      </w:r>
      <w:r>
        <w:rPr>
          <w:spacing w:val="-6"/>
        </w:rPr>
        <w:t> </w:t>
      </w:r>
      <w:r>
        <w:rPr/>
        <w:t>y</w:t>
      </w:r>
      <w:r>
        <w:rPr>
          <w:spacing w:val="-8"/>
        </w:rPr>
        <w:t> </w:t>
      </w:r>
      <w:r>
        <w:rPr/>
        <w:t>se</w:t>
      </w:r>
      <w:r>
        <w:rPr>
          <w:spacing w:val="-5"/>
        </w:rPr>
        <w:t> </w:t>
      </w:r>
      <w:r>
        <w:rPr/>
        <w:t>dispuso</w:t>
      </w:r>
      <w:r>
        <w:rPr>
          <w:spacing w:val="-5"/>
        </w:rPr>
        <w:t> </w:t>
      </w:r>
      <w:r>
        <w:rPr/>
        <w:t>al</w:t>
      </w:r>
      <w:r>
        <w:rPr>
          <w:spacing w:val="-6"/>
        </w:rPr>
        <w:t> </w:t>
      </w:r>
      <w:r>
        <w:rPr/>
        <w:t>rey</w:t>
      </w:r>
      <w:r>
        <w:rPr>
          <w:spacing w:val="-6"/>
        </w:rPr>
        <w:t> </w:t>
      </w:r>
      <w:r>
        <w:rPr/>
        <w:t>que</w:t>
      </w:r>
      <w:r>
        <w:rPr>
          <w:spacing w:val="-5"/>
        </w:rPr>
        <w:t> </w:t>
      </w:r>
      <w:r>
        <w:rPr/>
        <w:t>los</w:t>
      </w:r>
      <w:r>
        <w:rPr>
          <w:spacing w:val="-5"/>
        </w:rPr>
        <w:t> </w:t>
      </w:r>
      <w:r>
        <w:rPr/>
        <w:t>bienes</w:t>
      </w:r>
      <w:r>
        <w:rPr>
          <w:spacing w:val="-6"/>
        </w:rPr>
        <w:t> </w:t>
      </w:r>
      <w:r>
        <w:rPr/>
        <w:t>y</w:t>
      </w:r>
      <w:r>
        <w:rPr>
          <w:spacing w:val="-8"/>
        </w:rPr>
        <w:t> </w:t>
      </w:r>
      <w:r>
        <w:rPr/>
        <w:t>heredades</w:t>
      </w:r>
      <w:r>
        <w:rPr>
          <w:spacing w:val="-6"/>
        </w:rPr>
        <w:t> </w:t>
      </w:r>
      <w:r>
        <w:rPr/>
        <w:t>del</w:t>
      </w:r>
      <w:r>
        <w:rPr>
          <w:spacing w:val="-6"/>
        </w:rPr>
        <w:t> </w:t>
      </w:r>
      <w:r>
        <w:rPr/>
        <w:t>reino</w:t>
      </w:r>
      <w:r>
        <w:rPr>
          <w:spacing w:val="-5"/>
        </w:rPr>
        <w:t> </w:t>
      </w:r>
      <w:r>
        <w:rPr/>
        <w:t>eran inalienables e imprescindibles. Aun con esta medida, no se pudieron evitar las donaciones hechas por Enrique IV, y los reyes católicos revocaron donaciones para acrecentar los territorios del Reino de Castilla y</w:t>
      </w:r>
      <w:r>
        <w:rPr>
          <w:spacing w:val="-17"/>
        </w:rPr>
        <w:t> </w:t>
      </w:r>
      <w:r>
        <w:rPr/>
        <w:t>León.</w:t>
      </w:r>
    </w:p>
    <w:p>
      <w:pPr>
        <w:pStyle w:val="BodyText"/>
        <w:spacing w:line="360" w:lineRule="auto" w:before="5"/>
        <w:ind w:left="102" w:right="113" w:firstLine="427"/>
        <w:jc w:val="both"/>
      </w:pPr>
      <w:r>
        <w:rPr/>
        <w:t>Durante el Siglo XV las finanzas públicas españolas fueron registradas por la Contaduría  Mayor de  Hacienda,  la  cual fue adquiriendo funciones cada  vez más</w:t>
      </w:r>
    </w:p>
    <w:p>
      <w:pPr>
        <w:spacing w:after="0" w:line="360" w:lineRule="auto"/>
        <w:jc w:val="both"/>
        <w:sectPr>
          <w:pgSz w:w="12240" w:h="15840"/>
          <w:pgMar w:header="0" w:footer="1003" w:top="1360" w:bottom="1200" w:left="1600" w:right="1500"/>
        </w:sectPr>
      </w:pPr>
    </w:p>
    <w:p>
      <w:pPr>
        <w:pStyle w:val="BodyText"/>
        <w:spacing w:line="360" w:lineRule="auto" w:before="69"/>
        <w:ind w:left="122" w:right="105"/>
        <w:jc w:val="both"/>
      </w:pPr>
      <w:r>
        <w:rPr/>
        <w:t>especializadas: por una parte, se registraba la gestión de la hacienda pública</w:t>
      </w:r>
      <w:r>
        <w:rPr>
          <w:position w:val="8"/>
          <w:sz w:val="16"/>
        </w:rPr>
        <w:t>38 </w:t>
      </w:r>
      <w:r>
        <w:rPr/>
        <w:t>(política hacendaria) y por otra, se revisaba las cuentas de las recaudaciones (política de rendición de cuentas).</w:t>
      </w:r>
    </w:p>
    <w:p>
      <w:pPr>
        <w:pStyle w:val="BodyText"/>
        <w:spacing w:line="360" w:lineRule="auto" w:before="5"/>
        <w:ind w:left="122" w:right="109" w:firstLine="427"/>
        <w:jc w:val="both"/>
      </w:pPr>
      <w:r>
        <w:rPr/>
        <w:t>La</w:t>
      </w:r>
      <w:r>
        <w:rPr>
          <w:spacing w:val="-19"/>
        </w:rPr>
        <w:t> </w:t>
      </w:r>
      <w:r>
        <w:rPr/>
        <w:t>Contaduría</w:t>
      </w:r>
      <w:r>
        <w:rPr>
          <w:spacing w:val="-19"/>
        </w:rPr>
        <w:t> </w:t>
      </w:r>
      <w:r>
        <w:rPr/>
        <w:t>Mayor</w:t>
      </w:r>
      <w:r>
        <w:rPr>
          <w:spacing w:val="-20"/>
        </w:rPr>
        <w:t> </w:t>
      </w:r>
      <w:r>
        <w:rPr/>
        <w:t>de</w:t>
      </w:r>
      <w:r>
        <w:rPr>
          <w:spacing w:val="-19"/>
        </w:rPr>
        <w:t> </w:t>
      </w:r>
      <w:r>
        <w:rPr/>
        <w:t>Hacienda</w:t>
      </w:r>
      <w:r>
        <w:rPr>
          <w:spacing w:val="-21"/>
        </w:rPr>
        <w:t> </w:t>
      </w:r>
      <w:r>
        <w:rPr/>
        <w:t>estaba</w:t>
      </w:r>
      <w:r>
        <w:rPr>
          <w:spacing w:val="-19"/>
        </w:rPr>
        <w:t> </w:t>
      </w:r>
      <w:r>
        <w:rPr/>
        <w:t>representada</w:t>
      </w:r>
      <w:r>
        <w:rPr>
          <w:spacing w:val="-21"/>
        </w:rPr>
        <w:t> </w:t>
      </w:r>
      <w:r>
        <w:rPr/>
        <w:t>por</w:t>
      </w:r>
      <w:r>
        <w:rPr>
          <w:spacing w:val="-23"/>
        </w:rPr>
        <w:t> </w:t>
      </w:r>
      <w:r>
        <w:rPr/>
        <w:t>el</w:t>
      </w:r>
      <w:r>
        <w:rPr>
          <w:spacing w:val="-20"/>
        </w:rPr>
        <w:t> </w:t>
      </w:r>
      <w:r>
        <w:rPr/>
        <w:t>Mayordomo</w:t>
      </w:r>
      <w:r>
        <w:rPr>
          <w:spacing w:val="-19"/>
        </w:rPr>
        <w:t> </w:t>
      </w:r>
      <w:r>
        <w:rPr/>
        <w:t>Mayor de Castilla, quien supervisaba el trabajo de los contadores mayores y menores designados a la contaduría. La figura de Mayordomo Mayor fue reemplazada en 1517 por el Secretario de</w:t>
      </w:r>
      <w:r>
        <w:rPr>
          <w:spacing w:val="-16"/>
        </w:rPr>
        <w:t> </w:t>
      </w:r>
      <w:r>
        <w:rPr/>
        <w:t>Hacienda.</w:t>
      </w:r>
    </w:p>
    <w:p>
      <w:pPr>
        <w:pStyle w:val="BodyText"/>
        <w:spacing w:line="360" w:lineRule="auto" w:before="5"/>
        <w:ind w:left="122" w:right="110" w:firstLine="427"/>
        <w:jc w:val="both"/>
      </w:pPr>
      <w:r>
        <w:rPr/>
        <w:t>La organización hacendaria española estaba caracterizada por delimitar el territorio</w:t>
      </w:r>
      <w:r>
        <w:rPr>
          <w:spacing w:val="-12"/>
        </w:rPr>
        <w:t> </w:t>
      </w:r>
      <w:r>
        <w:rPr/>
        <w:t>al</w:t>
      </w:r>
      <w:r>
        <w:rPr>
          <w:spacing w:val="-15"/>
        </w:rPr>
        <w:t> </w:t>
      </w:r>
      <w:r>
        <w:rPr/>
        <w:t>que</w:t>
      </w:r>
      <w:r>
        <w:rPr>
          <w:spacing w:val="-12"/>
        </w:rPr>
        <w:t> </w:t>
      </w:r>
      <w:r>
        <w:rPr/>
        <w:t>serían</w:t>
      </w:r>
      <w:r>
        <w:rPr>
          <w:spacing w:val="-14"/>
        </w:rPr>
        <w:t> </w:t>
      </w:r>
      <w:r>
        <w:rPr/>
        <w:t>asignados</w:t>
      </w:r>
      <w:r>
        <w:rPr>
          <w:spacing w:val="-15"/>
        </w:rPr>
        <w:t> </w:t>
      </w:r>
      <w:r>
        <w:rPr/>
        <w:t>los</w:t>
      </w:r>
      <w:r>
        <w:rPr>
          <w:spacing w:val="-12"/>
        </w:rPr>
        <w:t> </w:t>
      </w:r>
      <w:r>
        <w:rPr/>
        <w:t>recursos</w:t>
      </w:r>
      <w:r>
        <w:rPr>
          <w:spacing w:val="-15"/>
        </w:rPr>
        <w:t> </w:t>
      </w:r>
      <w:r>
        <w:rPr/>
        <w:t>recaudados</w:t>
      </w:r>
      <w:r>
        <w:rPr>
          <w:spacing w:val="-15"/>
        </w:rPr>
        <w:t> </w:t>
      </w:r>
      <w:r>
        <w:rPr/>
        <w:t>y</w:t>
      </w:r>
      <w:r>
        <w:rPr>
          <w:spacing w:val="-15"/>
        </w:rPr>
        <w:t> </w:t>
      </w:r>
      <w:r>
        <w:rPr/>
        <w:t>establecía</w:t>
      </w:r>
      <w:r>
        <w:rPr>
          <w:spacing w:val="-12"/>
        </w:rPr>
        <w:t> </w:t>
      </w:r>
      <w:r>
        <w:rPr/>
        <w:t>el</w:t>
      </w:r>
      <w:r>
        <w:rPr>
          <w:spacing w:val="-15"/>
        </w:rPr>
        <w:t> </w:t>
      </w:r>
      <w:r>
        <w:rPr/>
        <w:t>monto</w:t>
      </w:r>
      <w:r>
        <w:rPr>
          <w:spacing w:val="-14"/>
        </w:rPr>
        <w:t> </w:t>
      </w:r>
      <w:r>
        <w:rPr/>
        <w:t>para sufragar los gastos de las instituciones públicas y los empleados de la</w:t>
      </w:r>
      <w:r>
        <w:rPr>
          <w:spacing w:val="-30"/>
        </w:rPr>
        <w:t> </w:t>
      </w:r>
      <w:r>
        <w:rPr/>
        <w:t>monarquía.</w:t>
      </w:r>
    </w:p>
    <w:p>
      <w:pPr>
        <w:pStyle w:val="BodyText"/>
        <w:spacing w:line="360" w:lineRule="auto" w:before="2"/>
        <w:ind w:left="122" w:right="109" w:firstLine="427"/>
        <w:jc w:val="both"/>
      </w:pPr>
      <w:r>
        <w:rPr/>
        <w:t>Los</w:t>
      </w:r>
      <w:r>
        <w:rPr>
          <w:spacing w:val="-19"/>
        </w:rPr>
        <w:t> </w:t>
      </w:r>
      <w:r>
        <w:rPr/>
        <w:t>cambios</w:t>
      </w:r>
      <w:r>
        <w:rPr>
          <w:spacing w:val="-21"/>
        </w:rPr>
        <w:t> </w:t>
      </w:r>
      <w:r>
        <w:rPr/>
        <w:t>más</w:t>
      </w:r>
      <w:r>
        <w:rPr>
          <w:spacing w:val="-19"/>
        </w:rPr>
        <w:t> </w:t>
      </w:r>
      <w:r>
        <w:rPr/>
        <w:t>importantes</w:t>
      </w:r>
      <w:r>
        <w:rPr>
          <w:spacing w:val="-21"/>
        </w:rPr>
        <w:t> </w:t>
      </w:r>
      <w:r>
        <w:rPr/>
        <w:t>de</w:t>
      </w:r>
      <w:r>
        <w:rPr>
          <w:spacing w:val="-18"/>
        </w:rPr>
        <w:t> </w:t>
      </w:r>
      <w:r>
        <w:rPr/>
        <w:t>la</w:t>
      </w:r>
      <w:r>
        <w:rPr>
          <w:spacing w:val="-18"/>
        </w:rPr>
        <w:t> </w:t>
      </w:r>
      <w:r>
        <w:rPr/>
        <w:t>institución</w:t>
      </w:r>
      <w:r>
        <w:rPr>
          <w:spacing w:val="-20"/>
        </w:rPr>
        <w:t> </w:t>
      </w:r>
      <w:r>
        <w:rPr/>
        <w:t>de</w:t>
      </w:r>
      <w:r>
        <w:rPr>
          <w:spacing w:val="-18"/>
        </w:rPr>
        <w:t> </w:t>
      </w:r>
      <w:r>
        <w:rPr/>
        <w:t>rendición</w:t>
      </w:r>
      <w:r>
        <w:rPr>
          <w:spacing w:val="-18"/>
        </w:rPr>
        <w:t> </w:t>
      </w:r>
      <w:r>
        <w:rPr/>
        <w:t>de</w:t>
      </w:r>
      <w:r>
        <w:rPr>
          <w:spacing w:val="-18"/>
        </w:rPr>
        <w:t> </w:t>
      </w:r>
      <w:r>
        <w:rPr/>
        <w:t>cuentas</w:t>
      </w:r>
      <w:r>
        <w:rPr>
          <w:spacing w:val="-19"/>
        </w:rPr>
        <w:t> </w:t>
      </w:r>
      <w:r>
        <w:rPr/>
        <w:t>españolas fueron los</w:t>
      </w:r>
      <w:r>
        <w:rPr>
          <w:spacing w:val="-4"/>
        </w:rPr>
        <w:t> </w:t>
      </w:r>
      <w:r>
        <w:rPr/>
        <w:t>siguientes:</w:t>
      </w:r>
    </w:p>
    <w:p>
      <w:pPr>
        <w:pStyle w:val="BodyText"/>
      </w:pPr>
    </w:p>
    <w:p>
      <w:pPr>
        <w:pStyle w:val="ListParagraph"/>
        <w:numPr>
          <w:ilvl w:val="0"/>
          <w:numId w:val="42"/>
        </w:numPr>
        <w:tabs>
          <w:tab w:pos="842" w:val="left" w:leader="none"/>
        </w:tabs>
        <w:spacing w:line="360" w:lineRule="auto" w:before="142" w:after="0"/>
        <w:ind w:left="842" w:right="112" w:hanging="360"/>
        <w:jc w:val="both"/>
        <w:rPr>
          <w:sz w:val="24"/>
        </w:rPr>
      </w:pPr>
      <w:r>
        <w:rPr>
          <w:sz w:val="24"/>
        </w:rPr>
        <w:t>En 1523 y 1525 se adicionaron dos miembros al Consejo de Castilla para regular la gestión de los contadores, por orden de las Cortes de</w:t>
      </w:r>
      <w:r>
        <w:rPr>
          <w:spacing w:val="-26"/>
          <w:sz w:val="24"/>
        </w:rPr>
        <w:t> </w:t>
      </w:r>
      <w:r>
        <w:rPr>
          <w:sz w:val="24"/>
        </w:rPr>
        <w:t>Valladolid.</w:t>
      </w:r>
    </w:p>
    <w:p>
      <w:pPr>
        <w:pStyle w:val="ListParagraph"/>
        <w:numPr>
          <w:ilvl w:val="0"/>
          <w:numId w:val="42"/>
        </w:numPr>
        <w:tabs>
          <w:tab w:pos="842" w:val="left" w:leader="none"/>
        </w:tabs>
        <w:spacing w:line="360" w:lineRule="auto" w:before="5" w:after="0"/>
        <w:ind w:left="842" w:right="113" w:hanging="360"/>
        <w:jc w:val="both"/>
        <w:rPr>
          <w:sz w:val="24"/>
        </w:rPr>
      </w:pPr>
      <w:r>
        <w:rPr>
          <w:sz w:val="24"/>
        </w:rPr>
        <w:t>En 1525 el Consejo de Hacienda fue conformado con la finalidad de vigilar la correcta recaudación y asignación de</w:t>
      </w:r>
      <w:r>
        <w:rPr>
          <w:spacing w:val="-13"/>
          <w:sz w:val="24"/>
        </w:rPr>
        <w:t> </w:t>
      </w:r>
      <w:r>
        <w:rPr>
          <w:sz w:val="24"/>
        </w:rPr>
        <w:t>recursos.</w:t>
      </w:r>
    </w:p>
    <w:p>
      <w:pPr>
        <w:pStyle w:val="ListParagraph"/>
        <w:numPr>
          <w:ilvl w:val="0"/>
          <w:numId w:val="42"/>
        </w:numPr>
        <w:tabs>
          <w:tab w:pos="842" w:val="left" w:leader="none"/>
        </w:tabs>
        <w:spacing w:line="360" w:lineRule="auto" w:before="5" w:after="0"/>
        <w:ind w:left="842" w:right="112" w:hanging="360"/>
        <w:jc w:val="both"/>
        <w:rPr>
          <w:sz w:val="24"/>
        </w:rPr>
      </w:pPr>
      <w:r>
        <w:rPr>
          <w:sz w:val="24"/>
        </w:rPr>
        <w:t>Las ordenanzas de 1554 de La Coruña consideraron necesaria la presencia de 3 oidores (auditores) en la Contaduría Mayor de</w:t>
      </w:r>
      <w:r>
        <w:rPr>
          <w:spacing w:val="-24"/>
          <w:sz w:val="24"/>
        </w:rPr>
        <w:t> </w:t>
      </w:r>
      <w:r>
        <w:rPr>
          <w:sz w:val="24"/>
        </w:rPr>
        <w:t>Hacienda.</w:t>
      </w:r>
    </w:p>
    <w:p>
      <w:pPr>
        <w:pStyle w:val="ListParagraph"/>
        <w:numPr>
          <w:ilvl w:val="0"/>
          <w:numId w:val="42"/>
        </w:numPr>
        <w:tabs>
          <w:tab w:pos="842" w:val="left" w:leader="none"/>
        </w:tabs>
        <w:spacing w:line="360" w:lineRule="auto" w:before="5" w:after="0"/>
        <w:ind w:left="842" w:right="109" w:hanging="360"/>
        <w:jc w:val="both"/>
        <w:rPr>
          <w:sz w:val="24"/>
        </w:rPr>
      </w:pPr>
      <w:r>
        <w:rPr>
          <w:sz w:val="24"/>
        </w:rPr>
        <w:t>El Rey Felipe II instauró el Tribunal de Contaduría con la finalidad de atender los asuntos contenciosos generados por la gestión de los recursos de la monarquía. Su registro contable era revisado por los representantes de la sociedad, quienes demandaban explicaciones al Rey sobre sus aportaciones (Vargas,</w:t>
      </w:r>
      <w:r>
        <w:rPr>
          <w:spacing w:val="-6"/>
          <w:sz w:val="24"/>
        </w:rPr>
        <w:t> </w:t>
      </w:r>
      <w:r>
        <w:rPr>
          <w:sz w:val="24"/>
        </w:rPr>
        <w:t>2002).</w:t>
      </w:r>
    </w:p>
    <w:p>
      <w:pPr>
        <w:pStyle w:val="BodyText"/>
      </w:pPr>
    </w:p>
    <w:p>
      <w:pPr>
        <w:pStyle w:val="BodyText"/>
        <w:spacing w:line="360" w:lineRule="auto" w:before="142"/>
        <w:ind w:left="122" w:right="108" w:firstLine="427"/>
        <w:jc w:val="both"/>
      </w:pPr>
      <w:r>
        <w:rPr/>
        <w:t>En 1535 se creó el virreinato en la Nueva España que duró cerca de tres siglos. Durante ese tiempo hubo 63 virreyes españoles y tres audiencias (en México, Guadalajara y Guatemala) y así formaron su gobierno de la Nueva España.</w:t>
      </w: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5896;mso-wrap-distance-left:0;mso-wrap-distance-right:0" from="85.103996pt,12.532846pt" to="229.123996pt,12.532846pt" stroked="true" strokeweight=".71997pt" strokecolor="#000000">
            <w10:wrap type="topAndBottom"/>
          </v:line>
        </w:pict>
      </w:r>
    </w:p>
    <w:p>
      <w:pPr>
        <w:spacing w:before="66"/>
        <w:ind w:left="122" w:right="135" w:firstLine="0"/>
        <w:jc w:val="left"/>
        <w:rPr>
          <w:sz w:val="16"/>
        </w:rPr>
      </w:pPr>
      <w:r>
        <w:rPr>
          <w:position w:val="6"/>
          <w:sz w:val="10"/>
        </w:rPr>
        <w:t>38 </w:t>
      </w:r>
      <w:r>
        <w:rPr>
          <w:sz w:val="16"/>
        </w:rPr>
        <w:t>En la actualidad se ha definido a la hacienda pública como el estudio de las leyes por las cuales los hombres satisfacen las necesidades públicas. (Astudillo, 2002).</w:t>
      </w:r>
    </w:p>
    <w:p>
      <w:pPr>
        <w:spacing w:after="0"/>
        <w:jc w:val="left"/>
        <w:rPr>
          <w:sz w:val="16"/>
        </w:rPr>
        <w:sectPr>
          <w:pgSz w:w="12240" w:h="15840"/>
          <w:pgMar w:header="0" w:footer="1003" w:top="1340" w:bottom="1200" w:left="1580" w:right="1500"/>
        </w:sectPr>
      </w:pPr>
    </w:p>
    <w:p>
      <w:pPr>
        <w:pStyle w:val="BodyText"/>
        <w:spacing w:line="360" w:lineRule="auto" w:before="54"/>
        <w:ind w:left="122" w:right="102" w:firstLine="427"/>
        <w:jc w:val="both"/>
      </w:pPr>
      <w:r>
        <w:rPr/>
        <w:t>Surgieron en América las instituciones que intentaron copiar el modelo español, como la Real Hacienda, la Encomienda en 1503 (Cossío, 1981: 340-432) y el Consejo Real y Supremo de Indias en 1519. Los oficiales reales, expresamente enviados y nombrados por la Corona Española para llevar un registro de la riqueza obtenida de la explotación agrícola, minera y tributaria, realizaban sus funciones junto con el virrey, para que la sociedad novohispana conformara una organización económica y productiva que retribuyera a la Corona lo que, a su juicio, le correspondía por derecho. (Vargas, 2008)</w:t>
      </w:r>
    </w:p>
    <w:p>
      <w:pPr>
        <w:pStyle w:val="BodyText"/>
        <w:spacing w:line="360" w:lineRule="auto" w:before="2"/>
        <w:ind w:left="122" w:right="112" w:firstLine="427"/>
        <w:jc w:val="both"/>
      </w:pPr>
      <w:r>
        <w:rPr/>
        <w:t>En</w:t>
      </w:r>
      <w:r>
        <w:rPr>
          <w:spacing w:val="-14"/>
        </w:rPr>
        <w:t> </w:t>
      </w:r>
      <w:r>
        <w:rPr/>
        <w:t>1524</w:t>
      </w:r>
      <w:r>
        <w:rPr>
          <w:spacing w:val="-14"/>
        </w:rPr>
        <w:t> </w:t>
      </w:r>
      <w:r>
        <w:rPr/>
        <w:t>la</w:t>
      </w:r>
      <w:r>
        <w:rPr>
          <w:spacing w:val="-14"/>
        </w:rPr>
        <w:t> </w:t>
      </w:r>
      <w:r>
        <w:rPr/>
        <w:t>Corona</w:t>
      </w:r>
      <w:r>
        <w:rPr>
          <w:spacing w:val="-14"/>
        </w:rPr>
        <w:t> </w:t>
      </w:r>
      <w:r>
        <w:rPr/>
        <w:t>Española</w:t>
      </w:r>
      <w:r>
        <w:rPr>
          <w:spacing w:val="-17"/>
        </w:rPr>
        <w:t> </w:t>
      </w:r>
      <w:r>
        <w:rPr/>
        <w:t>decidió</w:t>
      </w:r>
      <w:r>
        <w:rPr>
          <w:spacing w:val="-14"/>
        </w:rPr>
        <w:t> </w:t>
      </w:r>
      <w:r>
        <w:rPr/>
        <w:t>crear</w:t>
      </w:r>
      <w:r>
        <w:rPr>
          <w:spacing w:val="-16"/>
        </w:rPr>
        <w:t> </w:t>
      </w:r>
      <w:r>
        <w:rPr/>
        <w:t>en</w:t>
      </w:r>
      <w:r>
        <w:rPr>
          <w:spacing w:val="-14"/>
        </w:rPr>
        <w:t> </w:t>
      </w:r>
      <w:r>
        <w:rPr/>
        <w:t>la</w:t>
      </w:r>
      <w:r>
        <w:rPr>
          <w:spacing w:val="-14"/>
        </w:rPr>
        <w:t> </w:t>
      </w:r>
      <w:r>
        <w:rPr/>
        <w:t>Nueva</w:t>
      </w:r>
      <w:r>
        <w:rPr>
          <w:spacing w:val="-14"/>
        </w:rPr>
        <w:t> </w:t>
      </w:r>
      <w:r>
        <w:rPr/>
        <w:t>España</w:t>
      </w:r>
      <w:r>
        <w:rPr>
          <w:spacing w:val="-16"/>
        </w:rPr>
        <w:t> </w:t>
      </w:r>
      <w:r>
        <w:rPr/>
        <w:t>el</w:t>
      </w:r>
      <w:r>
        <w:rPr>
          <w:spacing w:val="-18"/>
        </w:rPr>
        <w:t> </w:t>
      </w:r>
      <w:r>
        <w:rPr/>
        <w:t>Tribunal</w:t>
      </w:r>
      <w:r>
        <w:rPr>
          <w:spacing w:val="-15"/>
        </w:rPr>
        <w:t> </w:t>
      </w:r>
      <w:r>
        <w:rPr/>
        <w:t>Mayor de Cuentas, año considerado por algunos historiadores, como el antecedente más remoto de institucionalización europea de rendición de cuentas en</w:t>
      </w:r>
      <w:r>
        <w:rPr>
          <w:spacing w:val="-18"/>
        </w:rPr>
        <w:t> </w:t>
      </w:r>
      <w:r>
        <w:rPr/>
        <w:t>América.</w:t>
      </w:r>
    </w:p>
    <w:p>
      <w:pPr>
        <w:pStyle w:val="BodyText"/>
        <w:spacing w:line="360" w:lineRule="auto" w:before="5"/>
        <w:ind w:left="122" w:right="109" w:firstLine="427"/>
        <w:jc w:val="both"/>
      </w:pPr>
      <w:r>
        <w:rPr/>
        <w:t>La finalidad del Tribunal de Cuentas fue el revisar los ingresos y gastos de Hernán Cortés, además de recaudar, administrar las rentas de la Corona Española en</w:t>
      </w:r>
      <w:r>
        <w:rPr>
          <w:spacing w:val="-16"/>
        </w:rPr>
        <w:t> </w:t>
      </w:r>
      <w:r>
        <w:rPr/>
        <w:t>la</w:t>
      </w:r>
      <w:r>
        <w:rPr>
          <w:spacing w:val="-16"/>
        </w:rPr>
        <w:t> </w:t>
      </w:r>
      <w:r>
        <w:rPr/>
        <w:t>Nueva</w:t>
      </w:r>
      <w:r>
        <w:rPr>
          <w:spacing w:val="-16"/>
        </w:rPr>
        <w:t> </w:t>
      </w:r>
      <w:r>
        <w:rPr/>
        <w:t>España</w:t>
      </w:r>
      <w:r>
        <w:rPr>
          <w:spacing w:val="-16"/>
        </w:rPr>
        <w:t> </w:t>
      </w:r>
      <w:r>
        <w:rPr/>
        <w:t>(política</w:t>
      </w:r>
      <w:r>
        <w:rPr>
          <w:spacing w:val="-16"/>
        </w:rPr>
        <w:t> </w:t>
      </w:r>
      <w:r>
        <w:rPr/>
        <w:t>hacendaria)</w:t>
      </w:r>
      <w:r>
        <w:rPr>
          <w:spacing w:val="-17"/>
        </w:rPr>
        <w:t> </w:t>
      </w:r>
      <w:r>
        <w:rPr/>
        <w:t>y</w:t>
      </w:r>
      <w:r>
        <w:rPr>
          <w:spacing w:val="-19"/>
        </w:rPr>
        <w:t> </w:t>
      </w:r>
      <w:r>
        <w:rPr/>
        <w:t>revisar</w:t>
      </w:r>
      <w:r>
        <w:rPr>
          <w:spacing w:val="-17"/>
        </w:rPr>
        <w:t> </w:t>
      </w:r>
      <w:r>
        <w:rPr/>
        <w:t>el</w:t>
      </w:r>
      <w:r>
        <w:rPr>
          <w:spacing w:val="-17"/>
        </w:rPr>
        <w:t> </w:t>
      </w:r>
      <w:r>
        <w:rPr/>
        <w:t>correcto</w:t>
      </w:r>
      <w:r>
        <w:rPr>
          <w:spacing w:val="-15"/>
        </w:rPr>
        <w:t> </w:t>
      </w:r>
      <w:r>
        <w:rPr/>
        <w:t>manejo</w:t>
      </w:r>
      <w:r>
        <w:rPr>
          <w:spacing w:val="-16"/>
        </w:rPr>
        <w:t> </w:t>
      </w:r>
      <w:r>
        <w:rPr/>
        <w:t>de</w:t>
      </w:r>
      <w:r>
        <w:rPr>
          <w:spacing w:val="-16"/>
        </w:rPr>
        <w:t> </w:t>
      </w:r>
      <w:r>
        <w:rPr/>
        <w:t>los</w:t>
      </w:r>
      <w:r>
        <w:rPr>
          <w:spacing w:val="-16"/>
        </w:rPr>
        <w:t> </w:t>
      </w:r>
      <w:r>
        <w:rPr/>
        <w:t>recursos (política de rendición de cuentas), de acuerdo con los mismos procedimientos de la Contaduría Mayor de Cuentas del Reino de</w:t>
      </w:r>
      <w:r>
        <w:rPr>
          <w:spacing w:val="-16"/>
        </w:rPr>
        <w:t> </w:t>
      </w:r>
      <w:r>
        <w:rPr/>
        <w:t>Castilla.</w:t>
      </w:r>
    </w:p>
    <w:p>
      <w:pPr>
        <w:pStyle w:val="BodyText"/>
        <w:spacing w:line="360" w:lineRule="auto" w:before="2"/>
        <w:ind w:left="122" w:right="104" w:firstLine="427"/>
        <w:jc w:val="both"/>
      </w:pPr>
      <w:r>
        <w:rPr/>
        <w:t>El Tribunal de Cuentas pertenecía a la categoría de los llamados “supremos”, compuesto por un presidente, nueve ministros y un secretario general. Había contadores,</w:t>
      </w:r>
      <w:r>
        <w:rPr>
          <w:spacing w:val="-14"/>
        </w:rPr>
        <w:t> </w:t>
      </w:r>
      <w:r>
        <w:rPr/>
        <w:t>archivistas,</w:t>
      </w:r>
      <w:r>
        <w:rPr>
          <w:spacing w:val="-12"/>
        </w:rPr>
        <w:t> </w:t>
      </w:r>
      <w:r>
        <w:rPr/>
        <w:t>oficiales</w:t>
      </w:r>
      <w:r>
        <w:rPr>
          <w:spacing w:val="-14"/>
        </w:rPr>
        <w:t> </w:t>
      </w:r>
      <w:r>
        <w:rPr/>
        <w:t>y</w:t>
      </w:r>
      <w:r>
        <w:rPr>
          <w:spacing w:val="-15"/>
        </w:rPr>
        <w:t> </w:t>
      </w:r>
      <w:r>
        <w:rPr/>
        <w:t>otros</w:t>
      </w:r>
      <w:r>
        <w:rPr>
          <w:spacing w:val="-13"/>
        </w:rPr>
        <w:t> </w:t>
      </w:r>
      <w:r>
        <w:rPr/>
        <w:t>subalternos.</w:t>
      </w:r>
      <w:r>
        <w:rPr>
          <w:spacing w:val="-14"/>
        </w:rPr>
        <w:t> </w:t>
      </w:r>
      <w:r>
        <w:rPr/>
        <w:t>Al</w:t>
      </w:r>
      <w:r>
        <w:rPr>
          <w:spacing w:val="-15"/>
        </w:rPr>
        <w:t> </w:t>
      </w:r>
      <w:r>
        <w:rPr/>
        <w:t>fiscal</w:t>
      </w:r>
      <w:r>
        <w:rPr>
          <w:spacing w:val="-13"/>
        </w:rPr>
        <w:t> </w:t>
      </w:r>
      <w:r>
        <w:rPr/>
        <w:t>lo</w:t>
      </w:r>
      <w:r>
        <w:rPr>
          <w:spacing w:val="-12"/>
        </w:rPr>
        <w:t> </w:t>
      </w:r>
      <w:r>
        <w:rPr/>
        <w:t>auxiliaban</w:t>
      </w:r>
      <w:r>
        <w:rPr>
          <w:spacing w:val="-12"/>
        </w:rPr>
        <w:t> </w:t>
      </w:r>
      <w:r>
        <w:rPr/>
        <w:t>abogados fiscales y agentes contables. El presidente y los ministros eran nombrados por Decreto Real con carácter</w:t>
      </w:r>
      <w:r>
        <w:rPr>
          <w:spacing w:val="-8"/>
        </w:rPr>
        <w:t> </w:t>
      </w:r>
      <w:r>
        <w:rPr/>
        <w:t>inamovible.</w:t>
      </w:r>
    </w:p>
    <w:p>
      <w:pPr>
        <w:pStyle w:val="BodyText"/>
        <w:spacing w:line="357" w:lineRule="auto" w:before="5"/>
        <w:ind w:left="122" w:right="102" w:firstLine="427"/>
        <w:jc w:val="both"/>
        <w:rPr>
          <w:sz w:val="16"/>
        </w:rPr>
      </w:pPr>
      <w:r>
        <w:rPr/>
        <w:t>El primer caso de corrupción registrado como tal en la época colonial, fue atendido por el Tribunal de Cuentas, que consistió en negarle Hernán Cortés el derecho,</w:t>
      </w:r>
      <w:r>
        <w:rPr>
          <w:spacing w:val="-6"/>
        </w:rPr>
        <w:t> </w:t>
      </w:r>
      <w:r>
        <w:rPr/>
        <w:t>que</w:t>
      </w:r>
      <w:r>
        <w:rPr>
          <w:spacing w:val="-6"/>
        </w:rPr>
        <w:t> </w:t>
      </w:r>
      <w:r>
        <w:rPr/>
        <w:t>él</w:t>
      </w:r>
      <w:r>
        <w:rPr>
          <w:spacing w:val="-7"/>
        </w:rPr>
        <w:t> </w:t>
      </w:r>
      <w:r>
        <w:rPr/>
        <w:t>se</w:t>
      </w:r>
      <w:r>
        <w:rPr>
          <w:spacing w:val="-6"/>
        </w:rPr>
        <w:t> </w:t>
      </w:r>
      <w:r>
        <w:rPr/>
        <w:t>adjudicaba,</w:t>
      </w:r>
      <w:r>
        <w:rPr>
          <w:spacing w:val="-6"/>
        </w:rPr>
        <w:t> </w:t>
      </w:r>
      <w:r>
        <w:rPr/>
        <w:t>de</w:t>
      </w:r>
      <w:r>
        <w:rPr>
          <w:spacing w:val="-8"/>
        </w:rPr>
        <w:t> </w:t>
      </w:r>
      <w:r>
        <w:rPr/>
        <w:t>exigir</w:t>
      </w:r>
      <w:r>
        <w:rPr>
          <w:spacing w:val="-7"/>
        </w:rPr>
        <w:t> </w:t>
      </w:r>
      <w:r>
        <w:rPr/>
        <w:t>el</w:t>
      </w:r>
      <w:r>
        <w:rPr>
          <w:spacing w:val="-7"/>
        </w:rPr>
        <w:t> </w:t>
      </w:r>
      <w:r>
        <w:rPr/>
        <w:t>pago</w:t>
      </w:r>
      <w:r>
        <w:rPr>
          <w:spacing w:val="-6"/>
        </w:rPr>
        <w:t> </w:t>
      </w:r>
      <w:r>
        <w:rPr/>
        <w:t>de</w:t>
      </w:r>
      <w:r>
        <w:rPr>
          <w:spacing w:val="-6"/>
        </w:rPr>
        <w:t> </w:t>
      </w:r>
      <w:r>
        <w:rPr/>
        <w:t>sesenta</w:t>
      </w:r>
      <w:r>
        <w:rPr>
          <w:spacing w:val="-6"/>
        </w:rPr>
        <w:t> </w:t>
      </w:r>
      <w:r>
        <w:rPr/>
        <w:t>mil</w:t>
      </w:r>
      <w:r>
        <w:rPr>
          <w:spacing w:val="-8"/>
        </w:rPr>
        <w:t> </w:t>
      </w:r>
      <w:r>
        <w:rPr/>
        <w:t>ducados</w:t>
      </w:r>
      <w:r>
        <w:rPr>
          <w:position w:val="8"/>
          <w:sz w:val="16"/>
        </w:rPr>
        <w:t>39</w:t>
      </w:r>
      <w:r>
        <w:rPr>
          <w:spacing w:val="15"/>
          <w:position w:val="8"/>
          <w:sz w:val="16"/>
        </w:rPr>
        <w:t> </w:t>
      </w:r>
      <w:r>
        <w:rPr/>
        <w:t>que</w:t>
      </w:r>
      <w:r>
        <w:rPr>
          <w:spacing w:val="-6"/>
        </w:rPr>
        <w:t> </w:t>
      </w:r>
      <w:r>
        <w:rPr/>
        <w:t>decía haber gastado por la conquista. Una vez que el Tribunal de Cuentas culminó sus investigaciones, acusó a Cortés de ladrón, rebelde y de ocultar</w:t>
      </w:r>
      <w:r>
        <w:rPr>
          <w:spacing w:val="-24"/>
        </w:rPr>
        <w:t> </w:t>
      </w:r>
      <w:r>
        <w:rPr/>
        <w:t>fondos.</w:t>
      </w:r>
      <w:r>
        <w:rPr>
          <w:position w:val="8"/>
          <w:sz w:val="16"/>
        </w:rPr>
        <w:t>40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5920;mso-wrap-distance-left:0;mso-wrap-distance-right:0" from="85.103996pt,12.50623pt" to="229.123996pt,12.50623pt" stroked="true" strokeweight=".71997pt" strokecolor="#000000">
            <w10:wrap type="topAndBottom"/>
          </v:line>
        </w:pict>
      </w:r>
    </w:p>
    <w:p>
      <w:pPr>
        <w:spacing w:before="66"/>
        <w:ind w:left="122" w:right="135" w:firstLine="0"/>
        <w:jc w:val="left"/>
        <w:rPr>
          <w:sz w:val="16"/>
        </w:rPr>
      </w:pPr>
      <w:r>
        <w:rPr>
          <w:position w:val="6"/>
          <w:sz w:val="10"/>
        </w:rPr>
        <w:t>39</w:t>
      </w:r>
      <w:r>
        <w:rPr>
          <w:sz w:val="16"/>
        </w:rPr>
        <w:t>Ducado: Moneda de oro, de origen italiano, que se acuñó en la Península Ibérica desde el Siglo XV hasta fines del Siglo</w:t>
      </w:r>
    </w:p>
    <w:p>
      <w:pPr>
        <w:pStyle w:val="ListParagraph"/>
        <w:numPr>
          <w:ilvl w:val="0"/>
          <w:numId w:val="43"/>
        </w:numPr>
        <w:tabs>
          <w:tab w:pos="470" w:val="left" w:leader="none"/>
        </w:tabs>
        <w:spacing w:line="179" w:lineRule="exact" w:before="1" w:after="0"/>
        <w:ind w:left="469" w:right="0" w:hanging="347"/>
        <w:jc w:val="left"/>
        <w:rPr>
          <w:sz w:val="16"/>
        </w:rPr>
      </w:pPr>
      <w:r>
        <w:rPr>
          <w:sz w:val="16"/>
        </w:rPr>
        <w:t>Juan II de Aragón la introdujo em España com el peso de 3.54</w:t>
      </w:r>
      <w:r>
        <w:rPr>
          <w:spacing w:val="-25"/>
          <w:sz w:val="16"/>
        </w:rPr>
        <w:t> </w:t>
      </w:r>
      <w:r>
        <w:rPr>
          <w:sz w:val="16"/>
        </w:rPr>
        <w:t>g.</w:t>
      </w:r>
    </w:p>
    <w:p>
      <w:pPr>
        <w:spacing w:line="221" w:lineRule="exact" w:before="0"/>
        <w:ind w:left="122" w:right="135" w:firstLine="0"/>
        <w:jc w:val="left"/>
        <w:rPr>
          <w:sz w:val="16"/>
        </w:rPr>
      </w:pPr>
      <w:r>
        <w:rPr>
          <w:rFonts w:ascii="Times New Roman" w:hAnsi="Times New Roman"/>
          <w:position w:val="7"/>
          <w:sz w:val="13"/>
        </w:rPr>
        <w:t>40</w:t>
      </w:r>
      <w:r>
        <w:rPr>
          <w:sz w:val="16"/>
        </w:rPr>
        <w:t>Autonomía de la Auditoría Superior de la Federación y de la Procuraduría General de la República, p. 124.</w:t>
      </w:r>
    </w:p>
    <w:p>
      <w:pPr>
        <w:spacing w:before="13"/>
        <w:ind w:left="122" w:right="4113" w:firstLine="0"/>
        <w:jc w:val="left"/>
        <w:rPr>
          <w:sz w:val="16"/>
        </w:rPr>
      </w:pPr>
      <w:r>
        <w:rPr>
          <w:sz w:val="16"/>
        </w:rPr>
        <w:t>Disponible en: </w:t>
      </w:r>
      <w:hyperlink r:id="rId43">
        <w:r>
          <w:rPr>
            <w:sz w:val="16"/>
          </w:rPr>
          <w:t>http://www.bibliojuridica.org/libros/6/2739/11.pdf</w:t>
        </w:r>
      </w:hyperlink>
      <w:r>
        <w:rPr>
          <w:sz w:val="16"/>
        </w:rPr>
        <w:t> [Fecha de consulta: 17 de agosto, 2015]</w:t>
      </w:r>
    </w:p>
    <w:p>
      <w:pPr>
        <w:spacing w:after="0"/>
        <w:jc w:val="left"/>
        <w:rPr>
          <w:sz w:val="16"/>
        </w:rPr>
        <w:sectPr>
          <w:footerReference w:type="even" r:id="rId111"/>
          <w:footerReference w:type="default" r:id="rId112"/>
          <w:pgSz w:w="12240" w:h="15840"/>
          <w:pgMar w:footer="1003" w:header="0" w:top="1360" w:bottom="1200" w:left="1580" w:right="1500"/>
        </w:sectPr>
      </w:pPr>
    </w:p>
    <w:p>
      <w:pPr>
        <w:pStyle w:val="BodyText"/>
        <w:spacing w:line="360" w:lineRule="auto" w:before="54"/>
        <w:ind w:left="102" w:right="103" w:firstLine="427"/>
        <w:jc w:val="both"/>
      </w:pPr>
      <w:r>
        <w:rPr/>
        <w:t>Durante 80 años las funciones del Tribunal de Cuentas de la Nueva España no tuvieron</w:t>
      </w:r>
      <w:r>
        <w:rPr>
          <w:spacing w:val="-8"/>
        </w:rPr>
        <w:t> </w:t>
      </w:r>
      <w:r>
        <w:rPr/>
        <w:t>modificaciones</w:t>
      </w:r>
      <w:r>
        <w:rPr>
          <w:spacing w:val="-9"/>
        </w:rPr>
        <w:t> </w:t>
      </w:r>
      <w:r>
        <w:rPr/>
        <w:t>y</w:t>
      </w:r>
      <w:r>
        <w:rPr>
          <w:spacing w:val="-12"/>
        </w:rPr>
        <w:t> </w:t>
      </w:r>
      <w:r>
        <w:rPr/>
        <w:t>de</w:t>
      </w:r>
      <w:r>
        <w:rPr>
          <w:spacing w:val="-8"/>
        </w:rPr>
        <w:t> </w:t>
      </w:r>
      <w:r>
        <w:rPr/>
        <w:t>la</w:t>
      </w:r>
      <w:r>
        <w:rPr>
          <w:spacing w:val="-11"/>
        </w:rPr>
        <w:t> </w:t>
      </w:r>
      <w:r>
        <w:rPr/>
        <w:t>revisión</w:t>
      </w:r>
      <w:r>
        <w:rPr>
          <w:spacing w:val="-8"/>
        </w:rPr>
        <w:t> </w:t>
      </w:r>
      <w:r>
        <w:rPr/>
        <w:t>del</w:t>
      </w:r>
      <w:r>
        <w:rPr>
          <w:spacing w:val="-12"/>
        </w:rPr>
        <w:t> </w:t>
      </w:r>
      <w:r>
        <w:rPr/>
        <w:t>estado</w:t>
      </w:r>
      <w:r>
        <w:rPr>
          <w:spacing w:val="-11"/>
        </w:rPr>
        <w:t> </w:t>
      </w:r>
      <w:r>
        <w:rPr/>
        <w:t>de</w:t>
      </w:r>
      <w:r>
        <w:rPr>
          <w:spacing w:val="-8"/>
        </w:rPr>
        <w:t> </w:t>
      </w:r>
      <w:r>
        <w:rPr/>
        <w:t>la</w:t>
      </w:r>
      <w:r>
        <w:rPr>
          <w:spacing w:val="-11"/>
        </w:rPr>
        <w:t> </w:t>
      </w:r>
      <w:r>
        <w:rPr/>
        <w:t>Real</w:t>
      </w:r>
      <w:r>
        <w:rPr>
          <w:spacing w:val="-10"/>
        </w:rPr>
        <w:t> </w:t>
      </w:r>
      <w:r>
        <w:rPr/>
        <w:t>Hacienda</w:t>
      </w:r>
      <w:r>
        <w:rPr>
          <w:spacing w:val="-8"/>
        </w:rPr>
        <w:t> </w:t>
      </w:r>
      <w:r>
        <w:rPr/>
        <w:t>se</w:t>
      </w:r>
      <w:r>
        <w:rPr>
          <w:spacing w:val="-8"/>
        </w:rPr>
        <w:t> </w:t>
      </w:r>
      <w:r>
        <w:rPr/>
        <w:t>redactaba una memoria de la cuenta general de cada presupuesto, haciendo “observaciones” y proponiendo las reformas a que dieran lugar los abusos cometidos en la recaudación y distribución de los fondos públicos. (Manjarrez, 2002:</w:t>
      </w:r>
      <w:r>
        <w:rPr>
          <w:spacing w:val="-23"/>
        </w:rPr>
        <w:t> </w:t>
      </w:r>
      <w:r>
        <w:rPr/>
        <w:t>84)</w:t>
      </w:r>
    </w:p>
    <w:p>
      <w:pPr>
        <w:pStyle w:val="BodyText"/>
        <w:spacing w:line="360" w:lineRule="auto" w:before="5"/>
        <w:ind w:left="102" w:right="104" w:firstLine="427"/>
        <w:jc w:val="both"/>
      </w:pPr>
      <w:r>
        <w:rPr/>
        <w:t>Mediante las ordenanzas promulgadas en Burgos el 24 de agosto de 1605, Felipe III fundó el Tribunal de Cuentas en la Ciudad de México. El Tribunal tenía</w:t>
      </w:r>
      <w:r>
        <w:rPr>
          <w:spacing w:val="-42"/>
        </w:rPr>
        <w:t> </w:t>
      </w:r>
      <w:r>
        <w:rPr/>
        <w:t>por objeto tomar y finiquitar las cuentas que presentaban los oficiales reales y demás encargados de recaudar y administrar las rentas de la Corona, conforme a los procedimientos de la Contaduría Mayor de Cuentas de Castilla. La administración pública incipiente fue una respuesta al sistema económico mercantilista que ha prevalecido en México desde esta época. Los sectores </w:t>
      </w:r>
      <w:r>
        <w:rPr>
          <w:spacing w:val="2"/>
        </w:rPr>
        <w:t>que </w:t>
      </w:r>
      <w:r>
        <w:rPr/>
        <w:t>consideró la administración pública son los</w:t>
      </w:r>
      <w:r>
        <w:rPr>
          <w:spacing w:val="-12"/>
        </w:rPr>
        <w:t> </w:t>
      </w:r>
      <w:r>
        <w:rPr/>
        <w:t>siguientes.</w:t>
      </w:r>
    </w:p>
    <w:p>
      <w:pPr>
        <w:pStyle w:val="BodyText"/>
      </w:pPr>
    </w:p>
    <w:p>
      <w:pPr>
        <w:pStyle w:val="BodyText"/>
        <w:spacing w:before="10"/>
        <w:rPr>
          <w:sz w:val="29"/>
        </w:rPr>
      </w:pPr>
    </w:p>
    <w:p>
      <w:pPr>
        <w:pStyle w:val="ListParagraph"/>
        <w:numPr>
          <w:ilvl w:val="1"/>
          <w:numId w:val="43"/>
        </w:numPr>
        <w:tabs>
          <w:tab w:pos="822" w:val="left" w:leader="none"/>
        </w:tabs>
        <w:spacing w:line="360" w:lineRule="auto" w:before="0" w:after="0"/>
        <w:ind w:left="822" w:right="105" w:hanging="360"/>
        <w:jc w:val="both"/>
        <w:rPr>
          <w:sz w:val="24"/>
        </w:rPr>
      </w:pPr>
      <w:r>
        <w:rPr>
          <w:sz w:val="24"/>
        </w:rPr>
        <w:t>Sector</w:t>
      </w:r>
      <w:r>
        <w:rPr>
          <w:spacing w:val="-20"/>
          <w:sz w:val="24"/>
        </w:rPr>
        <w:t> </w:t>
      </w:r>
      <w:r>
        <w:rPr>
          <w:sz w:val="24"/>
        </w:rPr>
        <w:t>de</w:t>
      </w:r>
      <w:r>
        <w:rPr>
          <w:spacing w:val="-19"/>
          <w:sz w:val="24"/>
        </w:rPr>
        <w:t> </w:t>
      </w:r>
      <w:r>
        <w:rPr>
          <w:sz w:val="24"/>
        </w:rPr>
        <w:t>masa</w:t>
      </w:r>
      <w:r>
        <w:rPr>
          <w:spacing w:val="-19"/>
          <w:sz w:val="24"/>
        </w:rPr>
        <w:t> </w:t>
      </w:r>
      <w:r>
        <w:rPr>
          <w:sz w:val="24"/>
        </w:rPr>
        <w:t>común:</w:t>
      </w:r>
      <w:r>
        <w:rPr>
          <w:spacing w:val="-19"/>
          <w:sz w:val="24"/>
        </w:rPr>
        <w:t> </w:t>
      </w:r>
      <w:r>
        <w:rPr>
          <w:sz w:val="24"/>
        </w:rPr>
        <w:t>constituido</w:t>
      </w:r>
      <w:r>
        <w:rPr>
          <w:spacing w:val="-19"/>
          <w:sz w:val="24"/>
        </w:rPr>
        <w:t> </w:t>
      </w:r>
      <w:r>
        <w:rPr>
          <w:sz w:val="24"/>
        </w:rPr>
        <w:t>por</w:t>
      </w:r>
      <w:r>
        <w:rPr>
          <w:spacing w:val="-20"/>
          <w:sz w:val="24"/>
        </w:rPr>
        <w:t> </w:t>
      </w:r>
      <w:r>
        <w:rPr>
          <w:sz w:val="24"/>
        </w:rPr>
        <w:t>56</w:t>
      </w:r>
      <w:r>
        <w:rPr>
          <w:spacing w:val="-19"/>
          <w:sz w:val="24"/>
        </w:rPr>
        <w:t> </w:t>
      </w:r>
      <w:r>
        <w:rPr>
          <w:sz w:val="24"/>
        </w:rPr>
        <w:t>ramos</w:t>
      </w:r>
      <w:r>
        <w:rPr>
          <w:spacing w:val="-20"/>
          <w:sz w:val="24"/>
        </w:rPr>
        <w:t> </w:t>
      </w:r>
      <w:r>
        <w:rPr>
          <w:sz w:val="24"/>
        </w:rPr>
        <w:t>entre</w:t>
      </w:r>
      <w:r>
        <w:rPr>
          <w:spacing w:val="-19"/>
          <w:sz w:val="24"/>
        </w:rPr>
        <w:t> </w:t>
      </w:r>
      <w:r>
        <w:rPr>
          <w:sz w:val="24"/>
        </w:rPr>
        <w:t>los</w:t>
      </w:r>
      <w:r>
        <w:rPr>
          <w:spacing w:val="-19"/>
          <w:sz w:val="24"/>
        </w:rPr>
        <w:t> </w:t>
      </w:r>
      <w:r>
        <w:rPr>
          <w:sz w:val="24"/>
        </w:rPr>
        <w:t>que</w:t>
      </w:r>
      <w:r>
        <w:rPr>
          <w:spacing w:val="-19"/>
          <w:sz w:val="24"/>
        </w:rPr>
        <w:t> </w:t>
      </w:r>
      <w:r>
        <w:rPr>
          <w:sz w:val="24"/>
        </w:rPr>
        <w:t>se</w:t>
      </w:r>
      <w:r>
        <w:rPr>
          <w:spacing w:val="-19"/>
          <w:sz w:val="24"/>
        </w:rPr>
        <w:t> </w:t>
      </w:r>
      <w:r>
        <w:rPr>
          <w:sz w:val="24"/>
        </w:rPr>
        <w:t>encontraban los más productivos. Este sector era el sustento de la administración pública y</w:t>
      </w:r>
      <w:r>
        <w:rPr>
          <w:spacing w:val="-9"/>
          <w:sz w:val="24"/>
        </w:rPr>
        <w:t> </w:t>
      </w:r>
      <w:r>
        <w:rPr>
          <w:sz w:val="24"/>
        </w:rPr>
        <w:t>la</w:t>
      </w:r>
      <w:r>
        <w:rPr>
          <w:spacing w:val="-6"/>
          <w:sz w:val="24"/>
        </w:rPr>
        <w:t> </w:t>
      </w:r>
      <w:r>
        <w:rPr>
          <w:sz w:val="24"/>
        </w:rPr>
        <w:t>defensa</w:t>
      </w:r>
      <w:r>
        <w:rPr>
          <w:spacing w:val="-6"/>
          <w:sz w:val="24"/>
        </w:rPr>
        <w:t> </w:t>
      </w:r>
      <w:r>
        <w:rPr>
          <w:sz w:val="24"/>
        </w:rPr>
        <w:t>militar.</w:t>
      </w:r>
      <w:r>
        <w:rPr>
          <w:spacing w:val="-7"/>
          <w:sz w:val="24"/>
        </w:rPr>
        <w:t> </w:t>
      </w:r>
      <w:r>
        <w:rPr>
          <w:sz w:val="24"/>
        </w:rPr>
        <w:t>Este</w:t>
      </w:r>
      <w:r>
        <w:rPr>
          <w:spacing w:val="-6"/>
          <w:sz w:val="24"/>
        </w:rPr>
        <w:t> </w:t>
      </w:r>
      <w:r>
        <w:rPr>
          <w:sz w:val="24"/>
        </w:rPr>
        <w:t>sector</w:t>
      </w:r>
      <w:r>
        <w:rPr>
          <w:spacing w:val="-7"/>
          <w:sz w:val="24"/>
        </w:rPr>
        <w:t> </w:t>
      </w:r>
      <w:r>
        <w:rPr>
          <w:sz w:val="24"/>
        </w:rPr>
        <w:t>obtenía</w:t>
      </w:r>
      <w:r>
        <w:rPr>
          <w:spacing w:val="-6"/>
          <w:sz w:val="24"/>
        </w:rPr>
        <w:t> </w:t>
      </w:r>
      <w:r>
        <w:rPr>
          <w:sz w:val="24"/>
        </w:rPr>
        <w:t>los</w:t>
      </w:r>
      <w:r>
        <w:rPr>
          <w:spacing w:val="-6"/>
          <w:sz w:val="24"/>
        </w:rPr>
        <w:t> </w:t>
      </w:r>
      <w:r>
        <w:rPr>
          <w:sz w:val="24"/>
        </w:rPr>
        <w:t>recursos</w:t>
      </w:r>
      <w:r>
        <w:rPr>
          <w:spacing w:val="-7"/>
          <w:sz w:val="24"/>
        </w:rPr>
        <w:t> </w:t>
      </w:r>
      <w:r>
        <w:rPr>
          <w:sz w:val="24"/>
        </w:rPr>
        <w:t>que</w:t>
      </w:r>
      <w:r>
        <w:rPr>
          <w:spacing w:val="-6"/>
          <w:sz w:val="24"/>
        </w:rPr>
        <w:t> </w:t>
      </w:r>
      <w:r>
        <w:rPr>
          <w:sz w:val="24"/>
        </w:rPr>
        <w:t>se</w:t>
      </w:r>
      <w:r>
        <w:rPr>
          <w:spacing w:val="-6"/>
          <w:sz w:val="24"/>
        </w:rPr>
        <w:t> </w:t>
      </w:r>
      <w:r>
        <w:rPr>
          <w:sz w:val="24"/>
        </w:rPr>
        <w:t>necesitaban</w:t>
      </w:r>
      <w:r>
        <w:rPr>
          <w:spacing w:val="-6"/>
          <w:sz w:val="24"/>
        </w:rPr>
        <w:t> </w:t>
      </w:r>
      <w:r>
        <w:rPr>
          <w:sz w:val="24"/>
        </w:rPr>
        <w:t>para hacer</w:t>
      </w:r>
      <w:r>
        <w:rPr>
          <w:spacing w:val="-16"/>
          <w:sz w:val="24"/>
        </w:rPr>
        <w:t> </w:t>
      </w:r>
      <w:r>
        <w:rPr>
          <w:sz w:val="24"/>
        </w:rPr>
        <w:t>frente</w:t>
      </w:r>
      <w:r>
        <w:rPr>
          <w:spacing w:val="-12"/>
          <w:sz w:val="24"/>
        </w:rPr>
        <w:t> </w:t>
      </w:r>
      <w:r>
        <w:rPr>
          <w:sz w:val="24"/>
        </w:rPr>
        <w:t>a</w:t>
      </w:r>
      <w:r>
        <w:rPr>
          <w:spacing w:val="-14"/>
          <w:sz w:val="24"/>
        </w:rPr>
        <w:t> </w:t>
      </w:r>
      <w:r>
        <w:rPr>
          <w:sz w:val="24"/>
        </w:rPr>
        <w:t>las</w:t>
      </w:r>
      <w:r>
        <w:rPr>
          <w:spacing w:val="-12"/>
          <w:sz w:val="24"/>
        </w:rPr>
        <w:t> </w:t>
      </w:r>
      <w:r>
        <w:rPr>
          <w:sz w:val="24"/>
        </w:rPr>
        <w:t>cargas</w:t>
      </w:r>
      <w:r>
        <w:rPr>
          <w:spacing w:val="-13"/>
          <w:sz w:val="24"/>
        </w:rPr>
        <w:t> </w:t>
      </w:r>
      <w:r>
        <w:rPr>
          <w:sz w:val="24"/>
        </w:rPr>
        <w:t>del</w:t>
      </w:r>
      <w:r>
        <w:rPr>
          <w:spacing w:val="-13"/>
          <w:sz w:val="24"/>
        </w:rPr>
        <w:t> </w:t>
      </w:r>
      <w:r>
        <w:rPr>
          <w:sz w:val="24"/>
        </w:rPr>
        <w:t>reino.</w:t>
      </w:r>
      <w:r>
        <w:rPr>
          <w:spacing w:val="-12"/>
          <w:sz w:val="24"/>
        </w:rPr>
        <w:t> </w:t>
      </w:r>
      <w:r>
        <w:rPr>
          <w:sz w:val="24"/>
        </w:rPr>
        <w:t>Los</w:t>
      </w:r>
      <w:r>
        <w:rPr>
          <w:spacing w:val="-13"/>
          <w:sz w:val="24"/>
        </w:rPr>
        <w:t> </w:t>
      </w:r>
      <w:r>
        <w:rPr>
          <w:sz w:val="24"/>
        </w:rPr>
        <w:t>ingresos</w:t>
      </w:r>
      <w:r>
        <w:rPr>
          <w:spacing w:val="-13"/>
          <w:sz w:val="24"/>
        </w:rPr>
        <w:t> </w:t>
      </w:r>
      <w:r>
        <w:rPr>
          <w:sz w:val="24"/>
        </w:rPr>
        <w:t>provenían</w:t>
      </w:r>
      <w:r>
        <w:rPr>
          <w:spacing w:val="-14"/>
          <w:sz w:val="24"/>
        </w:rPr>
        <w:t> </w:t>
      </w:r>
      <w:r>
        <w:rPr>
          <w:sz w:val="24"/>
        </w:rPr>
        <w:t>fundamentalmente de los indios, de los derechos de oro y plata, el quinto real, la alcabala, y el almojarifazgo. En este sector se hallaban las empresas del Estado, tanto las que explotaba directamente como las que daba en concesión o arrendamiento.</w:t>
      </w:r>
    </w:p>
    <w:p>
      <w:pPr>
        <w:pStyle w:val="ListParagraph"/>
        <w:numPr>
          <w:ilvl w:val="1"/>
          <w:numId w:val="43"/>
        </w:numPr>
        <w:tabs>
          <w:tab w:pos="822" w:val="left" w:leader="none"/>
        </w:tabs>
        <w:spacing w:line="360" w:lineRule="auto" w:before="2" w:after="0"/>
        <w:ind w:left="822" w:right="105" w:hanging="360"/>
        <w:jc w:val="both"/>
        <w:rPr>
          <w:sz w:val="24"/>
        </w:rPr>
      </w:pPr>
      <w:r>
        <w:rPr>
          <w:sz w:val="24"/>
        </w:rPr>
        <w:t>Sector de particulares: sus productos se destinaban a obras piadosas, mantenimiento de misiones religiosas, pagos de sueldos a escribanos, letrados y en general gastos de justicia y divulgación de la fe. Sus recursos provenían de los impuestos como los diezmos eclesiásticos que pertenecían al rey por disposición oficial y la </w:t>
      </w:r>
      <w:r>
        <w:rPr>
          <w:i/>
          <w:sz w:val="24"/>
        </w:rPr>
        <w:t>media annata eclesiástica (</w:t>
      </w:r>
      <w:r>
        <w:rPr>
          <w:sz w:val="24"/>
        </w:rPr>
        <w:t>suma</w:t>
      </w:r>
      <w:r>
        <w:rPr>
          <w:spacing w:val="-45"/>
          <w:sz w:val="24"/>
        </w:rPr>
        <w:t> </w:t>
      </w:r>
      <w:r>
        <w:rPr>
          <w:sz w:val="24"/>
        </w:rPr>
        <w:t>equivalente a un año de ingresos que pagaban a la santa sede los que habían percibido un beneficio) además de multas por delitos o faltas. A este sector se incorporaban el subsidio eclesiástico, las vacantes (sueldos de obispos que no ejercían el cargo) y las bulas de la santa cruzada (el ingreso por la </w:t>
      </w:r>
      <w:r>
        <w:rPr>
          <w:spacing w:val="53"/>
          <w:sz w:val="24"/>
        </w:rPr>
        <w:t> </w:t>
      </w:r>
      <w:r>
        <w:rPr>
          <w:sz w:val="24"/>
        </w:rPr>
        <w:t>venta</w:t>
      </w:r>
    </w:p>
    <w:p>
      <w:pPr>
        <w:spacing w:after="0" w:line="360" w:lineRule="auto"/>
        <w:jc w:val="both"/>
        <w:rPr>
          <w:sz w:val="24"/>
        </w:rPr>
        <w:sectPr>
          <w:pgSz w:w="12240" w:h="15840"/>
          <w:pgMar w:header="0" w:footer="1003" w:top="1360" w:bottom="1200" w:left="1600" w:right="1500"/>
        </w:sectPr>
      </w:pPr>
    </w:p>
    <w:p>
      <w:pPr>
        <w:pStyle w:val="BodyText"/>
        <w:spacing w:line="362" w:lineRule="auto" w:before="54"/>
        <w:ind w:left="841" w:right="20"/>
      </w:pPr>
      <w:r>
        <w:rPr/>
        <w:t>de</w:t>
      </w:r>
      <w:r>
        <w:rPr>
          <w:spacing w:val="-13"/>
        </w:rPr>
        <w:t> </w:t>
      </w:r>
      <w:r>
        <w:rPr/>
        <w:t>indulgencias).</w:t>
      </w:r>
      <w:r>
        <w:rPr>
          <w:spacing w:val="-16"/>
        </w:rPr>
        <w:t> </w:t>
      </w:r>
      <w:r>
        <w:rPr/>
        <w:t>Tanto</w:t>
      </w:r>
      <w:r>
        <w:rPr>
          <w:spacing w:val="-13"/>
        </w:rPr>
        <w:t> </w:t>
      </w:r>
      <w:r>
        <w:rPr/>
        <w:t>los</w:t>
      </w:r>
      <w:r>
        <w:rPr>
          <w:spacing w:val="-13"/>
        </w:rPr>
        <w:t> </w:t>
      </w:r>
      <w:r>
        <w:rPr/>
        <w:t>ingresos</w:t>
      </w:r>
      <w:r>
        <w:rPr>
          <w:spacing w:val="-14"/>
        </w:rPr>
        <w:t> </w:t>
      </w:r>
      <w:r>
        <w:rPr/>
        <w:t>por</w:t>
      </w:r>
      <w:r>
        <w:rPr>
          <w:spacing w:val="-15"/>
        </w:rPr>
        <w:t> </w:t>
      </w:r>
      <w:r>
        <w:rPr/>
        <w:t>subsidios</w:t>
      </w:r>
      <w:r>
        <w:rPr>
          <w:spacing w:val="-14"/>
        </w:rPr>
        <w:t> </w:t>
      </w:r>
      <w:r>
        <w:rPr/>
        <w:t>como</w:t>
      </w:r>
      <w:r>
        <w:rPr>
          <w:spacing w:val="-13"/>
        </w:rPr>
        <w:t> </w:t>
      </w:r>
      <w:r>
        <w:rPr/>
        <w:t>por</w:t>
      </w:r>
      <w:r>
        <w:rPr>
          <w:spacing w:val="-15"/>
        </w:rPr>
        <w:t> </w:t>
      </w:r>
      <w:r>
        <w:rPr/>
        <w:t>las</w:t>
      </w:r>
      <w:r>
        <w:rPr>
          <w:spacing w:val="-13"/>
        </w:rPr>
        <w:t> </w:t>
      </w:r>
      <w:r>
        <w:rPr/>
        <w:t>bulas</w:t>
      </w:r>
      <w:r>
        <w:rPr>
          <w:spacing w:val="-14"/>
        </w:rPr>
        <w:t> </w:t>
      </w:r>
      <w:r>
        <w:rPr/>
        <w:t>pasaron a la esfera real con autorización del</w:t>
      </w:r>
      <w:r>
        <w:rPr>
          <w:spacing w:val="-14"/>
        </w:rPr>
        <w:t> </w:t>
      </w:r>
      <w:r>
        <w:rPr/>
        <w:t>Papa.</w:t>
      </w:r>
    </w:p>
    <w:p>
      <w:pPr>
        <w:pStyle w:val="ListParagraph"/>
        <w:numPr>
          <w:ilvl w:val="1"/>
          <w:numId w:val="43"/>
        </w:numPr>
        <w:tabs>
          <w:tab w:pos="842" w:val="left" w:leader="none"/>
        </w:tabs>
        <w:spacing w:line="360" w:lineRule="auto" w:before="0" w:after="0"/>
        <w:ind w:left="842" w:right="104" w:hanging="360"/>
        <w:jc w:val="both"/>
        <w:rPr>
          <w:sz w:val="24"/>
        </w:rPr>
      </w:pPr>
      <w:r>
        <w:rPr>
          <w:sz w:val="24"/>
        </w:rPr>
        <w:t>Sector de ajenos: ingresos que provenían de los montepíos (inválidos, militares, oficinistas, pilotos y maestranza), el medio real de ministros, los derechos de señoreaje y de </w:t>
      </w:r>
      <w:r>
        <w:rPr>
          <w:i/>
          <w:sz w:val="24"/>
        </w:rPr>
        <w:t>sisa </w:t>
      </w:r>
      <w:r>
        <w:rPr>
          <w:sz w:val="24"/>
        </w:rPr>
        <w:t>(parte defraudada o hurtada en la compra diaria de comestibles). Los productos del sector eran utilizados para pagar pensiones y sueldos, gastos municipales, gastos del tribunal de minería y otros relativos a diversas corporaciones y de la administración</w:t>
      </w:r>
      <w:r>
        <w:rPr>
          <w:spacing w:val="-26"/>
          <w:sz w:val="24"/>
        </w:rPr>
        <w:t> </w:t>
      </w:r>
      <w:r>
        <w:rPr>
          <w:sz w:val="24"/>
        </w:rPr>
        <w:t>pública.</w:t>
      </w:r>
    </w:p>
    <w:p>
      <w:pPr>
        <w:pStyle w:val="ListParagraph"/>
        <w:numPr>
          <w:ilvl w:val="1"/>
          <w:numId w:val="43"/>
        </w:numPr>
        <w:tabs>
          <w:tab w:pos="842" w:val="left" w:leader="none"/>
        </w:tabs>
        <w:spacing w:line="360" w:lineRule="auto" w:before="2" w:after="0"/>
        <w:ind w:left="842" w:right="111" w:hanging="360"/>
        <w:jc w:val="both"/>
        <w:rPr>
          <w:sz w:val="24"/>
        </w:rPr>
      </w:pPr>
      <w:r>
        <w:rPr>
          <w:sz w:val="24"/>
        </w:rPr>
        <w:t>El sector de estancos especiales: lo constituían el tabaco, naipes y azogues. Los tres ramos eran un monopolio del Estado. Sus productos eran comercializados por los monopolios y estaba a la disposición del “real ánimo del</w:t>
      </w:r>
      <w:r>
        <w:rPr>
          <w:spacing w:val="-4"/>
          <w:sz w:val="24"/>
        </w:rPr>
        <w:t> </w:t>
      </w:r>
      <w:r>
        <w:rPr>
          <w:sz w:val="24"/>
        </w:rPr>
        <w:t>monarca”.</w:t>
      </w:r>
    </w:p>
    <w:p>
      <w:pPr>
        <w:pStyle w:val="BodyText"/>
      </w:pPr>
    </w:p>
    <w:p>
      <w:pPr>
        <w:pStyle w:val="BodyText"/>
        <w:spacing w:before="7"/>
        <w:rPr>
          <w:sz w:val="29"/>
        </w:rPr>
      </w:pPr>
    </w:p>
    <w:p>
      <w:pPr>
        <w:pStyle w:val="Heading3"/>
        <w:numPr>
          <w:ilvl w:val="2"/>
          <w:numId w:val="41"/>
        </w:numPr>
        <w:tabs>
          <w:tab w:pos="724" w:val="left" w:leader="none"/>
        </w:tabs>
        <w:spacing w:line="240" w:lineRule="auto" w:before="0" w:after="0"/>
        <w:ind w:left="723" w:right="0" w:hanging="601"/>
        <w:jc w:val="both"/>
      </w:pPr>
      <w:bookmarkStart w:name="_bookmark43" w:id="56"/>
      <w:bookmarkEnd w:id="56"/>
      <w:r>
        <w:rPr>
          <w:b w:val="0"/>
        </w:rPr>
      </w:r>
      <w:bookmarkStart w:name="_bookmark43" w:id="57"/>
      <w:bookmarkEnd w:id="57"/>
      <w:r>
        <w:rPr/>
        <w:t>La</w:t>
      </w:r>
      <w:r>
        <w:rPr/>
        <w:t>s instituciones europeas en la Nueva</w:t>
      </w:r>
      <w:r>
        <w:rPr>
          <w:spacing w:val="-14"/>
        </w:rPr>
        <w:t> </w:t>
      </w:r>
      <w:r>
        <w:rPr/>
        <w:t>España</w:t>
      </w:r>
    </w:p>
    <w:p>
      <w:pPr>
        <w:pStyle w:val="BodyText"/>
        <w:rPr>
          <w:b/>
        </w:rPr>
      </w:pPr>
    </w:p>
    <w:p>
      <w:pPr>
        <w:pStyle w:val="BodyText"/>
        <w:rPr>
          <w:b/>
        </w:rPr>
      </w:pPr>
    </w:p>
    <w:p>
      <w:pPr>
        <w:pStyle w:val="BodyText"/>
        <w:spacing w:line="357" w:lineRule="auto"/>
        <w:ind w:left="122" w:right="197"/>
        <w:jc w:val="both"/>
        <w:rPr>
          <w:sz w:val="16"/>
        </w:rPr>
      </w:pPr>
      <w:r>
        <w:rPr/>
        <w:t>Con</w:t>
      </w:r>
      <w:r>
        <w:rPr>
          <w:spacing w:val="-15"/>
        </w:rPr>
        <w:t> </w:t>
      </w:r>
      <w:r>
        <w:rPr/>
        <w:t>la</w:t>
      </w:r>
      <w:r>
        <w:rPr>
          <w:spacing w:val="-18"/>
        </w:rPr>
        <w:t> </w:t>
      </w:r>
      <w:r>
        <w:rPr/>
        <w:t>rendición</w:t>
      </w:r>
      <w:r>
        <w:rPr>
          <w:spacing w:val="-18"/>
        </w:rPr>
        <w:t> </w:t>
      </w:r>
      <w:r>
        <w:rPr/>
        <w:t>de</w:t>
      </w:r>
      <w:r>
        <w:rPr>
          <w:spacing w:val="-18"/>
        </w:rPr>
        <w:t> </w:t>
      </w:r>
      <w:r>
        <w:rPr/>
        <w:t>los</w:t>
      </w:r>
      <w:r>
        <w:rPr>
          <w:spacing w:val="-20"/>
        </w:rPr>
        <w:t> </w:t>
      </w:r>
      <w:r>
        <w:rPr/>
        <w:t>mexicas</w:t>
      </w:r>
      <w:r>
        <w:rPr>
          <w:spacing w:val="-16"/>
        </w:rPr>
        <w:t> </w:t>
      </w:r>
      <w:r>
        <w:rPr/>
        <w:t>el</w:t>
      </w:r>
      <w:r>
        <w:rPr>
          <w:spacing w:val="-19"/>
        </w:rPr>
        <w:t> </w:t>
      </w:r>
      <w:r>
        <w:rPr/>
        <w:t>13</w:t>
      </w:r>
      <w:r>
        <w:rPr>
          <w:spacing w:val="-18"/>
        </w:rPr>
        <w:t> </w:t>
      </w:r>
      <w:r>
        <w:rPr/>
        <w:t>de</w:t>
      </w:r>
      <w:r>
        <w:rPr>
          <w:spacing w:val="-18"/>
        </w:rPr>
        <w:t> </w:t>
      </w:r>
      <w:r>
        <w:rPr/>
        <w:t>agosto</w:t>
      </w:r>
      <w:r>
        <w:rPr>
          <w:spacing w:val="-16"/>
        </w:rPr>
        <w:t> </w:t>
      </w:r>
      <w:r>
        <w:rPr/>
        <w:t>de</w:t>
      </w:r>
      <w:r>
        <w:rPr>
          <w:spacing w:val="-18"/>
        </w:rPr>
        <w:t> </w:t>
      </w:r>
      <w:r>
        <w:rPr/>
        <w:t>1521,</w:t>
      </w:r>
      <w:r>
        <w:rPr>
          <w:spacing w:val="-18"/>
        </w:rPr>
        <w:t> </w:t>
      </w:r>
      <w:r>
        <w:rPr/>
        <w:t>se</w:t>
      </w:r>
      <w:r>
        <w:rPr>
          <w:spacing w:val="-18"/>
        </w:rPr>
        <w:t> </w:t>
      </w:r>
      <w:r>
        <w:rPr/>
        <w:t>dio</w:t>
      </w:r>
      <w:r>
        <w:rPr>
          <w:spacing w:val="-20"/>
        </w:rPr>
        <w:t> </w:t>
      </w:r>
      <w:r>
        <w:rPr/>
        <w:t>fin</w:t>
      </w:r>
      <w:r>
        <w:rPr>
          <w:spacing w:val="-18"/>
        </w:rPr>
        <w:t> </w:t>
      </w:r>
      <w:r>
        <w:rPr/>
        <w:t>al</w:t>
      </w:r>
      <w:r>
        <w:rPr>
          <w:spacing w:val="-21"/>
        </w:rPr>
        <w:t> </w:t>
      </w:r>
      <w:r>
        <w:rPr/>
        <w:t>sistema</w:t>
      </w:r>
      <w:r>
        <w:rPr>
          <w:spacing w:val="-18"/>
        </w:rPr>
        <w:t> </w:t>
      </w:r>
      <w:r>
        <w:rPr/>
        <w:t>político mexica</w:t>
      </w:r>
      <w:r>
        <w:rPr>
          <w:spacing w:val="-10"/>
        </w:rPr>
        <w:t> </w:t>
      </w:r>
      <w:r>
        <w:rPr/>
        <w:t>y</w:t>
      </w:r>
      <w:r>
        <w:rPr>
          <w:spacing w:val="-12"/>
        </w:rPr>
        <w:t> </w:t>
      </w:r>
      <w:r>
        <w:rPr/>
        <w:t>empezó</w:t>
      </w:r>
      <w:r>
        <w:rPr>
          <w:spacing w:val="-9"/>
        </w:rPr>
        <w:t> </w:t>
      </w:r>
      <w:r>
        <w:rPr/>
        <w:t>la</w:t>
      </w:r>
      <w:r>
        <w:rPr>
          <w:spacing w:val="-10"/>
        </w:rPr>
        <w:t> </w:t>
      </w:r>
      <w:r>
        <w:rPr/>
        <w:t>vida</w:t>
      </w:r>
      <w:r>
        <w:rPr>
          <w:spacing w:val="-11"/>
        </w:rPr>
        <w:t> </w:t>
      </w:r>
      <w:r>
        <w:rPr/>
        <w:t>de</w:t>
      </w:r>
      <w:r>
        <w:rPr>
          <w:spacing w:val="-9"/>
        </w:rPr>
        <w:t> </w:t>
      </w:r>
      <w:r>
        <w:rPr/>
        <w:t>la</w:t>
      </w:r>
      <w:r>
        <w:rPr>
          <w:spacing w:val="-11"/>
        </w:rPr>
        <w:t> </w:t>
      </w:r>
      <w:r>
        <w:rPr/>
        <w:t>Nueva</w:t>
      </w:r>
      <w:r>
        <w:rPr>
          <w:spacing w:val="-9"/>
        </w:rPr>
        <w:t> </w:t>
      </w:r>
      <w:r>
        <w:rPr/>
        <w:t>España</w:t>
      </w:r>
      <w:r>
        <w:rPr>
          <w:spacing w:val="-9"/>
        </w:rPr>
        <w:t> </w:t>
      </w:r>
      <w:r>
        <w:rPr/>
        <w:t>que</w:t>
      </w:r>
      <w:r>
        <w:rPr>
          <w:spacing w:val="-9"/>
        </w:rPr>
        <w:t> </w:t>
      </w:r>
      <w:r>
        <w:rPr/>
        <w:t>se</w:t>
      </w:r>
      <w:r>
        <w:rPr>
          <w:spacing w:val="-9"/>
        </w:rPr>
        <w:t> </w:t>
      </w:r>
      <w:r>
        <w:rPr/>
        <w:t>prolongó</w:t>
      </w:r>
      <w:r>
        <w:rPr>
          <w:spacing w:val="-9"/>
        </w:rPr>
        <w:t> </w:t>
      </w:r>
      <w:r>
        <w:rPr/>
        <w:t>tres</w:t>
      </w:r>
      <w:r>
        <w:rPr>
          <w:spacing w:val="-14"/>
        </w:rPr>
        <w:t> </w:t>
      </w:r>
      <w:r>
        <w:rPr/>
        <w:t>siglos.</w:t>
      </w:r>
      <w:r>
        <w:rPr>
          <w:spacing w:val="-9"/>
        </w:rPr>
        <w:t> </w:t>
      </w:r>
      <w:r>
        <w:rPr/>
        <w:t>El</w:t>
      </w:r>
      <w:r>
        <w:rPr>
          <w:spacing w:val="-11"/>
        </w:rPr>
        <w:t> </w:t>
      </w:r>
      <w:r>
        <w:rPr/>
        <w:t>Estado monárquico de los españoles tenía una estrecha relación con la iglesia, modelo político-religioso implantado en la Nueva</w:t>
      </w:r>
      <w:r>
        <w:rPr>
          <w:spacing w:val="-16"/>
        </w:rPr>
        <w:t> </w:t>
      </w:r>
      <w:r>
        <w:rPr/>
        <w:t>España.</w:t>
      </w:r>
      <w:r>
        <w:rPr>
          <w:position w:val="8"/>
          <w:sz w:val="16"/>
        </w:rPr>
        <w:t>41</w:t>
      </w:r>
    </w:p>
    <w:p>
      <w:pPr>
        <w:pStyle w:val="BodyText"/>
        <w:spacing w:line="357" w:lineRule="auto" w:before="4"/>
        <w:ind w:left="122" w:right="200" w:firstLine="427"/>
        <w:jc w:val="both"/>
        <w:rPr>
          <w:sz w:val="16"/>
        </w:rPr>
      </w:pPr>
      <w:r>
        <w:rPr/>
        <w:t>En</w:t>
      </w:r>
      <w:r>
        <w:rPr>
          <w:spacing w:val="-13"/>
        </w:rPr>
        <w:t> </w:t>
      </w:r>
      <w:r>
        <w:rPr/>
        <w:t>el</w:t>
      </w:r>
      <w:r>
        <w:rPr>
          <w:spacing w:val="-14"/>
        </w:rPr>
        <w:t> </w:t>
      </w:r>
      <w:r>
        <w:rPr/>
        <w:t>Estado</w:t>
      </w:r>
      <w:r>
        <w:rPr>
          <w:spacing w:val="-13"/>
        </w:rPr>
        <w:t> </w:t>
      </w:r>
      <w:r>
        <w:rPr/>
        <w:t>español</w:t>
      </w:r>
      <w:r>
        <w:rPr>
          <w:spacing w:val="-14"/>
        </w:rPr>
        <w:t> </w:t>
      </w:r>
      <w:r>
        <w:rPr/>
        <w:t>un</w:t>
      </w:r>
      <w:r>
        <w:rPr>
          <w:spacing w:val="-13"/>
        </w:rPr>
        <w:t> </w:t>
      </w:r>
      <w:r>
        <w:rPr/>
        <w:t>rey</w:t>
      </w:r>
      <w:r>
        <w:rPr>
          <w:spacing w:val="-16"/>
        </w:rPr>
        <w:t> </w:t>
      </w:r>
      <w:r>
        <w:rPr/>
        <w:t>era</w:t>
      </w:r>
      <w:r>
        <w:rPr>
          <w:spacing w:val="-14"/>
        </w:rPr>
        <w:t> </w:t>
      </w:r>
      <w:r>
        <w:rPr/>
        <w:t>soberano</w:t>
      </w:r>
      <w:r>
        <w:rPr>
          <w:spacing w:val="-15"/>
        </w:rPr>
        <w:t> </w:t>
      </w:r>
      <w:r>
        <w:rPr/>
        <w:t>sobre</w:t>
      </w:r>
      <w:r>
        <w:rPr>
          <w:spacing w:val="-14"/>
        </w:rPr>
        <w:t> </w:t>
      </w:r>
      <w:r>
        <w:rPr/>
        <w:t>la</w:t>
      </w:r>
      <w:r>
        <w:rPr>
          <w:spacing w:val="-13"/>
        </w:rPr>
        <w:t> </w:t>
      </w:r>
      <w:r>
        <w:rPr/>
        <w:t>sociedad</w:t>
      </w:r>
      <w:r>
        <w:rPr>
          <w:spacing w:val="-13"/>
        </w:rPr>
        <w:t> </w:t>
      </w:r>
      <w:r>
        <w:rPr/>
        <w:t>civil</w:t>
      </w:r>
      <w:r>
        <w:rPr>
          <w:spacing w:val="-15"/>
        </w:rPr>
        <w:t> </w:t>
      </w:r>
      <w:r>
        <w:rPr/>
        <w:t>y</w:t>
      </w:r>
      <w:r>
        <w:rPr>
          <w:spacing w:val="-16"/>
        </w:rPr>
        <w:t> </w:t>
      </w:r>
      <w:r>
        <w:rPr/>
        <w:t>la</w:t>
      </w:r>
      <w:r>
        <w:rPr>
          <w:spacing w:val="-12"/>
        </w:rPr>
        <w:t> </w:t>
      </w:r>
      <w:r>
        <w:rPr/>
        <w:t>comunidad eclesiástica. En 1519 se instituyó en América la religión católica y fue la institución ideológica más poderosa e influyente en la cultura</w:t>
      </w:r>
      <w:r>
        <w:rPr>
          <w:spacing w:val="-19"/>
        </w:rPr>
        <w:t> </w:t>
      </w:r>
      <w:r>
        <w:rPr/>
        <w:t>mexicana.</w:t>
      </w:r>
      <w:r>
        <w:rPr>
          <w:position w:val="8"/>
          <w:sz w:val="16"/>
        </w:rPr>
        <w:t>42</w:t>
      </w:r>
    </w:p>
    <w:p>
      <w:pPr>
        <w:pStyle w:val="BodyText"/>
        <w:spacing w:line="360" w:lineRule="auto" w:before="1"/>
        <w:ind w:left="122" w:right="194" w:firstLine="427"/>
        <w:jc w:val="both"/>
      </w:pPr>
      <w:r>
        <w:rPr/>
        <w:t>Algunos historiadores sostienen que en el periodo de la Nueva España (1521- 1821) existieron dos tipos bien definidos de Estado, de acuerdo con las dos casas reinantes en España durante esa época: los Habsburgo (1521 a 1700) y los Borbones (1763 a 1810).</w:t>
      </w:r>
    </w:p>
    <w:p>
      <w:pPr>
        <w:pStyle w:val="BodyText"/>
        <w:rPr>
          <w:sz w:val="20"/>
        </w:rPr>
      </w:pPr>
    </w:p>
    <w:p>
      <w:pPr>
        <w:pStyle w:val="BodyText"/>
        <w:rPr>
          <w:sz w:val="20"/>
        </w:rPr>
      </w:pPr>
    </w:p>
    <w:p>
      <w:pPr>
        <w:pStyle w:val="BodyText"/>
        <w:rPr>
          <w:sz w:val="20"/>
        </w:rPr>
      </w:pPr>
    </w:p>
    <w:p>
      <w:pPr>
        <w:pStyle w:val="BodyText"/>
        <w:spacing w:before="9"/>
        <w:rPr>
          <w:sz w:val="29"/>
        </w:rPr>
      </w:pPr>
    </w:p>
    <w:p>
      <w:pPr>
        <w:spacing w:before="88"/>
        <w:ind w:left="122" w:right="135" w:firstLine="0"/>
        <w:jc w:val="left"/>
        <w:rPr>
          <w:sz w:val="16"/>
        </w:rPr>
      </w:pPr>
      <w:r>
        <w:rPr>
          <w:position w:val="6"/>
          <w:sz w:val="10"/>
        </w:rPr>
        <w:t>41</w:t>
      </w:r>
      <w:r>
        <w:rPr>
          <w:spacing w:val="7"/>
          <w:position w:val="6"/>
          <w:sz w:val="10"/>
        </w:rPr>
        <w:t> </w:t>
      </w:r>
      <w:r>
        <w:rPr>
          <w:sz w:val="16"/>
        </w:rPr>
        <w:t>La</w:t>
      </w:r>
      <w:r>
        <w:rPr>
          <w:spacing w:val="-9"/>
          <w:sz w:val="16"/>
        </w:rPr>
        <w:t> </w:t>
      </w:r>
      <w:r>
        <w:rPr>
          <w:sz w:val="16"/>
        </w:rPr>
        <w:t>Nueva</w:t>
      </w:r>
      <w:r>
        <w:rPr>
          <w:spacing w:val="-9"/>
          <w:sz w:val="16"/>
        </w:rPr>
        <w:t> </w:t>
      </w:r>
      <w:r>
        <w:rPr>
          <w:sz w:val="16"/>
        </w:rPr>
        <w:t>España</w:t>
      </w:r>
      <w:r>
        <w:rPr>
          <w:spacing w:val="-9"/>
          <w:sz w:val="16"/>
        </w:rPr>
        <w:t> </w:t>
      </w:r>
      <w:r>
        <w:rPr>
          <w:sz w:val="16"/>
        </w:rPr>
        <w:t>era</w:t>
      </w:r>
      <w:r>
        <w:rPr>
          <w:spacing w:val="-9"/>
          <w:sz w:val="16"/>
        </w:rPr>
        <w:t> </w:t>
      </w:r>
      <w:r>
        <w:rPr>
          <w:sz w:val="16"/>
        </w:rPr>
        <w:t>una</w:t>
      </w:r>
      <w:r>
        <w:rPr>
          <w:spacing w:val="-9"/>
          <w:sz w:val="16"/>
        </w:rPr>
        <w:t> </w:t>
      </w:r>
      <w:r>
        <w:rPr>
          <w:sz w:val="16"/>
        </w:rPr>
        <w:t>de</w:t>
      </w:r>
      <w:r>
        <w:rPr>
          <w:spacing w:val="-9"/>
          <w:sz w:val="16"/>
        </w:rPr>
        <w:t> </w:t>
      </w:r>
      <w:r>
        <w:rPr>
          <w:sz w:val="16"/>
        </w:rPr>
        <w:t>las</w:t>
      </w:r>
      <w:r>
        <w:rPr>
          <w:spacing w:val="-10"/>
          <w:sz w:val="16"/>
        </w:rPr>
        <w:t> </w:t>
      </w:r>
      <w:r>
        <w:rPr>
          <w:sz w:val="16"/>
        </w:rPr>
        <w:t>4</w:t>
      </w:r>
      <w:r>
        <w:rPr>
          <w:spacing w:val="-9"/>
          <w:sz w:val="16"/>
        </w:rPr>
        <w:t> </w:t>
      </w:r>
      <w:r>
        <w:rPr>
          <w:sz w:val="16"/>
        </w:rPr>
        <w:t>provincias</w:t>
      </w:r>
      <w:r>
        <w:rPr>
          <w:spacing w:val="-8"/>
          <w:sz w:val="16"/>
        </w:rPr>
        <w:t> </w:t>
      </w:r>
      <w:r>
        <w:rPr>
          <w:sz w:val="16"/>
        </w:rPr>
        <w:t>españolas</w:t>
      </w:r>
      <w:r>
        <w:rPr>
          <w:spacing w:val="-8"/>
          <w:sz w:val="16"/>
        </w:rPr>
        <w:t> </w:t>
      </w:r>
      <w:r>
        <w:rPr>
          <w:sz w:val="16"/>
        </w:rPr>
        <w:t>en</w:t>
      </w:r>
      <w:r>
        <w:rPr>
          <w:spacing w:val="-9"/>
          <w:sz w:val="16"/>
        </w:rPr>
        <w:t> </w:t>
      </w:r>
      <w:r>
        <w:rPr>
          <w:sz w:val="16"/>
        </w:rPr>
        <w:t>el</w:t>
      </w:r>
      <w:r>
        <w:rPr>
          <w:spacing w:val="-11"/>
          <w:sz w:val="16"/>
        </w:rPr>
        <w:t> </w:t>
      </w:r>
      <w:r>
        <w:rPr>
          <w:sz w:val="16"/>
        </w:rPr>
        <w:t>Continente</w:t>
      </w:r>
      <w:r>
        <w:rPr>
          <w:spacing w:val="-9"/>
          <w:sz w:val="16"/>
        </w:rPr>
        <w:t> </w:t>
      </w:r>
      <w:r>
        <w:rPr>
          <w:sz w:val="16"/>
        </w:rPr>
        <w:t>Americano</w:t>
      </w:r>
      <w:r>
        <w:rPr>
          <w:spacing w:val="-9"/>
          <w:sz w:val="16"/>
        </w:rPr>
        <w:t> </w:t>
      </w:r>
      <w:r>
        <w:rPr>
          <w:sz w:val="16"/>
        </w:rPr>
        <w:t>(Nueva</w:t>
      </w:r>
      <w:r>
        <w:rPr>
          <w:spacing w:val="-9"/>
          <w:sz w:val="16"/>
        </w:rPr>
        <w:t> </w:t>
      </w:r>
      <w:r>
        <w:rPr>
          <w:sz w:val="16"/>
        </w:rPr>
        <w:t>España,</w:t>
      </w:r>
      <w:r>
        <w:rPr>
          <w:spacing w:val="-12"/>
          <w:sz w:val="16"/>
        </w:rPr>
        <w:t> </w:t>
      </w:r>
      <w:r>
        <w:rPr>
          <w:sz w:val="16"/>
        </w:rPr>
        <w:t>Nueva</w:t>
      </w:r>
      <w:r>
        <w:rPr>
          <w:spacing w:val="-9"/>
          <w:sz w:val="16"/>
        </w:rPr>
        <w:t> </w:t>
      </w:r>
      <w:r>
        <w:rPr>
          <w:sz w:val="16"/>
        </w:rPr>
        <w:t>Galicia,</w:t>
      </w:r>
      <w:r>
        <w:rPr>
          <w:spacing w:val="-8"/>
          <w:sz w:val="16"/>
        </w:rPr>
        <w:t> </w:t>
      </w:r>
      <w:r>
        <w:rPr>
          <w:sz w:val="16"/>
        </w:rPr>
        <w:t>Nueva Vizcaya</w:t>
      </w:r>
      <w:r>
        <w:rPr>
          <w:spacing w:val="-2"/>
          <w:sz w:val="16"/>
        </w:rPr>
        <w:t> </w:t>
      </w:r>
      <w:r>
        <w:rPr>
          <w:sz w:val="16"/>
        </w:rPr>
        <w:t>y</w:t>
      </w:r>
      <w:r>
        <w:rPr>
          <w:spacing w:val="-2"/>
          <w:sz w:val="16"/>
        </w:rPr>
        <w:t> </w:t>
      </w:r>
      <w:r>
        <w:rPr>
          <w:sz w:val="16"/>
        </w:rPr>
        <w:t>Nuevo</w:t>
      </w:r>
      <w:r>
        <w:rPr>
          <w:spacing w:val="-2"/>
          <w:sz w:val="16"/>
        </w:rPr>
        <w:t> </w:t>
      </w:r>
      <w:r>
        <w:rPr>
          <w:sz w:val="16"/>
        </w:rPr>
        <w:t>León),</w:t>
      </w:r>
      <w:r>
        <w:rPr>
          <w:spacing w:val="-1"/>
          <w:sz w:val="16"/>
        </w:rPr>
        <w:t> </w:t>
      </w:r>
      <w:r>
        <w:rPr>
          <w:sz w:val="16"/>
        </w:rPr>
        <w:t>que</w:t>
      </w:r>
      <w:r>
        <w:rPr>
          <w:spacing w:val="-4"/>
          <w:sz w:val="16"/>
        </w:rPr>
        <w:t> </w:t>
      </w:r>
      <w:r>
        <w:rPr>
          <w:sz w:val="16"/>
        </w:rPr>
        <w:t>agrupaban</w:t>
      </w:r>
      <w:r>
        <w:rPr>
          <w:spacing w:val="-2"/>
          <w:sz w:val="16"/>
        </w:rPr>
        <w:t> </w:t>
      </w:r>
      <w:r>
        <w:rPr>
          <w:sz w:val="16"/>
        </w:rPr>
        <w:t>a</w:t>
      </w:r>
      <w:r>
        <w:rPr>
          <w:spacing w:val="-2"/>
          <w:sz w:val="16"/>
        </w:rPr>
        <w:t> </w:t>
      </w:r>
      <w:r>
        <w:rPr>
          <w:sz w:val="16"/>
        </w:rPr>
        <w:t>los</w:t>
      </w:r>
      <w:r>
        <w:rPr>
          <w:spacing w:val="-5"/>
          <w:sz w:val="16"/>
        </w:rPr>
        <w:t> </w:t>
      </w:r>
      <w:r>
        <w:rPr>
          <w:sz w:val="16"/>
        </w:rPr>
        <w:t>más de</w:t>
      </w:r>
      <w:r>
        <w:rPr>
          <w:spacing w:val="-4"/>
          <w:sz w:val="16"/>
        </w:rPr>
        <w:t> </w:t>
      </w:r>
      <w:r>
        <w:rPr>
          <w:sz w:val="16"/>
        </w:rPr>
        <w:t>12</w:t>
      </w:r>
      <w:r>
        <w:rPr>
          <w:spacing w:val="-4"/>
          <w:sz w:val="16"/>
        </w:rPr>
        <w:t> </w:t>
      </w:r>
      <w:r>
        <w:rPr>
          <w:sz w:val="16"/>
        </w:rPr>
        <w:t>municipios</w:t>
      </w:r>
      <w:r>
        <w:rPr>
          <w:spacing w:val="-3"/>
          <w:sz w:val="16"/>
        </w:rPr>
        <w:t> </w:t>
      </w:r>
      <w:r>
        <w:rPr>
          <w:sz w:val="16"/>
        </w:rPr>
        <w:t>creados tras</w:t>
      </w:r>
      <w:r>
        <w:rPr>
          <w:spacing w:val="-3"/>
          <w:sz w:val="16"/>
        </w:rPr>
        <w:t> </w:t>
      </w:r>
      <w:r>
        <w:rPr>
          <w:sz w:val="16"/>
        </w:rPr>
        <w:t>la</w:t>
      </w:r>
      <w:r>
        <w:rPr>
          <w:spacing w:val="-4"/>
          <w:sz w:val="16"/>
        </w:rPr>
        <w:t> </w:t>
      </w:r>
      <w:r>
        <w:rPr>
          <w:sz w:val="16"/>
        </w:rPr>
        <w:t>caída</w:t>
      </w:r>
      <w:r>
        <w:rPr>
          <w:spacing w:val="-2"/>
          <w:sz w:val="16"/>
        </w:rPr>
        <w:t> </w:t>
      </w:r>
      <w:r>
        <w:rPr>
          <w:sz w:val="16"/>
        </w:rPr>
        <w:t>del</w:t>
      </w:r>
      <w:r>
        <w:rPr>
          <w:spacing w:val="-3"/>
          <w:sz w:val="16"/>
        </w:rPr>
        <w:t> </w:t>
      </w:r>
      <w:r>
        <w:rPr>
          <w:sz w:val="16"/>
        </w:rPr>
        <w:t>imperio</w:t>
      </w:r>
      <w:r>
        <w:rPr>
          <w:spacing w:val="-4"/>
          <w:sz w:val="16"/>
        </w:rPr>
        <w:t> </w:t>
      </w:r>
      <w:r>
        <w:rPr>
          <w:sz w:val="16"/>
        </w:rPr>
        <w:t>mexica.</w:t>
      </w:r>
    </w:p>
    <w:p>
      <w:pPr>
        <w:spacing w:line="181" w:lineRule="exact" w:before="0"/>
        <w:ind w:left="122" w:right="135" w:firstLine="0"/>
        <w:jc w:val="left"/>
        <w:rPr>
          <w:sz w:val="16"/>
        </w:rPr>
      </w:pPr>
      <w:r>
        <w:rPr>
          <w:sz w:val="16"/>
        </w:rPr>
        <w:t>Disponible en: </w:t>
      </w:r>
      <w:hyperlink r:id="rId115">
        <w:r>
          <w:rPr>
            <w:color w:val="0000FF"/>
            <w:sz w:val="16"/>
            <w:u w:val="single" w:color="0000FF"/>
          </w:rPr>
          <w:t>http://biblioteca.itam.mx/estudios/estudio/estudio02/sec_29.htm</w:t>
        </w:r>
        <w:r>
          <w:rPr>
            <w:color w:val="0000FF"/>
            <w:sz w:val="16"/>
          </w:rPr>
          <w:t>l</w:t>
        </w:r>
      </w:hyperlink>
      <w:r>
        <w:rPr>
          <w:color w:val="0000FF"/>
          <w:sz w:val="16"/>
        </w:rPr>
        <w:t> </w:t>
      </w:r>
      <w:r>
        <w:rPr>
          <w:sz w:val="16"/>
        </w:rPr>
        <w:t>[Fecha de consulta: 17 de agosto, 2015]</w:t>
      </w:r>
    </w:p>
    <w:p>
      <w:pPr>
        <w:spacing w:line="185" w:lineRule="exact" w:before="0"/>
        <w:ind w:left="122" w:right="135" w:firstLine="0"/>
        <w:jc w:val="left"/>
        <w:rPr>
          <w:i/>
          <w:sz w:val="16"/>
        </w:rPr>
      </w:pPr>
      <w:r>
        <w:rPr>
          <w:position w:val="6"/>
          <w:sz w:val="10"/>
        </w:rPr>
        <w:t>42</w:t>
      </w:r>
      <w:r>
        <w:rPr>
          <w:sz w:val="16"/>
        </w:rPr>
        <w:t>PhíoVirve, </w:t>
      </w:r>
      <w:r>
        <w:rPr>
          <w:i/>
          <w:sz w:val="16"/>
        </w:rPr>
        <w:t>La organización eclesiástica en la Nueva España.</w:t>
      </w:r>
    </w:p>
    <w:p>
      <w:pPr>
        <w:spacing w:before="1"/>
        <w:ind w:left="122" w:right="135" w:firstLine="0"/>
        <w:jc w:val="left"/>
        <w:rPr>
          <w:sz w:val="16"/>
        </w:rPr>
      </w:pPr>
      <w:r>
        <w:rPr>
          <w:sz w:val="16"/>
        </w:rPr>
        <w:t>Disponible en: </w:t>
      </w:r>
      <w:hyperlink r:id="rId116">
        <w:r>
          <w:rPr>
            <w:color w:val="0000FF"/>
            <w:sz w:val="16"/>
            <w:u w:val="single" w:color="0000FF"/>
          </w:rPr>
          <w:t>http://www.ejournal.unam.mx/ehn/ehn10/EHN01002.pdf </w:t>
        </w:r>
      </w:hyperlink>
      <w:r>
        <w:rPr>
          <w:sz w:val="16"/>
        </w:rPr>
        <w:t>[Fecha de consulta: 17 de agosto 2015)]</w:t>
      </w:r>
    </w:p>
    <w:p>
      <w:pPr>
        <w:spacing w:after="0"/>
        <w:jc w:val="left"/>
        <w:rPr>
          <w:sz w:val="16"/>
        </w:rPr>
        <w:sectPr>
          <w:footerReference w:type="even" r:id="rId113"/>
          <w:footerReference w:type="default" r:id="rId114"/>
          <w:pgSz w:w="12240" w:h="15840"/>
          <w:pgMar w:footer="1162" w:header="0" w:top="1360" w:bottom="1360" w:left="1580" w:right="1500"/>
        </w:sectPr>
      </w:pPr>
    </w:p>
    <w:p>
      <w:pPr>
        <w:pStyle w:val="BodyText"/>
        <w:spacing w:line="360" w:lineRule="auto" w:before="54"/>
        <w:ind w:left="102" w:right="198" w:firstLine="427"/>
        <w:jc w:val="both"/>
      </w:pPr>
      <w:r>
        <w:rPr/>
        <w:t>Al igual que en España, en México se organizaron provincias con grupos sociales desiguales (indios, mestizos y castas). Sólo hasta el momento en que se delimitó el territorio de la Nueva España (1545), México pasó a tener la categoría de Colonia en todos sentidos: jurídico, económico y político.</w:t>
      </w:r>
    </w:p>
    <w:p>
      <w:pPr>
        <w:pStyle w:val="BodyText"/>
        <w:spacing w:line="360" w:lineRule="auto" w:before="2"/>
        <w:ind w:left="102" w:right="205" w:firstLine="427"/>
        <w:jc w:val="both"/>
      </w:pPr>
      <w:r>
        <w:rPr/>
        <w:t>La</w:t>
      </w:r>
      <w:r>
        <w:rPr>
          <w:spacing w:val="-7"/>
        </w:rPr>
        <w:t> </w:t>
      </w:r>
      <w:r>
        <w:rPr/>
        <w:t>monarquía</w:t>
      </w:r>
      <w:r>
        <w:rPr>
          <w:spacing w:val="-7"/>
        </w:rPr>
        <w:t> </w:t>
      </w:r>
      <w:r>
        <w:rPr/>
        <w:t>española</w:t>
      </w:r>
      <w:r>
        <w:rPr>
          <w:spacing w:val="-7"/>
        </w:rPr>
        <w:t> </w:t>
      </w:r>
      <w:r>
        <w:rPr/>
        <w:t>buscaba</w:t>
      </w:r>
      <w:r>
        <w:rPr>
          <w:spacing w:val="-9"/>
        </w:rPr>
        <w:t> </w:t>
      </w:r>
      <w:r>
        <w:rPr/>
        <w:t>acrecentar</w:t>
      </w:r>
      <w:r>
        <w:rPr>
          <w:spacing w:val="-11"/>
        </w:rPr>
        <w:t> </w:t>
      </w:r>
      <w:r>
        <w:rPr/>
        <w:t>su</w:t>
      </w:r>
      <w:r>
        <w:rPr>
          <w:spacing w:val="-7"/>
        </w:rPr>
        <w:t> </w:t>
      </w:r>
      <w:r>
        <w:rPr/>
        <w:t>poder</w:t>
      </w:r>
      <w:r>
        <w:rPr>
          <w:spacing w:val="-8"/>
        </w:rPr>
        <w:t> </w:t>
      </w:r>
      <w:r>
        <w:rPr/>
        <w:t>tanto</w:t>
      </w:r>
      <w:r>
        <w:rPr>
          <w:spacing w:val="-9"/>
        </w:rPr>
        <w:t> </w:t>
      </w:r>
      <w:r>
        <w:rPr/>
        <w:t>en</w:t>
      </w:r>
      <w:r>
        <w:rPr>
          <w:spacing w:val="-7"/>
        </w:rPr>
        <w:t> </w:t>
      </w:r>
      <w:r>
        <w:rPr/>
        <w:t>Europa</w:t>
      </w:r>
      <w:r>
        <w:rPr>
          <w:spacing w:val="-7"/>
        </w:rPr>
        <w:t> </w:t>
      </w:r>
      <w:r>
        <w:rPr/>
        <w:t>como</w:t>
      </w:r>
      <w:r>
        <w:rPr>
          <w:spacing w:val="-9"/>
        </w:rPr>
        <w:t> </w:t>
      </w:r>
      <w:r>
        <w:rPr/>
        <w:t>en la Nueva España mediante la</w:t>
      </w:r>
      <w:r>
        <w:rPr>
          <w:spacing w:val="-10"/>
        </w:rPr>
        <w:t> </w:t>
      </w:r>
      <w:r>
        <w:rPr/>
        <w:t>religión.</w:t>
      </w:r>
    </w:p>
    <w:p>
      <w:pPr>
        <w:pStyle w:val="BodyText"/>
        <w:spacing w:line="360" w:lineRule="auto" w:before="2"/>
        <w:ind w:left="102" w:right="197" w:firstLine="427"/>
        <w:jc w:val="both"/>
      </w:pPr>
      <w:r>
        <w:rPr/>
        <w:t>Las</w:t>
      </w:r>
      <w:r>
        <w:rPr>
          <w:spacing w:val="-10"/>
        </w:rPr>
        <w:t> </w:t>
      </w:r>
      <w:r>
        <w:rPr/>
        <w:t>repúblicas</w:t>
      </w:r>
      <w:r>
        <w:rPr>
          <w:spacing w:val="-13"/>
        </w:rPr>
        <w:t> </w:t>
      </w:r>
      <w:r>
        <w:rPr/>
        <w:t>de</w:t>
      </w:r>
      <w:r>
        <w:rPr>
          <w:spacing w:val="-9"/>
        </w:rPr>
        <w:t> </w:t>
      </w:r>
      <w:r>
        <w:rPr/>
        <w:t>los</w:t>
      </w:r>
      <w:r>
        <w:rPr>
          <w:spacing w:val="-10"/>
        </w:rPr>
        <w:t> </w:t>
      </w:r>
      <w:r>
        <w:rPr/>
        <w:t>indios</w:t>
      </w:r>
      <w:r>
        <w:rPr>
          <w:spacing w:val="-10"/>
        </w:rPr>
        <w:t> </w:t>
      </w:r>
      <w:r>
        <w:rPr/>
        <w:t>se</w:t>
      </w:r>
      <w:r>
        <w:rPr>
          <w:spacing w:val="-9"/>
        </w:rPr>
        <w:t> </w:t>
      </w:r>
      <w:r>
        <w:rPr/>
        <w:t>establecieron</w:t>
      </w:r>
      <w:r>
        <w:rPr>
          <w:spacing w:val="-12"/>
        </w:rPr>
        <w:t> </w:t>
      </w:r>
      <w:r>
        <w:rPr/>
        <w:t>de</w:t>
      </w:r>
      <w:r>
        <w:rPr>
          <w:spacing w:val="-9"/>
        </w:rPr>
        <w:t> </w:t>
      </w:r>
      <w:r>
        <w:rPr/>
        <w:t>acuerdo</w:t>
      </w:r>
      <w:r>
        <w:rPr>
          <w:spacing w:val="-9"/>
        </w:rPr>
        <w:t> </w:t>
      </w:r>
      <w:r>
        <w:rPr/>
        <w:t>con</w:t>
      </w:r>
      <w:r>
        <w:rPr>
          <w:spacing w:val="-9"/>
        </w:rPr>
        <w:t> </w:t>
      </w:r>
      <w:r>
        <w:rPr/>
        <w:t>un</w:t>
      </w:r>
      <w:r>
        <w:rPr>
          <w:spacing w:val="-9"/>
        </w:rPr>
        <w:t> </w:t>
      </w:r>
      <w:r>
        <w:rPr/>
        <w:t>modelo</w:t>
      </w:r>
      <w:r>
        <w:rPr>
          <w:spacing w:val="-12"/>
        </w:rPr>
        <w:t> </w:t>
      </w:r>
      <w:r>
        <w:rPr/>
        <w:t>político de democracia participativa, con un cabildo o consejo presidido por ancianos, con una estructura de cargos estratificados, religiosos o de servicios a la comunidad (sistema de mayordomías). Tenían un sacerdote como</w:t>
      </w:r>
      <w:r>
        <w:rPr>
          <w:spacing w:val="-21"/>
        </w:rPr>
        <w:t> </w:t>
      </w:r>
      <w:r>
        <w:rPr/>
        <w:t>rector.</w:t>
      </w:r>
    </w:p>
    <w:p>
      <w:pPr>
        <w:pStyle w:val="BodyText"/>
        <w:spacing w:line="360" w:lineRule="auto" w:before="2"/>
        <w:ind w:left="102" w:right="200" w:firstLine="427"/>
        <w:jc w:val="both"/>
      </w:pPr>
      <w:r>
        <w:rPr/>
        <w:t>El papel del Estado Habsburgo frente a los indios fue fundamentalmente jurídico-legal, y su presencia fue indirecta a través de las órdenes religiosas y más tarde</w:t>
      </w:r>
      <w:r>
        <w:rPr>
          <w:spacing w:val="-8"/>
        </w:rPr>
        <w:t> </w:t>
      </w:r>
      <w:r>
        <w:rPr/>
        <w:t>del</w:t>
      </w:r>
      <w:r>
        <w:rPr>
          <w:spacing w:val="-7"/>
        </w:rPr>
        <w:t> </w:t>
      </w:r>
      <w:r>
        <w:rPr/>
        <w:t>clero</w:t>
      </w:r>
      <w:r>
        <w:rPr>
          <w:spacing w:val="-6"/>
        </w:rPr>
        <w:t> </w:t>
      </w:r>
      <w:r>
        <w:rPr/>
        <w:t>secular.</w:t>
      </w:r>
      <w:r>
        <w:rPr>
          <w:spacing w:val="-9"/>
        </w:rPr>
        <w:t> </w:t>
      </w:r>
      <w:r>
        <w:rPr/>
        <w:t>Legalmente</w:t>
      </w:r>
      <w:r>
        <w:rPr>
          <w:spacing w:val="-6"/>
        </w:rPr>
        <w:t> </w:t>
      </w:r>
      <w:r>
        <w:rPr/>
        <w:t>se</w:t>
      </w:r>
      <w:r>
        <w:rPr>
          <w:spacing w:val="-6"/>
        </w:rPr>
        <w:t> </w:t>
      </w:r>
      <w:r>
        <w:rPr/>
        <w:t>reglamentó</w:t>
      </w:r>
      <w:r>
        <w:rPr>
          <w:spacing w:val="-8"/>
        </w:rPr>
        <w:t> </w:t>
      </w:r>
      <w:r>
        <w:rPr/>
        <w:t>el</w:t>
      </w:r>
      <w:r>
        <w:rPr>
          <w:spacing w:val="-7"/>
        </w:rPr>
        <w:t> </w:t>
      </w:r>
      <w:r>
        <w:rPr/>
        <w:t>trabajo</w:t>
      </w:r>
      <w:r>
        <w:rPr>
          <w:spacing w:val="-6"/>
        </w:rPr>
        <w:t> </w:t>
      </w:r>
      <w:r>
        <w:rPr/>
        <w:t>y</w:t>
      </w:r>
      <w:r>
        <w:rPr>
          <w:spacing w:val="-9"/>
        </w:rPr>
        <w:t> </w:t>
      </w:r>
      <w:r>
        <w:rPr/>
        <w:t>la</w:t>
      </w:r>
      <w:r>
        <w:rPr>
          <w:spacing w:val="-6"/>
        </w:rPr>
        <w:t> </w:t>
      </w:r>
      <w:r>
        <w:rPr/>
        <w:t>tenencia</w:t>
      </w:r>
      <w:r>
        <w:rPr>
          <w:spacing w:val="-6"/>
        </w:rPr>
        <w:t> </w:t>
      </w:r>
      <w:r>
        <w:rPr/>
        <w:t>del</w:t>
      </w:r>
      <w:r>
        <w:rPr>
          <w:spacing w:val="-7"/>
        </w:rPr>
        <w:t> </w:t>
      </w:r>
      <w:r>
        <w:rPr/>
        <w:t>suelo; administrativamente se nombraron funcionarios que vigilaran y aconsejaran sobre los aspectos conflictivos y jurídicos, y políticamente se evitó el surgimiento de grupos o individuos que opacaran el poder del</w:t>
      </w:r>
      <w:r>
        <w:rPr>
          <w:spacing w:val="-19"/>
        </w:rPr>
        <w:t> </w:t>
      </w:r>
      <w:r>
        <w:rPr/>
        <w:t>Estado.</w:t>
      </w:r>
    </w:p>
    <w:p>
      <w:pPr>
        <w:pStyle w:val="BodyText"/>
        <w:spacing w:line="360" w:lineRule="auto" w:before="2"/>
        <w:ind w:left="102" w:right="197" w:firstLine="427"/>
        <w:jc w:val="both"/>
      </w:pPr>
      <w:r>
        <w:rPr/>
        <w:t>La</w:t>
      </w:r>
      <w:r>
        <w:rPr>
          <w:spacing w:val="-12"/>
        </w:rPr>
        <w:t> </w:t>
      </w:r>
      <w:r>
        <w:rPr/>
        <w:t>Corona</w:t>
      </w:r>
      <w:r>
        <w:rPr>
          <w:spacing w:val="-12"/>
        </w:rPr>
        <w:t> </w:t>
      </w:r>
      <w:r>
        <w:rPr/>
        <w:t>prestó</w:t>
      </w:r>
      <w:r>
        <w:rPr>
          <w:spacing w:val="-13"/>
        </w:rPr>
        <w:t> </w:t>
      </w:r>
      <w:r>
        <w:rPr/>
        <w:t>atención</w:t>
      </w:r>
      <w:r>
        <w:rPr>
          <w:spacing w:val="-11"/>
        </w:rPr>
        <w:t> </w:t>
      </w:r>
      <w:r>
        <w:rPr/>
        <w:t>especial</w:t>
      </w:r>
      <w:r>
        <w:rPr>
          <w:spacing w:val="-9"/>
        </w:rPr>
        <w:t> </w:t>
      </w:r>
      <w:r>
        <w:rPr/>
        <w:t>en</w:t>
      </w:r>
      <w:r>
        <w:rPr>
          <w:spacing w:val="-12"/>
        </w:rPr>
        <w:t> </w:t>
      </w:r>
      <w:r>
        <w:rPr/>
        <w:t>reglamentar</w:t>
      </w:r>
      <w:r>
        <w:rPr>
          <w:spacing w:val="-13"/>
        </w:rPr>
        <w:t> </w:t>
      </w:r>
      <w:r>
        <w:rPr/>
        <w:t>el</w:t>
      </w:r>
      <w:r>
        <w:rPr>
          <w:spacing w:val="-13"/>
        </w:rPr>
        <w:t> </w:t>
      </w:r>
      <w:r>
        <w:rPr/>
        <w:t>trabajo,</w:t>
      </w:r>
      <w:r>
        <w:rPr>
          <w:spacing w:val="-12"/>
        </w:rPr>
        <w:t> </w:t>
      </w:r>
      <w:r>
        <w:rPr/>
        <w:t>porque</w:t>
      </w:r>
      <w:r>
        <w:rPr>
          <w:spacing w:val="-12"/>
        </w:rPr>
        <w:t> </w:t>
      </w:r>
      <w:r>
        <w:rPr/>
        <w:t>consideró que sus intereses políticos podían verse afectados: por una parte, porque podían originar la creación de Estados dentro del suyo y, por otra parte, por la obligación jurídica de velar por el bien común de sus</w:t>
      </w:r>
      <w:r>
        <w:rPr>
          <w:spacing w:val="-16"/>
        </w:rPr>
        <w:t> </w:t>
      </w:r>
      <w:r>
        <w:rPr/>
        <w:t>súbditos.</w:t>
      </w:r>
    </w:p>
    <w:p>
      <w:pPr>
        <w:pStyle w:val="BodyText"/>
        <w:spacing w:line="360" w:lineRule="auto" w:before="2"/>
        <w:ind w:left="102" w:right="106" w:firstLine="427"/>
        <w:jc w:val="both"/>
      </w:pPr>
      <w:r>
        <w:rPr/>
        <w:t>El trabajo libre y asalariado y la esclavitud fueron permitidos por el Estado español en la Nueva España. Aunque legisló el trabajo, se llegaron a desarrollar mecanismos de retención de los trabajadores en empresas, como la tienda de raya y</w:t>
      </w:r>
      <w:r>
        <w:rPr>
          <w:spacing w:val="-7"/>
        </w:rPr>
        <w:t> </w:t>
      </w:r>
      <w:r>
        <w:rPr/>
        <w:t>los</w:t>
      </w:r>
      <w:r>
        <w:rPr>
          <w:spacing w:val="-4"/>
        </w:rPr>
        <w:t> </w:t>
      </w:r>
      <w:r>
        <w:rPr/>
        <w:t>servicios</w:t>
      </w:r>
      <w:r>
        <w:rPr>
          <w:spacing w:val="-4"/>
        </w:rPr>
        <w:t> </w:t>
      </w:r>
      <w:r>
        <w:rPr/>
        <w:t>por</w:t>
      </w:r>
      <w:r>
        <w:rPr>
          <w:spacing w:val="-5"/>
        </w:rPr>
        <w:t> </w:t>
      </w:r>
      <w:r>
        <w:rPr/>
        <w:t>deudas,</w:t>
      </w:r>
      <w:r>
        <w:rPr>
          <w:spacing w:val="-6"/>
        </w:rPr>
        <w:t> </w:t>
      </w:r>
      <w:r>
        <w:rPr/>
        <w:t>a</w:t>
      </w:r>
      <w:r>
        <w:rPr>
          <w:spacing w:val="-6"/>
        </w:rPr>
        <w:t> </w:t>
      </w:r>
      <w:r>
        <w:rPr/>
        <w:t>tal</w:t>
      </w:r>
      <w:r>
        <w:rPr>
          <w:spacing w:val="-5"/>
        </w:rPr>
        <w:t> </w:t>
      </w:r>
      <w:r>
        <w:rPr/>
        <w:t>grado</w:t>
      </w:r>
      <w:r>
        <w:rPr>
          <w:spacing w:val="-6"/>
        </w:rPr>
        <w:t> </w:t>
      </w:r>
      <w:r>
        <w:rPr/>
        <w:t>que,</w:t>
      </w:r>
      <w:r>
        <w:rPr>
          <w:spacing w:val="-6"/>
        </w:rPr>
        <w:t> </w:t>
      </w:r>
      <w:r>
        <w:rPr/>
        <w:t>a</w:t>
      </w:r>
      <w:r>
        <w:rPr>
          <w:spacing w:val="-8"/>
        </w:rPr>
        <w:t> </w:t>
      </w:r>
      <w:r>
        <w:rPr/>
        <w:t>finales</w:t>
      </w:r>
      <w:r>
        <w:rPr>
          <w:spacing w:val="-6"/>
        </w:rPr>
        <w:t> </w:t>
      </w:r>
      <w:r>
        <w:rPr/>
        <w:t>del</w:t>
      </w:r>
      <w:r>
        <w:rPr>
          <w:spacing w:val="-7"/>
        </w:rPr>
        <w:t> </w:t>
      </w:r>
      <w:r>
        <w:rPr/>
        <w:t>periodo</w:t>
      </w:r>
      <w:r>
        <w:rPr>
          <w:spacing w:val="-6"/>
        </w:rPr>
        <w:t> </w:t>
      </w:r>
      <w:r>
        <w:rPr/>
        <w:t>de</w:t>
      </w:r>
      <w:r>
        <w:rPr>
          <w:spacing w:val="-6"/>
        </w:rPr>
        <w:t> </w:t>
      </w:r>
      <w:r>
        <w:rPr/>
        <w:t>los</w:t>
      </w:r>
      <w:r>
        <w:rPr>
          <w:spacing w:val="-4"/>
        </w:rPr>
        <w:t> </w:t>
      </w:r>
      <w:r>
        <w:rPr/>
        <w:t>Habsburgo,</w:t>
      </w:r>
      <w:r>
        <w:rPr>
          <w:spacing w:val="-4"/>
        </w:rPr>
        <w:t> </w:t>
      </w:r>
      <w:r>
        <w:rPr/>
        <w:t>y sobre todo bajo el gobierno Borbónico, se dio origen a un nuevo tipo de</w:t>
      </w:r>
      <w:r>
        <w:rPr>
          <w:spacing w:val="-29"/>
        </w:rPr>
        <w:t> </w:t>
      </w:r>
      <w:r>
        <w:rPr/>
        <w:t>esclavitud.</w:t>
      </w:r>
    </w:p>
    <w:p>
      <w:pPr>
        <w:pStyle w:val="BodyText"/>
        <w:spacing w:line="360" w:lineRule="auto" w:before="5"/>
        <w:ind w:left="102" w:right="109" w:firstLine="427"/>
        <w:jc w:val="both"/>
      </w:pPr>
      <w:r>
        <w:rPr/>
        <w:t>El virrey que gobernaba al Estado Habsburgo en el territorio actual de México, como representante del rey, tenía nominalmente el poder absoluto, pero estaba rodeado por funcionarios importantes también designados por el monarca.</w:t>
      </w:r>
    </w:p>
    <w:p>
      <w:pPr>
        <w:pStyle w:val="BodyText"/>
      </w:pPr>
    </w:p>
    <w:p>
      <w:pPr>
        <w:pStyle w:val="BodyText"/>
        <w:spacing w:line="360" w:lineRule="auto" w:before="139"/>
        <w:ind w:left="102" w:right="108" w:firstLine="427"/>
        <w:jc w:val="both"/>
      </w:pPr>
      <w:r>
        <w:rPr/>
        <w:t>El</w:t>
      </w:r>
      <w:r>
        <w:rPr>
          <w:spacing w:val="-14"/>
        </w:rPr>
        <w:t> </w:t>
      </w:r>
      <w:r>
        <w:rPr/>
        <w:t>virrey</w:t>
      </w:r>
      <w:r>
        <w:rPr>
          <w:spacing w:val="-16"/>
        </w:rPr>
        <w:t> </w:t>
      </w:r>
      <w:r>
        <w:rPr/>
        <w:t>era</w:t>
      </w:r>
      <w:r>
        <w:rPr>
          <w:spacing w:val="-14"/>
        </w:rPr>
        <w:t> </w:t>
      </w:r>
      <w:r>
        <w:rPr/>
        <w:t>el</w:t>
      </w:r>
      <w:r>
        <w:rPr>
          <w:spacing w:val="-14"/>
        </w:rPr>
        <w:t> </w:t>
      </w:r>
      <w:r>
        <w:rPr/>
        <w:t>jefe</w:t>
      </w:r>
      <w:r>
        <w:rPr>
          <w:spacing w:val="-13"/>
        </w:rPr>
        <w:t> </w:t>
      </w:r>
      <w:r>
        <w:rPr/>
        <w:t>del</w:t>
      </w:r>
      <w:r>
        <w:rPr>
          <w:spacing w:val="-17"/>
        </w:rPr>
        <w:t> </w:t>
      </w:r>
      <w:r>
        <w:rPr/>
        <w:t>Ejecutivo,</w:t>
      </w:r>
      <w:r>
        <w:rPr>
          <w:spacing w:val="-13"/>
        </w:rPr>
        <w:t> </w:t>
      </w:r>
      <w:r>
        <w:rPr/>
        <w:t>el</w:t>
      </w:r>
      <w:r>
        <w:rPr>
          <w:spacing w:val="-14"/>
        </w:rPr>
        <w:t> </w:t>
      </w:r>
      <w:r>
        <w:rPr/>
        <w:t>principal</w:t>
      </w:r>
      <w:r>
        <w:rPr>
          <w:spacing w:val="-14"/>
        </w:rPr>
        <w:t> </w:t>
      </w:r>
      <w:r>
        <w:rPr/>
        <w:t>legislador,</w:t>
      </w:r>
      <w:r>
        <w:rPr>
          <w:spacing w:val="-14"/>
        </w:rPr>
        <w:t> </w:t>
      </w:r>
      <w:r>
        <w:rPr/>
        <w:t>jefe</w:t>
      </w:r>
      <w:r>
        <w:rPr>
          <w:spacing w:val="-15"/>
        </w:rPr>
        <w:t> </w:t>
      </w:r>
      <w:r>
        <w:rPr/>
        <w:t>del</w:t>
      </w:r>
      <w:r>
        <w:rPr>
          <w:spacing w:val="-17"/>
        </w:rPr>
        <w:t> </w:t>
      </w:r>
      <w:r>
        <w:rPr/>
        <w:t>ejército</w:t>
      </w:r>
      <w:r>
        <w:rPr>
          <w:spacing w:val="-13"/>
        </w:rPr>
        <w:t> </w:t>
      </w:r>
      <w:r>
        <w:rPr/>
        <w:t>y</w:t>
      </w:r>
      <w:r>
        <w:rPr>
          <w:spacing w:val="-16"/>
        </w:rPr>
        <w:t> </w:t>
      </w:r>
      <w:r>
        <w:rPr/>
        <w:t>vigilante de hacienda pública; sin embargo, sus disposiciones tenían que ser   </w:t>
      </w:r>
      <w:r>
        <w:rPr>
          <w:spacing w:val="27"/>
        </w:rPr>
        <w:t> </w:t>
      </w:r>
      <w:r>
        <w:rPr/>
        <w:t>discutidas en</w:t>
      </w:r>
    </w:p>
    <w:p>
      <w:pPr>
        <w:spacing w:after="0" w:line="360" w:lineRule="auto"/>
        <w:jc w:val="both"/>
        <w:sectPr>
          <w:pgSz w:w="12240" w:h="15840"/>
          <w:pgMar w:header="0" w:footer="1003" w:top="1360" w:bottom="1200" w:left="1600" w:right="1500"/>
        </w:sectPr>
      </w:pPr>
    </w:p>
    <w:p>
      <w:pPr>
        <w:pStyle w:val="BodyText"/>
        <w:spacing w:line="360" w:lineRule="auto" w:before="54"/>
        <w:ind w:left="102" w:right="114"/>
        <w:jc w:val="both"/>
      </w:pPr>
      <w:r>
        <w:rPr/>
        <w:t>"acuerdos" con los altos consejeros de la Colonia (oidores de la Real Audiencia), personajes nacidos y educados en España, letrados ilustres que fungían como consejeros del rey o como jueces, con largos años de servicio.</w:t>
      </w:r>
    </w:p>
    <w:p>
      <w:pPr>
        <w:pStyle w:val="BodyText"/>
        <w:spacing w:line="360" w:lineRule="auto" w:before="5"/>
        <w:ind w:left="102" w:right="104" w:firstLine="427"/>
        <w:jc w:val="both"/>
      </w:pPr>
      <w:r>
        <w:rPr/>
        <w:t>Durante</w:t>
      </w:r>
      <w:r>
        <w:rPr>
          <w:spacing w:val="-8"/>
        </w:rPr>
        <w:t> </w:t>
      </w:r>
      <w:r>
        <w:rPr/>
        <w:t>esa</w:t>
      </w:r>
      <w:r>
        <w:rPr>
          <w:spacing w:val="-9"/>
        </w:rPr>
        <w:t> </w:t>
      </w:r>
      <w:r>
        <w:rPr/>
        <w:t>época,</w:t>
      </w:r>
      <w:r>
        <w:rPr>
          <w:spacing w:val="-10"/>
        </w:rPr>
        <w:t> </w:t>
      </w:r>
      <w:r>
        <w:rPr/>
        <w:t>la</w:t>
      </w:r>
      <w:r>
        <w:rPr>
          <w:spacing w:val="-10"/>
        </w:rPr>
        <w:t> </w:t>
      </w:r>
      <w:r>
        <w:rPr/>
        <w:t>iglesia</w:t>
      </w:r>
      <w:r>
        <w:rPr>
          <w:spacing w:val="-7"/>
        </w:rPr>
        <w:t> </w:t>
      </w:r>
      <w:r>
        <w:rPr/>
        <w:t>conservó</w:t>
      </w:r>
      <w:r>
        <w:rPr>
          <w:spacing w:val="-7"/>
        </w:rPr>
        <w:t> </w:t>
      </w:r>
      <w:r>
        <w:rPr/>
        <w:t>la</w:t>
      </w:r>
      <w:r>
        <w:rPr>
          <w:spacing w:val="-7"/>
        </w:rPr>
        <w:t> </w:t>
      </w:r>
      <w:r>
        <w:rPr/>
        <w:t>paz</w:t>
      </w:r>
      <w:r>
        <w:rPr>
          <w:spacing w:val="-13"/>
        </w:rPr>
        <w:t> </w:t>
      </w:r>
      <w:r>
        <w:rPr/>
        <w:t>en</w:t>
      </w:r>
      <w:r>
        <w:rPr>
          <w:spacing w:val="-7"/>
        </w:rPr>
        <w:t> </w:t>
      </w:r>
      <w:r>
        <w:rPr/>
        <w:t>la</w:t>
      </w:r>
      <w:r>
        <w:rPr>
          <w:spacing w:val="-7"/>
        </w:rPr>
        <w:t> </w:t>
      </w:r>
      <w:r>
        <w:rPr/>
        <w:t>Nueva</w:t>
      </w:r>
      <w:r>
        <w:rPr>
          <w:spacing w:val="-7"/>
        </w:rPr>
        <w:t> </w:t>
      </w:r>
      <w:r>
        <w:rPr/>
        <w:t>España,</w:t>
      </w:r>
      <w:r>
        <w:rPr>
          <w:spacing w:val="-10"/>
        </w:rPr>
        <w:t> </w:t>
      </w:r>
      <w:r>
        <w:rPr/>
        <w:t>por</w:t>
      </w:r>
      <w:r>
        <w:rPr>
          <w:spacing w:val="-8"/>
        </w:rPr>
        <w:t> </w:t>
      </w:r>
      <w:r>
        <w:rPr/>
        <w:t>unir</w:t>
      </w:r>
      <w:r>
        <w:rPr>
          <w:spacing w:val="-9"/>
        </w:rPr>
        <w:t> </w:t>
      </w:r>
      <w:r>
        <w:rPr/>
        <w:t>a</w:t>
      </w:r>
      <w:r>
        <w:rPr>
          <w:spacing w:val="-9"/>
        </w:rPr>
        <w:t> </w:t>
      </w:r>
      <w:r>
        <w:rPr/>
        <w:t>las diversas razas en un solo grupo. La iglesia, a través de sus instituciones (salud, asistencia social y educación), proporcionó los servicios a la población, que posteriormente fueron adjudicados al Estado. Por ser la institución que contaba con mayor</w:t>
      </w:r>
      <w:r>
        <w:rPr>
          <w:spacing w:val="-17"/>
        </w:rPr>
        <w:t> </w:t>
      </w:r>
      <w:r>
        <w:rPr/>
        <w:t>capital</w:t>
      </w:r>
      <w:r>
        <w:rPr>
          <w:spacing w:val="-17"/>
        </w:rPr>
        <w:t> </w:t>
      </w:r>
      <w:r>
        <w:rPr/>
        <w:t>líquido,</w:t>
      </w:r>
      <w:r>
        <w:rPr>
          <w:spacing w:val="-16"/>
        </w:rPr>
        <w:t> </w:t>
      </w:r>
      <w:r>
        <w:rPr/>
        <w:t>la</w:t>
      </w:r>
      <w:r>
        <w:rPr>
          <w:spacing w:val="-16"/>
        </w:rPr>
        <w:t> </w:t>
      </w:r>
      <w:r>
        <w:rPr/>
        <w:t>iglesia</w:t>
      </w:r>
      <w:r>
        <w:rPr>
          <w:spacing w:val="-16"/>
        </w:rPr>
        <w:t> </w:t>
      </w:r>
      <w:r>
        <w:rPr/>
        <w:t>llegó</w:t>
      </w:r>
      <w:r>
        <w:rPr>
          <w:spacing w:val="-16"/>
        </w:rPr>
        <w:t> </w:t>
      </w:r>
      <w:r>
        <w:rPr/>
        <w:t>a</w:t>
      </w:r>
      <w:r>
        <w:rPr>
          <w:spacing w:val="-16"/>
        </w:rPr>
        <w:t> </w:t>
      </w:r>
      <w:r>
        <w:rPr/>
        <w:t>constituirse</w:t>
      </w:r>
      <w:r>
        <w:rPr>
          <w:spacing w:val="-16"/>
        </w:rPr>
        <w:t> </w:t>
      </w:r>
      <w:r>
        <w:rPr/>
        <w:t>como</w:t>
      </w:r>
      <w:r>
        <w:rPr>
          <w:spacing w:val="-16"/>
        </w:rPr>
        <w:t> </w:t>
      </w:r>
      <w:r>
        <w:rPr/>
        <w:t>la</w:t>
      </w:r>
      <w:r>
        <w:rPr>
          <w:spacing w:val="-16"/>
        </w:rPr>
        <w:t> </w:t>
      </w:r>
      <w:r>
        <w:rPr/>
        <w:t>banca</w:t>
      </w:r>
      <w:r>
        <w:rPr>
          <w:spacing w:val="-18"/>
        </w:rPr>
        <w:t> </w:t>
      </w:r>
      <w:r>
        <w:rPr/>
        <w:t>del</w:t>
      </w:r>
      <w:r>
        <w:rPr>
          <w:spacing w:val="-17"/>
        </w:rPr>
        <w:t> </w:t>
      </w:r>
      <w:r>
        <w:rPr/>
        <w:t>país.</w:t>
      </w:r>
      <w:r>
        <w:rPr>
          <w:spacing w:val="-10"/>
        </w:rPr>
        <w:t> </w:t>
      </w:r>
      <w:r>
        <w:rPr/>
        <w:t>En</w:t>
      </w:r>
      <w:r>
        <w:rPr>
          <w:spacing w:val="-16"/>
        </w:rPr>
        <w:t> </w:t>
      </w:r>
      <w:r>
        <w:rPr/>
        <w:t>el</w:t>
      </w:r>
      <w:r>
        <w:rPr>
          <w:spacing w:val="-16"/>
        </w:rPr>
        <w:t> </w:t>
      </w:r>
      <w:r>
        <w:rPr/>
        <w:t>Siglo XVIII</w:t>
      </w:r>
      <w:r>
        <w:rPr>
          <w:spacing w:val="-7"/>
        </w:rPr>
        <w:t> </w:t>
      </w:r>
      <w:r>
        <w:rPr/>
        <w:t>la</w:t>
      </w:r>
      <w:r>
        <w:rPr>
          <w:spacing w:val="-7"/>
        </w:rPr>
        <w:t> </w:t>
      </w:r>
      <w:r>
        <w:rPr/>
        <w:t>dinastía</w:t>
      </w:r>
      <w:r>
        <w:rPr>
          <w:spacing w:val="-7"/>
        </w:rPr>
        <w:t> </w:t>
      </w:r>
      <w:r>
        <w:rPr/>
        <w:t>Habsburgo</w:t>
      </w:r>
      <w:r>
        <w:rPr>
          <w:spacing w:val="-7"/>
        </w:rPr>
        <w:t> </w:t>
      </w:r>
      <w:r>
        <w:rPr/>
        <w:t>contó</w:t>
      </w:r>
      <w:r>
        <w:rPr>
          <w:spacing w:val="-9"/>
        </w:rPr>
        <w:t> </w:t>
      </w:r>
      <w:r>
        <w:rPr/>
        <w:t>con</w:t>
      </w:r>
      <w:r>
        <w:rPr>
          <w:spacing w:val="-9"/>
        </w:rPr>
        <w:t> </w:t>
      </w:r>
      <w:r>
        <w:rPr/>
        <w:t>una</w:t>
      </w:r>
      <w:r>
        <w:rPr>
          <w:spacing w:val="-7"/>
        </w:rPr>
        <w:t> </w:t>
      </w:r>
      <w:r>
        <w:rPr/>
        <w:t>serie</w:t>
      </w:r>
      <w:r>
        <w:rPr>
          <w:spacing w:val="-7"/>
        </w:rPr>
        <w:t> </w:t>
      </w:r>
      <w:r>
        <w:rPr/>
        <w:t>de</w:t>
      </w:r>
      <w:r>
        <w:rPr>
          <w:spacing w:val="-9"/>
        </w:rPr>
        <w:t> </w:t>
      </w:r>
      <w:r>
        <w:rPr/>
        <w:t>monarcas</w:t>
      </w:r>
      <w:r>
        <w:rPr>
          <w:spacing w:val="-9"/>
        </w:rPr>
        <w:t> </w:t>
      </w:r>
      <w:r>
        <w:rPr/>
        <w:t>que</w:t>
      </w:r>
      <w:r>
        <w:rPr>
          <w:spacing w:val="-7"/>
        </w:rPr>
        <w:t> </w:t>
      </w:r>
      <w:r>
        <w:rPr/>
        <w:t>se</w:t>
      </w:r>
      <w:r>
        <w:rPr>
          <w:spacing w:val="-9"/>
        </w:rPr>
        <w:t> </w:t>
      </w:r>
      <w:r>
        <w:rPr/>
        <w:t>enfrascaron</w:t>
      </w:r>
      <w:r>
        <w:rPr>
          <w:spacing w:val="-9"/>
        </w:rPr>
        <w:t> </w:t>
      </w:r>
      <w:r>
        <w:rPr/>
        <w:t>en largas luchas por el poder y predominio europeos, con lo cual llevaron a la quiebra al gobierno español y al pueblo de la Nueva España. </w:t>
      </w:r>
      <w:r>
        <w:rPr>
          <w:spacing w:val="2"/>
        </w:rPr>
        <w:t>La </w:t>
      </w:r>
      <w:r>
        <w:rPr/>
        <w:t>bancarrota del gobierno español</w:t>
      </w:r>
      <w:r>
        <w:rPr>
          <w:spacing w:val="-14"/>
        </w:rPr>
        <w:t> </w:t>
      </w:r>
      <w:r>
        <w:rPr/>
        <w:t>los</w:t>
      </w:r>
      <w:r>
        <w:rPr>
          <w:spacing w:val="-13"/>
        </w:rPr>
        <w:t> </w:t>
      </w:r>
      <w:r>
        <w:rPr/>
        <w:t>llevó</w:t>
      </w:r>
      <w:r>
        <w:rPr>
          <w:spacing w:val="-13"/>
        </w:rPr>
        <w:t> </w:t>
      </w:r>
      <w:r>
        <w:rPr/>
        <w:t>a</w:t>
      </w:r>
      <w:r>
        <w:rPr>
          <w:spacing w:val="-13"/>
        </w:rPr>
        <w:t> </w:t>
      </w:r>
      <w:r>
        <w:rPr/>
        <w:t>perder</w:t>
      </w:r>
      <w:r>
        <w:rPr>
          <w:spacing w:val="-15"/>
        </w:rPr>
        <w:t> </w:t>
      </w:r>
      <w:r>
        <w:rPr/>
        <w:t>el</w:t>
      </w:r>
      <w:r>
        <w:rPr>
          <w:spacing w:val="-14"/>
        </w:rPr>
        <w:t> </w:t>
      </w:r>
      <w:r>
        <w:rPr/>
        <w:t>poder.</w:t>
      </w:r>
      <w:r>
        <w:rPr>
          <w:spacing w:val="-14"/>
        </w:rPr>
        <w:t> </w:t>
      </w:r>
      <w:r>
        <w:rPr/>
        <w:t>En</w:t>
      </w:r>
      <w:r>
        <w:rPr>
          <w:spacing w:val="-13"/>
        </w:rPr>
        <w:t> </w:t>
      </w:r>
      <w:r>
        <w:rPr/>
        <w:t>la</w:t>
      </w:r>
      <w:r>
        <w:rPr>
          <w:spacing w:val="-13"/>
        </w:rPr>
        <w:t> </w:t>
      </w:r>
      <w:r>
        <w:rPr/>
        <w:t>Nueva</w:t>
      </w:r>
      <w:r>
        <w:rPr>
          <w:spacing w:val="-13"/>
        </w:rPr>
        <w:t> </w:t>
      </w:r>
      <w:r>
        <w:rPr/>
        <w:t>España,</w:t>
      </w:r>
      <w:r>
        <w:rPr>
          <w:spacing w:val="-13"/>
        </w:rPr>
        <w:t> </w:t>
      </w:r>
      <w:r>
        <w:rPr/>
        <w:t>la</w:t>
      </w:r>
      <w:r>
        <w:rPr>
          <w:spacing w:val="-16"/>
        </w:rPr>
        <w:t> </w:t>
      </w:r>
      <w:r>
        <w:rPr/>
        <w:t>decadencia</w:t>
      </w:r>
      <w:r>
        <w:rPr>
          <w:spacing w:val="-13"/>
        </w:rPr>
        <w:t> </w:t>
      </w:r>
      <w:r>
        <w:rPr/>
        <w:t>de</w:t>
      </w:r>
      <w:r>
        <w:rPr>
          <w:spacing w:val="-13"/>
        </w:rPr>
        <w:t> </w:t>
      </w:r>
      <w:r>
        <w:rPr/>
        <w:t>la</w:t>
      </w:r>
      <w:r>
        <w:rPr>
          <w:spacing w:val="-13"/>
        </w:rPr>
        <w:t> </w:t>
      </w:r>
      <w:r>
        <w:rPr/>
        <w:t>dinastía se evidenció con la venta de cargos</w:t>
      </w:r>
      <w:r>
        <w:rPr>
          <w:spacing w:val="-15"/>
        </w:rPr>
        <w:t> </w:t>
      </w:r>
      <w:r>
        <w:rPr/>
        <w:t>públicos.</w:t>
      </w:r>
    </w:p>
    <w:p>
      <w:pPr>
        <w:pStyle w:val="BodyText"/>
        <w:spacing w:line="360" w:lineRule="auto" w:before="5"/>
        <w:ind w:left="102" w:right="115" w:firstLine="427"/>
        <w:jc w:val="both"/>
      </w:pPr>
      <w:r>
        <w:rPr/>
        <w:t>La escasa atención que el Estado español prestó a la Nueva España hizo que ésta se volviera más independiente, ya que los asuntos políticos se tuvieron que arreglar internamente.</w:t>
      </w:r>
    </w:p>
    <w:p>
      <w:pPr>
        <w:pStyle w:val="BodyText"/>
        <w:spacing w:line="360" w:lineRule="auto" w:before="2"/>
        <w:ind w:left="102" w:right="197" w:firstLine="427"/>
        <w:jc w:val="both"/>
      </w:pPr>
      <w:r>
        <w:rPr/>
        <w:t>En 1804 la Real Cédula, institución jurídica española en territorio americano, reformó</w:t>
      </w:r>
      <w:r>
        <w:rPr>
          <w:spacing w:val="-8"/>
        </w:rPr>
        <w:t> </w:t>
      </w:r>
      <w:r>
        <w:rPr/>
        <w:t>la</w:t>
      </w:r>
      <w:r>
        <w:rPr>
          <w:spacing w:val="-6"/>
        </w:rPr>
        <w:t> </w:t>
      </w:r>
      <w:r>
        <w:rPr/>
        <w:t>disposición</w:t>
      </w:r>
      <w:r>
        <w:rPr>
          <w:spacing w:val="-8"/>
        </w:rPr>
        <w:t> </w:t>
      </w:r>
      <w:r>
        <w:rPr/>
        <w:t>sobre</w:t>
      </w:r>
      <w:r>
        <w:rPr>
          <w:spacing w:val="-7"/>
        </w:rPr>
        <w:t> </w:t>
      </w:r>
      <w:r>
        <w:rPr/>
        <w:t>la</w:t>
      </w:r>
      <w:r>
        <w:rPr>
          <w:spacing w:val="-9"/>
        </w:rPr>
        <w:t> </w:t>
      </w:r>
      <w:r>
        <w:rPr/>
        <w:t>enajenación</w:t>
      </w:r>
      <w:r>
        <w:rPr>
          <w:spacing w:val="-6"/>
        </w:rPr>
        <w:t> </w:t>
      </w:r>
      <w:r>
        <w:rPr/>
        <w:t>de</w:t>
      </w:r>
      <w:r>
        <w:rPr>
          <w:spacing w:val="-6"/>
        </w:rPr>
        <w:t> </w:t>
      </w:r>
      <w:r>
        <w:rPr/>
        <w:t>bienes</w:t>
      </w:r>
      <w:r>
        <w:rPr>
          <w:spacing w:val="-7"/>
        </w:rPr>
        <w:t> </w:t>
      </w:r>
      <w:r>
        <w:rPr/>
        <w:t>raíces</w:t>
      </w:r>
      <w:r>
        <w:rPr>
          <w:spacing w:val="-7"/>
        </w:rPr>
        <w:t> </w:t>
      </w:r>
      <w:r>
        <w:rPr/>
        <w:t>y</w:t>
      </w:r>
      <w:r>
        <w:rPr>
          <w:spacing w:val="-9"/>
        </w:rPr>
        <w:t> </w:t>
      </w:r>
      <w:r>
        <w:rPr/>
        <w:t>el</w:t>
      </w:r>
      <w:r>
        <w:rPr>
          <w:spacing w:val="-7"/>
        </w:rPr>
        <w:t> </w:t>
      </w:r>
      <w:r>
        <w:rPr/>
        <w:t>cobro</w:t>
      </w:r>
      <w:r>
        <w:rPr>
          <w:spacing w:val="-7"/>
        </w:rPr>
        <w:t> </w:t>
      </w:r>
      <w:r>
        <w:rPr/>
        <w:t>de</w:t>
      </w:r>
      <w:r>
        <w:rPr>
          <w:spacing w:val="-8"/>
        </w:rPr>
        <w:t> </w:t>
      </w:r>
      <w:r>
        <w:rPr/>
        <w:t>capitales de capellanías y obras pías para la consolidación de vales reales. Las reformas causaron el descontento y serios desajustes sociales y</w:t>
      </w:r>
      <w:r>
        <w:rPr>
          <w:spacing w:val="-25"/>
        </w:rPr>
        <w:t> </w:t>
      </w:r>
      <w:r>
        <w:rPr/>
        <w:t>económicos.</w:t>
      </w:r>
    </w:p>
    <w:p>
      <w:pPr>
        <w:pStyle w:val="BodyText"/>
        <w:spacing w:line="360" w:lineRule="auto" w:before="2"/>
        <w:ind w:left="102" w:right="106" w:firstLine="427"/>
        <w:jc w:val="both"/>
      </w:pPr>
      <w:r>
        <w:rPr/>
        <w:t>Los Borbones (1763-1810) crearon un auge económico de la colonia, pero sus reformas políticas, orientadas hacia reducir el poder de la iglesia, hicieron salir a los jesuitas hacia España, lo que les trajo el descontento popular. Para que la iglesia pudiera pagar al Estado lo que éste pedía, se vio en la necesidad de cobrar sus préstamos e hipotecas, lo que alteró toda la estructura productiva del virreinato.</w:t>
      </w:r>
    </w:p>
    <w:p>
      <w:pPr>
        <w:pStyle w:val="BodyText"/>
        <w:spacing w:line="360" w:lineRule="auto" w:before="5"/>
        <w:ind w:left="102" w:right="105" w:firstLine="427"/>
        <w:jc w:val="both"/>
      </w:pPr>
      <w:r>
        <w:rPr/>
        <w:t>Se consideró que la figura del virrey en América era peligrosa, ya que implicaba que una sola persona concentrara el poder; para evitar esto se utilizó el sistema de intendencias (copiado de los franceses y adoptado con antelación en España). A la cabeza de las intendencias se ejercían las funciones de justicia, guerra, hacienda, fomento de la economía y obras públicas. En 1810 se crearon en México tres secretarías de  Estado:  Secretaría  de  Gracia  y Justicia,  Secretaría  de  Guerra</w:t>
      </w:r>
      <w:r>
        <w:rPr>
          <w:spacing w:val="54"/>
        </w:rPr>
        <w:t> </w:t>
      </w:r>
      <w:r>
        <w:rPr/>
        <w:t>y</w:t>
      </w:r>
    </w:p>
    <w:p>
      <w:pPr>
        <w:spacing w:after="0" w:line="360" w:lineRule="auto"/>
        <w:jc w:val="both"/>
        <w:sectPr>
          <w:footerReference w:type="even" r:id="rId117"/>
          <w:footerReference w:type="default" r:id="rId118"/>
          <w:pgSz w:w="12240" w:h="15840"/>
          <w:pgMar w:footer="1003" w:header="0" w:top="1360" w:bottom="1200" w:left="1600" w:right="1500"/>
          <w:pgNumType w:start="74"/>
        </w:sectPr>
      </w:pPr>
    </w:p>
    <w:p>
      <w:pPr>
        <w:pStyle w:val="BodyText"/>
        <w:spacing w:line="360" w:lineRule="auto" w:before="69"/>
        <w:ind w:left="122" w:right="104"/>
        <w:jc w:val="both"/>
      </w:pPr>
      <w:r>
        <w:rPr/>
        <w:t>Secretaría de Estado y Despacho.</w:t>
      </w:r>
      <w:r>
        <w:rPr>
          <w:position w:val="8"/>
          <w:sz w:val="16"/>
        </w:rPr>
        <w:t>43</w:t>
      </w:r>
      <w:r>
        <w:rPr/>
        <w:t>A finales del siglo XVIII las ideas independentistas difundidas por documentos políticos franceses y norteamericanos dieron</w:t>
      </w:r>
      <w:r>
        <w:rPr>
          <w:spacing w:val="-13"/>
        </w:rPr>
        <w:t> </w:t>
      </w:r>
      <w:r>
        <w:rPr/>
        <w:t>como</w:t>
      </w:r>
      <w:r>
        <w:rPr>
          <w:spacing w:val="-13"/>
        </w:rPr>
        <w:t> </w:t>
      </w:r>
      <w:r>
        <w:rPr/>
        <w:t>resultado</w:t>
      </w:r>
      <w:r>
        <w:rPr>
          <w:spacing w:val="-16"/>
        </w:rPr>
        <w:t> </w:t>
      </w:r>
      <w:r>
        <w:rPr/>
        <w:t>la</w:t>
      </w:r>
      <w:r>
        <w:rPr>
          <w:spacing w:val="-13"/>
        </w:rPr>
        <w:t> </w:t>
      </w:r>
      <w:r>
        <w:rPr/>
        <w:t>idea</w:t>
      </w:r>
      <w:r>
        <w:rPr>
          <w:spacing w:val="-13"/>
        </w:rPr>
        <w:t> </w:t>
      </w:r>
      <w:r>
        <w:rPr/>
        <w:t>de</w:t>
      </w:r>
      <w:r>
        <w:rPr>
          <w:spacing w:val="-13"/>
        </w:rPr>
        <w:t> </w:t>
      </w:r>
      <w:r>
        <w:rPr/>
        <w:t>libertad,</w:t>
      </w:r>
      <w:r>
        <w:rPr>
          <w:spacing w:val="-13"/>
        </w:rPr>
        <w:t> </w:t>
      </w:r>
      <w:r>
        <w:rPr/>
        <w:t>que</w:t>
      </w:r>
      <w:r>
        <w:rPr>
          <w:spacing w:val="-13"/>
        </w:rPr>
        <w:t> </w:t>
      </w:r>
      <w:r>
        <w:rPr/>
        <w:t>culminó</w:t>
      </w:r>
      <w:r>
        <w:rPr>
          <w:spacing w:val="-15"/>
        </w:rPr>
        <w:t> </w:t>
      </w:r>
      <w:r>
        <w:rPr/>
        <w:t>en</w:t>
      </w:r>
      <w:r>
        <w:rPr>
          <w:spacing w:val="-13"/>
        </w:rPr>
        <w:t> </w:t>
      </w:r>
      <w:r>
        <w:rPr/>
        <w:t>la</w:t>
      </w:r>
      <w:r>
        <w:rPr>
          <w:spacing w:val="-13"/>
        </w:rPr>
        <w:t> </w:t>
      </w:r>
      <w:r>
        <w:rPr/>
        <w:t>guerra</w:t>
      </w:r>
      <w:r>
        <w:rPr>
          <w:spacing w:val="-13"/>
        </w:rPr>
        <w:t> </w:t>
      </w:r>
      <w:r>
        <w:rPr/>
        <w:t>de</w:t>
      </w:r>
      <w:r>
        <w:rPr>
          <w:spacing w:val="-13"/>
        </w:rPr>
        <w:t> </w:t>
      </w:r>
      <w:r>
        <w:rPr/>
        <w:t>independencia de</w:t>
      </w:r>
      <w:r>
        <w:rPr>
          <w:spacing w:val="-4"/>
        </w:rPr>
        <w:t> </w:t>
      </w:r>
      <w:r>
        <w:rPr/>
        <w:t>1810.</w:t>
      </w:r>
    </w:p>
    <w:p>
      <w:pPr>
        <w:pStyle w:val="BodyText"/>
        <w:spacing w:line="360" w:lineRule="auto" w:before="2"/>
        <w:ind w:left="122" w:right="198" w:firstLine="427"/>
        <w:jc w:val="both"/>
      </w:pPr>
      <w:r>
        <w:rPr/>
        <w:t>José María Morelos y Pavón delimitó la guerra de independencia en el documento </w:t>
      </w:r>
      <w:r>
        <w:rPr>
          <w:i/>
        </w:rPr>
        <w:t>Sentimientos de la nación </w:t>
      </w:r>
      <w:r>
        <w:rPr/>
        <w:t>publicado en 1813</w:t>
      </w:r>
      <w:r>
        <w:rPr>
          <w:b/>
        </w:rPr>
        <w:t>. </w:t>
      </w:r>
      <w:r>
        <w:rPr/>
        <w:t>El escrito es</w:t>
      </w:r>
      <w:r>
        <w:rPr>
          <w:spacing w:val="-31"/>
        </w:rPr>
        <w:t> </w:t>
      </w:r>
      <w:r>
        <w:rPr/>
        <w:t>considerado uno</w:t>
      </w:r>
      <w:r>
        <w:rPr>
          <w:spacing w:val="-15"/>
        </w:rPr>
        <w:t> </w:t>
      </w:r>
      <w:r>
        <w:rPr/>
        <w:t>de</w:t>
      </w:r>
      <w:r>
        <w:rPr>
          <w:spacing w:val="-15"/>
        </w:rPr>
        <w:t> </w:t>
      </w:r>
      <w:r>
        <w:rPr/>
        <w:t>los</w:t>
      </w:r>
      <w:r>
        <w:rPr>
          <w:spacing w:val="-16"/>
        </w:rPr>
        <w:t> </w:t>
      </w:r>
      <w:r>
        <w:rPr/>
        <w:t>textos</w:t>
      </w:r>
      <w:r>
        <w:rPr>
          <w:spacing w:val="-16"/>
        </w:rPr>
        <w:t> </w:t>
      </w:r>
      <w:r>
        <w:rPr/>
        <w:t>políticos</w:t>
      </w:r>
      <w:r>
        <w:rPr>
          <w:spacing w:val="-16"/>
        </w:rPr>
        <w:t> </w:t>
      </w:r>
      <w:r>
        <w:rPr/>
        <w:t>más</w:t>
      </w:r>
      <w:r>
        <w:rPr>
          <w:spacing w:val="-16"/>
        </w:rPr>
        <w:t> </w:t>
      </w:r>
      <w:r>
        <w:rPr/>
        <w:t>importantes,</w:t>
      </w:r>
      <w:r>
        <w:rPr>
          <w:spacing w:val="-16"/>
        </w:rPr>
        <w:t> </w:t>
      </w:r>
      <w:r>
        <w:rPr/>
        <w:t>en</w:t>
      </w:r>
      <w:r>
        <w:rPr>
          <w:spacing w:val="-13"/>
        </w:rPr>
        <w:t> </w:t>
      </w:r>
      <w:r>
        <w:rPr/>
        <w:t>el</w:t>
      </w:r>
      <w:r>
        <w:rPr>
          <w:spacing w:val="-17"/>
        </w:rPr>
        <w:t> </w:t>
      </w:r>
      <w:r>
        <w:rPr/>
        <w:t>cual</w:t>
      </w:r>
      <w:r>
        <w:rPr>
          <w:spacing w:val="-17"/>
        </w:rPr>
        <w:t> </w:t>
      </w:r>
      <w:r>
        <w:rPr/>
        <w:t>Morelos</w:t>
      </w:r>
      <w:r>
        <w:rPr>
          <w:spacing w:val="-16"/>
        </w:rPr>
        <w:t> </w:t>
      </w:r>
      <w:r>
        <w:rPr/>
        <w:t>expresó</w:t>
      </w:r>
      <w:r>
        <w:rPr>
          <w:spacing w:val="-13"/>
        </w:rPr>
        <w:t> </w:t>
      </w:r>
      <w:r>
        <w:rPr/>
        <w:t>las</w:t>
      </w:r>
      <w:r>
        <w:rPr>
          <w:spacing w:val="-16"/>
        </w:rPr>
        <w:t> </w:t>
      </w:r>
      <w:r>
        <w:rPr/>
        <w:t>23</w:t>
      </w:r>
      <w:r>
        <w:rPr>
          <w:spacing w:val="-15"/>
        </w:rPr>
        <w:t> </w:t>
      </w:r>
      <w:r>
        <w:rPr/>
        <w:t>líneas de política que consideraron la independencia, la soberanía del pueblo y la división de poderes, entre otras</w:t>
      </w:r>
      <w:r>
        <w:rPr>
          <w:spacing w:val="-12"/>
        </w:rPr>
        <w:t> </w:t>
      </w:r>
      <w:r>
        <w:rPr/>
        <w:t>medidas.</w:t>
      </w:r>
    </w:p>
    <w:p>
      <w:pPr>
        <w:pStyle w:val="BodyText"/>
        <w:spacing w:line="360" w:lineRule="auto" w:before="5"/>
        <w:ind w:left="122" w:right="197" w:firstLine="427"/>
        <w:jc w:val="both"/>
      </w:pPr>
      <w:r>
        <w:rPr/>
        <w:t>A partir de los movimientos independentistas, los españoles denominaron “caudillos” a las personas que, como Morelos, se sublevaron ante el régimen monárquico</w:t>
      </w:r>
      <w:r>
        <w:rPr>
          <w:spacing w:val="-6"/>
        </w:rPr>
        <w:t> </w:t>
      </w:r>
      <w:r>
        <w:rPr/>
        <w:t>español.</w:t>
      </w:r>
      <w:r>
        <w:rPr>
          <w:spacing w:val="-4"/>
        </w:rPr>
        <w:t> </w:t>
      </w:r>
      <w:r>
        <w:rPr/>
        <w:t>En</w:t>
      </w:r>
      <w:r>
        <w:rPr>
          <w:spacing w:val="-6"/>
        </w:rPr>
        <w:t> </w:t>
      </w:r>
      <w:r>
        <w:rPr/>
        <w:t>1820</w:t>
      </w:r>
      <w:r>
        <w:rPr>
          <w:spacing w:val="-6"/>
        </w:rPr>
        <w:t> </w:t>
      </w:r>
      <w:r>
        <w:rPr/>
        <w:t>El</w:t>
      </w:r>
      <w:r>
        <w:rPr>
          <w:spacing w:val="-7"/>
        </w:rPr>
        <w:t> </w:t>
      </w:r>
      <w:r>
        <w:rPr/>
        <w:t>Virrey</w:t>
      </w:r>
      <w:r>
        <w:rPr>
          <w:spacing w:val="-9"/>
        </w:rPr>
        <w:t> </w:t>
      </w:r>
      <w:r>
        <w:rPr/>
        <w:t>Juan</w:t>
      </w:r>
      <w:r>
        <w:rPr>
          <w:spacing w:val="-6"/>
        </w:rPr>
        <w:t> </w:t>
      </w:r>
      <w:r>
        <w:rPr/>
        <w:t>Ruiz</w:t>
      </w:r>
      <w:r>
        <w:rPr>
          <w:spacing w:val="-9"/>
        </w:rPr>
        <w:t> </w:t>
      </w:r>
      <w:r>
        <w:rPr/>
        <w:t>de</w:t>
      </w:r>
      <w:r>
        <w:rPr>
          <w:spacing w:val="-6"/>
        </w:rPr>
        <w:t> </w:t>
      </w:r>
      <w:r>
        <w:rPr/>
        <w:t>Apodaca</w:t>
      </w:r>
      <w:r>
        <w:rPr>
          <w:spacing w:val="-6"/>
        </w:rPr>
        <w:t> </w:t>
      </w:r>
      <w:r>
        <w:rPr/>
        <w:t>inició</w:t>
      </w:r>
      <w:r>
        <w:rPr>
          <w:spacing w:val="-9"/>
        </w:rPr>
        <w:t> </w:t>
      </w:r>
      <w:r>
        <w:rPr/>
        <w:t>una</w:t>
      </w:r>
      <w:r>
        <w:rPr>
          <w:spacing w:val="-6"/>
        </w:rPr>
        <w:t> </w:t>
      </w:r>
      <w:r>
        <w:rPr/>
        <w:t>política de conciliación</w:t>
      </w:r>
      <w:r>
        <w:rPr>
          <w:spacing w:val="-6"/>
        </w:rPr>
        <w:t> </w:t>
      </w:r>
      <w:r>
        <w:rPr/>
        <w:t>y</w:t>
      </w:r>
      <w:r>
        <w:rPr>
          <w:spacing w:val="-9"/>
        </w:rPr>
        <w:t> </w:t>
      </w:r>
      <w:r>
        <w:rPr/>
        <w:t>proclamó</w:t>
      </w:r>
      <w:r>
        <w:rPr>
          <w:spacing w:val="-6"/>
        </w:rPr>
        <w:t> </w:t>
      </w:r>
      <w:r>
        <w:rPr/>
        <w:t>el</w:t>
      </w:r>
      <w:r>
        <w:rPr>
          <w:spacing w:val="-7"/>
        </w:rPr>
        <w:t> </w:t>
      </w:r>
      <w:r>
        <w:rPr/>
        <w:t>Plan</w:t>
      </w:r>
      <w:r>
        <w:rPr>
          <w:spacing w:val="-6"/>
        </w:rPr>
        <w:t> </w:t>
      </w:r>
      <w:r>
        <w:rPr/>
        <w:t>de</w:t>
      </w:r>
      <w:r>
        <w:rPr>
          <w:spacing w:val="-6"/>
        </w:rPr>
        <w:t> </w:t>
      </w:r>
      <w:r>
        <w:rPr/>
        <w:t>la</w:t>
      </w:r>
      <w:r>
        <w:rPr>
          <w:spacing w:val="-6"/>
        </w:rPr>
        <w:t> </w:t>
      </w:r>
      <w:r>
        <w:rPr/>
        <w:t>Profesa,</w:t>
      </w:r>
      <w:r>
        <w:rPr>
          <w:spacing w:val="-6"/>
        </w:rPr>
        <w:t> </w:t>
      </w:r>
      <w:r>
        <w:rPr/>
        <w:t>que</w:t>
      </w:r>
      <w:r>
        <w:rPr>
          <w:spacing w:val="-6"/>
        </w:rPr>
        <w:t> </w:t>
      </w:r>
      <w:r>
        <w:rPr/>
        <w:t>declaraba</w:t>
      </w:r>
      <w:r>
        <w:rPr>
          <w:spacing w:val="-6"/>
        </w:rPr>
        <w:t> </w:t>
      </w:r>
      <w:r>
        <w:rPr/>
        <w:t>la</w:t>
      </w:r>
      <w:r>
        <w:rPr>
          <w:spacing w:val="-6"/>
        </w:rPr>
        <w:t> </w:t>
      </w:r>
      <w:r>
        <w:rPr/>
        <w:t>independencia</w:t>
      </w:r>
      <w:r>
        <w:rPr>
          <w:spacing w:val="-9"/>
        </w:rPr>
        <w:t> </w:t>
      </w:r>
      <w:r>
        <w:rPr/>
        <w:t>de</w:t>
      </w:r>
      <w:r>
        <w:rPr>
          <w:spacing w:val="-6"/>
        </w:rPr>
        <w:t> </w:t>
      </w:r>
      <w:r>
        <w:rPr/>
        <w:t>la colonia con un régimen de monarquía absoluta y la conservación de los privilegios eclesiásticos.</w:t>
      </w:r>
    </w:p>
    <w:p>
      <w:pPr>
        <w:pStyle w:val="BodyText"/>
      </w:pPr>
    </w:p>
    <w:p>
      <w:pPr>
        <w:pStyle w:val="BodyText"/>
        <w:spacing w:before="10"/>
        <w:rPr>
          <w:sz w:val="32"/>
        </w:rPr>
      </w:pPr>
    </w:p>
    <w:p>
      <w:pPr>
        <w:pStyle w:val="Heading2"/>
        <w:numPr>
          <w:ilvl w:val="1"/>
          <w:numId w:val="41"/>
        </w:numPr>
        <w:tabs>
          <w:tab w:pos="555" w:val="left" w:leader="none"/>
        </w:tabs>
        <w:spacing w:line="240" w:lineRule="auto" w:before="0" w:after="0"/>
        <w:ind w:left="554" w:right="0" w:hanging="432"/>
        <w:jc w:val="both"/>
      </w:pPr>
      <w:bookmarkStart w:name="_bookmark44" w:id="58"/>
      <w:bookmarkEnd w:id="58"/>
      <w:r>
        <w:rPr>
          <w:b w:val="0"/>
        </w:rPr>
      </w:r>
      <w:bookmarkStart w:name="_bookmark44" w:id="59"/>
      <w:bookmarkEnd w:id="59"/>
      <w:r>
        <w:rPr/>
        <w:t>Sig</w:t>
      </w:r>
      <w:r>
        <w:rPr/>
        <w:t>los XIX y</w:t>
      </w:r>
      <w:r>
        <w:rPr>
          <w:spacing w:val="-7"/>
        </w:rPr>
        <w:t> </w:t>
      </w:r>
      <w:r>
        <w:rPr/>
        <w:t>XX</w:t>
      </w:r>
    </w:p>
    <w:p>
      <w:pPr>
        <w:pStyle w:val="BodyText"/>
        <w:spacing w:before="3"/>
        <w:rPr>
          <w:b/>
          <w:sz w:val="30"/>
        </w:rPr>
      </w:pPr>
    </w:p>
    <w:p>
      <w:pPr>
        <w:pStyle w:val="Heading3"/>
        <w:numPr>
          <w:ilvl w:val="2"/>
          <w:numId w:val="41"/>
        </w:numPr>
        <w:tabs>
          <w:tab w:pos="724" w:val="left" w:leader="none"/>
        </w:tabs>
        <w:spacing w:line="240" w:lineRule="auto" w:before="0" w:after="0"/>
        <w:ind w:left="723" w:right="0" w:hanging="601"/>
        <w:jc w:val="both"/>
      </w:pPr>
      <w:bookmarkStart w:name="_bookmark45" w:id="60"/>
      <w:bookmarkEnd w:id="60"/>
      <w:r>
        <w:rPr>
          <w:b w:val="0"/>
        </w:rPr>
      </w:r>
      <w:bookmarkStart w:name="_bookmark45" w:id="61"/>
      <w:bookmarkEnd w:id="61"/>
      <w:r>
        <w:rPr/>
        <w:t>E</w:t>
      </w:r>
      <w:r>
        <w:rPr/>
        <w:t>stado y</w:t>
      </w:r>
      <w:r>
        <w:rPr>
          <w:spacing w:val="-10"/>
        </w:rPr>
        <w:t> </w:t>
      </w:r>
      <w:r>
        <w:rPr/>
        <w:t>política</w:t>
      </w:r>
    </w:p>
    <w:p>
      <w:pPr>
        <w:pStyle w:val="BodyText"/>
        <w:rPr>
          <w:b/>
        </w:rPr>
      </w:pPr>
    </w:p>
    <w:p>
      <w:pPr>
        <w:pStyle w:val="BodyText"/>
        <w:rPr>
          <w:b/>
        </w:rPr>
      </w:pPr>
    </w:p>
    <w:p>
      <w:pPr>
        <w:pStyle w:val="BodyText"/>
        <w:spacing w:line="360" w:lineRule="auto"/>
        <w:ind w:left="122" w:right="195"/>
        <w:jc w:val="both"/>
      </w:pPr>
      <w:r>
        <w:rPr/>
        <w:t>Las</w:t>
      </w:r>
      <w:r>
        <w:rPr>
          <w:spacing w:val="-4"/>
        </w:rPr>
        <w:t> </w:t>
      </w:r>
      <w:r>
        <w:rPr/>
        <w:t>guerras,</w:t>
      </w:r>
      <w:r>
        <w:rPr>
          <w:spacing w:val="-4"/>
        </w:rPr>
        <w:t> </w:t>
      </w:r>
      <w:r>
        <w:rPr/>
        <w:t>las</w:t>
      </w:r>
      <w:r>
        <w:rPr>
          <w:spacing w:val="-3"/>
        </w:rPr>
        <w:t> </w:t>
      </w:r>
      <w:r>
        <w:rPr/>
        <w:t>invasiones,</w:t>
      </w:r>
      <w:r>
        <w:rPr>
          <w:spacing w:val="-4"/>
        </w:rPr>
        <w:t> </w:t>
      </w:r>
      <w:r>
        <w:rPr/>
        <w:t>los</w:t>
      </w:r>
      <w:r>
        <w:rPr>
          <w:spacing w:val="-4"/>
        </w:rPr>
        <w:t> </w:t>
      </w:r>
      <w:r>
        <w:rPr/>
        <w:t>conflictos</w:t>
      </w:r>
      <w:r>
        <w:rPr>
          <w:spacing w:val="-4"/>
        </w:rPr>
        <w:t> </w:t>
      </w:r>
      <w:r>
        <w:rPr/>
        <w:t>internos</w:t>
      </w:r>
      <w:r>
        <w:rPr>
          <w:spacing w:val="-4"/>
        </w:rPr>
        <w:t> </w:t>
      </w:r>
      <w:r>
        <w:rPr/>
        <w:t>de</w:t>
      </w:r>
      <w:r>
        <w:rPr>
          <w:spacing w:val="-4"/>
        </w:rPr>
        <w:t> </w:t>
      </w:r>
      <w:r>
        <w:rPr/>
        <w:t>carácter</w:t>
      </w:r>
      <w:r>
        <w:rPr>
          <w:spacing w:val="-5"/>
        </w:rPr>
        <w:t> </w:t>
      </w:r>
      <w:r>
        <w:rPr/>
        <w:t>social</w:t>
      </w:r>
      <w:r>
        <w:rPr>
          <w:spacing w:val="-5"/>
        </w:rPr>
        <w:t> </w:t>
      </w:r>
      <w:r>
        <w:rPr/>
        <w:t>y</w:t>
      </w:r>
      <w:r>
        <w:rPr>
          <w:spacing w:val="-7"/>
        </w:rPr>
        <w:t> </w:t>
      </w:r>
      <w:r>
        <w:rPr/>
        <w:t>político</w:t>
      </w:r>
      <w:r>
        <w:rPr>
          <w:spacing w:val="-2"/>
        </w:rPr>
        <w:t> </w:t>
      </w:r>
      <w:r>
        <w:rPr/>
        <w:t>y</w:t>
      </w:r>
      <w:r>
        <w:rPr>
          <w:spacing w:val="-4"/>
        </w:rPr>
        <w:t> </w:t>
      </w:r>
      <w:r>
        <w:rPr/>
        <w:t>las luchas</w:t>
      </w:r>
      <w:r>
        <w:rPr>
          <w:spacing w:val="-5"/>
        </w:rPr>
        <w:t> </w:t>
      </w:r>
      <w:r>
        <w:rPr/>
        <w:t>por</w:t>
      </w:r>
      <w:r>
        <w:rPr>
          <w:spacing w:val="-6"/>
        </w:rPr>
        <w:t> </w:t>
      </w:r>
      <w:r>
        <w:rPr/>
        <w:t>el</w:t>
      </w:r>
      <w:r>
        <w:rPr>
          <w:spacing w:val="-6"/>
        </w:rPr>
        <w:t> </w:t>
      </w:r>
      <w:r>
        <w:rPr/>
        <w:t>poder</w:t>
      </w:r>
      <w:r>
        <w:rPr>
          <w:spacing w:val="-6"/>
        </w:rPr>
        <w:t> </w:t>
      </w:r>
      <w:r>
        <w:rPr/>
        <w:t>hicieron</w:t>
      </w:r>
      <w:r>
        <w:rPr>
          <w:spacing w:val="-5"/>
        </w:rPr>
        <w:t> </w:t>
      </w:r>
      <w:r>
        <w:rPr/>
        <w:t>de</w:t>
      </w:r>
      <w:r>
        <w:rPr>
          <w:spacing w:val="-5"/>
        </w:rPr>
        <w:t> </w:t>
      </w:r>
      <w:r>
        <w:rPr/>
        <w:t>México</w:t>
      </w:r>
      <w:r>
        <w:rPr>
          <w:spacing w:val="-5"/>
        </w:rPr>
        <w:t> </w:t>
      </w:r>
      <w:r>
        <w:rPr/>
        <w:t>un</w:t>
      </w:r>
      <w:r>
        <w:rPr>
          <w:spacing w:val="-5"/>
        </w:rPr>
        <w:t> </w:t>
      </w:r>
      <w:r>
        <w:rPr/>
        <w:t>país</w:t>
      </w:r>
      <w:r>
        <w:rPr>
          <w:spacing w:val="-5"/>
        </w:rPr>
        <w:t> </w:t>
      </w:r>
      <w:r>
        <w:rPr/>
        <w:t>con</w:t>
      </w:r>
      <w:r>
        <w:rPr>
          <w:spacing w:val="-5"/>
        </w:rPr>
        <w:t> </w:t>
      </w:r>
      <w:r>
        <w:rPr/>
        <w:t>grandes</w:t>
      </w:r>
      <w:r>
        <w:rPr>
          <w:spacing w:val="-5"/>
        </w:rPr>
        <w:t> </w:t>
      </w:r>
      <w:r>
        <w:rPr/>
        <w:t>carencias</w:t>
      </w:r>
      <w:r>
        <w:rPr>
          <w:spacing w:val="-5"/>
        </w:rPr>
        <w:t> </w:t>
      </w:r>
      <w:r>
        <w:rPr/>
        <w:t>económicas. Las numerosas transformaciones de México en el siglo XIX hasta el siglo XX explican en gran parte los estados actuales de la política y del Estado mexicano. A lo largo de ambos siglos, la injerencia del país del norte, la inseguridad de los dirigentes y su inexperiencia en la política, entre otros factores, reflejaron la inestabilidad política del país por los golpes de Estado, las intervenciones externas y la lucha por el</w:t>
      </w:r>
      <w:r>
        <w:rPr>
          <w:spacing w:val="-8"/>
        </w:rPr>
        <w:t> </w:t>
      </w:r>
      <w:r>
        <w:rPr/>
        <w:t>poder.</w:t>
      </w: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5944;mso-wrap-distance-left:0;mso-wrap-distance-right:0" from="85.103996pt,9.892847pt" to="229.123996pt,9.892847pt" stroked="true" strokeweight=".71997pt" strokecolor="#000000">
            <w10:wrap type="topAndBottom"/>
          </v:line>
        </w:pict>
      </w:r>
    </w:p>
    <w:p>
      <w:pPr>
        <w:spacing w:before="66"/>
        <w:ind w:left="122" w:right="135" w:firstLine="0"/>
        <w:jc w:val="left"/>
        <w:rPr>
          <w:sz w:val="16"/>
        </w:rPr>
      </w:pPr>
      <w:r>
        <w:rPr>
          <w:position w:val="6"/>
          <w:sz w:val="10"/>
        </w:rPr>
        <w:t>43 </w:t>
      </w:r>
      <w:r>
        <w:rPr>
          <w:sz w:val="16"/>
        </w:rPr>
        <w:t>La Secretaría de Estado y Despacho tuvo modificaciones tanto en sus funciones como en denominación y en 1814 se denominó como Secretaría de Hacienda.</w:t>
      </w:r>
    </w:p>
    <w:p>
      <w:pPr>
        <w:spacing w:after="0"/>
        <w:jc w:val="left"/>
        <w:rPr>
          <w:sz w:val="16"/>
        </w:rPr>
        <w:sectPr>
          <w:pgSz w:w="12240" w:h="15840"/>
          <w:pgMar w:header="0" w:footer="1003" w:top="1340" w:bottom="1200" w:left="1580" w:right="1500"/>
        </w:sectPr>
      </w:pPr>
    </w:p>
    <w:p>
      <w:pPr>
        <w:pStyle w:val="BodyText"/>
        <w:spacing w:line="360" w:lineRule="auto" w:before="54"/>
        <w:ind w:left="142" w:right="242" w:firstLine="427"/>
        <w:jc w:val="both"/>
      </w:pPr>
      <w:r>
        <w:rPr/>
        <w:t>La</w:t>
      </w:r>
      <w:r>
        <w:rPr>
          <w:spacing w:val="-12"/>
        </w:rPr>
        <w:t> </w:t>
      </w:r>
      <w:r>
        <w:rPr/>
        <w:t>conformación</w:t>
      </w:r>
      <w:r>
        <w:rPr>
          <w:spacing w:val="-14"/>
        </w:rPr>
        <w:t> </w:t>
      </w:r>
      <w:r>
        <w:rPr/>
        <w:t>del</w:t>
      </w:r>
      <w:r>
        <w:rPr>
          <w:spacing w:val="-15"/>
        </w:rPr>
        <w:t> </w:t>
      </w:r>
      <w:r>
        <w:rPr/>
        <w:t>Estado</w:t>
      </w:r>
      <w:r>
        <w:rPr>
          <w:spacing w:val="-14"/>
        </w:rPr>
        <w:t> </w:t>
      </w:r>
      <w:r>
        <w:rPr/>
        <w:t>durante</w:t>
      </w:r>
      <w:r>
        <w:rPr>
          <w:spacing w:val="-12"/>
        </w:rPr>
        <w:t> </w:t>
      </w:r>
      <w:r>
        <w:rPr/>
        <w:t>los</w:t>
      </w:r>
      <w:r>
        <w:rPr>
          <w:spacing w:val="-14"/>
        </w:rPr>
        <w:t> </w:t>
      </w:r>
      <w:r>
        <w:rPr/>
        <w:t>dos</w:t>
      </w:r>
      <w:r>
        <w:rPr>
          <w:spacing w:val="-13"/>
        </w:rPr>
        <w:t> </w:t>
      </w:r>
      <w:r>
        <w:rPr/>
        <w:t>siglos</w:t>
      </w:r>
      <w:r>
        <w:rPr>
          <w:spacing w:val="-12"/>
        </w:rPr>
        <w:t> </w:t>
      </w:r>
      <w:r>
        <w:rPr/>
        <w:t>estuvo</w:t>
      </w:r>
      <w:r>
        <w:rPr>
          <w:spacing w:val="-12"/>
        </w:rPr>
        <w:t> </w:t>
      </w:r>
      <w:r>
        <w:rPr/>
        <w:t>caracterizada</w:t>
      </w:r>
      <w:r>
        <w:rPr>
          <w:spacing w:val="-14"/>
        </w:rPr>
        <w:t> </w:t>
      </w:r>
      <w:r>
        <w:rPr/>
        <w:t>por</w:t>
      </w:r>
      <w:r>
        <w:rPr>
          <w:spacing w:val="-16"/>
        </w:rPr>
        <w:t> </w:t>
      </w:r>
      <w:r>
        <w:rPr/>
        <w:t>tres tipos</w:t>
      </w:r>
      <w:r>
        <w:rPr>
          <w:spacing w:val="-9"/>
        </w:rPr>
        <w:t> </w:t>
      </w:r>
      <w:r>
        <w:rPr/>
        <w:t>de</w:t>
      </w:r>
      <w:r>
        <w:rPr>
          <w:spacing w:val="-8"/>
        </w:rPr>
        <w:t> </w:t>
      </w:r>
      <w:r>
        <w:rPr/>
        <w:t>poder</w:t>
      </w:r>
      <w:r>
        <w:rPr>
          <w:spacing w:val="-10"/>
        </w:rPr>
        <w:t> </w:t>
      </w:r>
      <w:r>
        <w:rPr/>
        <w:t>político</w:t>
      </w:r>
      <w:r>
        <w:rPr>
          <w:spacing w:val="-8"/>
        </w:rPr>
        <w:t> </w:t>
      </w:r>
      <w:r>
        <w:rPr/>
        <w:t>(los</w:t>
      </w:r>
      <w:r>
        <w:rPr>
          <w:spacing w:val="-9"/>
        </w:rPr>
        <w:t> </w:t>
      </w:r>
      <w:r>
        <w:rPr/>
        <w:t>caudillos,</w:t>
      </w:r>
      <w:r>
        <w:rPr>
          <w:spacing w:val="-8"/>
        </w:rPr>
        <w:t> </w:t>
      </w:r>
      <w:r>
        <w:rPr/>
        <w:t>la</w:t>
      </w:r>
      <w:r>
        <w:rPr>
          <w:spacing w:val="-9"/>
        </w:rPr>
        <w:t> </w:t>
      </w:r>
      <w:r>
        <w:rPr/>
        <w:t>institucionalista</w:t>
      </w:r>
      <w:r>
        <w:rPr>
          <w:spacing w:val="-8"/>
        </w:rPr>
        <w:t> </w:t>
      </w:r>
      <w:r>
        <w:rPr/>
        <w:t>que</w:t>
      </w:r>
      <w:r>
        <w:rPr>
          <w:spacing w:val="-11"/>
        </w:rPr>
        <w:t> </w:t>
      </w:r>
      <w:r>
        <w:rPr/>
        <w:t>fue</w:t>
      </w:r>
      <w:r>
        <w:rPr>
          <w:spacing w:val="-8"/>
        </w:rPr>
        <w:t> </w:t>
      </w:r>
      <w:r>
        <w:rPr/>
        <w:t>representada</w:t>
      </w:r>
      <w:r>
        <w:rPr>
          <w:spacing w:val="-11"/>
        </w:rPr>
        <w:t> </w:t>
      </w:r>
      <w:r>
        <w:rPr/>
        <w:t>por</w:t>
      </w:r>
      <w:r>
        <w:rPr>
          <w:spacing w:val="-10"/>
        </w:rPr>
        <w:t> </w:t>
      </w:r>
      <w:r>
        <w:rPr/>
        <w:t>un partido</w:t>
      </w:r>
      <w:r>
        <w:rPr>
          <w:spacing w:val="-11"/>
        </w:rPr>
        <w:t> </w:t>
      </w:r>
      <w:r>
        <w:rPr/>
        <w:t>político</w:t>
      </w:r>
      <w:r>
        <w:rPr>
          <w:spacing w:val="-8"/>
        </w:rPr>
        <w:t> </w:t>
      </w:r>
      <w:r>
        <w:rPr/>
        <w:t>y</w:t>
      </w:r>
      <w:r>
        <w:rPr>
          <w:spacing w:val="-12"/>
        </w:rPr>
        <w:t> </w:t>
      </w:r>
      <w:r>
        <w:rPr/>
        <w:t>por</w:t>
      </w:r>
      <w:r>
        <w:rPr>
          <w:spacing w:val="-12"/>
        </w:rPr>
        <w:t> </w:t>
      </w:r>
      <w:r>
        <w:rPr/>
        <w:t>el</w:t>
      </w:r>
      <w:r>
        <w:rPr>
          <w:spacing w:val="-12"/>
        </w:rPr>
        <w:t> </w:t>
      </w:r>
      <w:r>
        <w:rPr/>
        <w:t>presidencialismo)</w:t>
      </w:r>
      <w:r>
        <w:rPr>
          <w:spacing w:val="-10"/>
        </w:rPr>
        <w:t> </w:t>
      </w:r>
      <w:r>
        <w:rPr/>
        <w:t>y</w:t>
      </w:r>
      <w:r>
        <w:rPr>
          <w:spacing w:val="-12"/>
        </w:rPr>
        <w:t> </w:t>
      </w:r>
      <w:r>
        <w:rPr/>
        <w:t>por</w:t>
      </w:r>
      <w:r>
        <w:rPr>
          <w:spacing w:val="-12"/>
        </w:rPr>
        <w:t> </w:t>
      </w:r>
      <w:r>
        <w:rPr/>
        <w:t>tres</w:t>
      </w:r>
      <w:r>
        <w:rPr>
          <w:spacing w:val="-9"/>
        </w:rPr>
        <w:t> </w:t>
      </w:r>
      <w:r>
        <w:rPr/>
        <w:t>ciclos</w:t>
      </w:r>
      <w:r>
        <w:rPr>
          <w:spacing w:val="-12"/>
        </w:rPr>
        <w:t> </w:t>
      </w:r>
      <w:r>
        <w:rPr/>
        <w:t>de</w:t>
      </w:r>
      <w:r>
        <w:rPr>
          <w:spacing w:val="-11"/>
        </w:rPr>
        <w:t> </w:t>
      </w:r>
      <w:r>
        <w:rPr/>
        <w:t>poder</w:t>
      </w:r>
      <w:r>
        <w:rPr>
          <w:spacing w:val="-10"/>
        </w:rPr>
        <w:t> </w:t>
      </w:r>
      <w:r>
        <w:rPr/>
        <w:t>(relacionada</w:t>
      </w:r>
      <w:r>
        <w:rPr>
          <w:spacing w:val="-11"/>
        </w:rPr>
        <w:t> </w:t>
      </w:r>
      <w:r>
        <w:rPr/>
        <w:t>con las épocas de los generales, la denominada era de los políticos o licenciados y los tecnócratas).</w:t>
      </w:r>
    </w:p>
    <w:p>
      <w:pPr>
        <w:pStyle w:val="BodyText"/>
      </w:pPr>
    </w:p>
    <w:p>
      <w:pPr>
        <w:spacing w:line="448" w:lineRule="auto" w:before="143"/>
        <w:ind w:left="3792" w:right="2095" w:hanging="1779"/>
        <w:jc w:val="left"/>
        <w:rPr>
          <w:sz w:val="20"/>
        </w:rPr>
      </w:pPr>
      <w:bookmarkStart w:name="_bookmark46" w:id="62"/>
      <w:bookmarkEnd w:id="62"/>
      <w:r>
        <w:rPr/>
      </w:r>
      <w:r>
        <w:rPr>
          <w:sz w:val="20"/>
        </w:rPr>
        <w:t>Esquema 2. 2. Poder político y ciclos de poder en México (Siglos XIX y XX)</w:t>
      </w:r>
    </w:p>
    <w:p>
      <w:pPr>
        <w:pStyle w:val="BodyText"/>
        <w:spacing w:before="1"/>
        <w:rPr>
          <w:sz w:val="27"/>
        </w:rPr>
      </w:pPr>
      <w:r>
        <w:rPr/>
        <w:pict>
          <v:group style="position:absolute;margin-left:83.160004pt;margin-top:17.541344pt;width:450.25pt;height:193.95pt;mso-position-horizontal-relative:page;mso-position-vertical-relative:paragraph;z-index:6400;mso-wrap-distance-left:0;mso-wrap-distance-right:0" coordorigin="1663,351" coordsize="9005,3879">
            <v:shape style="position:absolute;left:1663;top:351;width:9005;height:3878" type="#_x0000_t75" stroked="false">
              <v:imagedata r:id="rId119" o:title=""/>
            </v:shape>
            <v:rect style="position:absolute;left:1790;top:380;width:8837;height:3727" filled="true" fillcolor="#edebe0" stroked="false">
              <v:fill type="solid"/>
            </v:rect>
            <v:shape style="position:absolute;left:1824;top:2429;width:8419;height:438" coordorigin="1824,2429" coordsize="8419,438" path="m10023,2429l10023,2538,1824,2538,1824,2757,10023,2757,10023,2866,10242,2647,10023,2429xe" filled="true" fillcolor="#4f81bc" stroked="false">
              <v:path arrowok="t"/>
              <v:fill type="solid"/>
            </v:shape>
            <v:shape style="position:absolute;left:1809;top:2394;width:8453;height:507" coordorigin="1809,2394" coordsize="8453,507" path="m10008,2757l10008,2900,10043,2866,10037,2866,10013,2856,10037,2832,10037,2771,10023,2771,10008,2757xm10037,2832l10013,2856,10037,2866,10037,2832xm10221,2647l10037,2832,10037,2866,10043,2866,10252,2657,10232,2657,10221,2647xm10008,2524l1809,2524,1809,2771,10008,2771,10008,2757,1838,2757,1824,2742,1838,2742,1838,2552,1824,2552,1838,2538,10008,2538,10008,2524xm10037,2742l1838,2742,1838,2757,10008,2757,10023,2771,10037,2771,10037,2742xm1838,2742l1824,2742,1838,2757,1838,2742xm10232,2637l10221,2647,10232,2657,10232,2637xm10252,2637l10232,2637,10232,2657,10252,2657,10262,2647,10252,2637xm10043,2429l10037,2429,10037,2463,10221,2647,10232,2637,10252,2637,10043,2429xm1838,2538l1824,2552,1838,2552,1838,2538xm10037,2524l10023,2524,10008,2538,1838,2538,1838,2552,10037,2552,10037,2524xm10008,2394l10008,2538,10023,2524,10037,2524,10037,2463,10013,2439,10037,2429,10043,2429,10008,2394xm10037,2429l10013,2439,10037,2463,10037,2429xe" filled="true" fillcolor="#385d89" stroked="false">
              <v:path arrowok="t"/>
              <v:fill type="solid"/>
            </v:shape>
            <v:rect style="position:absolute;left:1890;top:423;width:2019;height:922" filled="true" fillcolor="#ffffff" stroked="false">
              <v:fill type="solid"/>
            </v:rect>
            <v:rect style="position:absolute;left:1890;top:423;width:2019;height:922" filled="false" stroked="true" strokeweight="1.426545pt" strokecolor="#000000"/>
            <v:shape style="position:absolute;left:3904;top:3070;width:1800;height:362" coordorigin="3904,3070" coordsize="1800,362" path="m5704,3070l5702,3141,5695,3198,5686,3237,5674,3251,4834,3251,4823,3265,4813,3304,4807,3361,4804,3432,4802,3361,4795,3304,4786,3265,4774,3251,3935,3251,3923,3237,3913,3198,3907,3141,3904,3070e" filled="false" stroked="true" strokeweight="1.901662pt" strokecolor="#000000">
              <v:path arrowok="t"/>
            </v:shape>
            <v:shape style="position:absolute;left:7580;top:3070;width:1800;height:362" coordorigin="7580,3070" coordsize="1800,362" path="m9380,3070l9378,3141,9371,3198,9362,3237,9350,3251,8510,3251,8498,3265,8489,3304,8482,3361,8480,3432,8478,3361,8471,3304,8462,3265,8450,3251,7610,3251,7599,3237,7589,3198,7583,3141,7580,3070e" filled="false" stroked="true" strokeweight="1.901662pt" strokecolor="#000000">
              <v:path arrowok="t"/>
            </v:shape>
            <v:shape style="position:absolute;left:5780;top:3070;width:1800;height:362" coordorigin="5780,3070" coordsize="1800,362" path="m7580,3070l7578,3141,7571,3198,7562,3237,7550,3251,6710,3251,6699,3265,6689,3304,6683,3361,6680,3432,6678,3361,6671,3304,6662,3265,6650,3251,5810,3251,5799,3237,5789,3198,5783,3141,5780,3070e" filled="false" stroked="true" strokeweight="1.901662pt" strokecolor="#000000">
              <v:path arrowok="t"/>
            </v:shape>
            <v:shape style="position:absolute;left:3038;top:1929;width:2448;height:352" coordorigin="3038,1929" coordsize="2448,352" path="m3038,2281l3040,2213,3046,2157,3056,2119,3067,2105,4232,2105,4244,2092,4253,2054,4259,1998,4262,1929,4264,1998,4270,2054,4279,2092,4291,2105,5456,2105,5467,2119,5477,2157,5483,2213,5485,2281e" filled="false" stroked="true" strokeweight="1.901607pt" strokecolor="#000000">
              <v:path arrowok="t"/>
            </v:shape>
            <v:shape style="position:absolute;left:5133;top:1131;width:4171;height:295" coordorigin="5133,1131" coordsize="4171,295" path="m5133,1426l5135,1368,5140,1321,5148,1290,5157,1278,7194,1278,7203,1267,7211,1235,7216,1188,7218,1131,7220,1188,7226,1235,7233,1267,7243,1278,9279,1278,9289,1290,9297,1321,9302,1368,9304,1426e" filled="false" stroked="true" strokeweight="1.901561pt" strokecolor="#000000">
              <v:path arrowok="t"/>
            </v:shape>
            <v:shape style="position:absolute;left:5485;top:1929;width:5114;height:352" coordorigin="5485,1929" coordsize="5114,352" path="m5485,2281l5487,2213,5494,2157,5503,2119,5515,2105,8013,2105,8024,2092,8033,2054,8040,1998,8042,1929,8044,1998,8051,2054,8060,2092,8071,2105,10569,2105,10581,2119,10590,2157,10597,2213,10599,2281e" filled="false" stroked="true" strokeweight="1.90156pt" strokecolor="#000000">
              <v:path arrowok="t"/>
            </v:shape>
            <v:shape style="position:absolute;left:1819;top:1929;width:1219;height:352" coordorigin="1819,1929" coordsize="1219,352" path="m1819,2281l1821,2213,1828,2157,1837,2119,1848,2105,2399,2105,2410,2092,2420,2054,2426,1998,2428,1929,2431,1998,2437,2054,2446,2092,2458,2105,3009,2105,3020,2119,3029,2157,3036,2213,3038,2281e" filled="false" stroked="true" strokeweight="1.901775pt" strokecolor="#938953">
              <v:path arrowok="t"/>
            </v:shape>
            <v:shape style="position:absolute;left:9380;top:3070;width:1000;height:295" coordorigin="9380,3070" coordsize="1000,295" path="m10380,3070l10378,3128,10373,3175,10365,3206,10355,3218,9904,3218,9895,3229,9887,3261,9882,3308,9880,3365,9878,3308,9873,3261,9865,3229,9855,3218,9405,3218,9395,3206,9387,3175,9382,3128,9380,3070e" filled="false" stroked="true" strokeweight="1.901784pt" strokecolor="#938953">
              <v:path arrowok="t"/>
            </v:shape>
            <v:shape style="position:absolute;left:1890;top:380;width:2019;height:966" type="#_x0000_t202" filled="false" stroked="false">
              <v:textbox inset="0,0,0,0">
                <w:txbxContent>
                  <w:p>
                    <w:pPr>
                      <w:spacing w:line="252" w:lineRule="auto" w:before="85"/>
                      <w:ind w:left="160" w:right="179" w:firstLine="0"/>
                      <w:jc w:val="center"/>
                      <w:rPr>
                        <w:b/>
                        <w:sz w:val="23"/>
                      </w:rPr>
                    </w:pPr>
                    <w:r>
                      <w:rPr>
                        <w:b/>
                        <w:w w:val="95"/>
                        <w:sz w:val="23"/>
                      </w:rPr>
                      <w:t>Representación </w:t>
                    </w:r>
                    <w:r>
                      <w:rPr>
                        <w:b/>
                        <w:sz w:val="23"/>
                      </w:rPr>
                      <w:t>del poder político</w:t>
                    </w:r>
                  </w:p>
                </w:txbxContent>
              </v:textbox>
              <w10:wrap type="none"/>
            </v:shape>
            <v:shape style="position:absolute;left:5900;top:846;width:2346;height:182" type="#_x0000_t202" filled="false" stroked="false">
              <v:textbox inset="0,0,0,0">
                <w:txbxContent>
                  <w:p>
                    <w:pPr>
                      <w:spacing w:line="181" w:lineRule="exact" w:before="0"/>
                      <w:ind w:left="0" w:right="-17" w:firstLine="0"/>
                      <w:jc w:val="left"/>
                      <w:rPr>
                        <w:b/>
                        <w:sz w:val="18"/>
                      </w:rPr>
                    </w:pPr>
                    <w:r>
                      <w:rPr>
                        <w:b/>
                        <w:spacing w:val="-1"/>
                        <w:sz w:val="18"/>
                      </w:rPr>
                      <w:t>Institucionalismo </w:t>
                    </w:r>
                    <w:r>
                      <w:rPr>
                        <w:b/>
                        <w:sz w:val="18"/>
                      </w:rPr>
                      <w:t>partidario</w:t>
                    </w:r>
                  </w:p>
                </w:txbxContent>
              </v:textbox>
              <w10:wrap type="none"/>
            </v:shape>
            <v:shape style="position:absolute;left:2214;top:1711;width:511;height:181" type="#_x0000_t202" filled="false" stroked="false">
              <v:textbox inset="0,0,0,0">
                <w:txbxContent>
                  <w:p>
                    <w:pPr>
                      <w:spacing w:line="181" w:lineRule="exact" w:before="0"/>
                      <w:ind w:left="0" w:right="-20" w:firstLine="0"/>
                      <w:jc w:val="left"/>
                      <w:rPr>
                        <w:b/>
                        <w:sz w:val="18"/>
                      </w:rPr>
                    </w:pPr>
                    <w:r>
                      <w:rPr>
                        <w:b/>
                        <w:color w:val="938953"/>
                        <w:sz w:val="18"/>
                      </w:rPr>
                      <w:t>Virrey</w:t>
                    </w:r>
                  </w:p>
                </w:txbxContent>
              </v:textbox>
              <w10:wrap type="none"/>
            </v:shape>
            <v:shape style="position:absolute;left:3821;top:1711;width:1034;height:181" type="#_x0000_t202" filled="false" stroked="false">
              <v:textbox inset="0,0,0,0">
                <w:txbxContent>
                  <w:p>
                    <w:pPr>
                      <w:spacing w:line="181" w:lineRule="exact" w:before="0"/>
                      <w:ind w:left="0" w:right="-7" w:firstLine="0"/>
                      <w:jc w:val="left"/>
                      <w:rPr>
                        <w:b/>
                        <w:sz w:val="18"/>
                      </w:rPr>
                    </w:pPr>
                    <w:r>
                      <w:rPr>
                        <w:b/>
                        <w:sz w:val="18"/>
                      </w:rPr>
                      <w:t>Caudillismo</w:t>
                    </w:r>
                  </w:p>
                </w:txbxContent>
              </v:textbox>
              <w10:wrap type="none"/>
            </v:shape>
            <v:shape style="position:absolute;left:6977;top:1423;width:1712;height:470" type="#_x0000_t202" filled="false" stroked="false">
              <v:textbox inset="0,0,0,0">
                <w:txbxContent>
                  <w:p>
                    <w:pPr>
                      <w:spacing w:line="185" w:lineRule="exact" w:before="0"/>
                      <w:ind w:left="0" w:right="-3" w:firstLine="0"/>
                      <w:jc w:val="left"/>
                      <w:rPr>
                        <w:b/>
                        <w:sz w:val="18"/>
                      </w:rPr>
                    </w:pPr>
                    <w:r>
                      <w:rPr>
                        <w:b/>
                        <w:sz w:val="18"/>
                      </w:rPr>
                      <w:t>1929- 2000</w:t>
                    </w:r>
                  </w:p>
                  <w:p>
                    <w:pPr>
                      <w:spacing w:line="203" w:lineRule="exact" w:before="81"/>
                      <w:ind w:left="216" w:right="-5" w:firstLine="0"/>
                      <w:jc w:val="left"/>
                      <w:rPr>
                        <w:b/>
                        <w:sz w:val="18"/>
                      </w:rPr>
                    </w:pPr>
                    <w:r>
                      <w:rPr>
                        <w:b/>
                        <w:sz w:val="18"/>
                      </w:rPr>
                      <w:t>Presidencialismo</w:t>
                    </w:r>
                  </w:p>
                </w:txbxContent>
              </v:textbox>
              <w10:wrap type="none"/>
            </v:shape>
            <v:shape style="position:absolute;left:1957;top:2216;width:874;height:181" type="#_x0000_t202" filled="false" stroked="false">
              <v:textbox inset="0,0,0,0">
                <w:txbxContent>
                  <w:p>
                    <w:pPr>
                      <w:spacing w:line="181" w:lineRule="exact" w:before="0"/>
                      <w:ind w:left="0" w:right="-7" w:firstLine="0"/>
                      <w:jc w:val="left"/>
                      <w:rPr>
                        <w:b/>
                        <w:sz w:val="18"/>
                      </w:rPr>
                    </w:pPr>
                    <w:r>
                      <w:rPr>
                        <w:b/>
                        <w:color w:val="938953"/>
                        <w:sz w:val="18"/>
                      </w:rPr>
                      <w:t>1510-1810</w:t>
                    </w:r>
                  </w:p>
                </w:txbxContent>
              </v:textbox>
              <w10:wrap type="none"/>
            </v:shape>
            <v:shape style="position:absolute;left:3878;top:2216;width:925;height:181" type="#_x0000_t202" filled="false" stroked="false">
              <v:textbox inset="0,0,0,0">
                <w:txbxContent>
                  <w:p>
                    <w:pPr>
                      <w:spacing w:line="181" w:lineRule="exact" w:before="0"/>
                      <w:ind w:left="0" w:right="-6" w:firstLine="0"/>
                      <w:jc w:val="left"/>
                      <w:rPr>
                        <w:b/>
                        <w:sz w:val="18"/>
                      </w:rPr>
                    </w:pPr>
                    <w:r>
                      <w:rPr>
                        <w:b/>
                        <w:sz w:val="18"/>
                      </w:rPr>
                      <w:t>1810- 1934</w:t>
                    </w:r>
                  </w:p>
                </w:txbxContent>
              </v:textbox>
              <w10:wrap type="none"/>
            </v:shape>
            <v:shape style="position:absolute;left:7058;top:2216;width:1407;height:181" type="#_x0000_t202" filled="false" stroked="false">
              <v:textbox inset="0,0,0,0">
                <w:txbxContent>
                  <w:p>
                    <w:pPr>
                      <w:spacing w:line="181" w:lineRule="exact" w:before="0"/>
                      <w:ind w:left="0" w:right="-14" w:firstLine="0"/>
                      <w:jc w:val="left"/>
                      <w:rPr>
                        <w:b/>
                        <w:sz w:val="18"/>
                      </w:rPr>
                    </w:pPr>
                    <w:r>
                      <w:rPr>
                        <w:b/>
                        <w:sz w:val="18"/>
                      </w:rPr>
                      <w:t>1934- actualidad</w:t>
                    </w:r>
                  </w:p>
                </w:txbxContent>
              </v:textbox>
              <w10:wrap type="none"/>
            </v:shape>
            <v:shape style="position:absolute;left:5152;top:2556;width:1405;height:181" type="#_x0000_t202" filled="false" stroked="false">
              <v:textbox inset="0,0,0,0">
                <w:txbxContent>
                  <w:p>
                    <w:pPr>
                      <w:spacing w:line="181" w:lineRule="exact" w:before="0"/>
                      <w:ind w:left="0" w:right="-12" w:firstLine="0"/>
                      <w:jc w:val="left"/>
                      <w:rPr>
                        <w:b/>
                        <w:sz w:val="18"/>
                      </w:rPr>
                    </w:pPr>
                    <w:r>
                      <w:rPr>
                        <w:b/>
                        <w:color w:val="FFFFFF"/>
                        <w:sz w:val="18"/>
                      </w:rPr>
                      <w:t>Línea del</w:t>
                    </w:r>
                    <w:r>
                      <w:rPr>
                        <w:b/>
                        <w:color w:val="FFFFFF"/>
                        <w:spacing w:val="-24"/>
                        <w:sz w:val="18"/>
                      </w:rPr>
                      <w:t> </w:t>
                    </w:r>
                    <w:r>
                      <w:rPr>
                        <w:b/>
                        <w:color w:val="FFFFFF"/>
                        <w:sz w:val="18"/>
                      </w:rPr>
                      <w:t>tiempo</w:t>
                    </w:r>
                  </w:p>
                </w:txbxContent>
              </v:textbox>
              <w10:wrap type="none"/>
            </v:shape>
            <v:shape style="position:absolute;left:4311;top:2936;width:926;height:182" type="#_x0000_t202" filled="false" stroked="false">
              <v:textbox inset="0,0,0,0">
                <w:txbxContent>
                  <w:p>
                    <w:pPr>
                      <w:spacing w:line="181" w:lineRule="exact" w:before="0"/>
                      <w:ind w:left="0" w:right="-5" w:firstLine="0"/>
                      <w:jc w:val="left"/>
                      <w:rPr>
                        <w:b/>
                        <w:sz w:val="18"/>
                      </w:rPr>
                    </w:pPr>
                    <w:r>
                      <w:rPr>
                        <w:b/>
                        <w:sz w:val="18"/>
                      </w:rPr>
                      <w:t>1913- 1946</w:t>
                    </w:r>
                  </w:p>
                </w:txbxContent>
              </v:textbox>
              <w10:wrap type="none"/>
            </v:shape>
            <v:shape style="position:absolute;left:6059;top:2936;width:874;height:182" type="#_x0000_t202" filled="false" stroked="false">
              <v:textbox inset="0,0,0,0">
                <w:txbxContent>
                  <w:p>
                    <w:pPr>
                      <w:spacing w:line="181" w:lineRule="exact" w:before="0"/>
                      <w:ind w:left="0" w:right="-7" w:firstLine="0"/>
                      <w:jc w:val="left"/>
                      <w:rPr>
                        <w:b/>
                        <w:sz w:val="18"/>
                      </w:rPr>
                    </w:pPr>
                    <w:r>
                      <w:rPr>
                        <w:b/>
                        <w:sz w:val="18"/>
                      </w:rPr>
                      <w:t>1946-1982</w:t>
                    </w:r>
                  </w:p>
                </w:txbxContent>
              </v:textbox>
              <w10:wrap type="none"/>
            </v:shape>
            <v:shape style="position:absolute;left:8005;top:2936;width:874;height:182" type="#_x0000_t202" filled="false" stroked="false">
              <v:textbox inset="0,0,0,0">
                <w:txbxContent>
                  <w:p>
                    <w:pPr>
                      <w:spacing w:line="181" w:lineRule="exact" w:before="0"/>
                      <w:ind w:left="0" w:right="-7" w:firstLine="0"/>
                      <w:jc w:val="left"/>
                      <w:rPr>
                        <w:b/>
                        <w:sz w:val="18"/>
                      </w:rPr>
                    </w:pPr>
                    <w:r>
                      <w:rPr>
                        <w:b/>
                        <w:sz w:val="18"/>
                      </w:rPr>
                      <w:t>1982-2000</w:t>
                    </w:r>
                  </w:p>
                </w:txbxContent>
              </v:textbox>
              <w10:wrap type="none"/>
            </v:shape>
            <v:shape style="position:absolute;left:9423;top:2936;width:926;height:182" type="#_x0000_t202" filled="false" stroked="false">
              <v:textbox inset="0,0,0,0">
                <w:txbxContent>
                  <w:p>
                    <w:pPr>
                      <w:spacing w:line="181" w:lineRule="exact" w:before="0"/>
                      <w:ind w:left="0" w:right="-5" w:firstLine="0"/>
                      <w:jc w:val="left"/>
                      <w:rPr>
                        <w:b/>
                        <w:sz w:val="18"/>
                      </w:rPr>
                    </w:pPr>
                    <w:r>
                      <w:rPr>
                        <w:b/>
                        <w:color w:val="938953"/>
                        <w:sz w:val="18"/>
                      </w:rPr>
                      <w:t>2000- 2008</w:t>
                    </w:r>
                  </w:p>
                </w:txbxContent>
              </v:textbox>
              <w10:wrap type="none"/>
            </v:shape>
            <v:shape style="position:absolute;left:4402;top:3657;width:893;height:181" type="#_x0000_t202" filled="false" stroked="false">
              <v:textbox inset="0,0,0,0">
                <w:txbxContent>
                  <w:p>
                    <w:pPr>
                      <w:spacing w:line="181" w:lineRule="exact" w:before="0"/>
                      <w:ind w:left="0" w:right="0" w:firstLine="0"/>
                      <w:jc w:val="left"/>
                      <w:rPr>
                        <w:b/>
                        <w:sz w:val="18"/>
                      </w:rPr>
                    </w:pPr>
                    <w:r>
                      <w:rPr>
                        <w:b/>
                        <w:sz w:val="18"/>
                      </w:rPr>
                      <w:t>Generales</w:t>
                    </w:r>
                  </w:p>
                </w:txbxContent>
              </v:textbox>
              <w10:wrap type="none"/>
            </v:shape>
            <v:shape style="position:absolute;left:6190;top:3657;width:1055;height:401" type="#_x0000_t202" filled="false" stroked="false">
              <v:textbox inset="0,0,0,0">
                <w:txbxContent>
                  <w:p>
                    <w:pPr>
                      <w:spacing w:line="185" w:lineRule="exact" w:before="0"/>
                      <w:ind w:left="76" w:right="-5" w:hanging="77"/>
                      <w:jc w:val="left"/>
                      <w:rPr>
                        <w:b/>
                        <w:sz w:val="18"/>
                      </w:rPr>
                    </w:pPr>
                    <w:r>
                      <w:rPr>
                        <w:b/>
                        <w:sz w:val="18"/>
                      </w:rPr>
                      <w:t>Licenciados</w:t>
                    </w:r>
                  </w:p>
                  <w:p>
                    <w:pPr>
                      <w:spacing w:line="203" w:lineRule="exact" w:before="12"/>
                      <w:ind w:left="76" w:right="-5" w:firstLine="0"/>
                      <w:jc w:val="left"/>
                      <w:rPr>
                        <w:b/>
                        <w:sz w:val="18"/>
                      </w:rPr>
                    </w:pPr>
                    <w:r>
                      <w:rPr>
                        <w:b/>
                        <w:sz w:val="18"/>
                      </w:rPr>
                      <w:t>o políticos</w:t>
                    </w:r>
                  </w:p>
                </w:txbxContent>
              </v:textbox>
              <w10:wrap type="none"/>
            </v:shape>
            <v:shape style="position:absolute;left:7919;top:3657;width:1066;height:181" type="#_x0000_t202" filled="false" stroked="false">
              <v:textbox inset="0,0,0,0">
                <w:txbxContent>
                  <w:p>
                    <w:pPr>
                      <w:spacing w:line="181" w:lineRule="exact" w:before="0"/>
                      <w:ind w:left="0" w:right="-15" w:firstLine="0"/>
                      <w:jc w:val="left"/>
                      <w:rPr>
                        <w:b/>
                        <w:sz w:val="18"/>
                      </w:rPr>
                    </w:pPr>
                    <w:r>
                      <w:rPr>
                        <w:b/>
                        <w:sz w:val="18"/>
                      </w:rPr>
                      <w:t>Tecnócratas</w:t>
                    </w:r>
                  </w:p>
                </w:txbxContent>
              </v:textbox>
              <w10:wrap type="none"/>
            </v:shape>
            <v:shape style="position:absolute;left:9404;top:3585;width:1110;height:181" type="#_x0000_t202" filled="false" stroked="false">
              <v:textbox inset="0,0,0,0">
                <w:txbxContent>
                  <w:p>
                    <w:pPr>
                      <w:spacing w:line="181" w:lineRule="exact" w:before="0"/>
                      <w:ind w:left="0" w:right="-1" w:firstLine="0"/>
                      <w:jc w:val="left"/>
                      <w:rPr>
                        <w:b/>
                        <w:sz w:val="18"/>
                      </w:rPr>
                    </w:pPr>
                    <w:r>
                      <w:rPr>
                        <w:b/>
                        <w:color w:val="938953"/>
                        <w:sz w:val="18"/>
                      </w:rPr>
                      <w:t>Empresarios</w:t>
                    </w:r>
                  </w:p>
                </w:txbxContent>
              </v:textbox>
              <w10:wrap type="none"/>
            </v:shape>
            <v:shape style="position:absolute;left:2252;top:3151;width:1438;height:647" type="#_x0000_t202" filled="true" fillcolor="#ffffff" stroked="true" strokeweight="1.426536pt" strokecolor="#000000">
              <v:textbox inset="0,0,0,0">
                <w:txbxContent>
                  <w:p>
                    <w:pPr>
                      <w:spacing w:line="252" w:lineRule="auto" w:before="37"/>
                      <w:ind w:left="380" w:right="171" w:hanging="220"/>
                      <w:jc w:val="left"/>
                      <w:rPr>
                        <w:b/>
                        <w:sz w:val="23"/>
                      </w:rPr>
                    </w:pPr>
                    <w:r>
                      <w:rPr>
                        <w:b/>
                        <w:sz w:val="23"/>
                      </w:rPr>
                      <w:t>Ciclos del poder</w:t>
                    </w:r>
                  </w:p>
                </w:txbxContent>
              </v:textbox>
              <v:fill type="solid"/>
              <w10:wrap type="none"/>
            </v:shape>
            <w10:wrap type="topAndBottom"/>
          </v:group>
        </w:pict>
      </w:r>
    </w:p>
    <w:p>
      <w:pPr>
        <w:spacing w:before="128"/>
        <w:ind w:left="142" w:right="2095" w:firstLine="0"/>
        <w:jc w:val="left"/>
        <w:rPr>
          <w:sz w:val="12"/>
        </w:rPr>
      </w:pPr>
      <w:r>
        <w:rPr>
          <w:sz w:val="12"/>
        </w:rPr>
        <w:t>FUENTE:      Servolov (2000) y Olivares (2011)</w:t>
      </w:r>
    </w:p>
    <w:p>
      <w:pPr>
        <w:pStyle w:val="BodyText"/>
        <w:rPr>
          <w:sz w:val="12"/>
        </w:rPr>
      </w:pPr>
    </w:p>
    <w:p>
      <w:pPr>
        <w:pStyle w:val="BodyText"/>
        <w:spacing w:before="6"/>
        <w:rPr>
          <w:sz w:val="17"/>
        </w:rPr>
      </w:pPr>
    </w:p>
    <w:p>
      <w:pPr>
        <w:pStyle w:val="BodyText"/>
        <w:spacing w:line="360" w:lineRule="auto"/>
        <w:ind w:left="142" w:right="236" w:firstLine="427"/>
        <w:jc w:val="both"/>
      </w:pPr>
      <w:r>
        <w:rPr/>
        <w:t>El</w:t>
      </w:r>
      <w:r>
        <w:rPr>
          <w:spacing w:val="-10"/>
        </w:rPr>
        <w:t> </w:t>
      </w:r>
      <w:r>
        <w:rPr/>
        <w:t>siglo</w:t>
      </w:r>
      <w:r>
        <w:rPr>
          <w:spacing w:val="-6"/>
        </w:rPr>
        <w:t> </w:t>
      </w:r>
      <w:r>
        <w:rPr/>
        <w:t>XIX</w:t>
      </w:r>
      <w:r>
        <w:rPr>
          <w:spacing w:val="-8"/>
        </w:rPr>
        <w:t> </w:t>
      </w:r>
      <w:r>
        <w:rPr/>
        <w:t>y</w:t>
      </w:r>
      <w:r>
        <w:rPr>
          <w:spacing w:val="-9"/>
        </w:rPr>
        <w:t> </w:t>
      </w:r>
      <w:r>
        <w:rPr/>
        <w:t>parte</w:t>
      </w:r>
      <w:r>
        <w:rPr>
          <w:spacing w:val="-9"/>
        </w:rPr>
        <w:t> </w:t>
      </w:r>
      <w:r>
        <w:rPr/>
        <w:t>del</w:t>
      </w:r>
      <w:r>
        <w:rPr>
          <w:spacing w:val="-10"/>
        </w:rPr>
        <w:t> </w:t>
      </w:r>
      <w:r>
        <w:rPr/>
        <w:t>XX</w:t>
      </w:r>
      <w:r>
        <w:rPr>
          <w:spacing w:val="-9"/>
        </w:rPr>
        <w:t> </w:t>
      </w:r>
      <w:r>
        <w:rPr/>
        <w:t>se</w:t>
      </w:r>
      <w:r>
        <w:rPr>
          <w:spacing w:val="-8"/>
        </w:rPr>
        <w:t> </w:t>
      </w:r>
      <w:r>
        <w:rPr/>
        <w:t>considera</w:t>
      </w:r>
      <w:r>
        <w:rPr>
          <w:spacing w:val="-6"/>
        </w:rPr>
        <w:t> </w:t>
      </w:r>
      <w:r>
        <w:rPr/>
        <w:t>el</w:t>
      </w:r>
      <w:r>
        <w:rPr>
          <w:spacing w:val="-10"/>
        </w:rPr>
        <w:t> </w:t>
      </w:r>
      <w:r>
        <w:rPr/>
        <w:t>periodo</w:t>
      </w:r>
      <w:r>
        <w:rPr>
          <w:spacing w:val="-7"/>
        </w:rPr>
        <w:t> </w:t>
      </w:r>
      <w:r>
        <w:rPr/>
        <w:t>de</w:t>
      </w:r>
      <w:r>
        <w:rPr>
          <w:spacing w:val="-8"/>
        </w:rPr>
        <w:t> </w:t>
      </w:r>
      <w:r>
        <w:rPr/>
        <w:t>los</w:t>
      </w:r>
      <w:r>
        <w:rPr>
          <w:spacing w:val="-9"/>
        </w:rPr>
        <w:t> </w:t>
      </w:r>
      <w:r>
        <w:rPr/>
        <w:t>caudillos</w:t>
      </w:r>
      <w:r>
        <w:rPr>
          <w:spacing w:val="-9"/>
        </w:rPr>
        <w:t> </w:t>
      </w:r>
      <w:r>
        <w:rPr/>
        <w:t>(1810-1934). El término caudillo, inicialmente (en la independencia) era utilizado para designar a los</w:t>
      </w:r>
      <w:r>
        <w:rPr>
          <w:spacing w:val="-10"/>
        </w:rPr>
        <w:t> </w:t>
      </w:r>
      <w:r>
        <w:rPr/>
        <w:t>personajes</w:t>
      </w:r>
      <w:r>
        <w:rPr>
          <w:spacing w:val="-9"/>
        </w:rPr>
        <w:t> </w:t>
      </w:r>
      <w:r>
        <w:rPr/>
        <w:t>de</w:t>
      </w:r>
      <w:r>
        <w:rPr>
          <w:spacing w:val="-9"/>
        </w:rPr>
        <w:t> </w:t>
      </w:r>
      <w:r>
        <w:rPr/>
        <w:t>la</w:t>
      </w:r>
      <w:r>
        <w:rPr>
          <w:spacing w:val="-10"/>
        </w:rPr>
        <w:t> </w:t>
      </w:r>
      <w:r>
        <w:rPr/>
        <w:t>Nueva</w:t>
      </w:r>
      <w:r>
        <w:rPr>
          <w:spacing w:val="-9"/>
        </w:rPr>
        <w:t> </w:t>
      </w:r>
      <w:r>
        <w:rPr/>
        <w:t>España</w:t>
      </w:r>
      <w:r>
        <w:rPr>
          <w:spacing w:val="-9"/>
        </w:rPr>
        <w:t> </w:t>
      </w:r>
      <w:r>
        <w:rPr/>
        <w:t>sublevados</w:t>
      </w:r>
      <w:r>
        <w:rPr>
          <w:spacing w:val="-10"/>
        </w:rPr>
        <w:t> </w:t>
      </w:r>
      <w:r>
        <w:rPr/>
        <w:t>contra</w:t>
      </w:r>
      <w:r>
        <w:rPr>
          <w:spacing w:val="-10"/>
        </w:rPr>
        <w:t> </w:t>
      </w:r>
      <w:r>
        <w:rPr/>
        <w:t>la</w:t>
      </w:r>
      <w:r>
        <w:rPr>
          <w:spacing w:val="-10"/>
        </w:rPr>
        <w:t> </w:t>
      </w:r>
      <w:r>
        <w:rPr/>
        <w:t>Corona</w:t>
      </w:r>
      <w:r>
        <w:rPr>
          <w:spacing w:val="-9"/>
        </w:rPr>
        <w:t> </w:t>
      </w:r>
      <w:r>
        <w:rPr/>
        <w:t>Española,</w:t>
      </w:r>
      <w:r>
        <w:rPr>
          <w:spacing w:val="-9"/>
        </w:rPr>
        <w:t> </w:t>
      </w:r>
      <w:r>
        <w:rPr/>
        <w:t>pero</w:t>
      </w:r>
      <w:r>
        <w:rPr>
          <w:spacing w:val="-9"/>
        </w:rPr>
        <w:t> </w:t>
      </w:r>
      <w:r>
        <w:rPr/>
        <w:t>en el transcurso de los siglos XIX y XX el término fue utilizado para designar a los tiranos</w:t>
      </w:r>
      <w:r>
        <w:rPr>
          <w:spacing w:val="-8"/>
        </w:rPr>
        <w:t> </w:t>
      </w:r>
      <w:r>
        <w:rPr/>
        <w:t>políticos</w:t>
      </w:r>
      <w:r>
        <w:rPr>
          <w:spacing w:val="-8"/>
        </w:rPr>
        <w:t> </w:t>
      </w:r>
      <w:r>
        <w:rPr/>
        <w:t>que</w:t>
      </w:r>
      <w:r>
        <w:rPr>
          <w:spacing w:val="-7"/>
        </w:rPr>
        <w:t> </w:t>
      </w:r>
      <w:r>
        <w:rPr/>
        <w:t>surgieron</w:t>
      </w:r>
      <w:r>
        <w:rPr>
          <w:spacing w:val="-7"/>
        </w:rPr>
        <w:t> </w:t>
      </w:r>
      <w:r>
        <w:rPr/>
        <w:t>en</w:t>
      </w:r>
      <w:r>
        <w:rPr>
          <w:spacing w:val="-7"/>
        </w:rPr>
        <w:t> </w:t>
      </w:r>
      <w:r>
        <w:rPr/>
        <w:t>situaciones</w:t>
      </w:r>
      <w:r>
        <w:rPr>
          <w:spacing w:val="-10"/>
        </w:rPr>
        <w:t> </w:t>
      </w:r>
      <w:r>
        <w:rPr/>
        <w:t>de</w:t>
      </w:r>
      <w:r>
        <w:rPr>
          <w:spacing w:val="-7"/>
        </w:rPr>
        <w:t> </w:t>
      </w:r>
      <w:r>
        <w:rPr/>
        <w:t>emergencia</w:t>
      </w:r>
      <w:r>
        <w:rPr>
          <w:spacing w:val="-10"/>
        </w:rPr>
        <w:t> </w:t>
      </w:r>
      <w:r>
        <w:rPr/>
        <w:t>o</w:t>
      </w:r>
      <w:r>
        <w:rPr>
          <w:spacing w:val="-7"/>
        </w:rPr>
        <w:t> </w:t>
      </w:r>
      <w:r>
        <w:rPr/>
        <w:t>inestabilidad</w:t>
      </w:r>
      <w:r>
        <w:rPr>
          <w:spacing w:val="-9"/>
        </w:rPr>
        <w:t> </w:t>
      </w:r>
      <w:r>
        <w:rPr/>
        <w:t>política y que arribaron al poder mediante mecanismos informales o por el manejo de las masas. (Olivares, 2011:</w:t>
      </w:r>
      <w:r>
        <w:rPr>
          <w:spacing w:val="-9"/>
        </w:rPr>
        <w:t> </w:t>
      </w:r>
      <w:r>
        <w:rPr/>
        <w:t>39)</w:t>
      </w:r>
    </w:p>
    <w:p>
      <w:pPr>
        <w:pStyle w:val="BodyText"/>
        <w:spacing w:line="360" w:lineRule="auto" w:before="2"/>
        <w:ind w:left="142" w:right="151" w:firstLine="427"/>
        <w:jc w:val="both"/>
      </w:pPr>
      <w:r>
        <w:rPr/>
        <w:t>Para 1821 las condiciones políticas requirieron el tránsito de una sociedad colonial y eclesiástica a una sociedad civil, mediante la construcción de un Estado propio que reuniera y conservara los intereses más representativos.</w:t>
      </w:r>
    </w:p>
    <w:p>
      <w:pPr>
        <w:spacing w:after="0" w:line="360" w:lineRule="auto"/>
        <w:jc w:val="both"/>
        <w:sectPr>
          <w:pgSz w:w="12240" w:h="15840"/>
          <w:pgMar w:header="0" w:footer="1003" w:top="1360" w:bottom="1200" w:left="1560" w:right="1460"/>
        </w:sectPr>
      </w:pPr>
    </w:p>
    <w:p>
      <w:pPr>
        <w:pStyle w:val="BodyText"/>
        <w:spacing w:line="360" w:lineRule="auto" w:before="54"/>
        <w:ind w:left="122" w:right="107" w:firstLine="427"/>
        <w:jc w:val="both"/>
      </w:pPr>
      <w:r>
        <w:rPr/>
        <w:t>El vínculo con España se rompió con la declaración formal de independencia el 28 de septiembre de 1821 y, a partir de ese año, la hacienda del Estado mexicano quedó establecida en el Reglamento Provisional Político del Imperio Mexicano, promulgado el 18 de diciembre de 1822.</w:t>
      </w:r>
    </w:p>
    <w:p>
      <w:pPr>
        <w:pStyle w:val="BodyText"/>
        <w:spacing w:line="360" w:lineRule="auto" w:before="2"/>
        <w:ind w:left="122" w:right="102" w:firstLine="427"/>
        <w:jc w:val="both"/>
      </w:pPr>
      <w:r>
        <w:rPr/>
        <w:t>En 1823 el Congreso declaró nulo el imperio de Agustín de Iturbide y el 31 de enero de1824 el Congreso Constituyente</w:t>
      </w:r>
      <w:r>
        <w:rPr>
          <w:position w:val="8"/>
          <w:sz w:val="16"/>
        </w:rPr>
        <w:t>44 </w:t>
      </w:r>
      <w:r>
        <w:rPr/>
        <w:t>emitió el Acta Constitutiva de la Federación</w:t>
      </w:r>
      <w:r>
        <w:rPr>
          <w:spacing w:val="-13"/>
        </w:rPr>
        <w:t> </w:t>
      </w:r>
      <w:r>
        <w:rPr/>
        <w:t>y</w:t>
      </w:r>
      <w:r>
        <w:rPr>
          <w:spacing w:val="-16"/>
        </w:rPr>
        <w:t> </w:t>
      </w:r>
      <w:r>
        <w:rPr/>
        <w:t>el</w:t>
      </w:r>
      <w:r>
        <w:rPr>
          <w:spacing w:val="-14"/>
        </w:rPr>
        <w:t> </w:t>
      </w:r>
      <w:r>
        <w:rPr/>
        <w:t>5</w:t>
      </w:r>
      <w:r>
        <w:rPr>
          <w:spacing w:val="-13"/>
        </w:rPr>
        <w:t> </w:t>
      </w:r>
      <w:r>
        <w:rPr/>
        <w:t>de</w:t>
      </w:r>
      <w:r>
        <w:rPr>
          <w:spacing w:val="-13"/>
        </w:rPr>
        <w:t> </w:t>
      </w:r>
      <w:r>
        <w:rPr/>
        <w:t>octubre</w:t>
      </w:r>
      <w:r>
        <w:rPr>
          <w:spacing w:val="-16"/>
        </w:rPr>
        <w:t> </w:t>
      </w:r>
      <w:r>
        <w:rPr/>
        <w:t>promulgó</w:t>
      </w:r>
      <w:r>
        <w:rPr>
          <w:spacing w:val="-13"/>
        </w:rPr>
        <w:t> </w:t>
      </w:r>
      <w:r>
        <w:rPr/>
        <w:t>la</w:t>
      </w:r>
      <w:r>
        <w:rPr>
          <w:spacing w:val="-13"/>
        </w:rPr>
        <w:t> </w:t>
      </w:r>
      <w:r>
        <w:rPr/>
        <w:t>Constitución</w:t>
      </w:r>
      <w:r>
        <w:rPr>
          <w:spacing w:val="-13"/>
        </w:rPr>
        <w:t> </w:t>
      </w:r>
      <w:r>
        <w:rPr/>
        <w:t>Federal</w:t>
      </w:r>
      <w:r>
        <w:rPr>
          <w:spacing w:val="-17"/>
        </w:rPr>
        <w:t> </w:t>
      </w:r>
      <w:r>
        <w:rPr/>
        <w:t>de</w:t>
      </w:r>
      <w:r>
        <w:rPr>
          <w:spacing w:val="-13"/>
        </w:rPr>
        <w:t> </w:t>
      </w:r>
      <w:r>
        <w:rPr/>
        <w:t>los</w:t>
      </w:r>
      <w:r>
        <w:rPr>
          <w:spacing w:val="-16"/>
        </w:rPr>
        <w:t> </w:t>
      </w:r>
      <w:r>
        <w:rPr/>
        <w:t>Estados</w:t>
      </w:r>
      <w:r>
        <w:rPr>
          <w:spacing w:val="-14"/>
        </w:rPr>
        <w:t> </w:t>
      </w:r>
      <w:r>
        <w:rPr/>
        <w:t>Unidos Mexicanos, con base en la constitución estadounidense y francesa </w:t>
      </w:r>
      <w:r>
        <w:rPr>
          <w:position w:val="8"/>
          <w:sz w:val="16"/>
        </w:rPr>
        <w:t>45</w:t>
      </w:r>
      <w:r>
        <w:rPr/>
        <w:t>(Fraga, 1996: 121). La Constitución del 4 de octubre de 1824 instauró el Estado mexicano como República Federal, estableció la autonomía de los Estados y la división de los poderes. Se estableció la función del Poder Legislativo como emisor de leyes y decretos</w:t>
      </w:r>
      <w:r>
        <w:rPr>
          <w:spacing w:val="-10"/>
        </w:rPr>
        <w:t> </w:t>
      </w:r>
      <w:r>
        <w:rPr/>
        <w:t>para</w:t>
      </w:r>
      <w:r>
        <w:rPr>
          <w:spacing w:val="-10"/>
        </w:rPr>
        <w:t> </w:t>
      </w:r>
      <w:r>
        <w:rPr/>
        <w:t>preservar</w:t>
      </w:r>
      <w:r>
        <w:rPr>
          <w:spacing w:val="-8"/>
        </w:rPr>
        <w:t> </w:t>
      </w:r>
      <w:r>
        <w:rPr/>
        <w:t>la</w:t>
      </w:r>
      <w:r>
        <w:rPr>
          <w:spacing w:val="-7"/>
        </w:rPr>
        <w:t> </w:t>
      </w:r>
      <w:r>
        <w:rPr/>
        <w:t>independencia</w:t>
      </w:r>
      <w:r>
        <w:rPr>
          <w:spacing w:val="-7"/>
        </w:rPr>
        <w:t> </w:t>
      </w:r>
      <w:r>
        <w:rPr/>
        <w:t>y</w:t>
      </w:r>
      <w:r>
        <w:rPr>
          <w:spacing w:val="-10"/>
        </w:rPr>
        <w:t> </w:t>
      </w:r>
      <w:r>
        <w:rPr/>
        <w:t>la</w:t>
      </w:r>
      <w:r>
        <w:rPr>
          <w:spacing w:val="-7"/>
        </w:rPr>
        <w:t> </w:t>
      </w:r>
      <w:r>
        <w:rPr/>
        <w:t>seguridad</w:t>
      </w:r>
      <w:r>
        <w:rPr>
          <w:spacing w:val="-9"/>
        </w:rPr>
        <w:t> </w:t>
      </w:r>
      <w:r>
        <w:rPr/>
        <w:t>nacional,</w:t>
      </w:r>
      <w:r>
        <w:rPr>
          <w:spacing w:val="-10"/>
        </w:rPr>
        <w:t> </w:t>
      </w:r>
      <w:r>
        <w:rPr/>
        <w:t>fortalecer</w:t>
      </w:r>
      <w:r>
        <w:rPr>
          <w:spacing w:val="-8"/>
        </w:rPr>
        <w:t> </w:t>
      </w:r>
      <w:r>
        <w:rPr/>
        <w:t>la</w:t>
      </w:r>
      <w:r>
        <w:rPr>
          <w:spacing w:val="-9"/>
        </w:rPr>
        <w:t> </w:t>
      </w:r>
      <w:r>
        <w:rPr/>
        <w:t>unión de los Estados, autorizar el presupuesto y revisar sus</w:t>
      </w:r>
      <w:r>
        <w:rPr>
          <w:spacing w:val="-17"/>
        </w:rPr>
        <w:t> </w:t>
      </w:r>
      <w:r>
        <w:rPr/>
        <w:t>cuentas.</w:t>
      </w:r>
    </w:p>
    <w:p>
      <w:pPr>
        <w:pStyle w:val="BodyText"/>
        <w:spacing w:line="360" w:lineRule="auto"/>
        <w:ind w:left="122" w:right="103" w:firstLine="427"/>
        <w:jc w:val="both"/>
      </w:pPr>
      <w:r>
        <w:rPr/>
        <w:t>La constitución de 1857</w:t>
      </w:r>
      <w:r>
        <w:rPr>
          <w:position w:val="8"/>
          <w:sz w:val="16"/>
        </w:rPr>
        <w:t>46 </w:t>
      </w:r>
      <w:r>
        <w:rPr/>
        <w:t>dio origen a la Guerra de Reforma (1857-1860). En 1861 las Leyes de Reforma consideraron la separación de la iglesia y el Estado, la nacionalización de los bienes eclesiásticos, tolerancia de cultos, libertad de expresión y de imprenta y el registro civil, entre otras políticas.</w:t>
      </w:r>
    </w:p>
    <w:p>
      <w:pPr>
        <w:pStyle w:val="BodyText"/>
        <w:spacing w:line="357" w:lineRule="auto" w:before="5"/>
        <w:ind w:left="122" w:right="102" w:firstLine="427"/>
        <w:jc w:val="both"/>
      </w:pPr>
      <w:r>
        <w:rPr/>
        <w:t>En</w:t>
      </w:r>
      <w:r>
        <w:rPr>
          <w:spacing w:val="-12"/>
        </w:rPr>
        <w:t> </w:t>
      </w:r>
      <w:r>
        <w:rPr/>
        <w:t>1867</w:t>
      </w:r>
      <w:r>
        <w:rPr>
          <w:spacing w:val="-14"/>
        </w:rPr>
        <w:t> </w:t>
      </w:r>
      <w:r>
        <w:rPr/>
        <w:t>el</w:t>
      </w:r>
      <w:r>
        <w:rPr>
          <w:spacing w:val="-13"/>
        </w:rPr>
        <w:t> </w:t>
      </w:r>
      <w:r>
        <w:rPr/>
        <w:t>gobierno</w:t>
      </w:r>
      <w:r>
        <w:rPr>
          <w:spacing w:val="-12"/>
        </w:rPr>
        <w:t> </w:t>
      </w:r>
      <w:r>
        <w:rPr/>
        <w:t>consolidó</w:t>
      </w:r>
      <w:r>
        <w:rPr>
          <w:spacing w:val="-14"/>
        </w:rPr>
        <w:t> </w:t>
      </w:r>
      <w:r>
        <w:rPr/>
        <w:t>el</w:t>
      </w:r>
      <w:r>
        <w:rPr>
          <w:spacing w:val="-13"/>
        </w:rPr>
        <w:t> </w:t>
      </w:r>
      <w:r>
        <w:rPr/>
        <w:t>Estado</w:t>
      </w:r>
      <w:r>
        <w:rPr>
          <w:spacing w:val="-14"/>
        </w:rPr>
        <w:t> </w:t>
      </w:r>
      <w:r>
        <w:rPr/>
        <w:t>en</w:t>
      </w:r>
      <w:r>
        <w:rPr>
          <w:spacing w:val="-12"/>
        </w:rPr>
        <w:t> </w:t>
      </w:r>
      <w:r>
        <w:rPr/>
        <w:t>una</w:t>
      </w:r>
      <w:r>
        <w:rPr>
          <w:spacing w:val="-12"/>
        </w:rPr>
        <w:t> </w:t>
      </w:r>
      <w:r>
        <w:rPr/>
        <w:t>república</w:t>
      </w:r>
      <w:r>
        <w:rPr>
          <w:spacing w:val="-12"/>
        </w:rPr>
        <w:t> </w:t>
      </w:r>
      <w:r>
        <w:rPr/>
        <w:t>y</w:t>
      </w:r>
      <w:r>
        <w:rPr>
          <w:spacing w:val="-15"/>
        </w:rPr>
        <w:t> </w:t>
      </w:r>
      <w:r>
        <w:rPr/>
        <w:t>comenzó</w:t>
      </w:r>
      <w:r>
        <w:rPr>
          <w:spacing w:val="-14"/>
        </w:rPr>
        <w:t> </w:t>
      </w:r>
      <w:r>
        <w:rPr/>
        <w:t>a</w:t>
      </w:r>
      <w:r>
        <w:rPr>
          <w:spacing w:val="-14"/>
        </w:rPr>
        <w:t> </w:t>
      </w:r>
      <w:r>
        <w:rPr/>
        <w:t>fortalecer al Poder Ejecutivo (Olivares, 2011: 42). En 1874 el Presidente reestableció el Senado,</w:t>
      </w:r>
      <w:r>
        <w:rPr>
          <w:position w:val="8"/>
          <w:sz w:val="16"/>
        </w:rPr>
        <w:t>47</w:t>
      </w:r>
      <w:r>
        <w:rPr>
          <w:spacing w:val="7"/>
          <w:position w:val="8"/>
          <w:sz w:val="16"/>
        </w:rPr>
        <w:t> </w:t>
      </w:r>
      <w:r>
        <w:rPr/>
        <w:t>lo</w:t>
      </w:r>
      <w:r>
        <w:rPr>
          <w:spacing w:val="-14"/>
        </w:rPr>
        <w:t> </w:t>
      </w:r>
      <w:r>
        <w:rPr/>
        <w:t>que,</w:t>
      </w:r>
      <w:r>
        <w:rPr>
          <w:spacing w:val="-14"/>
        </w:rPr>
        <w:t> </w:t>
      </w:r>
      <w:r>
        <w:rPr/>
        <w:t>para</w:t>
      </w:r>
      <w:r>
        <w:rPr>
          <w:spacing w:val="-15"/>
        </w:rPr>
        <w:t> </w:t>
      </w:r>
      <w:r>
        <w:rPr/>
        <w:t>algunos</w:t>
      </w:r>
      <w:r>
        <w:rPr>
          <w:spacing w:val="-12"/>
        </w:rPr>
        <w:t> </w:t>
      </w:r>
      <w:r>
        <w:rPr/>
        <w:t>historiadores,</w:t>
      </w:r>
      <w:r>
        <w:rPr>
          <w:spacing w:val="-14"/>
        </w:rPr>
        <w:t> </w:t>
      </w:r>
      <w:r>
        <w:rPr/>
        <w:t>presentó</w:t>
      </w:r>
      <w:r>
        <w:rPr>
          <w:spacing w:val="-14"/>
        </w:rPr>
        <w:t> </w:t>
      </w:r>
      <w:r>
        <w:rPr/>
        <w:t>un</w:t>
      </w:r>
      <w:r>
        <w:rPr>
          <w:spacing w:val="-14"/>
        </w:rPr>
        <w:t> </w:t>
      </w:r>
      <w:r>
        <w:rPr/>
        <w:t>equilibrio</w:t>
      </w:r>
      <w:r>
        <w:rPr>
          <w:spacing w:val="-14"/>
        </w:rPr>
        <w:t> </w:t>
      </w:r>
      <w:r>
        <w:rPr/>
        <w:t>del</w:t>
      </w:r>
      <w:r>
        <w:rPr>
          <w:spacing w:val="-18"/>
        </w:rPr>
        <w:t> </w:t>
      </w:r>
      <w:r>
        <w:rPr/>
        <w:t>poder</w:t>
      </w:r>
      <w:r>
        <w:rPr>
          <w:spacing w:val="-16"/>
        </w:rPr>
        <w:t> </w:t>
      </w:r>
      <w:r>
        <w:rPr/>
        <w:t>interno del Legislativo y del sistema</w:t>
      </w:r>
      <w:r>
        <w:rPr>
          <w:spacing w:val="-13"/>
        </w:rPr>
        <w:t> </w:t>
      </w:r>
      <w:r>
        <w:rPr/>
        <w:t>político.</w:t>
      </w:r>
    </w:p>
    <w:p>
      <w:pPr>
        <w:pStyle w:val="BodyText"/>
        <w:spacing w:line="360" w:lineRule="auto" w:before="8"/>
        <w:ind w:left="122" w:right="200" w:firstLine="427"/>
        <w:jc w:val="both"/>
      </w:pPr>
      <w:r>
        <w:rPr/>
        <w:t>Tras otro golpe de Estado en 1876, la presidencia fue ocupada por una sola persona durante 34 años (exceptuando el periodo 1880 a 1884). En ese periodo</w:t>
      </w:r>
    </w:p>
    <w:p>
      <w:pPr>
        <w:pStyle w:val="BodyText"/>
        <w:rPr>
          <w:sz w:val="20"/>
        </w:rPr>
      </w:pPr>
    </w:p>
    <w:p>
      <w:pPr>
        <w:pStyle w:val="BodyText"/>
        <w:spacing w:before="10"/>
        <w:rPr>
          <w:sz w:val="17"/>
        </w:rPr>
      </w:pPr>
      <w:r>
        <w:rPr/>
        <w:pict>
          <v:line style="position:absolute;mso-position-horizontal-relative:page;mso-position-vertical-relative:paragraph;z-index:6424;mso-wrap-distance-left:0;mso-wrap-distance-right:0" from="85.103996pt,12.614905pt" to="229.123996pt,12.614905pt" stroked="true" strokeweight=".71997pt" strokecolor="#000000">
            <w10:wrap type="topAndBottom"/>
          </v:line>
        </w:pict>
      </w:r>
    </w:p>
    <w:p>
      <w:pPr>
        <w:spacing w:before="62"/>
        <w:ind w:left="122" w:right="0" w:firstLine="0"/>
        <w:jc w:val="both"/>
        <w:rPr>
          <w:sz w:val="16"/>
        </w:rPr>
      </w:pPr>
      <w:r>
        <w:rPr>
          <w:rFonts w:ascii="Times New Roman"/>
          <w:position w:val="7"/>
          <w:sz w:val="13"/>
        </w:rPr>
        <w:t>44</w:t>
      </w:r>
      <w:r>
        <w:rPr>
          <w:sz w:val="16"/>
        </w:rPr>
        <w:t>Instalado el 7 de noviembre de 1823.</w:t>
      </w:r>
    </w:p>
    <w:p>
      <w:pPr>
        <w:spacing w:line="247" w:lineRule="auto" w:before="5"/>
        <w:ind w:left="122" w:right="202" w:firstLine="0"/>
        <w:jc w:val="both"/>
        <w:rPr>
          <w:sz w:val="16"/>
        </w:rPr>
      </w:pPr>
      <w:r>
        <w:rPr>
          <w:rFonts w:ascii="Times New Roman" w:hAnsi="Times New Roman"/>
          <w:position w:val="7"/>
          <w:sz w:val="13"/>
        </w:rPr>
        <w:t>45</w:t>
      </w:r>
      <w:r>
        <w:rPr>
          <w:sz w:val="16"/>
        </w:rPr>
        <w:t>Con</w:t>
      </w:r>
      <w:r>
        <w:rPr>
          <w:spacing w:val="-9"/>
          <w:sz w:val="16"/>
        </w:rPr>
        <w:t> </w:t>
      </w:r>
      <w:r>
        <w:rPr>
          <w:sz w:val="16"/>
        </w:rPr>
        <w:t>la</w:t>
      </w:r>
      <w:r>
        <w:rPr>
          <w:spacing w:val="-9"/>
          <w:sz w:val="16"/>
        </w:rPr>
        <w:t> </w:t>
      </w:r>
      <w:r>
        <w:rPr>
          <w:sz w:val="16"/>
        </w:rPr>
        <w:t>promulgación</w:t>
      </w:r>
      <w:r>
        <w:rPr>
          <w:spacing w:val="-9"/>
          <w:sz w:val="16"/>
        </w:rPr>
        <w:t> </w:t>
      </w:r>
      <w:r>
        <w:rPr>
          <w:sz w:val="16"/>
        </w:rPr>
        <w:t>de</w:t>
      </w:r>
      <w:r>
        <w:rPr>
          <w:spacing w:val="-9"/>
          <w:sz w:val="16"/>
        </w:rPr>
        <w:t> </w:t>
      </w:r>
      <w:r>
        <w:rPr>
          <w:sz w:val="16"/>
        </w:rPr>
        <w:t>la</w:t>
      </w:r>
      <w:r>
        <w:rPr>
          <w:spacing w:val="-9"/>
          <w:sz w:val="16"/>
        </w:rPr>
        <w:t> </w:t>
      </w:r>
      <w:r>
        <w:rPr>
          <w:sz w:val="16"/>
        </w:rPr>
        <w:t>propia</w:t>
      </w:r>
      <w:r>
        <w:rPr>
          <w:spacing w:val="-9"/>
          <w:sz w:val="16"/>
        </w:rPr>
        <w:t> </w:t>
      </w:r>
      <w:r>
        <w:rPr>
          <w:sz w:val="16"/>
        </w:rPr>
        <w:t>Constitución</w:t>
      </w:r>
      <w:r>
        <w:rPr>
          <w:spacing w:val="-9"/>
          <w:sz w:val="16"/>
        </w:rPr>
        <w:t> </w:t>
      </w:r>
      <w:r>
        <w:rPr>
          <w:sz w:val="16"/>
        </w:rPr>
        <w:t>de</w:t>
      </w:r>
      <w:r>
        <w:rPr>
          <w:spacing w:val="-9"/>
          <w:sz w:val="16"/>
        </w:rPr>
        <w:t> </w:t>
      </w:r>
      <w:r>
        <w:rPr>
          <w:sz w:val="16"/>
        </w:rPr>
        <w:t>México,</w:t>
      </w:r>
      <w:r>
        <w:rPr>
          <w:spacing w:val="-8"/>
          <w:sz w:val="16"/>
        </w:rPr>
        <w:t> </w:t>
      </w:r>
      <w:r>
        <w:rPr>
          <w:sz w:val="16"/>
        </w:rPr>
        <w:t>se</w:t>
      </w:r>
      <w:r>
        <w:rPr>
          <w:spacing w:val="-9"/>
          <w:sz w:val="16"/>
        </w:rPr>
        <w:t> </w:t>
      </w:r>
      <w:r>
        <w:rPr>
          <w:sz w:val="16"/>
        </w:rPr>
        <w:t>dio</w:t>
      </w:r>
      <w:r>
        <w:rPr>
          <w:spacing w:val="-9"/>
          <w:sz w:val="16"/>
        </w:rPr>
        <w:t> </w:t>
      </w:r>
      <w:r>
        <w:rPr>
          <w:sz w:val="16"/>
        </w:rPr>
        <w:t>inicio</w:t>
      </w:r>
      <w:r>
        <w:rPr>
          <w:spacing w:val="-9"/>
          <w:sz w:val="16"/>
        </w:rPr>
        <w:t> </w:t>
      </w:r>
      <w:r>
        <w:rPr>
          <w:sz w:val="16"/>
        </w:rPr>
        <w:t>al</w:t>
      </w:r>
      <w:r>
        <w:rPr>
          <w:spacing w:val="-8"/>
          <w:sz w:val="16"/>
        </w:rPr>
        <w:t> </w:t>
      </w:r>
      <w:r>
        <w:rPr>
          <w:sz w:val="16"/>
        </w:rPr>
        <w:t>Estado</w:t>
      </w:r>
      <w:r>
        <w:rPr>
          <w:spacing w:val="-12"/>
          <w:sz w:val="16"/>
        </w:rPr>
        <w:t> </w:t>
      </w:r>
      <w:r>
        <w:rPr>
          <w:sz w:val="16"/>
        </w:rPr>
        <w:t>mexicano</w:t>
      </w:r>
      <w:r>
        <w:rPr>
          <w:spacing w:val="-9"/>
          <w:sz w:val="16"/>
        </w:rPr>
        <w:t> </w:t>
      </w:r>
      <w:r>
        <w:rPr>
          <w:sz w:val="16"/>
        </w:rPr>
        <w:t>federal</w:t>
      </w:r>
      <w:r>
        <w:rPr>
          <w:spacing w:val="-8"/>
          <w:sz w:val="16"/>
        </w:rPr>
        <w:t> </w:t>
      </w:r>
      <w:r>
        <w:rPr>
          <w:sz w:val="16"/>
        </w:rPr>
        <w:t>al</w:t>
      </w:r>
      <w:r>
        <w:rPr>
          <w:spacing w:val="-8"/>
          <w:sz w:val="16"/>
        </w:rPr>
        <w:t> </w:t>
      </w:r>
      <w:r>
        <w:rPr>
          <w:sz w:val="16"/>
        </w:rPr>
        <w:t>reconocer</w:t>
      </w:r>
      <w:r>
        <w:rPr>
          <w:spacing w:val="-9"/>
          <w:sz w:val="16"/>
        </w:rPr>
        <w:t> </w:t>
      </w:r>
      <w:r>
        <w:rPr>
          <w:sz w:val="16"/>
        </w:rPr>
        <w:t>a</w:t>
      </w:r>
      <w:r>
        <w:rPr>
          <w:spacing w:val="-9"/>
          <w:sz w:val="16"/>
        </w:rPr>
        <w:t> </w:t>
      </w:r>
      <w:r>
        <w:rPr>
          <w:sz w:val="16"/>
        </w:rPr>
        <w:t>19</w:t>
      </w:r>
      <w:r>
        <w:rPr>
          <w:spacing w:val="-9"/>
          <w:sz w:val="16"/>
        </w:rPr>
        <w:t> </w:t>
      </w:r>
      <w:r>
        <w:rPr>
          <w:sz w:val="16"/>
        </w:rPr>
        <w:t>estados como miembros de la federación mexicana, con el tiempo el Estado pasó a ser centralista con la promulgación de las Siete Leyes Constitucionales de 1836 que cambió los estados por</w:t>
      </w:r>
      <w:r>
        <w:rPr>
          <w:spacing w:val="-30"/>
          <w:sz w:val="16"/>
        </w:rPr>
        <w:t> </w:t>
      </w:r>
      <w:r>
        <w:rPr>
          <w:sz w:val="16"/>
        </w:rPr>
        <w:t>departamentos.</w:t>
      </w:r>
    </w:p>
    <w:p>
      <w:pPr>
        <w:spacing w:line="213" w:lineRule="exact" w:before="0"/>
        <w:ind w:left="122" w:right="0" w:firstLine="0"/>
        <w:jc w:val="both"/>
        <w:rPr>
          <w:sz w:val="16"/>
        </w:rPr>
      </w:pPr>
      <w:r>
        <w:rPr>
          <w:rFonts w:ascii="Times New Roman" w:hAnsi="Times New Roman"/>
          <w:position w:val="7"/>
          <w:sz w:val="13"/>
        </w:rPr>
        <w:t>46</w:t>
      </w:r>
      <w:r>
        <w:rPr>
          <w:sz w:val="16"/>
        </w:rPr>
        <w:t>El federalismo fue asentado en el artículo 20 de la Constitución de 1857, que estableció una república federal  compuesta</w:t>
      </w:r>
    </w:p>
    <w:p>
      <w:pPr>
        <w:spacing w:before="13"/>
        <w:ind w:left="122" w:right="197" w:firstLine="0"/>
        <w:jc w:val="both"/>
        <w:rPr>
          <w:sz w:val="16"/>
        </w:rPr>
      </w:pPr>
      <w:r>
        <w:rPr>
          <w:sz w:val="16"/>
        </w:rPr>
        <w:t>de estados libres y soberanos. En la práctica, se considera que el sistema político fue centralizado durante los 71 años del régimen del partido único, ya que las entidades federativas tenían escaso poder de decisión en asuntos nacionales y debían seguir</w:t>
      </w:r>
      <w:r>
        <w:rPr>
          <w:spacing w:val="-14"/>
          <w:sz w:val="16"/>
        </w:rPr>
        <w:t> </w:t>
      </w:r>
      <w:r>
        <w:rPr>
          <w:sz w:val="16"/>
        </w:rPr>
        <w:t>la</w:t>
      </w:r>
      <w:r>
        <w:rPr>
          <w:spacing w:val="-14"/>
          <w:sz w:val="16"/>
        </w:rPr>
        <w:t> </w:t>
      </w:r>
      <w:r>
        <w:rPr>
          <w:sz w:val="16"/>
        </w:rPr>
        <w:t>línea</w:t>
      </w:r>
      <w:r>
        <w:rPr>
          <w:spacing w:val="-14"/>
          <w:sz w:val="16"/>
        </w:rPr>
        <w:t> </w:t>
      </w:r>
      <w:r>
        <w:rPr>
          <w:sz w:val="16"/>
        </w:rPr>
        <w:t>del</w:t>
      </w:r>
      <w:r>
        <w:rPr>
          <w:spacing w:val="-13"/>
          <w:sz w:val="16"/>
        </w:rPr>
        <w:t> </w:t>
      </w:r>
      <w:r>
        <w:rPr>
          <w:sz w:val="16"/>
        </w:rPr>
        <w:t>Ejecutivo</w:t>
      </w:r>
      <w:r>
        <w:rPr>
          <w:spacing w:val="-14"/>
          <w:sz w:val="16"/>
        </w:rPr>
        <w:t> </w:t>
      </w:r>
      <w:r>
        <w:rPr>
          <w:sz w:val="16"/>
        </w:rPr>
        <w:t>Federal.</w:t>
      </w:r>
      <w:r>
        <w:rPr>
          <w:spacing w:val="-12"/>
          <w:sz w:val="16"/>
        </w:rPr>
        <w:t> </w:t>
      </w:r>
      <w:r>
        <w:rPr>
          <w:sz w:val="16"/>
        </w:rPr>
        <w:t>El</w:t>
      </w:r>
      <w:r>
        <w:rPr>
          <w:spacing w:val="-15"/>
          <w:sz w:val="16"/>
        </w:rPr>
        <w:t> </w:t>
      </w:r>
      <w:r>
        <w:rPr>
          <w:sz w:val="16"/>
        </w:rPr>
        <w:t>control</w:t>
      </w:r>
      <w:r>
        <w:rPr>
          <w:spacing w:val="-13"/>
          <w:sz w:val="16"/>
        </w:rPr>
        <w:t> </w:t>
      </w:r>
      <w:r>
        <w:rPr>
          <w:sz w:val="16"/>
        </w:rPr>
        <w:t>presidencial</w:t>
      </w:r>
      <w:r>
        <w:rPr>
          <w:spacing w:val="-13"/>
          <w:sz w:val="16"/>
        </w:rPr>
        <w:t> </w:t>
      </w:r>
      <w:r>
        <w:rPr>
          <w:sz w:val="16"/>
        </w:rPr>
        <w:t>se</w:t>
      </w:r>
      <w:r>
        <w:rPr>
          <w:spacing w:val="-14"/>
          <w:sz w:val="16"/>
        </w:rPr>
        <w:t> </w:t>
      </w:r>
      <w:r>
        <w:rPr>
          <w:sz w:val="16"/>
        </w:rPr>
        <w:t>realizó</w:t>
      </w:r>
      <w:r>
        <w:rPr>
          <w:spacing w:val="-16"/>
          <w:sz w:val="16"/>
        </w:rPr>
        <w:t> </w:t>
      </w:r>
      <w:r>
        <w:rPr>
          <w:sz w:val="16"/>
        </w:rPr>
        <w:t>mediante</w:t>
      </w:r>
      <w:r>
        <w:rPr>
          <w:spacing w:val="-14"/>
          <w:sz w:val="16"/>
        </w:rPr>
        <w:t> </w:t>
      </w:r>
      <w:r>
        <w:rPr>
          <w:sz w:val="16"/>
        </w:rPr>
        <w:t>el</w:t>
      </w:r>
      <w:r>
        <w:rPr>
          <w:spacing w:val="-15"/>
          <w:sz w:val="16"/>
        </w:rPr>
        <w:t> </w:t>
      </w:r>
      <w:r>
        <w:rPr>
          <w:sz w:val="16"/>
        </w:rPr>
        <w:t>control</w:t>
      </w:r>
      <w:r>
        <w:rPr>
          <w:spacing w:val="-13"/>
          <w:sz w:val="16"/>
        </w:rPr>
        <w:t> </w:t>
      </w:r>
      <w:r>
        <w:rPr>
          <w:sz w:val="16"/>
        </w:rPr>
        <w:t>político,</w:t>
      </w:r>
      <w:r>
        <w:rPr>
          <w:spacing w:val="-13"/>
          <w:sz w:val="16"/>
        </w:rPr>
        <w:t> </w:t>
      </w:r>
      <w:r>
        <w:rPr>
          <w:sz w:val="16"/>
        </w:rPr>
        <w:t>el</w:t>
      </w:r>
      <w:r>
        <w:rPr>
          <w:spacing w:val="-13"/>
          <w:sz w:val="16"/>
        </w:rPr>
        <w:t> </w:t>
      </w:r>
      <w:r>
        <w:rPr>
          <w:sz w:val="16"/>
        </w:rPr>
        <w:t>orden</w:t>
      </w:r>
      <w:r>
        <w:rPr>
          <w:spacing w:val="-14"/>
          <w:sz w:val="16"/>
        </w:rPr>
        <w:t> </w:t>
      </w:r>
      <w:r>
        <w:rPr>
          <w:sz w:val="16"/>
        </w:rPr>
        <w:t>jurídico,</w:t>
      </w:r>
      <w:r>
        <w:rPr>
          <w:spacing w:val="-13"/>
          <w:sz w:val="16"/>
        </w:rPr>
        <w:t> </w:t>
      </w:r>
      <w:r>
        <w:rPr>
          <w:sz w:val="16"/>
        </w:rPr>
        <w:t>la</w:t>
      </w:r>
      <w:r>
        <w:rPr>
          <w:spacing w:val="-14"/>
          <w:sz w:val="16"/>
        </w:rPr>
        <w:t> </w:t>
      </w:r>
      <w:r>
        <w:rPr>
          <w:sz w:val="16"/>
        </w:rPr>
        <w:t>presencia de</w:t>
      </w:r>
      <w:r>
        <w:rPr>
          <w:spacing w:val="-3"/>
          <w:sz w:val="16"/>
        </w:rPr>
        <w:t> </w:t>
      </w:r>
      <w:r>
        <w:rPr>
          <w:sz w:val="16"/>
        </w:rPr>
        <w:t>entidades</w:t>
      </w:r>
      <w:r>
        <w:rPr>
          <w:spacing w:val="-4"/>
          <w:sz w:val="16"/>
        </w:rPr>
        <w:t> </w:t>
      </w:r>
      <w:r>
        <w:rPr>
          <w:sz w:val="16"/>
        </w:rPr>
        <w:t>federales</w:t>
      </w:r>
      <w:r>
        <w:rPr>
          <w:spacing w:val="-4"/>
          <w:sz w:val="16"/>
        </w:rPr>
        <w:t> </w:t>
      </w:r>
      <w:r>
        <w:rPr>
          <w:sz w:val="16"/>
        </w:rPr>
        <w:t>en</w:t>
      </w:r>
      <w:r>
        <w:rPr>
          <w:spacing w:val="-3"/>
          <w:sz w:val="16"/>
        </w:rPr>
        <w:t> </w:t>
      </w:r>
      <w:r>
        <w:rPr>
          <w:sz w:val="16"/>
        </w:rPr>
        <w:t>las</w:t>
      </w:r>
      <w:r>
        <w:rPr>
          <w:spacing w:val="-4"/>
          <w:sz w:val="16"/>
        </w:rPr>
        <w:t> </w:t>
      </w:r>
      <w:r>
        <w:rPr>
          <w:sz w:val="16"/>
        </w:rPr>
        <w:t>localidades</w:t>
      </w:r>
      <w:r>
        <w:rPr>
          <w:spacing w:val="-1"/>
          <w:sz w:val="16"/>
        </w:rPr>
        <w:t> </w:t>
      </w:r>
      <w:r>
        <w:rPr>
          <w:sz w:val="16"/>
        </w:rPr>
        <w:t>y</w:t>
      </w:r>
      <w:r>
        <w:rPr>
          <w:spacing w:val="-5"/>
          <w:sz w:val="16"/>
        </w:rPr>
        <w:t> </w:t>
      </w:r>
      <w:r>
        <w:rPr>
          <w:sz w:val="16"/>
        </w:rPr>
        <w:t>mediante</w:t>
      </w:r>
      <w:r>
        <w:rPr>
          <w:spacing w:val="-4"/>
          <w:sz w:val="16"/>
        </w:rPr>
        <w:t> </w:t>
      </w:r>
      <w:r>
        <w:rPr>
          <w:sz w:val="16"/>
        </w:rPr>
        <w:t>el</w:t>
      </w:r>
      <w:r>
        <w:rPr>
          <w:spacing w:val="-4"/>
          <w:sz w:val="16"/>
        </w:rPr>
        <w:t> </w:t>
      </w:r>
      <w:r>
        <w:rPr>
          <w:sz w:val="16"/>
        </w:rPr>
        <w:t>control</w:t>
      </w:r>
      <w:r>
        <w:rPr>
          <w:spacing w:val="-2"/>
          <w:sz w:val="16"/>
        </w:rPr>
        <w:t> </w:t>
      </w:r>
      <w:r>
        <w:rPr>
          <w:sz w:val="16"/>
        </w:rPr>
        <w:t>de</w:t>
      </w:r>
      <w:r>
        <w:rPr>
          <w:spacing w:val="-4"/>
          <w:sz w:val="16"/>
        </w:rPr>
        <w:t> </w:t>
      </w:r>
      <w:r>
        <w:rPr>
          <w:sz w:val="16"/>
        </w:rPr>
        <w:t>los</w:t>
      </w:r>
      <w:r>
        <w:rPr>
          <w:spacing w:val="-1"/>
          <w:sz w:val="16"/>
        </w:rPr>
        <w:t> </w:t>
      </w:r>
      <w:r>
        <w:rPr>
          <w:sz w:val="16"/>
        </w:rPr>
        <w:t>recursos</w:t>
      </w:r>
      <w:r>
        <w:rPr>
          <w:spacing w:val="-4"/>
          <w:sz w:val="16"/>
        </w:rPr>
        <w:t> </w:t>
      </w:r>
      <w:r>
        <w:rPr>
          <w:sz w:val="16"/>
        </w:rPr>
        <w:t>presupuestarios.</w:t>
      </w:r>
    </w:p>
    <w:p>
      <w:pPr>
        <w:spacing w:before="1"/>
        <w:ind w:left="122" w:right="221" w:firstLine="0"/>
        <w:jc w:val="left"/>
        <w:rPr>
          <w:sz w:val="16"/>
        </w:rPr>
      </w:pPr>
      <w:r>
        <w:rPr>
          <w:sz w:val="16"/>
        </w:rPr>
        <w:t>Disponible en: 1349000689/**http://codex.colmex.mx:8991/exlibris/aleph/a18_1/apache_media/Y6GNJ6I57H9ISVA2UJRIBTHNPY6GJ2.pd f</w:t>
      </w:r>
      <w:hyperlink r:id="rId120">
        <w:r>
          <w:rPr>
            <w:sz w:val="16"/>
          </w:rPr>
          <w:t>http://www.bibliojuridica.org/libros/1/348/5.pdf</w:t>
        </w:r>
      </w:hyperlink>
    </w:p>
    <w:p>
      <w:pPr>
        <w:spacing w:line="181" w:lineRule="exact" w:before="0"/>
        <w:ind w:left="122" w:right="0" w:firstLine="0"/>
        <w:jc w:val="both"/>
        <w:rPr>
          <w:sz w:val="16"/>
        </w:rPr>
      </w:pPr>
      <w:r>
        <w:rPr>
          <w:sz w:val="16"/>
        </w:rPr>
        <w:t>[Fecha de consulta: 17 de agosto, 2015]</w:t>
      </w:r>
    </w:p>
    <w:p>
      <w:pPr>
        <w:spacing w:line="240" w:lineRule="auto" w:before="0"/>
        <w:ind w:left="122" w:right="199" w:firstLine="0"/>
        <w:jc w:val="both"/>
        <w:rPr>
          <w:sz w:val="16"/>
        </w:rPr>
      </w:pPr>
      <w:r>
        <w:rPr>
          <w:position w:val="6"/>
          <w:sz w:val="10"/>
        </w:rPr>
        <w:t>47 </w:t>
      </w:r>
      <w:r>
        <w:rPr>
          <w:sz w:val="16"/>
        </w:rPr>
        <w:t>Disponible en: </w:t>
      </w:r>
      <w:hyperlink r:id="rId121">
        <w:r>
          <w:rPr>
            <w:sz w:val="16"/>
          </w:rPr>
          <w:t>http://www.memoriapoliticademexico.org/Efemerides/11/13111874.html</w:t>
        </w:r>
      </w:hyperlink>
      <w:r>
        <w:rPr>
          <w:sz w:val="16"/>
        </w:rPr>
        <w:t> [Fecha de consulta: 17 de agosto, 2015]</w:t>
      </w:r>
    </w:p>
    <w:p>
      <w:pPr>
        <w:spacing w:after="0" w:line="240" w:lineRule="auto"/>
        <w:jc w:val="both"/>
        <w:rPr>
          <w:sz w:val="16"/>
        </w:rPr>
        <w:sectPr>
          <w:pgSz w:w="12240" w:h="15840"/>
          <w:pgMar w:header="0" w:footer="1003" w:top="1360" w:bottom="1200" w:left="1580" w:right="1500"/>
        </w:sectPr>
      </w:pPr>
    </w:p>
    <w:p>
      <w:pPr>
        <w:pStyle w:val="BodyText"/>
        <w:spacing w:line="362" w:lineRule="auto" w:before="54"/>
        <w:ind w:left="122" w:right="50"/>
      </w:pPr>
      <w:r>
        <w:rPr/>
        <w:t>hubo una paz política impuesta por el Estado (gobernabilidad). Este periodo presidencial mostró sus preferencias a los capitalistas nacionales y extranjeros.</w:t>
      </w:r>
    </w:p>
    <w:p>
      <w:pPr>
        <w:pStyle w:val="BodyText"/>
        <w:spacing w:line="360" w:lineRule="auto"/>
        <w:ind w:left="122" w:right="120" w:firstLine="427"/>
        <w:jc w:val="both"/>
        <w:rPr>
          <w:sz w:val="16"/>
        </w:rPr>
      </w:pPr>
      <w:r>
        <w:rPr/>
        <w:t>El movimiento revolucionario de 1910 no resolvió las demandas de justicia, igualdad y democracia, que existían desde aquella época. Al concluir la revolución, la clase política siguió concentrando el poder y reforzó las tendencias oligárquicas (Olivares, 2011:47-49). El periodo de 1913 a 1934 es considerado como de paz y la creación de las instituciones. El ciclo del poder de los políticos (o licenciados) prevaleció de 1934 hasta 1982.</w:t>
      </w:r>
      <w:r>
        <w:rPr>
          <w:position w:val="8"/>
          <w:sz w:val="16"/>
        </w:rPr>
        <w:t>48</w:t>
      </w:r>
    </w:p>
    <w:p>
      <w:pPr>
        <w:pStyle w:val="BodyText"/>
        <w:spacing w:line="360" w:lineRule="auto"/>
        <w:ind w:left="122" w:right="118" w:firstLine="427"/>
        <w:jc w:val="both"/>
      </w:pPr>
      <w:r>
        <w:rPr/>
        <w:t>La Constitución de 1917 incluyó modificaciones radicales importantes, ya que permitió la reglamentación del trabajo, prohibió la reelección presidencial, expropió los</w:t>
      </w:r>
      <w:r>
        <w:rPr>
          <w:spacing w:val="-16"/>
        </w:rPr>
        <w:t> </w:t>
      </w:r>
      <w:r>
        <w:rPr/>
        <w:t>bienes</w:t>
      </w:r>
      <w:r>
        <w:rPr>
          <w:spacing w:val="-19"/>
        </w:rPr>
        <w:t> </w:t>
      </w:r>
      <w:r>
        <w:rPr/>
        <w:t>de</w:t>
      </w:r>
      <w:r>
        <w:rPr>
          <w:spacing w:val="-15"/>
        </w:rPr>
        <w:t> </w:t>
      </w:r>
      <w:r>
        <w:rPr/>
        <w:t>la</w:t>
      </w:r>
      <w:r>
        <w:rPr>
          <w:spacing w:val="-16"/>
        </w:rPr>
        <w:t> </w:t>
      </w:r>
      <w:r>
        <w:rPr/>
        <w:t>iglesia,</w:t>
      </w:r>
      <w:r>
        <w:rPr>
          <w:spacing w:val="-18"/>
        </w:rPr>
        <w:t> </w:t>
      </w:r>
      <w:r>
        <w:rPr/>
        <w:t>restableció</w:t>
      </w:r>
      <w:r>
        <w:rPr>
          <w:spacing w:val="-16"/>
        </w:rPr>
        <w:t> </w:t>
      </w:r>
      <w:r>
        <w:rPr/>
        <w:t>los</w:t>
      </w:r>
      <w:r>
        <w:rPr>
          <w:spacing w:val="-16"/>
        </w:rPr>
        <w:t> </w:t>
      </w:r>
      <w:r>
        <w:rPr/>
        <w:t>terrenos</w:t>
      </w:r>
      <w:r>
        <w:rPr>
          <w:spacing w:val="-16"/>
        </w:rPr>
        <w:t> </w:t>
      </w:r>
      <w:r>
        <w:rPr/>
        <w:t>comunales</w:t>
      </w:r>
      <w:r>
        <w:rPr>
          <w:spacing w:val="-18"/>
        </w:rPr>
        <w:t> </w:t>
      </w:r>
      <w:r>
        <w:rPr/>
        <w:t>a</w:t>
      </w:r>
      <w:r>
        <w:rPr>
          <w:spacing w:val="-16"/>
        </w:rPr>
        <w:t> </w:t>
      </w:r>
      <w:r>
        <w:rPr/>
        <w:t>los</w:t>
      </w:r>
      <w:r>
        <w:rPr>
          <w:spacing w:val="-16"/>
        </w:rPr>
        <w:t> </w:t>
      </w:r>
      <w:r>
        <w:rPr/>
        <w:t>indígenas</w:t>
      </w:r>
      <w:r>
        <w:rPr>
          <w:spacing w:val="-16"/>
        </w:rPr>
        <w:t> </w:t>
      </w:r>
      <w:r>
        <w:rPr/>
        <w:t>y</w:t>
      </w:r>
      <w:r>
        <w:rPr>
          <w:spacing w:val="-19"/>
        </w:rPr>
        <w:t> </w:t>
      </w:r>
      <w:r>
        <w:rPr/>
        <w:t>dispuso una reglamentación sobre el petróleo, que lo consideró un recurso nacional inalienable.</w:t>
      </w:r>
    </w:p>
    <w:p>
      <w:pPr>
        <w:pStyle w:val="BodyText"/>
        <w:spacing w:line="360" w:lineRule="auto"/>
        <w:ind w:left="122" w:right="118" w:firstLine="707"/>
        <w:jc w:val="both"/>
      </w:pPr>
      <w:r>
        <w:rPr/>
        <w:t>En</w:t>
      </w:r>
      <w:r>
        <w:rPr>
          <w:spacing w:val="-16"/>
        </w:rPr>
        <w:t> </w:t>
      </w:r>
      <w:r>
        <w:rPr/>
        <w:t>1929</w:t>
      </w:r>
      <w:r>
        <w:rPr>
          <w:spacing w:val="-14"/>
        </w:rPr>
        <w:t> </w:t>
      </w:r>
      <w:r>
        <w:rPr/>
        <w:t>se</w:t>
      </w:r>
      <w:r>
        <w:rPr>
          <w:spacing w:val="-18"/>
        </w:rPr>
        <w:t> </w:t>
      </w:r>
      <w:r>
        <w:rPr/>
        <w:t>fundó</w:t>
      </w:r>
      <w:r>
        <w:rPr>
          <w:spacing w:val="-16"/>
        </w:rPr>
        <w:t> </w:t>
      </w:r>
      <w:r>
        <w:rPr/>
        <w:t>el</w:t>
      </w:r>
      <w:r>
        <w:rPr>
          <w:spacing w:val="-17"/>
        </w:rPr>
        <w:t> </w:t>
      </w:r>
      <w:r>
        <w:rPr/>
        <w:t>Partido</w:t>
      </w:r>
      <w:r>
        <w:rPr>
          <w:spacing w:val="-16"/>
        </w:rPr>
        <w:t> </w:t>
      </w:r>
      <w:r>
        <w:rPr/>
        <w:t>Nacional</w:t>
      </w:r>
      <w:r>
        <w:rPr>
          <w:spacing w:val="-17"/>
        </w:rPr>
        <w:t> </w:t>
      </w:r>
      <w:r>
        <w:rPr/>
        <w:t>Revolucionario,</w:t>
      </w:r>
      <w:r>
        <w:rPr>
          <w:position w:val="8"/>
          <w:sz w:val="16"/>
        </w:rPr>
        <w:t>49</w:t>
      </w:r>
      <w:r>
        <w:rPr>
          <w:spacing w:val="5"/>
          <w:position w:val="8"/>
          <w:sz w:val="16"/>
        </w:rPr>
        <w:t> </w:t>
      </w:r>
      <w:r>
        <w:rPr/>
        <w:t>principal</w:t>
      </w:r>
      <w:r>
        <w:rPr>
          <w:spacing w:val="-17"/>
        </w:rPr>
        <w:t> </w:t>
      </w:r>
      <w:r>
        <w:rPr/>
        <w:t>organización política que mantuvo el poder durante 71 años (1929-2000). En 1932 el partido propuso un programa de 6 años denominado “Sistema Económico Cooperativo Tendente hacia el Socialismo” que fue puesto en práctica en 1934. En 1938 el partido cambió de denominación a Partido de la Revolución</w:t>
      </w:r>
      <w:r>
        <w:rPr>
          <w:spacing w:val="-19"/>
        </w:rPr>
        <w:t> </w:t>
      </w:r>
      <w:r>
        <w:rPr/>
        <w:t>Mexicana.</w:t>
      </w:r>
    </w:p>
    <w:p>
      <w:pPr>
        <w:pStyle w:val="BodyText"/>
        <w:spacing w:line="360" w:lineRule="auto"/>
        <w:ind w:left="122" w:right="116" w:firstLine="427"/>
        <w:jc w:val="both"/>
        <w:rPr>
          <w:sz w:val="16"/>
        </w:rPr>
      </w:pPr>
      <w:r>
        <w:rPr/>
        <w:t>Desde la crisis financiera de 1929 de </w:t>
      </w:r>
      <w:r>
        <w:rPr>
          <w:i/>
        </w:rPr>
        <w:t>Wall Street</w:t>
      </w:r>
      <w:r>
        <w:rPr/>
        <w:t>, que repercutió en los principales centros financieros internacionales, en la academia se planteó la necesidad de revisar el papel del Estado en la economía;</w:t>
      </w:r>
      <w:r>
        <w:rPr>
          <w:position w:val="8"/>
          <w:sz w:val="16"/>
        </w:rPr>
        <w:t>50 </w:t>
      </w:r>
      <w:r>
        <w:rPr/>
        <w:t>sin embargo, aunque desde</w:t>
      </w:r>
      <w:r>
        <w:rPr>
          <w:spacing w:val="-7"/>
        </w:rPr>
        <w:t> </w:t>
      </w:r>
      <w:r>
        <w:rPr/>
        <w:t>la</w:t>
      </w:r>
      <w:r>
        <w:rPr>
          <w:spacing w:val="-7"/>
        </w:rPr>
        <w:t> </w:t>
      </w:r>
      <w:r>
        <w:rPr/>
        <w:t>década</w:t>
      </w:r>
      <w:r>
        <w:rPr>
          <w:spacing w:val="-9"/>
        </w:rPr>
        <w:t> </w:t>
      </w:r>
      <w:r>
        <w:rPr/>
        <w:t>de</w:t>
      </w:r>
      <w:r>
        <w:rPr>
          <w:spacing w:val="-7"/>
        </w:rPr>
        <w:t> </w:t>
      </w:r>
      <w:r>
        <w:rPr/>
        <w:t>1930</w:t>
      </w:r>
      <w:r>
        <w:rPr>
          <w:spacing w:val="-7"/>
        </w:rPr>
        <w:t> </w:t>
      </w:r>
      <w:r>
        <w:rPr/>
        <w:t>se</w:t>
      </w:r>
      <w:r>
        <w:rPr>
          <w:spacing w:val="-9"/>
        </w:rPr>
        <w:t> </w:t>
      </w:r>
      <w:r>
        <w:rPr/>
        <w:t>consideró</w:t>
      </w:r>
      <w:r>
        <w:rPr>
          <w:spacing w:val="-8"/>
        </w:rPr>
        <w:t> </w:t>
      </w:r>
      <w:r>
        <w:rPr/>
        <w:t>que</w:t>
      </w:r>
      <w:r>
        <w:rPr>
          <w:spacing w:val="-9"/>
        </w:rPr>
        <w:t> </w:t>
      </w:r>
      <w:r>
        <w:rPr/>
        <w:t>el</w:t>
      </w:r>
      <w:r>
        <w:rPr>
          <w:spacing w:val="-11"/>
        </w:rPr>
        <w:t> </w:t>
      </w:r>
      <w:r>
        <w:rPr/>
        <w:t>mercado</w:t>
      </w:r>
      <w:r>
        <w:rPr>
          <w:spacing w:val="-9"/>
        </w:rPr>
        <w:t> </w:t>
      </w:r>
      <w:r>
        <w:rPr/>
        <w:t>no</w:t>
      </w:r>
      <w:r>
        <w:rPr>
          <w:spacing w:val="-7"/>
        </w:rPr>
        <w:t> </w:t>
      </w:r>
      <w:r>
        <w:rPr/>
        <w:t>garantiza</w:t>
      </w:r>
      <w:r>
        <w:rPr>
          <w:spacing w:val="-7"/>
        </w:rPr>
        <w:t> </w:t>
      </w:r>
      <w:r>
        <w:rPr/>
        <w:t>condiciones</w:t>
      </w:r>
      <w:r>
        <w:rPr>
          <w:spacing w:val="-8"/>
        </w:rPr>
        <w:t> </w:t>
      </w:r>
      <w:r>
        <w:rPr/>
        <w:t>de equidad, igualdad ni disminución de la pobreza, y que </w:t>
      </w:r>
      <w:r>
        <w:rPr>
          <w:color w:val="252525"/>
        </w:rPr>
        <w:t>sólo </w:t>
      </w:r>
      <w:r>
        <w:rPr/>
        <w:t>el Estado puede definir el tipo de modelo desarrollo nacional. Por recomendaciones de la Comisión Económica</w:t>
      </w:r>
      <w:r>
        <w:rPr>
          <w:spacing w:val="-16"/>
        </w:rPr>
        <w:t> </w:t>
      </w:r>
      <w:r>
        <w:rPr/>
        <w:t>para</w:t>
      </w:r>
      <w:r>
        <w:rPr>
          <w:spacing w:val="-16"/>
        </w:rPr>
        <w:t> </w:t>
      </w:r>
      <w:r>
        <w:rPr/>
        <w:t>América</w:t>
      </w:r>
      <w:r>
        <w:rPr>
          <w:spacing w:val="-13"/>
        </w:rPr>
        <w:t> </w:t>
      </w:r>
      <w:r>
        <w:rPr/>
        <w:t>Latina</w:t>
      </w:r>
      <w:r>
        <w:rPr>
          <w:spacing w:val="-13"/>
        </w:rPr>
        <w:t> </w:t>
      </w:r>
      <w:r>
        <w:rPr/>
        <w:t>y</w:t>
      </w:r>
      <w:r>
        <w:rPr>
          <w:spacing w:val="-16"/>
        </w:rPr>
        <w:t> </w:t>
      </w:r>
      <w:r>
        <w:rPr/>
        <w:t>el</w:t>
      </w:r>
      <w:r>
        <w:rPr>
          <w:spacing w:val="-14"/>
        </w:rPr>
        <w:t> </w:t>
      </w:r>
      <w:r>
        <w:rPr/>
        <w:t>Caribe</w:t>
      </w:r>
      <w:r>
        <w:rPr>
          <w:spacing w:val="-13"/>
        </w:rPr>
        <w:t> </w:t>
      </w:r>
      <w:r>
        <w:rPr/>
        <w:t>(CEPAL),</w:t>
      </w:r>
      <w:r>
        <w:rPr>
          <w:spacing w:val="-17"/>
        </w:rPr>
        <w:t> </w:t>
      </w:r>
      <w:r>
        <w:rPr/>
        <w:t>el</w:t>
      </w:r>
      <w:r>
        <w:rPr>
          <w:spacing w:val="-14"/>
        </w:rPr>
        <w:t> </w:t>
      </w:r>
      <w:r>
        <w:rPr/>
        <w:t>Estado</w:t>
      </w:r>
      <w:r>
        <w:rPr>
          <w:spacing w:val="-16"/>
        </w:rPr>
        <w:t> </w:t>
      </w:r>
      <w:r>
        <w:rPr/>
        <w:t>mexicano</w:t>
      </w:r>
      <w:r>
        <w:rPr>
          <w:spacing w:val="-13"/>
        </w:rPr>
        <w:t> </w:t>
      </w:r>
      <w:r>
        <w:rPr/>
        <w:t>se</w:t>
      </w:r>
      <w:r>
        <w:rPr>
          <w:spacing w:val="-13"/>
        </w:rPr>
        <w:t> </w:t>
      </w:r>
      <w:r>
        <w:rPr/>
        <w:t>orientó a fomentar el crecimiento de la</w:t>
      </w:r>
      <w:r>
        <w:rPr>
          <w:spacing w:val="-13"/>
        </w:rPr>
        <w:t> </w:t>
      </w:r>
      <w:r>
        <w:rPr/>
        <w:t>economía.</w:t>
      </w:r>
      <w:r>
        <w:rPr>
          <w:position w:val="8"/>
          <w:sz w:val="16"/>
        </w:rPr>
        <w:t>51</w:t>
      </w:r>
    </w:p>
    <w:p>
      <w:pPr>
        <w:pStyle w:val="BodyText"/>
        <w:rPr>
          <w:sz w:val="20"/>
        </w:rPr>
      </w:pPr>
    </w:p>
    <w:p>
      <w:pPr>
        <w:pStyle w:val="BodyText"/>
        <w:spacing w:before="6"/>
        <w:rPr>
          <w:sz w:val="13"/>
        </w:rPr>
      </w:pPr>
      <w:r>
        <w:rPr/>
        <w:pict>
          <v:line style="position:absolute;mso-position-horizontal-relative:page;mso-position-vertical-relative:paragraph;z-index:6448;mso-wrap-distance-left:0;mso-wrap-distance-right:0" from="85.103996pt,10.145419pt" to="229.123996pt,10.145419pt" stroked="true" strokeweight=".72003pt" strokecolor="#000000">
            <w10:wrap type="topAndBottom"/>
          </v:line>
        </w:pict>
      </w:r>
    </w:p>
    <w:p>
      <w:pPr>
        <w:spacing w:line="186" w:lineRule="exact" w:before="64"/>
        <w:ind w:left="122" w:right="0" w:firstLine="0"/>
        <w:jc w:val="both"/>
        <w:rPr>
          <w:sz w:val="16"/>
        </w:rPr>
      </w:pPr>
      <w:r>
        <w:rPr>
          <w:position w:val="6"/>
          <w:sz w:val="10"/>
        </w:rPr>
        <w:t>48 </w:t>
      </w:r>
      <w:r>
        <w:rPr>
          <w:sz w:val="16"/>
        </w:rPr>
        <w:t>Disponible en: </w:t>
      </w:r>
      <w:hyperlink r:id="rId122">
        <w:r>
          <w:rPr>
            <w:sz w:val="16"/>
          </w:rPr>
          <w:t>http://nuevamayoria.com/analisis/serbolov/serbolov3011.htm</w:t>
        </w:r>
      </w:hyperlink>
      <w:r>
        <w:rPr>
          <w:sz w:val="16"/>
        </w:rPr>
        <w:t> [Fecha de consulta: 20 de agosto, 2015]</w:t>
      </w:r>
    </w:p>
    <w:p>
      <w:pPr>
        <w:spacing w:before="0"/>
        <w:ind w:left="122" w:right="121" w:firstLine="0"/>
        <w:jc w:val="both"/>
        <w:rPr>
          <w:sz w:val="16"/>
        </w:rPr>
      </w:pPr>
      <w:r>
        <w:rPr>
          <w:position w:val="6"/>
          <w:sz w:val="10"/>
        </w:rPr>
        <w:t>49</w:t>
      </w:r>
      <w:r>
        <w:rPr>
          <w:spacing w:val="14"/>
          <w:position w:val="6"/>
          <w:sz w:val="10"/>
        </w:rPr>
        <w:t> </w:t>
      </w:r>
      <w:r>
        <w:rPr>
          <w:sz w:val="16"/>
        </w:rPr>
        <w:t>Obregón</w:t>
      </w:r>
      <w:r>
        <w:rPr>
          <w:spacing w:val="-3"/>
          <w:sz w:val="16"/>
        </w:rPr>
        <w:t> </w:t>
      </w:r>
      <w:r>
        <w:rPr>
          <w:sz w:val="16"/>
        </w:rPr>
        <w:t>inició</w:t>
      </w:r>
      <w:r>
        <w:rPr>
          <w:spacing w:val="-5"/>
          <w:sz w:val="16"/>
        </w:rPr>
        <w:t> </w:t>
      </w:r>
      <w:r>
        <w:rPr>
          <w:sz w:val="16"/>
        </w:rPr>
        <w:t>las</w:t>
      </w:r>
      <w:r>
        <w:rPr>
          <w:spacing w:val="-4"/>
          <w:sz w:val="16"/>
        </w:rPr>
        <w:t> </w:t>
      </w:r>
      <w:r>
        <w:rPr>
          <w:sz w:val="16"/>
        </w:rPr>
        <w:t>actividades</w:t>
      </w:r>
      <w:r>
        <w:rPr>
          <w:spacing w:val="-4"/>
          <w:sz w:val="16"/>
        </w:rPr>
        <w:t> </w:t>
      </w:r>
      <w:r>
        <w:rPr>
          <w:sz w:val="16"/>
        </w:rPr>
        <w:t>para</w:t>
      </w:r>
      <w:r>
        <w:rPr>
          <w:spacing w:val="-3"/>
          <w:sz w:val="16"/>
        </w:rPr>
        <w:t> </w:t>
      </w:r>
      <w:r>
        <w:rPr>
          <w:sz w:val="16"/>
        </w:rPr>
        <w:t>la</w:t>
      </w:r>
      <w:r>
        <w:rPr>
          <w:spacing w:val="-5"/>
          <w:sz w:val="16"/>
        </w:rPr>
        <w:t> </w:t>
      </w:r>
      <w:r>
        <w:rPr>
          <w:sz w:val="16"/>
        </w:rPr>
        <w:t>formación</w:t>
      </w:r>
      <w:r>
        <w:rPr>
          <w:spacing w:val="-6"/>
          <w:sz w:val="16"/>
        </w:rPr>
        <w:t> </w:t>
      </w:r>
      <w:r>
        <w:rPr>
          <w:sz w:val="16"/>
        </w:rPr>
        <w:t>del</w:t>
      </w:r>
      <w:r>
        <w:rPr>
          <w:spacing w:val="-5"/>
          <w:sz w:val="16"/>
        </w:rPr>
        <w:t> </w:t>
      </w:r>
      <w:r>
        <w:rPr>
          <w:sz w:val="16"/>
        </w:rPr>
        <w:t>partido</w:t>
      </w:r>
      <w:r>
        <w:rPr>
          <w:spacing w:val="-6"/>
          <w:sz w:val="16"/>
        </w:rPr>
        <w:t> </w:t>
      </w:r>
      <w:r>
        <w:rPr>
          <w:sz w:val="16"/>
        </w:rPr>
        <w:t>que</w:t>
      </w:r>
      <w:r>
        <w:rPr>
          <w:spacing w:val="-3"/>
          <w:sz w:val="16"/>
        </w:rPr>
        <w:t> </w:t>
      </w:r>
      <w:r>
        <w:rPr>
          <w:sz w:val="16"/>
        </w:rPr>
        <w:t>gobernaría</w:t>
      </w:r>
      <w:r>
        <w:rPr>
          <w:spacing w:val="-3"/>
          <w:sz w:val="16"/>
        </w:rPr>
        <w:t> </w:t>
      </w:r>
      <w:r>
        <w:rPr>
          <w:sz w:val="16"/>
        </w:rPr>
        <w:t>durante</w:t>
      </w:r>
      <w:r>
        <w:rPr>
          <w:spacing w:val="-3"/>
          <w:sz w:val="16"/>
        </w:rPr>
        <w:t> </w:t>
      </w:r>
      <w:r>
        <w:rPr>
          <w:sz w:val="16"/>
        </w:rPr>
        <w:t>71</w:t>
      </w:r>
      <w:r>
        <w:rPr>
          <w:spacing w:val="-3"/>
          <w:sz w:val="16"/>
        </w:rPr>
        <w:t> </w:t>
      </w:r>
      <w:r>
        <w:rPr>
          <w:sz w:val="16"/>
        </w:rPr>
        <w:t>años,</w:t>
      </w:r>
      <w:r>
        <w:rPr>
          <w:spacing w:val="-4"/>
          <w:sz w:val="16"/>
        </w:rPr>
        <w:t> </w:t>
      </w:r>
      <w:r>
        <w:rPr>
          <w:sz w:val="16"/>
        </w:rPr>
        <w:t>sin</w:t>
      </w:r>
      <w:r>
        <w:rPr>
          <w:spacing w:val="-3"/>
          <w:sz w:val="16"/>
        </w:rPr>
        <w:t> </w:t>
      </w:r>
      <w:r>
        <w:rPr>
          <w:sz w:val="16"/>
        </w:rPr>
        <w:t>embargo,</w:t>
      </w:r>
      <w:r>
        <w:rPr>
          <w:spacing w:val="-2"/>
          <w:sz w:val="16"/>
        </w:rPr>
        <w:t> </w:t>
      </w:r>
      <w:r>
        <w:rPr>
          <w:sz w:val="16"/>
        </w:rPr>
        <w:t>fue</w:t>
      </w:r>
      <w:r>
        <w:rPr>
          <w:spacing w:val="-7"/>
          <w:sz w:val="16"/>
        </w:rPr>
        <w:t> </w:t>
      </w:r>
      <w:r>
        <w:rPr>
          <w:sz w:val="16"/>
        </w:rPr>
        <w:t>Elías</w:t>
      </w:r>
      <w:r>
        <w:rPr>
          <w:spacing w:val="-4"/>
          <w:sz w:val="16"/>
        </w:rPr>
        <w:t> </w:t>
      </w:r>
      <w:r>
        <w:rPr>
          <w:sz w:val="16"/>
        </w:rPr>
        <w:t>Calles quien continuó con esa labor tras el asesinato de Obregón. Se le reconoce a Calles con la frase de que se debía transitar de “la etapa de los caudillos a la de las</w:t>
      </w:r>
      <w:r>
        <w:rPr>
          <w:spacing w:val="-14"/>
          <w:sz w:val="16"/>
        </w:rPr>
        <w:t> </w:t>
      </w:r>
      <w:r>
        <w:rPr>
          <w:sz w:val="16"/>
        </w:rPr>
        <w:t>instituciones”.</w:t>
      </w:r>
    </w:p>
    <w:p>
      <w:pPr>
        <w:spacing w:line="181" w:lineRule="exact" w:before="1"/>
        <w:ind w:left="122" w:right="0" w:firstLine="0"/>
        <w:jc w:val="both"/>
        <w:rPr>
          <w:sz w:val="16"/>
        </w:rPr>
      </w:pPr>
      <w:r>
        <w:rPr>
          <w:sz w:val="16"/>
        </w:rPr>
        <w:t>Disponible en: </w:t>
      </w:r>
      <w:hyperlink r:id="rId122">
        <w:r>
          <w:rPr>
            <w:sz w:val="16"/>
          </w:rPr>
          <w:t>http://nuevamayoria.com/analisis/serbolov/serbolov3011.htm</w:t>
        </w:r>
      </w:hyperlink>
      <w:r>
        <w:rPr>
          <w:sz w:val="16"/>
        </w:rPr>
        <w:t> [Fecha de consulta: 20 de agosto , 2015]</w:t>
      </w:r>
    </w:p>
    <w:p>
      <w:pPr>
        <w:spacing w:line="222" w:lineRule="exact" w:before="0"/>
        <w:ind w:left="122" w:right="0" w:firstLine="0"/>
        <w:jc w:val="both"/>
        <w:rPr>
          <w:sz w:val="16"/>
        </w:rPr>
      </w:pPr>
      <w:r>
        <w:rPr>
          <w:rFonts w:ascii="Times New Roman" w:hAnsi="Times New Roman"/>
          <w:position w:val="7"/>
          <w:sz w:val="13"/>
        </w:rPr>
        <w:t>50</w:t>
      </w:r>
      <w:r>
        <w:rPr>
          <w:sz w:val="16"/>
        </w:rPr>
        <w:t>Hasta el momento no hay un consenso sobre el grado de intervención que debe tener el Estado en el mercado.</w:t>
      </w:r>
    </w:p>
    <w:p>
      <w:pPr>
        <w:spacing w:before="9"/>
        <w:ind w:left="122" w:right="116" w:firstLine="0"/>
        <w:jc w:val="both"/>
        <w:rPr>
          <w:sz w:val="16"/>
        </w:rPr>
      </w:pPr>
      <w:r>
        <w:rPr>
          <w:position w:val="6"/>
          <w:sz w:val="10"/>
        </w:rPr>
        <w:t>51 </w:t>
      </w:r>
      <w:r>
        <w:rPr>
          <w:sz w:val="16"/>
        </w:rPr>
        <w:t>La SHCP considera que la política económica es primeramente política y su carácter es económico, es el ejercicio de la política</w:t>
      </w:r>
      <w:r>
        <w:rPr>
          <w:spacing w:val="-9"/>
          <w:sz w:val="16"/>
        </w:rPr>
        <w:t> </w:t>
      </w:r>
      <w:r>
        <w:rPr>
          <w:sz w:val="16"/>
        </w:rPr>
        <w:t>entendida</w:t>
      </w:r>
      <w:r>
        <w:rPr>
          <w:spacing w:val="-7"/>
          <w:sz w:val="16"/>
        </w:rPr>
        <w:t> </w:t>
      </w:r>
      <w:r>
        <w:rPr>
          <w:sz w:val="16"/>
        </w:rPr>
        <w:t>ésta</w:t>
      </w:r>
      <w:r>
        <w:rPr>
          <w:spacing w:val="-12"/>
          <w:sz w:val="16"/>
        </w:rPr>
        <w:t> </w:t>
      </w:r>
      <w:r>
        <w:rPr>
          <w:sz w:val="16"/>
        </w:rPr>
        <w:t>como</w:t>
      </w:r>
      <w:r>
        <w:rPr>
          <w:spacing w:val="-9"/>
          <w:sz w:val="16"/>
        </w:rPr>
        <w:t> </w:t>
      </w:r>
      <w:r>
        <w:rPr>
          <w:sz w:val="16"/>
        </w:rPr>
        <w:t>esa</w:t>
      </w:r>
      <w:r>
        <w:rPr>
          <w:spacing w:val="-9"/>
          <w:sz w:val="16"/>
        </w:rPr>
        <w:t> </w:t>
      </w:r>
      <w:r>
        <w:rPr>
          <w:sz w:val="16"/>
        </w:rPr>
        <w:t>lucha</w:t>
      </w:r>
      <w:r>
        <w:rPr>
          <w:spacing w:val="-7"/>
          <w:sz w:val="16"/>
        </w:rPr>
        <w:t> </w:t>
      </w:r>
      <w:r>
        <w:rPr>
          <w:sz w:val="16"/>
        </w:rPr>
        <w:t>entre</w:t>
      </w:r>
      <w:r>
        <w:rPr>
          <w:spacing w:val="-7"/>
          <w:sz w:val="16"/>
        </w:rPr>
        <w:t> </w:t>
      </w:r>
      <w:r>
        <w:rPr>
          <w:sz w:val="16"/>
        </w:rPr>
        <w:t>diferentes</w:t>
      </w:r>
      <w:r>
        <w:rPr>
          <w:spacing w:val="-7"/>
          <w:sz w:val="16"/>
        </w:rPr>
        <w:t> </w:t>
      </w:r>
      <w:r>
        <w:rPr>
          <w:sz w:val="16"/>
        </w:rPr>
        <w:t>grupos</w:t>
      </w:r>
      <w:r>
        <w:rPr>
          <w:spacing w:val="-7"/>
          <w:sz w:val="16"/>
        </w:rPr>
        <w:t> </w:t>
      </w:r>
      <w:r>
        <w:rPr>
          <w:sz w:val="16"/>
        </w:rPr>
        <w:t>de</w:t>
      </w:r>
      <w:r>
        <w:rPr>
          <w:spacing w:val="-9"/>
          <w:sz w:val="16"/>
        </w:rPr>
        <w:t> </w:t>
      </w:r>
      <w:r>
        <w:rPr>
          <w:sz w:val="16"/>
        </w:rPr>
        <w:t>la</w:t>
      </w:r>
      <w:r>
        <w:rPr>
          <w:spacing w:val="-9"/>
          <w:sz w:val="16"/>
        </w:rPr>
        <w:t> </w:t>
      </w:r>
      <w:r>
        <w:rPr>
          <w:sz w:val="16"/>
        </w:rPr>
        <w:t>sociedad</w:t>
      </w:r>
      <w:r>
        <w:rPr>
          <w:spacing w:val="-9"/>
          <w:sz w:val="16"/>
        </w:rPr>
        <w:t> </w:t>
      </w:r>
      <w:r>
        <w:rPr>
          <w:sz w:val="16"/>
        </w:rPr>
        <w:t>por</w:t>
      </w:r>
      <w:r>
        <w:rPr>
          <w:spacing w:val="-7"/>
          <w:sz w:val="16"/>
        </w:rPr>
        <w:t> </w:t>
      </w:r>
      <w:r>
        <w:rPr>
          <w:sz w:val="16"/>
        </w:rPr>
        <w:t>el</w:t>
      </w:r>
      <w:r>
        <w:rPr>
          <w:spacing w:val="-8"/>
          <w:sz w:val="16"/>
        </w:rPr>
        <w:t> </w:t>
      </w:r>
      <w:r>
        <w:rPr>
          <w:sz w:val="16"/>
        </w:rPr>
        <w:t>poder,</w:t>
      </w:r>
      <w:r>
        <w:rPr>
          <w:spacing w:val="-8"/>
          <w:sz w:val="16"/>
        </w:rPr>
        <w:t> </w:t>
      </w:r>
      <w:r>
        <w:rPr>
          <w:sz w:val="16"/>
        </w:rPr>
        <w:t>por</w:t>
      </w:r>
      <w:r>
        <w:rPr>
          <w:spacing w:val="-9"/>
          <w:sz w:val="16"/>
        </w:rPr>
        <w:t> </w:t>
      </w:r>
      <w:r>
        <w:rPr>
          <w:sz w:val="16"/>
        </w:rPr>
        <w:t>tener</w:t>
      </w:r>
      <w:r>
        <w:rPr>
          <w:spacing w:val="-7"/>
          <w:sz w:val="16"/>
        </w:rPr>
        <w:t> </w:t>
      </w:r>
      <w:r>
        <w:rPr>
          <w:sz w:val="16"/>
        </w:rPr>
        <w:t>la</w:t>
      </w:r>
      <w:r>
        <w:rPr>
          <w:spacing w:val="-11"/>
          <w:sz w:val="16"/>
        </w:rPr>
        <w:t> </w:t>
      </w:r>
      <w:r>
        <w:rPr>
          <w:sz w:val="16"/>
        </w:rPr>
        <w:t>capacidad</w:t>
      </w:r>
      <w:r>
        <w:rPr>
          <w:spacing w:val="-9"/>
          <w:sz w:val="16"/>
        </w:rPr>
        <w:t> </w:t>
      </w:r>
      <w:r>
        <w:rPr>
          <w:sz w:val="16"/>
        </w:rPr>
        <w:t>de</w:t>
      </w:r>
      <w:r>
        <w:rPr>
          <w:spacing w:val="-9"/>
          <w:sz w:val="16"/>
        </w:rPr>
        <w:t> </w:t>
      </w:r>
      <w:r>
        <w:rPr>
          <w:sz w:val="16"/>
        </w:rPr>
        <w:t>imponer su punto de vista, sus intereses a los</w:t>
      </w:r>
      <w:r>
        <w:rPr>
          <w:spacing w:val="-21"/>
          <w:sz w:val="16"/>
        </w:rPr>
        <w:t> </w:t>
      </w:r>
      <w:r>
        <w:rPr>
          <w:sz w:val="16"/>
        </w:rPr>
        <w:t>demás.</w:t>
      </w:r>
    </w:p>
    <w:p>
      <w:pPr>
        <w:spacing w:after="0"/>
        <w:jc w:val="both"/>
        <w:rPr>
          <w:sz w:val="16"/>
        </w:rPr>
        <w:sectPr>
          <w:pgSz w:w="12240" w:h="15840"/>
          <w:pgMar w:header="0" w:footer="1003" w:top="1360" w:bottom="1200" w:left="1580" w:right="1580"/>
        </w:sectPr>
      </w:pPr>
    </w:p>
    <w:p>
      <w:pPr>
        <w:pStyle w:val="BodyText"/>
        <w:spacing w:line="360" w:lineRule="auto" w:before="69"/>
        <w:ind w:left="122" w:right="117" w:firstLine="427"/>
        <w:jc w:val="both"/>
      </w:pPr>
      <w:r>
        <w:rPr/>
        <w:t>El cambio de la representación del poder de caudillismo a presidencialismo</w:t>
      </w:r>
      <w:r>
        <w:rPr>
          <w:position w:val="8"/>
          <w:sz w:val="16"/>
        </w:rPr>
        <w:t>52 </w:t>
      </w:r>
      <w:r>
        <w:rPr/>
        <w:t>inició en 1940. El término“presidencialismo” con el tiempo fue usado para designar el fuerte papel del representante del Poder Ejecutivo sobre los otros dos poderes, lo</w:t>
      </w:r>
      <w:r>
        <w:rPr>
          <w:spacing w:val="-6"/>
        </w:rPr>
        <w:t> </w:t>
      </w:r>
      <w:r>
        <w:rPr/>
        <w:t>que</w:t>
      </w:r>
      <w:r>
        <w:rPr>
          <w:spacing w:val="-6"/>
        </w:rPr>
        <w:t> </w:t>
      </w:r>
      <w:r>
        <w:rPr/>
        <w:t>implicó</w:t>
      </w:r>
      <w:r>
        <w:rPr>
          <w:spacing w:val="-8"/>
        </w:rPr>
        <w:t> </w:t>
      </w:r>
      <w:r>
        <w:rPr/>
        <w:t>que</w:t>
      </w:r>
      <w:r>
        <w:rPr>
          <w:spacing w:val="-6"/>
        </w:rPr>
        <w:t> </w:t>
      </w:r>
      <w:r>
        <w:rPr/>
        <w:t>el</w:t>
      </w:r>
      <w:r>
        <w:rPr>
          <w:spacing w:val="-10"/>
        </w:rPr>
        <w:t> </w:t>
      </w:r>
      <w:r>
        <w:rPr/>
        <w:t>presidente</w:t>
      </w:r>
      <w:r>
        <w:rPr>
          <w:spacing w:val="-6"/>
        </w:rPr>
        <w:t> </w:t>
      </w:r>
      <w:r>
        <w:rPr/>
        <w:t>desempeñara</w:t>
      </w:r>
      <w:r>
        <w:rPr>
          <w:spacing w:val="-9"/>
        </w:rPr>
        <w:t> </w:t>
      </w:r>
      <w:r>
        <w:rPr/>
        <w:t>un</w:t>
      </w:r>
      <w:r>
        <w:rPr>
          <w:spacing w:val="-6"/>
        </w:rPr>
        <w:t> </w:t>
      </w:r>
      <w:r>
        <w:rPr/>
        <w:t>cargo</w:t>
      </w:r>
      <w:r>
        <w:rPr>
          <w:spacing w:val="-6"/>
        </w:rPr>
        <w:t> </w:t>
      </w:r>
      <w:r>
        <w:rPr/>
        <w:t>sin</w:t>
      </w:r>
      <w:r>
        <w:rPr>
          <w:spacing w:val="-6"/>
        </w:rPr>
        <w:t> </w:t>
      </w:r>
      <w:r>
        <w:rPr/>
        <w:t>contrapesos</w:t>
      </w:r>
      <w:r>
        <w:rPr>
          <w:spacing w:val="-7"/>
        </w:rPr>
        <w:t> </w:t>
      </w:r>
      <w:r>
        <w:rPr/>
        <w:t>y</w:t>
      </w:r>
      <w:r>
        <w:rPr>
          <w:spacing w:val="-9"/>
        </w:rPr>
        <w:t> </w:t>
      </w:r>
      <w:r>
        <w:rPr/>
        <w:t>sin</w:t>
      </w:r>
      <w:r>
        <w:rPr>
          <w:spacing w:val="-6"/>
        </w:rPr>
        <w:t> </w:t>
      </w:r>
      <w:r>
        <w:rPr/>
        <w:t>rendir cuentas a la</w:t>
      </w:r>
      <w:r>
        <w:rPr>
          <w:spacing w:val="-7"/>
        </w:rPr>
        <w:t> </w:t>
      </w:r>
      <w:r>
        <w:rPr/>
        <w:t>sociedad.</w:t>
      </w:r>
    </w:p>
    <w:p>
      <w:pPr>
        <w:pStyle w:val="BodyText"/>
        <w:spacing w:line="357" w:lineRule="auto" w:before="5"/>
        <w:ind w:left="122" w:right="117" w:firstLine="427"/>
        <w:jc w:val="both"/>
        <w:rPr>
          <w:sz w:val="16"/>
        </w:rPr>
      </w:pPr>
      <w:r>
        <w:rPr/>
        <w:t>En el periodo 1929-2000 una misma persona (presidente) representó las características del poder político mexicano institucional partidario y presidencialismo, por lo que el poder se identificó con un hombre y no </w:t>
      </w:r>
      <w:r>
        <w:rPr>
          <w:color w:val="00AF50"/>
        </w:rPr>
        <w:t>con </w:t>
      </w:r>
      <w:r>
        <w:rPr/>
        <w:t>un sistema político o el Estado.</w:t>
      </w:r>
      <w:r>
        <w:rPr>
          <w:position w:val="8"/>
          <w:sz w:val="16"/>
        </w:rPr>
        <w:t>53</w:t>
      </w:r>
    </w:p>
    <w:p>
      <w:pPr>
        <w:pStyle w:val="BodyText"/>
        <w:spacing w:line="360" w:lineRule="auto" w:before="4"/>
        <w:ind w:left="122" w:right="117" w:firstLine="427"/>
        <w:jc w:val="both"/>
      </w:pPr>
      <w:r>
        <w:rPr/>
        <w:t>En 1945 el Estado mexicano se adhirió a la Organización de las Naciones Unidas y el año siguiente llevó a cabo un programa político orientado a lograr una distribución más equitativa del ingreso y un mayor impulso a la industrialización.</w:t>
      </w:r>
    </w:p>
    <w:p>
      <w:pPr>
        <w:pStyle w:val="BodyText"/>
        <w:spacing w:line="360" w:lineRule="auto" w:before="2"/>
        <w:ind w:left="122" w:right="114" w:firstLine="427"/>
        <w:jc w:val="both"/>
      </w:pPr>
      <w:r>
        <w:rPr/>
        <w:t>En 1952 el gobierno de Estados Unidos emitió una legislación que penalizaba a aquellos estadounidenses que dieran empleo </w:t>
      </w:r>
      <w:r>
        <w:rPr>
          <w:color w:val="252525"/>
        </w:rPr>
        <w:t>a </w:t>
      </w:r>
      <w:r>
        <w:rPr/>
        <w:t>personas extranjeras ilegales. La política exterior mexicana se orientó a los derechos laborales de los mexicanos en el</w:t>
      </w:r>
      <w:r>
        <w:rPr>
          <w:spacing w:val="-17"/>
        </w:rPr>
        <w:t> </w:t>
      </w:r>
      <w:r>
        <w:rPr/>
        <w:t>territorio</w:t>
      </w:r>
      <w:r>
        <w:rPr>
          <w:spacing w:val="-16"/>
        </w:rPr>
        <w:t> </w:t>
      </w:r>
      <w:r>
        <w:rPr/>
        <w:t>estadounidense.</w:t>
      </w:r>
      <w:r>
        <w:rPr>
          <w:spacing w:val="-18"/>
        </w:rPr>
        <w:t> </w:t>
      </w:r>
      <w:r>
        <w:rPr/>
        <w:t>En</w:t>
      </w:r>
      <w:r>
        <w:rPr>
          <w:spacing w:val="-16"/>
        </w:rPr>
        <w:t> </w:t>
      </w:r>
      <w:r>
        <w:rPr/>
        <w:t>ese</w:t>
      </w:r>
      <w:r>
        <w:rPr>
          <w:spacing w:val="-18"/>
        </w:rPr>
        <w:t> </w:t>
      </w:r>
      <w:r>
        <w:rPr/>
        <w:t>mismo</w:t>
      </w:r>
      <w:r>
        <w:rPr>
          <w:spacing w:val="-18"/>
        </w:rPr>
        <w:t> </w:t>
      </w:r>
      <w:r>
        <w:rPr/>
        <w:t>año</w:t>
      </w:r>
      <w:r>
        <w:rPr>
          <w:spacing w:val="-16"/>
        </w:rPr>
        <w:t> </w:t>
      </w:r>
      <w:r>
        <w:rPr/>
        <w:t>se</w:t>
      </w:r>
      <w:r>
        <w:rPr>
          <w:spacing w:val="-16"/>
        </w:rPr>
        <w:t> </w:t>
      </w:r>
      <w:r>
        <w:rPr/>
        <w:t>realizó</w:t>
      </w:r>
      <w:r>
        <w:rPr>
          <w:spacing w:val="-16"/>
        </w:rPr>
        <w:t> </w:t>
      </w:r>
      <w:r>
        <w:rPr/>
        <w:t>una</w:t>
      </w:r>
      <w:r>
        <w:rPr>
          <w:spacing w:val="-16"/>
        </w:rPr>
        <w:t> </w:t>
      </w:r>
      <w:r>
        <w:rPr/>
        <w:t>reforma</w:t>
      </w:r>
      <w:r>
        <w:rPr>
          <w:spacing w:val="-16"/>
        </w:rPr>
        <w:t> </w:t>
      </w:r>
      <w:r>
        <w:rPr/>
        <w:t>constitucional en la cual el derecho al voto fue extensivo a la</w:t>
      </w:r>
      <w:r>
        <w:rPr>
          <w:spacing w:val="-21"/>
        </w:rPr>
        <w:t> </w:t>
      </w:r>
      <w:r>
        <w:rPr/>
        <w:t>mujer.</w:t>
      </w:r>
    </w:p>
    <w:p>
      <w:pPr>
        <w:pStyle w:val="BodyText"/>
        <w:spacing w:line="360" w:lineRule="auto"/>
        <w:ind w:left="122" w:right="117" w:firstLine="427"/>
        <w:jc w:val="both"/>
      </w:pPr>
      <w:r>
        <w:rPr/>
        <w:t>La</w:t>
      </w:r>
      <w:r>
        <w:rPr>
          <w:spacing w:val="-12"/>
        </w:rPr>
        <w:t> </w:t>
      </w:r>
      <w:r>
        <w:rPr/>
        <w:t>década</w:t>
      </w:r>
      <w:r>
        <w:rPr>
          <w:spacing w:val="-14"/>
        </w:rPr>
        <w:t> </w:t>
      </w:r>
      <w:r>
        <w:rPr/>
        <w:t>de</w:t>
      </w:r>
      <w:r>
        <w:rPr>
          <w:spacing w:val="-14"/>
        </w:rPr>
        <w:t> </w:t>
      </w:r>
      <w:r>
        <w:rPr/>
        <w:t>1970</w:t>
      </w:r>
      <w:r>
        <w:rPr>
          <w:spacing w:val="-12"/>
        </w:rPr>
        <w:t> </w:t>
      </w:r>
      <w:r>
        <w:rPr/>
        <w:t>se</w:t>
      </w:r>
      <w:r>
        <w:rPr>
          <w:spacing w:val="-14"/>
        </w:rPr>
        <w:t> </w:t>
      </w:r>
      <w:r>
        <w:rPr/>
        <w:t>caracterizó</w:t>
      </w:r>
      <w:r>
        <w:rPr>
          <w:spacing w:val="-12"/>
        </w:rPr>
        <w:t> </w:t>
      </w:r>
      <w:r>
        <w:rPr/>
        <w:t>por</w:t>
      </w:r>
      <w:r>
        <w:rPr>
          <w:spacing w:val="-13"/>
        </w:rPr>
        <w:t> </w:t>
      </w:r>
      <w:r>
        <w:rPr/>
        <w:t>una</w:t>
      </w:r>
      <w:r>
        <w:rPr>
          <w:spacing w:val="-14"/>
        </w:rPr>
        <w:t> </w:t>
      </w:r>
      <w:r>
        <w:rPr/>
        <w:t>política</w:t>
      </w:r>
      <w:r>
        <w:rPr>
          <w:spacing w:val="-12"/>
        </w:rPr>
        <w:t> </w:t>
      </w:r>
      <w:r>
        <w:rPr/>
        <w:t>de</w:t>
      </w:r>
      <w:r>
        <w:rPr>
          <w:spacing w:val="-12"/>
        </w:rPr>
        <w:t> </w:t>
      </w:r>
      <w:r>
        <w:rPr/>
        <w:t>Estado</w:t>
      </w:r>
      <w:r>
        <w:rPr>
          <w:spacing w:val="-12"/>
        </w:rPr>
        <w:t> </w:t>
      </w:r>
      <w:r>
        <w:rPr/>
        <w:t>altamente</w:t>
      </w:r>
      <w:r>
        <w:rPr>
          <w:spacing w:val="-14"/>
        </w:rPr>
        <w:t> </w:t>
      </w:r>
      <w:r>
        <w:rPr/>
        <w:t>activa:</w:t>
      </w:r>
      <w:r>
        <w:rPr>
          <w:position w:val="8"/>
          <w:sz w:val="16"/>
        </w:rPr>
        <w:t>54 </w:t>
      </w:r>
      <w:r>
        <w:rPr/>
        <w:t>fue una época proclive a la nacionalización de activos, el aumento de empresas públicas,</w:t>
      </w:r>
      <w:r>
        <w:rPr>
          <w:spacing w:val="-4"/>
        </w:rPr>
        <w:t> </w:t>
      </w:r>
      <w:r>
        <w:rPr/>
        <w:t>los</w:t>
      </w:r>
      <w:r>
        <w:rPr>
          <w:spacing w:val="-6"/>
        </w:rPr>
        <w:t> </w:t>
      </w:r>
      <w:r>
        <w:rPr/>
        <w:t>mayores</w:t>
      </w:r>
      <w:r>
        <w:rPr>
          <w:spacing w:val="-7"/>
        </w:rPr>
        <w:t> </w:t>
      </w:r>
      <w:r>
        <w:rPr/>
        <w:t>problemas</w:t>
      </w:r>
      <w:r>
        <w:rPr>
          <w:spacing w:val="-7"/>
        </w:rPr>
        <w:t> </w:t>
      </w:r>
      <w:r>
        <w:rPr/>
        <w:t>fiscales</w:t>
      </w:r>
      <w:r>
        <w:rPr>
          <w:spacing w:val="-4"/>
        </w:rPr>
        <w:t> </w:t>
      </w:r>
      <w:r>
        <w:rPr/>
        <w:t>y</w:t>
      </w:r>
      <w:r>
        <w:rPr>
          <w:spacing w:val="-7"/>
        </w:rPr>
        <w:t> </w:t>
      </w:r>
      <w:r>
        <w:rPr/>
        <w:t>deuda</w:t>
      </w:r>
      <w:r>
        <w:rPr>
          <w:spacing w:val="-4"/>
        </w:rPr>
        <w:t> </w:t>
      </w:r>
      <w:r>
        <w:rPr/>
        <w:t>externa.</w:t>
      </w:r>
      <w:r>
        <w:rPr>
          <w:spacing w:val="-4"/>
        </w:rPr>
        <w:t> </w:t>
      </w:r>
      <w:r>
        <w:rPr/>
        <w:t>De</w:t>
      </w:r>
      <w:r>
        <w:rPr>
          <w:spacing w:val="-4"/>
        </w:rPr>
        <w:t> </w:t>
      </w:r>
      <w:r>
        <w:rPr/>
        <w:t>ahí</w:t>
      </w:r>
      <w:r>
        <w:rPr>
          <w:spacing w:val="-6"/>
        </w:rPr>
        <w:t> </w:t>
      </w:r>
      <w:r>
        <w:rPr/>
        <w:t>se</w:t>
      </w:r>
      <w:r>
        <w:rPr>
          <w:spacing w:val="-4"/>
        </w:rPr>
        <w:t> </w:t>
      </w:r>
      <w:r>
        <w:rPr/>
        <w:t>consolidó</w:t>
      </w:r>
      <w:r>
        <w:rPr>
          <w:spacing w:val="-4"/>
        </w:rPr>
        <w:t> </w:t>
      </w:r>
      <w:r>
        <w:rPr/>
        <w:t>una clase política que, además de ejercer el poder de forma discrecional, aumentó la desigualdad social y la</w:t>
      </w:r>
      <w:r>
        <w:rPr>
          <w:spacing w:val="-7"/>
        </w:rPr>
        <w:t> </w:t>
      </w:r>
      <w:r>
        <w:rPr/>
        <w:t>corrupción.</w:t>
      </w:r>
    </w:p>
    <w:p>
      <w:pPr>
        <w:pStyle w:val="BodyText"/>
        <w:spacing w:line="360" w:lineRule="auto" w:before="2"/>
        <w:ind w:left="122" w:right="124" w:firstLine="427"/>
        <w:jc w:val="both"/>
      </w:pPr>
      <w:r>
        <w:rPr/>
        <w:t>En 1977 se reformaron los artículos sexto y octavo de la Constitución Federal, que reconocen el derecho a la obtención de la información gubernamental y el “derecho a petición”, que faculta a la sociedad mexicana a realizar consultas relativas a las actividades gubernamentales. Este fue el primer paso para abrir los espacios hacia la transparencia en México.</w:t>
      </w:r>
    </w:p>
    <w:p>
      <w:pPr>
        <w:pStyle w:val="BodyText"/>
        <w:spacing w:before="10"/>
        <w:rPr>
          <w:sz w:val="13"/>
        </w:rPr>
      </w:pPr>
      <w:r>
        <w:rPr/>
        <w:pict>
          <v:line style="position:absolute;mso-position-horizontal-relative:page;mso-position-vertical-relative:paragraph;z-index:6472;mso-wrap-distance-left:0;mso-wrap-distance-right:0" from="85.103996pt,10.313897pt" to="229.123996pt,10.313897pt" stroked="true" strokeweight=".72003pt" strokecolor="#000000">
            <w10:wrap type="topAndBottom"/>
          </v:line>
        </w:pict>
      </w:r>
    </w:p>
    <w:p>
      <w:pPr>
        <w:spacing w:line="256" w:lineRule="auto" w:before="62"/>
        <w:ind w:left="122" w:right="50" w:firstLine="0"/>
        <w:jc w:val="left"/>
        <w:rPr>
          <w:sz w:val="16"/>
        </w:rPr>
      </w:pPr>
      <w:r>
        <w:rPr>
          <w:rFonts w:ascii="Times New Roman" w:hAnsi="Times New Roman"/>
          <w:position w:val="7"/>
          <w:sz w:val="13"/>
        </w:rPr>
        <w:t>52</w:t>
      </w:r>
      <w:r>
        <w:rPr>
          <w:sz w:val="16"/>
        </w:rPr>
        <w:t>El jefe del Ejecutivo priísta decidía quienes debían ser los siguientes mandatarios, para lo cual se requería que éste fuera una persona con reconocimiento local y con experiencia política para garantizar la estabilidad del Estado.</w:t>
      </w:r>
    </w:p>
    <w:p>
      <w:pPr>
        <w:spacing w:line="171" w:lineRule="exact" w:before="0"/>
        <w:ind w:left="122" w:right="0" w:firstLine="0"/>
        <w:jc w:val="both"/>
        <w:rPr>
          <w:sz w:val="16"/>
        </w:rPr>
      </w:pPr>
      <w:r>
        <w:rPr>
          <w:sz w:val="16"/>
        </w:rPr>
        <w:t>Disponible en: </w:t>
      </w:r>
      <w:hyperlink r:id="rId123">
        <w:r>
          <w:rPr>
            <w:sz w:val="16"/>
          </w:rPr>
          <w:t>http://dialnet.unirioja.es/servlet/articulo?codigo=2670330</w:t>
        </w:r>
      </w:hyperlink>
    </w:p>
    <w:p>
      <w:pPr>
        <w:spacing w:line="182" w:lineRule="exact" w:before="0"/>
        <w:ind w:left="122" w:right="0" w:firstLine="0"/>
        <w:jc w:val="both"/>
        <w:rPr>
          <w:sz w:val="16"/>
        </w:rPr>
      </w:pPr>
      <w:r>
        <w:rPr>
          <w:sz w:val="16"/>
        </w:rPr>
        <w:t>[Fecha de consulta: 31de agosto, 2015]</w:t>
      </w:r>
    </w:p>
    <w:p>
      <w:pPr>
        <w:spacing w:before="0"/>
        <w:ind w:left="122" w:right="118" w:firstLine="0"/>
        <w:jc w:val="both"/>
        <w:rPr>
          <w:sz w:val="16"/>
        </w:rPr>
      </w:pPr>
      <w:r>
        <w:rPr>
          <w:position w:val="6"/>
          <w:sz w:val="10"/>
        </w:rPr>
        <w:t>53</w:t>
      </w:r>
      <w:r>
        <w:rPr>
          <w:sz w:val="16"/>
        </w:rPr>
        <w:t>Enrique</w:t>
      </w:r>
      <w:r>
        <w:rPr>
          <w:spacing w:val="-4"/>
          <w:sz w:val="16"/>
        </w:rPr>
        <w:t> </w:t>
      </w:r>
      <w:r>
        <w:rPr>
          <w:sz w:val="16"/>
        </w:rPr>
        <w:t>Olivares</w:t>
      </w:r>
      <w:r>
        <w:rPr>
          <w:spacing w:val="-5"/>
          <w:sz w:val="16"/>
        </w:rPr>
        <w:t> </w:t>
      </w:r>
      <w:r>
        <w:rPr>
          <w:sz w:val="16"/>
        </w:rPr>
        <w:t>mencionó</w:t>
      </w:r>
      <w:r>
        <w:rPr>
          <w:spacing w:val="-4"/>
          <w:sz w:val="16"/>
        </w:rPr>
        <w:t> </w:t>
      </w:r>
      <w:r>
        <w:rPr>
          <w:sz w:val="16"/>
        </w:rPr>
        <w:t>que</w:t>
      </w:r>
      <w:r>
        <w:rPr>
          <w:spacing w:val="-4"/>
          <w:sz w:val="16"/>
        </w:rPr>
        <w:t> </w:t>
      </w:r>
      <w:r>
        <w:rPr>
          <w:sz w:val="16"/>
        </w:rPr>
        <w:t>“[…]</w:t>
      </w:r>
      <w:r>
        <w:rPr>
          <w:spacing w:val="-3"/>
          <w:sz w:val="16"/>
        </w:rPr>
        <w:t> </w:t>
      </w:r>
      <w:r>
        <w:rPr>
          <w:sz w:val="16"/>
        </w:rPr>
        <w:t>el</w:t>
      </w:r>
      <w:r>
        <w:rPr>
          <w:spacing w:val="-5"/>
          <w:sz w:val="16"/>
        </w:rPr>
        <w:t> </w:t>
      </w:r>
      <w:r>
        <w:rPr>
          <w:sz w:val="16"/>
        </w:rPr>
        <w:t>presidencialismo</w:t>
      </w:r>
      <w:r>
        <w:rPr>
          <w:spacing w:val="-4"/>
          <w:sz w:val="16"/>
        </w:rPr>
        <w:t> </w:t>
      </w:r>
      <w:r>
        <w:rPr>
          <w:sz w:val="16"/>
        </w:rPr>
        <w:t>devino</w:t>
      </w:r>
      <w:r>
        <w:rPr>
          <w:spacing w:val="-5"/>
          <w:sz w:val="16"/>
        </w:rPr>
        <w:t> </w:t>
      </w:r>
      <w:r>
        <w:rPr>
          <w:sz w:val="16"/>
        </w:rPr>
        <w:t>en</w:t>
      </w:r>
      <w:r>
        <w:rPr>
          <w:spacing w:val="-8"/>
          <w:sz w:val="16"/>
        </w:rPr>
        <w:t> </w:t>
      </w:r>
      <w:r>
        <w:rPr>
          <w:sz w:val="16"/>
        </w:rPr>
        <w:t>el</w:t>
      </w:r>
      <w:r>
        <w:rPr>
          <w:spacing w:val="-3"/>
          <w:sz w:val="16"/>
        </w:rPr>
        <w:t> </w:t>
      </w:r>
      <w:r>
        <w:rPr>
          <w:sz w:val="16"/>
        </w:rPr>
        <w:t>poder</w:t>
      </w:r>
      <w:r>
        <w:rPr>
          <w:spacing w:val="-4"/>
          <w:sz w:val="16"/>
        </w:rPr>
        <w:t> </w:t>
      </w:r>
      <w:r>
        <w:rPr>
          <w:sz w:val="16"/>
        </w:rPr>
        <w:t>sin</w:t>
      </w:r>
      <w:r>
        <w:rPr>
          <w:spacing w:val="-5"/>
          <w:sz w:val="16"/>
        </w:rPr>
        <w:t> </w:t>
      </w:r>
      <w:r>
        <w:rPr>
          <w:sz w:val="16"/>
        </w:rPr>
        <w:t>límites</w:t>
      </w:r>
      <w:r>
        <w:rPr>
          <w:spacing w:val="-3"/>
          <w:sz w:val="16"/>
        </w:rPr>
        <w:t> </w:t>
      </w:r>
      <w:r>
        <w:rPr>
          <w:sz w:val="16"/>
        </w:rPr>
        <w:t>y</w:t>
      </w:r>
      <w:r>
        <w:rPr>
          <w:spacing w:val="-6"/>
          <w:sz w:val="16"/>
        </w:rPr>
        <w:t> </w:t>
      </w:r>
      <w:r>
        <w:rPr>
          <w:sz w:val="16"/>
        </w:rPr>
        <w:t>sin</w:t>
      </w:r>
      <w:r>
        <w:rPr>
          <w:spacing w:val="-5"/>
          <w:sz w:val="16"/>
        </w:rPr>
        <w:t> </w:t>
      </w:r>
      <w:r>
        <w:rPr>
          <w:sz w:val="16"/>
        </w:rPr>
        <w:t>control</w:t>
      </w:r>
      <w:r>
        <w:rPr>
          <w:spacing w:val="-5"/>
          <w:sz w:val="16"/>
        </w:rPr>
        <w:t> </w:t>
      </w:r>
      <w:r>
        <w:rPr>
          <w:sz w:val="16"/>
        </w:rPr>
        <w:t>de</w:t>
      </w:r>
      <w:r>
        <w:rPr>
          <w:spacing w:val="-4"/>
          <w:sz w:val="16"/>
        </w:rPr>
        <w:t> </w:t>
      </w:r>
      <w:r>
        <w:rPr>
          <w:sz w:val="16"/>
        </w:rPr>
        <w:t>una</w:t>
      </w:r>
      <w:r>
        <w:rPr>
          <w:spacing w:val="-4"/>
          <w:sz w:val="16"/>
        </w:rPr>
        <w:t> </w:t>
      </w:r>
      <w:r>
        <w:rPr>
          <w:sz w:val="16"/>
        </w:rPr>
        <w:t>sola</w:t>
      </w:r>
      <w:r>
        <w:rPr>
          <w:spacing w:val="-5"/>
          <w:sz w:val="16"/>
        </w:rPr>
        <w:t> </w:t>
      </w:r>
      <w:r>
        <w:rPr>
          <w:sz w:val="16"/>
        </w:rPr>
        <w:t>persona</w:t>
      </w:r>
      <w:r>
        <w:rPr>
          <w:spacing w:val="-4"/>
          <w:sz w:val="16"/>
        </w:rPr>
        <w:t> </w:t>
      </w:r>
      <w:r>
        <w:rPr>
          <w:sz w:val="16"/>
        </w:rPr>
        <w:t>por el hecho de que el país está fracturado, fragmentado, desarticulado, des institucionalizado, o en el peor de los casos no institucionalizado”.(Olivares, 2011:</w:t>
      </w:r>
      <w:r>
        <w:rPr>
          <w:spacing w:val="-13"/>
          <w:sz w:val="16"/>
        </w:rPr>
        <w:t> </w:t>
      </w:r>
      <w:r>
        <w:rPr>
          <w:sz w:val="16"/>
        </w:rPr>
        <w:t>77)</w:t>
      </w:r>
    </w:p>
    <w:p>
      <w:pPr>
        <w:spacing w:line="185" w:lineRule="exact" w:before="0"/>
        <w:ind w:left="122" w:right="0" w:firstLine="0"/>
        <w:jc w:val="both"/>
        <w:rPr>
          <w:sz w:val="16"/>
        </w:rPr>
      </w:pPr>
      <w:r>
        <w:rPr>
          <w:position w:val="6"/>
          <w:sz w:val="10"/>
        </w:rPr>
        <w:t>54 </w:t>
      </w:r>
      <w:r>
        <w:rPr>
          <w:sz w:val="16"/>
        </w:rPr>
        <w:t>Por antonomasia, el Estado se autoriza a incidir en la economía.</w:t>
      </w:r>
    </w:p>
    <w:p>
      <w:pPr>
        <w:spacing w:after="0" w:line="185" w:lineRule="exact"/>
        <w:jc w:val="both"/>
        <w:rPr>
          <w:sz w:val="16"/>
        </w:rPr>
        <w:sectPr>
          <w:pgSz w:w="12240" w:h="15840"/>
          <w:pgMar w:header="0" w:footer="1003" w:top="1340" w:bottom="1200" w:left="1580" w:right="1580"/>
        </w:sectPr>
      </w:pPr>
    </w:p>
    <w:p>
      <w:pPr>
        <w:pStyle w:val="BodyText"/>
        <w:spacing w:line="360" w:lineRule="auto" w:before="54"/>
        <w:ind w:left="102" w:right="122" w:firstLine="427"/>
        <w:jc w:val="both"/>
      </w:pPr>
      <w:r>
        <w:rPr/>
        <w:t>En esa década 1980 se consideró al mercado (no al Estado) como elemento central para incentivar el crecimiento económico (mayor producción), por lo que</w:t>
      </w:r>
      <w:r>
        <w:rPr>
          <w:spacing w:val="-34"/>
        </w:rPr>
        <w:t> </w:t>
      </w:r>
      <w:r>
        <w:rPr/>
        <w:t>las políticas del Estado se orientaron hacia incentivar a la iniciativa privada y la reducción del tamaño del Estado mediante la venta de empresas paraestatales y recortes de personal del sector</w:t>
      </w:r>
      <w:r>
        <w:rPr>
          <w:spacing w:val="-12"/>
        </w:rPr>
        <w:t> </w:t>
      </w:r>
      <w:r>
        <w:rPr/>
        <w:t>público.</w:t>
      </w:r>
    </w:p>
    <w:p>
      <w:pPr>
        <w:pStyle w:val="BodyText"/>
        <w:spacing w:line="360" w:lineRule="auto" w:before="5"/>
        <w:ind w:left="102" w:right="120" w:firstLine="427"/>
        <w:jc w:val="both"/>
      </w:pPr>
      <w:r>
        <w:rPr/>
        <w:t>La política monetaria devaluatoria de 1948 se realizó como respuesta a</w:t>
      </w:r>
      <w:r>
        <w:rPr>
          <w:spacing w:val="-36"/>
        </w:rPr>
        <w:t> </w:t>
      </w:r>
      <w:r>
        <w:rPr/>
        <w:t>revertir el balance desfavorable del comercio y se restringieron las importaciones no esenciales.</w:t>
      </w:r>
      <w:r>
        <w:rPr>
          <w:spacing w:val="-9"/>
        </w:rPr>
        <w:t> </w:t>
      </w:r>
      <w:r>
        <w:rPr/>
        <w:t>En</w:t>
      </w:r>
      <w:r>
        <w:rPr>
          <w:spacing w:val="-11"/>
        </w:rPr>
        <w:t> </w:t>
      </w:r>
      <w:r>
        <w:rPr/>
        <w:t>1949</w:t>
      </w:r>
      <w:r>
        <w:rPr>
          <w:spacing w:val="-8"/>
        </w:rPr>
        <w:t> </w:t>
      </w:r>
      <w:r>
        <w:rPr/>
        <w:t>debido</w:t>
      </w:r>
      <w:r>
        <w:rPr>
          <w:spacing w:val="-10"/>
        </w:rPr>
        <w:t> </w:t>
      </w:r>
      <w:r>
        <w:rPr/>
        <w:t>al</w:t>
      </w:r>
      <w:r>
        <w:rPr>
          <w:spacing w:val="-10"/>
        </w:rPr>
        <w:t> </w:t>
      </w:r>
      <w:r>
        <w:rPr/>
        <w:t>préstamo</w:t>
      </w:r>
      <w:r>
        <w:rPr>
          <w:spacing w:val="-8"/>
        </w:rPr>
        <w:t> </w:t>
      </w:r>
      <w:r>
        <w:rPr/>
        <w:t>solicitado</w:t>
      </w:r>
      <w:r>
        <w:rPr>
          <w:spacing w:val="-11"/>
        </w:rPr>
        <w:t> </w:t>
      </w:r>
      <w:r>
        <w:rPr/>
        <w:t>al</w:t>
      </w:r>
      <w:r>
        <w:rPr>
          <w:spacing w:val="-10"/>
        </w:rPr>
        <w:t> </w:t>
      </w:r>
      <w:r>
        <w:rPr/>
        <w:t>Tesoro</w:t>
      </w:r>
      <w:r>
        <w:rPr>
          <w:spacing w:val="-9"/>
        </w:rPr>
        <w:t> </w:t>
      </w:r>
      <w:r>
        <w:rPr/>
        <w:t>de</w:t>
      </w:r>
      <w:r>
        <w:rPr>
          <w:spacing w:val="-8"/>
        </w:rPr>
        <w:t> </w:t>
      </w:r>
      <w:r>
        <w:rPr/>
        <w:t>Estados</w:t>
      </w:r>
      <w:r>
        <w:rPr>
          <w:spacing w:val="-9"/>
        </w:rPr>
        <w:t> </w:t>
      </w:r>
      <w:r>
        <w:rPr/>
        <w:t>Unidos</w:t>
      </w:r>
      <w:r>
        <w:rPr>
          <w:spacing w:val="-9"/>
        </w:rPr>
        <w:t> </w:t>
      </w:r>
      <w:r>
        <w:rPr/>
        <w:t>y</w:t>
      </w:r>
      <w:r>
        <w:rPr>
          <w:spacing w:val="-12"/>
        </w:rPr>
        <w:t> </w:t>
      </w:r>
      <w:r>
        <w:rPr/>
        <w:t>al FMI, México hizo frente a sus compromisos financieros. En ese mismo año, el PRI ganó la mayoría absoluta en la cámara de</w:t>
      </w:r>
      <w:r>
        <w:rPr>
          <w:spacing w:val="-19"/>
        </w:rPr>
        <w:t> </w:t>
      </w:r>
      <w:r>
        <w:rPr/>
        <w:t>diputados.</w:t>
      </w:r>
    </w:p>
    <w:p>
      <w:pPr>
        <w:pStyle w:val="BodyText"/>
        <w:spacing w:line="360" w:lineRule="auto" w:before="2"/>
        <w:ind w:left="102" w:right="116" w:firstLine="427"/>
        <w:jc w:val="both"/>
      </w:pPr>
      <w:r>
        <w:rPr/>
        <w:t>El intento de que el Estado actuara como árbitro del mercado hizo que el presupuesto se ejerciera de forma desordenada. La modificación de la política cambiaria</w:t>
      </w:r>
      <w:r>
        <w:rPr>
          <w:spacing w:val="-8"/>
        </w:rPr>
        <w:t> </w:t>
      </w:r>
      <w:r>
        <w:rPr/>
        <w:t>de</w:t>
      </w:r>
      <w:r>
        <w:rPr>
          <w:spacing w:val="-11"/>
        </w:rPr>
        <w:t> </w:t>
      </w:r>
      <w:r>
        <w:rPr/>
        <w:t>fija</w:t>
      </w:r>
      <w:r>
        <w:rPr>
          <w:spacing w:val="-8"/>
        </w:rPr>
        <w:t> </w:t>
      </w:r>
      <w:r>
        <w:rPr/>
        <w:t>a</w:t>
      </w:r>
      <w:r>
        <w:rPr>
          <w:spacing w:val="-11"/>
        </w:rPr>
        <w:t> </w:t>
      </w:r>
      <w:r>
        <w:rPr/>
        <w:t>flotante</w:t>
      </w:r>
      <w:r>
        <w:rPr>
          <w:spacing w:val="-8"/>
        </w:rPr>
        <w:t> </w:t>
      </w:r>
      <w:r>
        <w:rPr/>
        <w:t>en</w:t>
      </w:r>
      <w:r>
        <w:rPr>
          <w:spacing w:val="-8"/>
        </w:rPr>
        <w:t> </w:t>
      </w:r>
      <w:r>
        <w:rPr/>
        <w:t>1976</w:t>
      </w:r>
      <w:r>
        <w:rPr>
          <w:spacing w:val="-8"/>
        </w:rPr>
        <w:t> </w:t>
      </w:r>
      <w:r>
        <w:rPr/>
        <w:t>se</w:t>
      </w:r>
      <w:r>
        <w:rPr>
          <w:spacing w:val="-8"/>
        </w:rPr>
        <w:t> </w:t>
      </w:r>
      <w:r>
        <w:rPr/>
        <w:t>realizó</w:t>
      </w:r>
      <w:r>
        <w:rPr>
          <w:spacing w:val="-8"/>
        </w:rPr>
        <w:t> </w:t>
      </w:r>
      <w:r>
        <w:rPr/>
        <w:t>como</w:t>
      </w:r>
      <w:r>
        <w:rPr>
          <w:spacing w:val="-8"/>
        </w:rPr>
        <w:t> </w:t>
      </w:r>
      <w:r>
        <w:rPr/>
        <w:t>respuesta</w:t>
      </w:r>
      <w:r>
        <w:rPr>
          <w:spacing w:val="-8"/>
        </w:rPr>
        <w:t> </w:t>
      </w:r>
      <w:r>
        <w:rPr/>
        <w:t>al</w:t>
      </w:r>
      <w:r>
        <w:rPr>
          <w:spacing w:val="-10"/>
        </w:rPr>
        <w:t> </w:t>
      </w:r>
      <w:r>
        <w:rPr/>
        <w:t>creciente</w:t>
      </w:r>
      <w:r>
        <w:rPr>
          <w:spacing w:val="-8"/>
        </w:rPr>
        <w:t> </w:t>
      </w:r>
      <w:r>
        <w:rPr/>
        <w:t>déficit</w:t>
      </w:r>
      <w:r>
        <w:rPr>
          <w:spacing w:val="-9"/>
        </w:rPr>
        <w:t> </w:t>
      </w:r>
      <w:r>
        <w:rPr/>
        <w:t>de cuenta corriente, que originó una devaluación del 50% de la moneda. Con una política fiscal restrictiva llevada a cabo mediante un pacto de mantener estables el precio</w:t>
      </w:r>
      <w:r>
        <w:rPr>
          <w:spacing w:val="-11"/>
        </w:rPr>
        <w:t> </w:t>
      </w:r>
      <w:r>
        <w:rPr/>
        <w:t>del</w:t>
      </w:r>
      <w:r>
        <w:rPr>
          <w:spacing w:val="-12"/>
        </w:rPr>
        <w:t> </w:t>
      </w:r>
      <w:r>
        <w:rPr/>
        <w:t>salario</w:t>
      </w:r>
      <w:r>
        <w:rPr>
          <w:spacing w:val="-11"/>
        </w:rPr>
        <w:t> </w:t>
      </w:r>
      <w:r>
        <w:rPr/>
        <w:t>y</w:t>
      </w:r>
      <w:r>
        <w:rPr>
          <w:spacing w:val="-14"/>
        </w:rPr>
        <w:t> </w:t>
      </w:r>
      <w:r>
        <w:rPr/>
        <w:t>de</w:t>
      </w:r>
      <w:r>
        <w:rPr>
          <w:spacing w:val="-13"/>
        </w:rPr>
        <w:t> </w:t>
      </w:r>
      <w:r>
        <w:rPr/>
        <w:t>productos,</w:t>
      </w:r>
      <w:r>
        <w:rPr>
          <w:spacing w:val="-8"/>
        </w:rPr>
        <w:t> </w:t>
      </w:r>
      <w:r>
        <w:rPr/>
        <w:t>combinado</w:t>
      </w:r>
      <w:r>
        <w:rPr>
          <w:spacing w:val="-13"/>
        </w:rPr>
        <w:t> </w:t>
      </w:r>
      <w:r>
        <w:rPr/>
        <w:t>con</w:t>
      </w:r>
      <w:r>
        <w:rPr>
          <w:spacing w:val="-11"/>
        </w:rPr>
        <w:t> </w:t>
      </w:r>
      <w:r>
        <w:rPr/>
        <w:t>un</w:t>
      </w:r>
      <w:r>
        <w:rPr>
          <w:spacing w:val="-13"/>
        </w:rPr>
        <w:t> </w:t>
      </w:r>
      <w:r>
        <w:rPr/>
        <w:t>aumento</w:t>
      </w:r>
      <w:r>
        <w:rPr>
          <w:spacing w:val="-10"/>
        </w:rPr>
        <w:t> </w:t>
      </w:r>
      <w:r>
        <w:rPr/>
        <w:t>del</w:t>
      </w:r>
      <w:r>
        <w:rPr>
          <w:spacing w:val="-12"/>
        </w:rPr>
        <w:t> </w:t>
      </w:r>
      <w:r>
        <w:rPr/>
        <w:t>gasto</w:t>
      </w:r>
      <w:r>
        <w:rPr>
          <w:spacing w:val="-10"/>
        </w:rPr>
        <w:t> </w:t>
      </w:r>
      <w:r>
        <w:rPr/>
        <w:t>de</w:t>
      </w:r>
      <w:r>
        <w:rPr>
          <w:spacing w:val="-11"/>
        </w:rPr>
        <w:t> </w:t>
      </w:r>
      <w:r>
        <w:rPr/>
        <w:t>inversión pública, la producción se incrementó,  aun con el aumento constante de</w:t>
      </w:r>
      <w:r>
        <w:rPr>
          <w:spacing w:val="-22"/>
        </w:rPr>
        <w:t> </w:t>
      </w:r>
      <w:r>
        <w:rPr/>
        <w:t>precios.</w:t>
      </w:r>
    </w:p>
    <w:p>
      <w:pPr>
        <w:pStyle w:val="BodyText"/>
        <w:spacing w:line="360" w:lineRule="auto" w:before="5"/>
        <w:ind w:left="102" w:right="116" w:firstLine="427"/>
        <w:jc w:val="both"/>
      </w:pPr>
      <w:r>
        <w:rPr/>
        <w:t>La reducción del tamaño del Estado fue una tendencia internacional neoliberal llevada a cabo inicialmente en Inglaterra y Estados Unidos. En México la privatización de varias empresas del Estado en 1989 y las modificaciones a las regulaciones del comercio e inversión incrementaron la inversión extranjera; sin embargo,</w:t>
      </w:r>
      <w:r>
        <w:rPr>
          <w:spacing w:val="-10"/>
        </w:rPr>
        <w:t> </w:t>
      </w:r>
      <w:r>
        <w:rPr/>
        <w:t>el</w:t>
      </w:r>
      <w:r>
        <w:rPr>
          <w:spacing w:val="-10"/>
        </w:rPr>
        <w:t> </w:t>
      </w:r>
      <w:r>
        <w:rPr/>
        <w:t>Estado</w:t>
      </w:r>
      <w:r>
        <w:rPr>
          <w:spacing w:val="-11"/>
        </w:rPr>
        <w:t> </w:t>
      </w:r>
      <w:r>
        <w:rPr/>
        <w:t>mantuviera</w:t>
      </w:r>
      <w:r>
        <w:rPr>
          <w:spacing w:val="-10"/>
        </w:rPr>
        <w:t> </w:t>
      </w:r>
      <w:r>
        <w:rPr/>
        <w:t>aquellas</w:t>
      </w:r>
      <w:r>
        <w:rPr>
          <w:spacing w:val="-10"/>
        </w:rPr>
        <w:t> </w:t>
      </w:r>
      <w:r>
        <w:rPr/>
        <w:t>empresas</w:t>
      </w:r>
      <w:r>
        <w:rPr>
          <w:spacing w:val="-10"/>
        </w:rPr>
        <w:t> </w:t>
      </w:r>
      <w:r>
        <w:rPr/>
        <w:t>que</w:t>
      </w:r>
      <w:r>
        <w:rPr>
          <w:spacing w:val="-9"/>
        </w:rPr>
        <w:t> </w:t>
      </w:r>
      <w:r>
        <w:rPr/>
        <w:t>consideró</w:t>
      </w:r>
      <w:r>
        <w:rPr>
          <w:spacing w:val="-11"/>
        </w:rPr>
        <w:t> </w:t>
      </w:r>
      <w:r>
        <w:rPr/>
        <w:t>estratégicas</w:t>
      </w:r>
      <w:r>
        <w:rPr>
          <w:spacing w:val="-10"/>
        </w:rPr>
        <w:t> </w:t>
      </w:r>
      <w:r>
        <w:rPr/>
        <w:t>para el desarrollo</w:t>
      </w:r>
      <w:r>
        <w:rPr>
          <w:spacing w:val="-8"/>
        </w:rPr>
        <w:t> </w:t>
      </w:r>
      <w:r>
        <w:rPr/>
        <w:t>nacional.</w:t>
      </w:r>
    </w:p>
    <w:p>
      <w:pPr>
        <w:pStyle w:val="BodyText"/>
        <w:spacing w:line="360" w:lineRule="auto" w:before="5"/>
        <w:ind w:left="102" w:right="116" w:firstLine="427"/>
        <w:jc w:val="both"/>
      </w:pPr>
      <w:r>
        <w:rPr/>
        <w:t>En el periodo 1988-1994 se gestionó la peor crisis económica de la historia de México. La alta incidencia del capital extranjero en inversiones especulativas hiso que el mercado de dinero y de capitales fueran altamente sensibles tanto a los movimientos del mercado internacional (</w:t>
      </w:r>
      <w:r>
        <w:rPr>
          <w:i/>
        </w:rPr>
        <w:t>Wall Street</w:t>
      </w:r>
      <w:r>
        <w:rPr/>
        <w:t>, principalmente) como a los acontecimientos internos.</w:t>
      </w:r>
    </w:p>
    <w:p>
      <w:pPr>
        <w:pStyle w:val="BodyText"/>
      </w:pPr>
    </w:p>
    <w:p>
      <w:pPr>
        <w:pStyle w:val="BodyText"/>
        <w:spacing w:line="360" w:lineRule="auto" w:before="139"/>
        <w:ind w:left="102" w:right="116" w:firstLine="427"/>
        <w:jc w:val="both"/>
      </w:pPr>
      <w:r>
        <w:rPr/>
        <w:t>Tanto</w:t>
      </w:r>
      <w:r>
        <w:rPr>
          <w:spacing w:val="-17"/>
        </w:rPr>
        <w:t> </w:t>
      </w:r>
      <w:r>
        <w:rPr/>
        <w:t>la</w:t>
      </w:r>
      <w:r>
        <w:rPr>
          <w:spacing w:val="-21"/>
        </w:rPr>
        <w:t> </w:t>
      </w:r>
      <w:r>
        <w:rPr/>
        <w:t>fuga</w:t>
      </w:r>
      <w:r>
        <w:rPr>
          <w:spacing w:val="-18"/>
        </w:rPr>
        <w:t> </w:t>
      </w:r>
      <w:r>
        <w:rPr/>
        <w:t>masiva</w:t>
      </w:r>
      <w:r>
        <w:rPr>
          <w:spacing w:val="-18"/>
        </w:rPr>
        <w:t> </w:t>
      </w:r>
      <w:r>
        <w:rPr/>
        <w:t>de</w:t>
      </w:r>
      <w:r>
        <w:rPr>
          <w:spacing w:val="-18"/>
        </w:rPr>
        <w:t> </w:t>
      </w:r>
      <w:r>
        <w:rPr/>
        <w:t>capitales</w:t>
      </w:r>
      <w:r>
        <w:rPr>
          <w:spacing w:val="-19"/>
        </w:rPr>
        <w:t> </w:t>
      </w:r>
      <w:r>
        <w:rPr/>
        <w:t>por</w:t>
      </w:r>
      <w:r>
        <w:rPr>
          <w:spacing w:val="-19"/>
        </w:rPr>
        <w:t> </w:t>
      </w:r>
      <w:r>
        <w:rPr/>
        <w:t>la</w:t>
      </w:r>
      <w:r>
        <w:rPr>
          <w:spacing w:val="-18"/>
        </w:rPr>
        <w:t> </w:t>
      </w:r>
      <w:r>
        <w:rPr/>
        <w:t>inestabilidad</w:t>
      </w:r>
      <w:r>
        <w:rPr>
          <w:spacing w:val="-20"/>
        </w:rPr>
        <w:t> </w:t>
      </w:r>
      <w:r>
        <w:rPr/>
        <w:t>económica</w:t>
      </w:r>
      <w:r>
        <w:rPr>
          <w:spacing w:val="-18"/>
        </w:rPr>
        <w:t> </w:t>
      </w:r>
      <w:r>
        <w:rPr/>
        <w:t>y</w:t>
      </w:r>
      <w:r>
        <w:rPr>
          <w:spacing w:val="-21"/>
        </w:rPr>
        <w:t> </w:t>
      </w:r>
      <w:r>
        <w:rPr/>
        <w:t>política,</w:t>
      </w:r>
      <w:r>
        <w:rPr>
          <w:spacing w:val="-12"/>
        </w:rPr>
        <w:t> </w:t>
      </w:r>
      <w:r>
        <w:rPr/>
        <w:t>como la</w:t>
      </w:r>
      <w:r>
        <w:rPr>
          <w:spacing w:val="38"/>
        </w:rPr>
        <w:t> </w:t>
      </w:r>
      <w:r>
        <w:rPr/>
        <w:t>política</w:t>
      </w:r>
      <w:r>
        <w:rPr>
          <w:spacing w:val="39"/>
        </w:rPr>
        <w:t> </w:t>
      </w:r>
      <w:r>
        <w:rPr/>
        <w:t>monetaria</w:t>
      </w:r>
      <w:r>
        <w:rPr>
          <w:spacing w:val="39"/>
        </w:rPr>
        <w:t> </w:t>
      </w:r>
      <w:r>
        <w:rPr/>
        <w:t>de</w:t>
      </w:r>
      <w:r>
        <w:rPr>
          <w:spacing w:val="39"/>
        </w:rPr>
        <w:t> </w:t>
      </w:r>
      <w:r>
        <w:rPr/>
        <w:t>mantener</w:t>
      </w:r>
      <w:r>
        <w:rPr>
          <w:spacing w:val="37"/>
        </w:rPr>
        <w:t> </w:t>
      </w:r>
      <w:r>
        <w:rPr/>
        <w:t>el</w:t>
      </w:r>
      <w:r>
        <w:rPr>
          <w:spacing w:val="37"/>
        </w:rPr>
        <w:t> </w:t>
      </w:r>
      <w:r>
        <w:rPr/>
        <w:t>tipo</w:t>
      </w:r>
      <w:r>
        <w:rPr>
          <w:spacing w:val="39"/>
        </w:rPr>
        <w:t> </w:t>
      </w:r>
      <w:r>
        <w:rPr/>
        <w:t>de</w:t>
      </w:r>
      <w:r>
        <w:rPr>
          <w:spacing w:val="39"/>
        </w:rPr>
        <w:t> </w:t>
      </w:r>
      <w:r>
        <w:rPr/>
        <w:t>cambio</w:t>
      </w:r>
      <w:r>
        <w:rPr>
          <w:spacing w:val="38"/>
        </w:rPr>
        <w:t> </w:t>
      </w:r>
      <w:r>
        <w:rPr/>
        <w:t>en</w:t>
      </w:r>
      <w:r>
        <w:rPr>
          <w:spacing w:val="39"/>
        </w:rPr>
        <w:t> </w:t>
      </w:r>
      <w:r>
        <w:rPr/>
        <w:t>una</w:t>
      </w:r>
      <w:r>
        <w:rPr>
          <w:spacing w:val="39"/>
        </w:rPr>
        <w:t> </w:t>
      </w:r>
      <w:r>
        <w:rPr/>
        <w:t>estrecha</w:t>
      </w:r>
      <w:r>
        <w:rPr>
          <w:spacing w:val="39"/>
        </w:rPr>
        <w:t> </w:t>
      </w:r>
      <w:r>
        <w:rPr/>
        <w:t>banda</w:t>
      </w:r>
      <w:r>
        <w:rPr>
          <w:spacing w:val="36"/>
        </w:rPr>
        <w:t> </w:t>
      </w:r>
      <w:r>
        <w:rPr/>
        <w:t>de</w:t>
      </w:r>
    </w:p>
    <w:p>
      <w:pPr>
        <w:spacing w:after="0" w:line="360" w:lineRule="auto"/>
        <w:jc w:val="both"/>
        <w:sectPr>
          <w:footerReference w:type="even" r:id="rId124"/>
          <w:footerReference w:type="default" r:id="rId125"/>
          <w:pgSz w:w="12240" w:h="15840"/>
          <w:pgMar w:footer="1003" w:header="0" w:top="1360" w:bottom="1200" w:left="1600" w:right="1580"/>
        </w:sectPr>
      </w:pPr>
    </w:p>
    <w:p>
      <w:pPr>
        <w:pStyle w:val="BodyText"/>
        <w:spacing w:line="360" w:lineRule="auto" w:before="54"/>
        <w:ind w:left="122" w:right="121"/>
        <w:jc w:val="both"/>
      </w:pPr>
      <w:r>
        <w:rPr/>
        <w:t>flotación,</w:t>
      </w:r>
      <w:r>
        <w:rPr>
          <w:spacing w:val="-10"/>
        </w:rPr>
        <w:t> </w:t>
      </w:r>
      <w:r>
        <w:rPr/>
        <w:t>causaron</w:t>
      </w:r>
      <w:r>
        <w:rPr>
          <w:spacing w:val="-10"/>
        </w:rPr>
        <w:t> </w:t>
      </w:r>
      <w:r>
        <w:rPr/>
        <w:t>una</w:t>
      </w:r>
      <w:r>
        <w:rPr>
          <w:spacing w:val="-10"/>
        </w:rPr>
        <w:t> </w:t>
      </w:r>
      <w:r>
        <w:rPr/>
        <w:t>reducción</w:t>
      </w:r>
      <w:r>
        <w:rPr>
          <w:spacing w:val="-11"/>
        </w:rPr>
        <w:t> </w:t>
      </w:r>
      <w:r>
        <w:rPr/>
        <w:t>de</w:t>
      </w:r>
      <w:r>
        <w:rPr>
          <w:spacing w:val="-10"/>
        </w:rPr>
        <w:t> </w:t>
      </w:r>
      <w:r>
        <w:rPr/>
        <w:t>las</w:t>
      </w:r>
      <w:r>
        <w:rPr>
          <w:spacing w:val="-10"/>
        </w:rPr>
        <w:t> </w:t>
      </w:r>
      <w:r>
        <w:rPr/>
        <w:t>reservas</w:t>
      </w:r>
      <w:r>
        <w:rPr>
          <w:spacing w:val="-10"/>
        </w:rPr>
        <w:t> </w:t>
      </w:r>
      <w:r>
        <w:rPr/>
        <w:t>internacionales.</w:t>
      </w:r>
      <w:r>
        <w:rPr>
          <w:spacing w:val="-10"/>
        </w:rPr>
        <w:t> </w:t>
      </w:r>
      <w:r>
        <w:rPr/>
        <w:t>Su</w:t>
      </w:r>
      <w:r>
        <w:rPr>
          <w:spacing w:val="-10"/>
        </w:rPr>
        <w:t> </w:t>
      </w:r>
      <w:r>
        <w:rPr/>
        <w:t>magnitud</w:t>
      </w:r>
      <w:r>
        <w:rPr>
          <w:spacing w:val="-12"/>
        </w:rPr>
        <w:t> </w:t>
      </w:r>
      <w:r>
        <w:rPr/>
        <w:t>real se ocultó a la sociedad y al sector privado, ya que el costo de la crisis fue remitido a ellos mediante el Fondo Bancario de Protección al Ahorro</w:t>
      </w:r>
      <w:r>
        <w:rPr>
          <w:spacing w:val="-27"/>
        </w:rPr>
        <w:t> </w:t>
      </w:r>
      <w:r>
        <w:rPr/>
        <w:t>(FOBAPROA).</w:t>
      </w:r>
    </w:p>
    <w:p>
      <w:pPr>
        <w:pStyle w:val="BodyText"/>
        <w:spacing w:line="360" w:lineRule="auto" w:before="5"/>
        <w:ind w:left="122" w:right="118" w:firstLine="427"/>
        <w:jc w:val="both"/>
        <w:rPr>
          <w:sz w:val="16"/>
        </w:rPr>
      </w:pPr>
      <w:r>
        <w:rPr/>
        <w:t>La inevitable intervención del Estado puso en mayor evidencia su deficiente desempeño</w:t>
      </w:r>
      <w:r>
        <w:rPr>
          <w:spacing w:val="-12"/>
        </w:rPr>
        <w:t> </w:t>
      </w:r>
      <w:r>
        <w:rPr/>
        <w:t>y</w:t>
      </w:r>
      <w:r>
        <w:rPr>
          <w:spacing w:val="-13"/>
        </w:rPr>
        <w:t> </w:t>
      </w:r>
      <w:r>
        <w:rPr/>
        <w:t>aumento</w:t>
      </w:r>
      <w:r>
        <w:rPr>
          <w:spacing w:val="-11"/>
        </w:rPr>
        <w:t> </w:t>
      </w:r>
      <w:r>
        <w:rPr/>
        <w:t>en</w:t>
      </w:r>
      <w:r>
        <w:rPr>
          <w:spacing w:val="-12"/>
        </w:rPr>
        <w:t> </w:t>
      </w:r>
      <w:r>
        <w:rPr/>
        <w:t>la</w:t>
      </w:r>
      <w:r>
        <w:rPr>
          <w:spacing w:val="-10"/>
        </w:rPr>
        <w:t> </w:t>
      </w:r>
      <w:r>
        <w:rPr/>
        <w:t>corrupción,</w:t>
      </w:r>
      <w:r>
        <w:rPr>
          <w:spacing w:val="-10"/>
        </w:rPr>
        <w:t> </w:t>
      </w:r>
      <w:r>
        <w:rPr/>
        <w:t>lo</w:t>
      </w:r>
      <w:r>
        <w:rPr>
          <w:spacing w:val="-12"/>
        </w:rPr>
        <w:t> </w:t>
      </w:r>
      <w:r>
        <w:rPr/>
        <w:t>que</w:t>
      </w:r>
      <w:r>
        <w:rPr>
          <w:spacing w:val="-9"/>
        </w:rPr>
        <w:t> </w:t>
      </w:r>
      <w:r>
        <w:rPr/>
        <w:t>le</w:t>
      </w:r>
      <w:r>
        <w:rPr>
          <w:spacing w:val="-12"/>
        </w:rPr>
        <w:t> </w:t>
      </w:r>
      <w:r>
        <w:rPr/>
        <w:t>requirió</w:t>
      </w:r>
      <w:r>
        <w:rPr>
          <w:spacing w:val="-10"/>
        </w:rPr>
        <w:t> </w:t>
      </w:r>
      <w:r>
        <w:rPr/>
        <w:t>implementar</w:t>
      </w:r>
      <w:r>
        <w:rPr>
          <w:spacing w:val="-11"/>
        </w:rPr>
        <w:t> </w:t>
      </w:r>
      <w:r>
        <w:rPr/>
        <w:t>mecanismos de control presupuestal mediante el Programa de Modernización de la Administración Pública Federal, en el periodo 1994-2000. Con ello se trató de impulsar la simplificación administrativa, mejorar el uso de los recursos públicos, la implementación de tecnologías de la información para las licitaciones públicas y la reestructuración del sector paraestatal, principalmente.</w:t>
      </w:r>
      <w:r>
        <w:rPr>
          <w:spacing w:val="-14"/>
        </w:rPr>
        <w:t> </w:t>
      </w:r>
      <w:r>
        <w:rPr>
          <w:position w:val="8"/>
          <w:sz w:val="16"/>
        </w:rPr>
        <w:t>55</w:t>
      </w:r>
    </w:p>
    <w:p>
      <w:pPr>
        <w:pStyle w:val="BodyText"/>
        <w:spacing w:line="357" w:lineRule="auto"/>
        <w:ind w:left="122" w:right="118" w:firstLine="427"/>
        <w:jc w:val="right"/>
      </w:pPr>
      <w:r>
        <w:rPr/>
        <w:t>Con</w:t>
      </w:r>
      <w:r>
        <w:rPr>
          <w:spacing w:val="-8"/>
        </w:rPr>
        <w:t> </w:t>
      </w:r>
      <w:r>
        <w:rPr/>
        <w:t>una</w:t>
      </w:r>
      <w:r>
        <w:rPr>
          <w:spacing w:val="-8"/>
        </w:rPr>
        <w:t> </w:t>
      </w:r>
      <w:r>
        <w:rPr/>
        <w:t>de</w:t>
      </w:r>
      <w:r>
        <w:rPr>
          <w:spacing w:val="-8"/>
        </w:rPr>
        <w:t> </w:t>
      </w:r>
      <w:r>
        <w:rPr/>
        <w:t>las</w:t>
      </w:r>
      <w:r>
        <w:rPr>
          <w:spacing w:val="-9"/>
        </w:rPr>
        <w:t> </w:t>
      </w:r>
      <w:r>
        <w:rPr/>
        <w:t>peores</w:t>
      </w:r>
      <w:r>
        <w:rPr>
          <w:spacing w:val="-11"/>
        </w:rPr>
        <w:t> </w:t>
      </w:r>
      <w:r>
        <w:rPr/>
        <w:t>crisis</w:t>
      </w:r>
      <w:r>
        <w:rPr>
          <w:spacing w:val="-10"/>
        </w:rPr>
        <w:t> </w:t>
      </w:r>
      <w:r>
        <w:rPr/>
        <w:t>financieras</w:t>
      </w:r>
      <w:r>
        <w:rPr>
          <w:spacing w:val="-9"/>
        </w:rPr>
        <w:t> </w:t>
      </w:r>
      <w:r>
        <w:rPr/>
        <w:t>nacionales</w:t>
      </w:r>
      <w:r>
        <w:rPr>
          <w:spacing w:val="-9"/>
        </w:rPr>
        <w:t> </w:t>
      </w:r>
      <w:r>
        <w:rPr/>
        <w:t>por</w:t>
      </w:r>
      <w:r>
        <w:rPr>
          <w:spacing w:val="-10"/>
        </w:rPr>
        <w:t> </w:t>
      </w:r>
      <w:r>
        <w:rPr/>
        <w:t>el</w:t>
      </w:r>
      <w:r>
        <w:rPr>
          <w:spacing w:val="-10"/>
        </w:rPr>
        <w:t> </w:t>
      </w:r>
      <w:r>
        <w:rPr/>
        <w:t>gran</w:t>
      </w:r>
      <w:r>
        <w:rPr>
          <w:spacing w:val="-8"/>
        </w:rPr>
        <w:t> </w:t>
      </w:r>
      <w:r>
        <w:rPr/>
        <w:t>déficit</w:t>
      </w:r>
      <w:r>
        <w:rPr>
          <w:spacing w:val="-11"/>
        </w:rPr>
        <w:t> </w:t>
      </w:r>
      <w:r>
        <w:rPr/>
        <w:t>de</w:t>
      </w:r>
      <w:r>
        <w:rPr>
          <w:spacing w:val="-8"/>
        </w:rPr>
        <w:t> </w:t>
      </w:r>
      <w:r>
        <w:rPr/>
        <w:t>cuenta</w:t>
      </w:r>
      <w:r>
        <w:rPr>
          <w:w w:val="99"/>
        </w:rPr>
        <w:t> </w:t>
      </w:r>
      <w:r>
        <w:rPr/>
        <w:t>corriente</w:t>
      </w:r>
      <w:r>
        <w:rPr>
          <w:position w:val="8"/>
          <w:sz w:val="16"/>
        </w:rPr>
        <w:t>56 </w:t>
      </w:r>
      <w:r>
        <w:rPr/>
        <w:t>en 1994 el Jefe del Ejecutivo emprendió una política de austeridad</w:t>
      </w:r>
      <w:r>
        <w:rPr>
          <w:spacing w:val="-5"/>
        </w:rPr>
        <w:t> </w:t>
      </w:r>
      <w:r>
        <w:rPr/>
        <w:t>y</w:t>
      </w:r>
      <w:r>
        <w:rPr>
          <w:spacing w:val="-1"/>
        </w:rPr>
        <w:t> </w:t>
      </w:r>
      <w:r>
        <w:rPr/>
        <w:t>de</w:t>
      </w:r>
      <w:r>
        <w:rPr>
          <w:w w:val="99"/>
        </w:rPr>
        <w:t> </w:t>
      </w:r>
      <w:r>
        <w:rPr/>
        <w:t>privatización</w:t>
      </w:r>
      <w:r>
        <w:rPr>
          <w:spacing w:val="-14"/>
        </w:rPr>
        <w:t> </w:t>
      </w:r>
      <w:r>
        <w:rPr/>
        <w:t>de</w:t>
      </w:r>
      <w:r>
        <w:rPr>
          <w:spacing w:val="-14"/>
        </w:rPr>
        <w:t> </w:t>
      </w:r>
      <w:r>
        <w:rPr/>
        <w:t>los</w:t>
      </w:r>
      <w:r>
        <w:rPr>
          <w:spacing w:val="-17"/>
        </w:rPr>
        <w:t> </w:t>
      </w:r>
      <w:r>
        <w:rPr/>
        <w:t>bienes</w:t>
      </w:r>
      <w:r>
        <w:rPr>
          <w:spacing w:val="-15"/>
        </w:rPr>
        <w:t> </w:t>
      </w:r>
      <w:r>
        <w:rPr/>
        <w:t>del</w:t>
      </w:r>
      <w:r>
        <w:rPr>
          <w:spacing w:val="-15"/>
        </w:rPr>
        <w:t> </w:t>
      </w:r>
      <w:r>
        <w:rPr/>
        <w:t>Estado.</w:t>
      </w:r>
      <w:r>
        <w:rPr>
          <w:spacing w:val="-17"/>
        </w:rPr>
        <w:t> </w:t>
      </w:r>
      <w:r>
        <w:rPr/>
        <w:t>En</w:t>
      </w:r>
      <w:r>
        <w:rPr>
          <w:spacing w:val="-14"/>
        </w:rPr>
        <w:t> </w:t>
      </w:r>
      <w:r>
        <w:rPr/>
        <w:t>1996</w:t>
      </w:r>
      <w:r>
        <w:rPr>
          <w:spacing w:val="-14"/>
        </w:rPr>
        <w:t> </w:t>
      </w:r>
      <w:r>
        <w:rPr/>
        <w:t>comenzó</w:t>
      </w:r>
      <w:r>
        <w:rPr>
          <w:spacing w:val="-14"/>
        </w:rPr>
        <w:t> </w:t>
      </w:r>
      <w:r>
        <w:rPr/>
        <w:t>la</w:t>
      </w:r>
      <w:r>
        <w:rPr>
          <w:spacing w:val="-14"/>
        </w:rPr>
        <w:t> </w:t>
      </w:r>
      <w:r>
        <w:rPr/>
        <w:t>recuperación</w:t>
      </w:r>
      <w:r>
        <w:rPr>
          <w:spacing w:val="-16"/>
        </w:rPr>
        <w:t> </w:t>
      </w:r>
      <w:r>
        <w:rPr/>
        <w:t>financiera.</w:t>
      </w:r>
    </w:p>
    <w:p>
      <w:pPr>
        <w:pStyle w:val="BodyText"/>
        <w:spacing w:line="360" w:lineRule="auto" w:before="3"/>
        <w:ind w:left="122" w:right="118" w:firstLine="427"/>
        <w:jc w:val="both"/>
      </w:pPr>
      <w:r>
        <w:rPr/>
        <w:t>El modelo neoliberal mexicano </w:t>
      </w:r>
      <w:r>
        <w:rPr>
          <w:position w:val="8"/>
          <w:sz w:val="16"/>
        </w:rPr>
        <w:t>57 </w:t>
      </w:r>
      <w:r>
        <w:rPr/>
        <w:t>implementado a fines del Siglo XX incentivó la participación del mercado sin poner en marcha las políticas necesarias para moderar</w:t>
      </w:r>
      <w:r>
        <w:rPr>
          <w:spacing w:val="-8"/>
        </w:rPr>
        <w:t> </w:t>
      </w:r>
      <w:r>
        <w:rPr/>
        <w:t>sus</w:t>
      </w:r>
      <w:r>
        <w:rPr>
          <w:spacing w:val="-10"/>
        </w:rPr>
        <w:t> </w:t>
      </w:r>
      <w:r>
        <w:rPr/>
        <w:t>excesos,</w:t>
      </w:r>
      <w:r>
        <w:rPr>
          <w:spacing w:val="-7"/>
        </w:rPr>
        <w:t> </w:t>
      </w:r>
      <w:r>
        <w:rPr/>
        <w:t>lo</w:t>
      </w:r>
      <w:r>
        <w:rPr>
          <w:spacing w:val="-7"/>
        </w:rPr>
        <w:t> </w:t>
      </w:r>
      <w:r>
        <w:rPr/>
        <w:t>que</w:t>
      </w:r>
      <w:r>
        <w:rPr>
          <w:spacing w:val="-7"/>
        </w:rPr>
        <w:t> </w:t>
      </w:r>
      <w:r>
        <w:rPr/>
        <w:t>causó</w:t>
      </w:r>
      <w:r>
        <w:rPr>
          <w:spacing w:val="-7"/>
        </w:rPr>
        <w:t> </w:t>
      </w:r>
      <w:r>
        <w:rPr/>
        <w:t>una</w:t>
      </w:r>
      <w:r>
        <w:rPr>
          <w:spacing w:val="-7"/>
        </w:rPr>
        <w:t> </w:t>
      </w:r>
      <w:r>
        <w:rPr/>
        <w:t>reducción</w:t>
      </w:r>
      <w:r>
        <w:rPr>
          <w:spacing w:val="-7"/>
        </w:rPr>
        <w:t> </w:t>
      </w:r>
      <w:r>
        <w:rPr/>
        <w:t>de</w:t>
      </w:r>
      <w:r>
        <w:rPr>
          <w:spacing w:val="-9"/>
        </w:rPr>
        <w:t> </w:t>
      </w:r>
      <w:r>
        <w:rPr/>
        <w:t>la</w:t>
      </w:r>
      <w:r>
        <w:rPr>
          <w:spacing w:val="-7"/>
        </w:rPr>
        <w:t> </w:t>
      </w:r>
      <w:r>
        <w:rPr/>
        <w:t>participación</w:t>
      </w:r>
      <w:r>
        <w:rPr>
          <w:spacing w:val="-9"/>
        </w:rPr>
        <w:t> </w:t>
      </w:r>
      <w:r>
        <w:rPr/>
        <w:t>del</w:t>
      </w:r>
      <w:r>
        <w:rPr>
          <w:spacing w:val="-8"/>
        </w:rPr>
        <w:t> </w:t>
      </w:r>
      <w:r>
        <w:rPr/>
        <w:t>Estado.</w:t>
      </w:r>
      <w:r>
        <w:rPr>
          <w:spacing w:val="-7"/>
        </w:rPr>
        <w:t> </w:t>
      </w:r>
      <w:r>
        <w:rPr/>
        <w:t>El mayor espacio del mercado poco regulado por el Estado, propició una alta concentración del</w:t>
      </w:r>
      <w:r>
        <w:rPr>
          <w:spacing w:val="-8"/>
        </w:rPr>
        <w:t> </w:t>
      </w:r>
      <w:r>
        <w:rPr/>
        <w:t>ingreso.</w:t>
      </w:r>
    </w:p>
    <w:p>
      <w:pPr>
        <w:pStyle w:val="BodyText"/>
        <w:spacing w:line="360" w:lineRule="auto" w:before="2"/>
        <w:ind w:left="122" w:right="122" w:firstLine="427"/>
        <w:jc w:val="both"/>
        <w:rPr>
          <w:sz w:val="16"/>
        </w:rPr>
      </w:pPr>
      <w:r>
        <w:rPr/>
        <w:t>En 1997 el partido del poder perdió la mayoría en la Cámara de Diputados, lo cual fue interpretado como el inicio de un mejor equilibrio de poderes. En las elecciones presidenciales del año 2000, en las cuales el PRI concluye su periodo continuo de 71 años en el poder, hubo una autonomía de los poderes Ejecutivo y Legislativo.</w:t>
      </w:r>
      <w:r>
        <w:rPr>
          <w:position w:val="8"/>
          <w:sz w:val="16"/>
        </w:rPr>
        <w:t>58</w:t>
      </w:r>
    </w:p>
    <w:p>
      <w:pPr>
        <w:pStyle w:val="BodyText"/>
        <w:spacing w:line="360" w:lineRule="auto" w:before="1"/>
        <w:ind w:left="122" w:right="122" w:firstLine="427"/>
        <w:jc w:val="both"/>
      </w:pPr>
      <w:r>
        <w:rPr/>
        <w:t>La</w:t>
      </w:r>
      <w:r>
        <w:rPr>
          <w:spacing w:val="-12"/>
        </w:rPr>
        <w:t> </w:t>
      </w:r>
      <w:r>
        <w:rPr/>
        <w:t>complicada</w:t>
      </w:r>
      <w:r>
        <w:rPr>
          <w:spacing w:val="-12"/>
        </w:rPr>
        <w:t> </w:t>
      </w:r>
      <w:r>
        <w:rPr/>
        <w:t>situación</w:t>
      </w:r>
      <w:r>
        <w:rPr>
          <w:spacing w:val="-12"/>
        </w:rPr>
        <w:t> </w:t>
      </w:r>
      <w:r>
        <w:rPr/>
        <w:t>política</w:t>
      </w:r>
      <w:r>
        <w:rPr>
          <w:spacing w:val="-12"/>
        </w:rPr>
        <w:t> </w:t>
      </w:r>
      <w:r>
        <w:rPr/>
        <w:t>y</w:t>
      </w:r>
      <w:r>
        <w:rPr>
          <w:spacing w:val="-15"/>
        </w:rPr>
        <w:t> </w:t>
      </w:r>
      <w:r>
        <w:rPr/>
        <w:t>económica,</w:t>
      </w:r>
      <w:r>
        <w:rPr>
          <w:spacing w:val="-14"/>
        </w:rPr>
        <w:t> </w:t>
      </w:r>
      <w:r>
        <w:rPr/>
        <w:t>aunada</w:t>
      </w:r>
      <w:r>
        <w:rPr>
          <w:spacing w:val="-12"/>
        </w:rPr>
        <w:t> </w:t>
      </w:r>
      <w:r>
        <w:rPr/>
        <w:t>con</w:t>
      </w:r>
      <w:r>
        <w:rPr>
          <w:spacing w:val="-12"/>
        </w:rPr>
        <w:t> </w:t>
      </w:r>
      <w:r>
        <w:rPr/>
        <w:t>el</w:t>
      </w:r>
      <w:r>
        <w:rPr>
          <w:spacing w:val="-15"/>
        </w:rPr>
        <w:t> </w:t>
      </w:r>
      <w:r>
        <w:rPr/>
        <w:t>desprestigio</w:t>
      </w:r>
      <w:r>
        <w:rPr>
          <w:spacing w:val="-12"/>
        </w:rPr>
        <w:t> </w:t>
      </w:r>
      <w:r>
        <w:rPr/>
        <w:t>de</w:t>
      </w:r>
      <w:r>
        <w:rPr>
          <w:spacing w:val="-12"/>
        </w:rPr>
        <w:t> </w:t>
      </w:r>
      <w:r>
        <w:rPr/>
        <w:t>los políticos por el fraude electoral y la corrupción en el manejo de las empresas públicas</w:t>
      </w:r>
      <w:r>
        <w:rPr>
          <w:spacing w:val="-4"/>
        </w:rPr>
        <w:t> </w:t>
      </w:r>
      <w:r>
        <w:rPr/>
        <w:t>y</w:t>
      </w:r>
      <w:r>
        <w:rPr>
          <w:spacing w:val="-7"/>
        </w:rPr>
        <w:t> </w:t>
      </w:r>
      <w:r>
        <w:rPr/>
        <w:t>el</w:t>
      </w:r>
      <w:r>
        <w:rPr>
          <w:spacing w:val="-5"/>
        </w:rPr>
        <w:t> </w:t>
      </w:r>
      <w:r>
        <w:rPr/>
        <w:t>sector</w:t>
      </w:r>
      <w:r>
        <w:rPr>
          <w:spacing w:val="-5"/>
        </w:rPr>
        <w:t> </w:t>
      </w:r>
      <w:r>
        <w:rPr/>
        <w:t>público</w:t>
      </w:r>
      <w:r>
        <w:rPr>
          <w:spacing w:val="-4"/>
        </w:rPr>
        <w:t> </w:t>
      </w:r>
      <w:r>
        <w:rPr/>
        <w:t>en</w:t>
      </w:r>
      <w:r>
        <w:rPr>
          <w:spacing w:val="-4"/>
        </w:rPr>
        <w:t> </w:t>
      </w:r>
      <w:r>
        <w:rPr/>
        <w:t>general,</w:t>
      </w:r>
      <w:r>
        <w:rPr>
          <w:spacing w:val="-2"/>
        </w:rPr>
        <w:t> </w:t>
      </w:r>
      <w:r>
        <w:rPr/>
        <w:t>fue</w:t>
      </w:r>
      <w:r>
        <w:rPr>
          <w:spacing w:val="-6"/>
        </w:rPr>
        <w:t> </w:t>
      </w:r>
      <w:r>
        <w:rPr/>
        <w:t>heredada</w:t>
      </w:r>
      <w:r>
        <w:rPr>
          <w:spacing w:val="-4"/>
        </w:rPr>
        <w:t> </w:t>
      </w:r>
      <w:r>
        <w:rPr/>
        <w:t>a</w:t>
      </w:r>
      <w:r>
        <w:rPr>
          <w:spacing w:val="-4"/>
        </w:rPr>
        <w:t> </w:t>
      </w:r>
      <w:r>
        <w:rPr/>
        <w:t>Ernesto</w:t>
      </w:r>
      <w:r>
        <w:rPr>
          <w:spacing w:val="-3"/>
        </w:rPr>
        <w:t> </w:t>
      </w:r>
      <w:r>
        <w:rPr/>
        <w:t>Zedillo,</w:t>
      </w:r>
      <w:r>
        <w:rPr>
          <w:spacing w:val="-4"/>
        </w:rPr>
        <w:t> </w:t>
      </w:r>
      <w:r>
        <w:rPr/>
        <w:t>quien</w:t>
      </w:r>
      <w:r>
        <w:rPr>
          <w:spacing w:val="-3"/>
        </w:rPr>
        <w:t> </w:t>
      </w:r>
      <w:r>
        <w:rPr/>
        <w:t>actuó</w:t>
      </w:r>
    </w:p>
    <w:p>
      <w:pPr>
        <w:pStyle w:val="BodyText"/>
        <w:spacing w:before="9"/>
        <w:rPr>
          <w:sz w:val="21"/>
        </w:rPr>
      </w:pPr>
      <w:r>
        <w:rPr/>
        <w:pict>
          <v:line style="position:absolute;mso-position-horizontal-relative:page;mso-position-vertical-relative:paragraph;z-index:6496;mso-wrap-distance-left:0;mso-wrap-distance-right:0" from="85.103996pt,14.873897pt" to="229.123996pt,14.873897pt" stroked="true" strokeweight=".72003pt" strokecolor="#000000">
            <w10:wrap type="topAndBottom"/>
          </v:line>
        </w:pict>
      </w:r>
    </w:p>
    <w:p>
      <w:pPr>
        <w:spacing w:line="247" w:lineRule="auto" w:before="62"/>
        <w:ind w:left="122" w:right="462" w:firstLine="0"/>
        <w:jc w:val="left"/>
        <w:rPr>
          <w:sz w:val="16"/>
        </w:rPr>
      </w:pPr>
      <w:r>
        <w:rPr>
          <w:rFonts w:ascii="Times New Roman" w:hAnsi="Times New Roman"/>
          <w:position w:val="7"/>
          <w:sz w:val="13"/>
        </w:rPr>
        <w:t>55</w:t>
      </w:r>
      <w:r>
        <w:rPr>
          <w:sz w:val="16"/>
        </w:rPr>
        <w:t>Secretaría de la Función Pública, Conferencia Internacional sobre PbR, el programa de mejora de la gestión. Disponible en: </w:t>
      </w:r>
      <w:hyperlink r:id="rId126">
        <w:r>
          <w:rPr>
            <w:color w:val="0000FF"/>
            <w:sz w:val="16"/>
            <w:u w:val="single" w:color="0000FF"/>
          </w:rPr>
          <w:t>http://siteresources.worldbank.org/INTMEXICO/Resources/4-3DocumentoPbRSalvadorVegajun08VF.pdf</w:t>
        </w:r>
      </w:hyperlink>
      <w:r>
        <w:rPr>
          <w:color w:val="0000FF"/>
          <w:sz w:val="16"/>
          <w:u w:val="single" w:color="0000FF"/>
        </w:rPr>
        <w:t> </w:t>
      </w:r>
      <w:r>
        <w:rPr>
          <w:sz w:val="16"/>
        </w:rPr>
        <w:t>[Fecha de consulta: 31 de agosto, 2015]</w:t>
      </w:r>
    </w:p>
    <w:p>
      <w:pPr>
        <w:spacing w:line="196" w:lineRule="exact" w:before="22"/>
        <w:ind w:left="122" w:right="50" w:firstLine="0"/>
        <w:jc w:val="left"/>
        <w:rPr>
          <w:sz w:val="16"/>
        </w:rPr>
      </w:pPr>
      <w:r>
        <w:rPr>
          <w:rFonts w:ascii="Times New Roman" w:hAnsi="Times New Roman"/>
          <w:position w:val="7"/>
          <w:sz w:val="13"/>
        </w:rPr>
        <w:t>56</w:t>
      </w:r>
      <w:r>
        <w:rPr>
          <w:sz w:val="16"/>
        </w:rPr>
        <w:t>De 30 mil millones de dólares. Disponible en: </w:t>
      </w:r>
      <w:hyperlink r:id="rId127">
        <w:r>
          <w:rPr>
            <w:color w:val="0000FF"/>
            <w:sz w:val="16"/>
            <w:u w:val="single" w:color="0000FF"/>
          </w:rPr>
          <w:t>http://www.oocities.org/hectorh83/Historia1.htm</w:t>
        </w:r>
        <w:r>
          <w:rPr>
            <w:color w:val="0000FF"/>
            <w:sz w:val="16"/>
          </w:rPr>
          <w:t>l</w:t>
        </w:r>
      </w:hyperlink>
      <w:r>
        <w:rPr>
          <w:color w:val="0000FF"/>
          <w:sz w:val="16"/>
        </w:rPr>
        <w:t> </w:t>
      </w:r>
      <w:r>
        <w:rPr>
          <w:sz w:val="16"/>
        </w:rPr>
        <w:t>[Fecha de consulta: 31 de agosto, 2015</w:t>
      </w:r>
    </w:p>
    <w:p>
      <w:pPr>
        <w:spacing w:line="213" w:lineRule="exact" w:before="0"/>
        <w:ind w:left="122" w:right="50" w:firstLine="0"/>
        <w:jc w:val="left"/>
        <w:rPr>
          <w:sz w:val="16"/>
        </w:rPr>
      </w:pPr>
      <w:r>
        <w:rPr>
          <w:rFonts w:ascii="Times New Roman" w:hAnsi="Times New Roman"/>
          <w:position w:val="7"/>
          <w:sz w:val="13"/>
        </w:rPr>
        <w:t>57</w:t>
      </w:r>
      <w:r>
        <w:rPr>
          <w:sz w:val="16"/>
        </w:rPr>
        <w:t>El modelo neoliberal es denominado así por las corrientes políticas de izquierda y no por la literatura económica, considera</w:t>
      </w:r>
    </w:p>
    <w:p>
      <w:pPr>
        <w:spacing w:before="10"/>
        <w:ind w:left="122" w:right="50" w:firstLine="0"/>
        <w:jc w:val="left"/>
        <w:rPr>
          <w:sz w:val="16"/>
        </w:rPr>
      </w:pPr>
      <w:r>
        <w:rPr>
          <w:sz w:val="16"/>
        </w:rPr>
        <w:t>una mayor participación del mercado y la reducción de la intervención del Estado, pero que ello corresponde mayormente a intereses políticos y no económicos.</w:t>
      </w:r>
    </w:p>
    <w:p>
      <w:pPr>
        <w:spacing w:line="218" w:lineRule="exact" w:before="0"/>
        <w:ind w:left="122" w:right="50" w:firstLine="0"/>
        <w:jc w:val="left"/>
        <w:rPr>
          <w:sz w:val="16"/>
        </w:rPr>
      </w:pPr>
      <w:r>
        <w:rPr>
          <w:rFonts w:ascii="Times New Roman" w:hAnsi="Times New Roman"/>
          <w:position w:val="7"/>
          <w:sz w:val="13"/>
        </w:rPr>
        <w:t>58</w:t>
      </w:r>
      <w:r>
        <w:rPr>
          <w:sz w:val="16"/>
        </w:rPr>
        <w:t>El retorno del PRI en 2012 no implicó que el partido contara con la mayoría calificada en el Congreso.</w:t>
      </w:r>
    </w:p>
    <w:p>
      <w:pPr>
        <w:spacing w:after="0" w:line="218" w:lineRule="exact"/>
        <w:jc w:val="left"/>
        <w:rPr>
          <w:sz w:val="16"/>
        </w:rPr>
        <w:sectPr>
          <w:pgSz w:w="12240" w:h="15840"/>
          <w:pgMar w:header="0" w:footer="1003" w:top="1360" w:bottom="1200" w:left="1580" w:right="1580"/>
        </w:sectPr>
      </w:pPr>
    </w:p>
    <w:p>
      <w:pPr>
        <w:pStyle w:val="BodyText"/>
        <w:spacing w:line="357" w:lineRule="auto" w:before="54"/>
        <w:ind w:left="122" w:right="116"/>
        <w:jc w:val="both"/>
      </w:pPr>
      <w:r>
        <w:rPr/>
        <w:t>más como tecnócrata (economista) que político. Esta característica del Jefe del Ejecutivo</w:t>
      </w:r>
      <w:r>
        <w:rPr>
          <w:spacing w:val="-7"/>
        </w:rPr>
        <w:t> </w:t>
      </w:r>
      <w:r>
        <w:rPr/>
        <w:t>del</w:t>
      </w:r>
      <w:r>
        <w:rPr>
          <w:spacing w:val="-10"/>
        </w:rPr>
        <w:t> </w:t>
      </w:r>
      <w:r>
        <w:rPr/>
        <w:t>Partido</w:t>
      </w:r>
      <w:r>
        <w:rPr>
          <w:spacing w:val="-7"/>
        </w:rPr>
        <w:t> </w:t>
      </w:r>
      <w:r>
        <w:rPr/>
        <w:t>Revolucionario</w:t>
      </w:r>
      <w:r>
        <w:rPr>
          <w:spacing w:val="-7"/>
        </w:rPr>
        <w:t> </w:t>
      </w:r>
      <w:r>
        <w:rPr/>
        <w:t>Institucional</w:t>
      </w:r>
      <w:r>
        <w:rPr>
          <w:spacing w:val="-8"/>
        </w:rPr>
        <w:t> </w:t>
      </w:r>
      <w:r>
        <w:rPr/>
        <w:t>(PRI)</w:t>
      </w:r>
      <w:r>
        <w:rPr>
          <w:position w:val="8"/>
          <w:sz w:val="16"/>
        </w:rPr>
        <w:t>59</w:t>
      </w:r>
      <w:r>
        <w:rPr/>
        <w:t>le</w:t>
      </w:r>
      <w:r>
        <w:rPr>
          <w:spacing w:val="-7"/>
        </w:rPr>
        <w:t> </w:t>
      </w:r>
      <w:r>
        <w:rPr/>
        <w:t>permitió</w:t>
      </w:r>
      <w:r>
        <w:rPr>
          <w:spacing w:val="-9"/>
        </w:rPr>
        <w:t> </w:t>
      </w:r>
      <w:r>
        <w:rPr/>
        <w:t>hacer</w:t>
      </w:r>
      <w:r>
        <w:rPr>
          <w:spacing w:val="-10"/>
        </w:rPr>
        <w:t> </w:t>
      </w:r>
      <w:r>
        <w:rPr/>
        <w:t>frente</w:t>
      </w:r>
      <w:r>
        <w:rPr>
          <w:spacing w:val="-7"/>
        </w:rPr>
        <w:t> </w:t>
      </w:r>
      <w:r>
        <w:rPr/>
        <w:t>a</w:t>
      </w:r>
      <w:r>
        <w:rPr>
          <w:spacing w:val="-9"/>
        </w:rPr>
        <w:t> </w:t>
      </w:r>
      <w:r>
        <w:rPr/>
        <w:t>la situación económica, pero su renuencia a actuar como político y representar a su partido, entre otros factores,</w:t>
      </w:r>
      <w:r>
        <w:rPr>
          <w:position w:val="8"/>
          <w:sz w:val="16"/>
        </w:rPr>
        <w:t>60</w:t>
      </w:r>
      <w:r>
        <w:rPr/>
        <w:t>hizo que el PRI alternara el poder en los 12 años siguientes.</w:t>
      </w:r>
    </w:p>
    <w:p>
      <w:pPr>
        <w:pStyle w:val="BodyText"/>
        <w:spacing w:line="360" w:lineRule="auto" w:before="8"/>
        <w:ind w:left="122" w:right="125" w:firstLine="427"/>
        <w:jc w:val="both"/>
      </w:pPr>
      <w:r>
        <w:rPr/>
        <w:t>A partir de entonces, el ejercicio del poder se orienta más hacia la institucionalidad y se transita del gobierno de las personas al de las instituciones.</w:t>
      </w:r>
    </w:p>
    <w:p>
      <w:pPr>
        <w:pStyle w:val="BodyText"/>
      </w:pPr>
    </w:p>
    <w:p>
      <w:pPr>
        <w:pStyle w:val="Heading3"/>
        <w:numPr>
          <w:ilvl w:val="2"/>
          <w:numId w:val="41"/>
        </w:numPr>
        <w:tabs>
          <w:tab w:pos="724" w:val="left" w:leader="none"/>
        </w:tabs>
        <w:spacing w:line="240" w:lineRule="auto" w:before="142" w:after="0"/>
        <w:ind w:left="723" w:right="0" w:hanging="601"/>
        <w:jc w:val="both"/>
      </w:pPr>
      <w:bookmarkStart w:name="_bookmark47" w:id="63"/>
      <w:bookmarkEnd w:id="63"/>
      <w:r>
        <w:rPr>
          <w:b w:val="0"/>
        </w:rPr>
      </w:r>
      <w:bookmarkStart w:name="_bookmark47" w:id="64"/>
      <w:bookmarkEnd w:id="64"/>
      <w:r>
        <w:rPr/>
        <w:t>P</w:t>
      </w:r>
      <w:r>
        <w:rPr/>
        <w:t>rincipales características de la intervención del Estado en la</w:t>
      </w:r>
      <w:r>
        <w:rPr>
          <w:spacing w:val="-30"/>
        </w:rPr>
        <w:t> </w:t>
      </w:r>
      <w:r>
        <w:rPr/>
        <w:t>política</w:t>
      </w:r>
    </w:p>
    <w:p>
      <w:pPr>
        <w:pStyle w:val="BodyText"/>
        <w:rPr>
          <w:b/>
        </w:rPr>
      </w:pPr>
    </w:p>
    <w:p>
      <w:pPr>
        <w:pStyle w:val="BodyText"/>
        <w:rPr>
          <w:b/>
        </w:rPr>
      </w:pPr>
    </w:p>
    <w:p>
      <w:pPr>
        <w:pStyle w:val="BodyText"/>
        <w:spacing w:line="360" w:lineRule="auto"/>
        <w:ind w:left="122" w:right="116"/>
        <w:jc w:val="both"/>
      </w:pPr>
      <w:r>
        <w:rPr/>
        <w:t>Los</w:t>
      </w:r>
      <w:r>
        <w:rPr>
          <w:spacing w:val="-19"/>
        </w:rPr>
        <w:t> </w:t>
      </w:r>
      <w:r>
        <w:rPr/>
        <w:t>siglos</w:t>
      </w:r>
      <w:r>
        <w:rPr>
          <w:spacing w:val="-18"/>
        </w:rPr>
        <w:t> </w:t>
      </w:r>
      <w:r>
        <w:rPr/>
        <w:t>XIX</w:t>
      </w:r>
      <w:r>
        <w:rPr>
          <w:spacing w:val="-18"/>
        </w:rPr>
        <w:t> </w:t>
      </w:r>
      <w:r>
        <w:rPr/>
        <w:t>y</w:t>
      </w:r>
      <w:r>
        <w:rPr>
          <w:spacing w:val="-19"/>
        </w:rPr>
        <w:t> </w:t>
      </w:r>
      <w:r>
        <w:rPr/>
        <w:t>XX</w:t>
      </w:r>
      <w:r>
        <w:rPr>
          <w:spacing w:val="-18"/>
        </w:rPr>
        <w:t> </w:t>
      </w:r>
      <w:r>
        <w:rPr/>
        <w:t>se</w:t>
      </w:r>
      <w:r>
        <w:rPr>
          <w:spacing w:val="-16"/>
        </w:rPr>
        <w:t> </w:t>
      </w:r>
      <w:r>
        <w:rPr/>
        <w:t>caracterizaron</w:t>
      </w:r>
      <w:r>
        <w:rPr>
          <w:spacing w:val="-18"/>
        </w:rPr>
        <w:t> </w:t>
      </w:r>
      <w:r>
        <w:rPr/>
        <w:t>por</w:t>
      </w:r>
      <w:r>
        <w:rPr>
          <w:spacing w:val="-19"/>
        </w:rPr>
        <w:t> </w:t>
      </w:r>
      <w:r>
        <w:rPr/>
        <w:t>una</w:t>
      </w:r>
      <w:r>
        <w:rPr>
          <w:spacing w:val="-18"/>
        </w:rPr>
        <w:t> </w:t>
      </w:r>
      <w:r>
        <w:rPr/>
        <w:t>soberanía</w:t>
      </w:r>
      <w:r>
        <w:rPr>
          <w:spacing w:val="-18"/>
        </w:rPr>
        <w:t> </w:t>
      </w:r>
      <w:r>
        <w:rPr/>
        <w:t>del</w:t>
      </w:r>
      <w:r>
        <w:rPr>
          <w:spacing w:val="-19"/>
        </w:rPr>
        <w:t> </w:t>
      </w:r>
      <w:r>
        <w:rPr/>
        <w:t>Jefe</w:t>
      </w:r>
      <w:r>
        <w:rPr>
          <w:spacing w:val="-18"/>
        </w:rPr>
        <w:t> </w:t>
      </w:r>
      <w:r>
        <w:rPr/>
        <w:t>del</w:t>
      </w:r>
      <w:r>
        <w:rPr>
          <w:spacing w:val="-19"/>
        </w:rPr>
        <w:t> </w:t>
      </w:r>
      <w:r>
        <w:rPr/>
        <w:t>Poder</w:t>
      </w:r>
      <w:r>
        <w:rPr>
          <w:spacing w:val="-19"/>
        </w:rPr>
        <w:t> </w:t>
      </w:r>
      <w:r>
        <w:rPr/>
        <w:t>Ejecutivo sobre los otros dos poderes, en los cuales la clase política impuso un régimen oligárquico. Aunque se considera que el partido político que gobernó en 71 años atendió las demandas de la población y hubo cierta estabilidad política, también privilegió los intereses de los capitalistas nacionales y extranjeros, con escasa viabilidad al país. En algunos momentos en la década de 1970 se contó con desarrollo y</w:t>
      </w:r>
      <w:r>
        <w:rPr>
          <w:spacing w:val="-5"/>
        </w:rPr>
        <w:t> </w:t>
      </w:r>
      <w:r>
        <w:rPr/>
        <w:t>bienestar.</w:t>
      </w:r>
    </w:p>
    <w:p>
      <w:pPr>
        <w:pStyle w:val="BodyText"/>
        <w:spacing w:line="360" w:lineRule="auto" w:before="5"/>
        <w:ind w:left="122" w:right="124" w:firstLine="427"/>
        <w:jc w:val="both"/>
      </w:pPr>
      <w:r>
        <w:rPr/>
        <w:t>La ampliación de los mercados financieros internacionales en el Siglo XX (inversión especulativa) ha generado las grandes crisis financieras, que ha</w:t>
      </w:r>
      <w:r>
        <w:rPr>
          <w:color w:val="00AF50"/>
        </w:rPr>
        <w:t>n</w:t>
      </w:r>
      <w:r>
        <w:rPr/>
        <w:t>ocasionado</w:t>
      </w:r>
      <w:r>
        <w:rPr>
          <w:spacing w:val="-9"/>
        </w:rPr>
        <w:t> </w:t>
      </w:r>
      <w:r>
        <w:rPr/>
        <w:t>que</w:t>
      </w:r>
      <w:r>
        <w:rPr>
          <w:spacing w:val="-12"/>
        </w:rPr>
        <w:t> </w:t>
      </w:r>
      <w:r>
        <w:rPr/>
        <w:t>el</w:t>
      </w:r>
      <w:r>
        <w:rPr>
          <w:spacing w:val="-13"/>
        </w:rPr>
        <w:t> </w:t>
      </w:r>
      <w:r>
        <w:rPr/>
        <w:t>mercado</w:t>
      </w:r>
      <w:r>
        <w:rPr>
          <w:spacing w:val="-9"/>
        </w:rPr>
        <w:t> </w:t>
      </w:r>
      <w:r>
        <w:rPr/>
        <w:t>sea</w:t>
      </w:r>
      <w:r>
        <w:rPr>
          <w:spacing w:val="-12"/>
        </w:rPr>
        <w:t> </w:t>
      </w:r>
      <w:r>
        <w:rPr/>
        <w:t>menos</w:t>
      </w:r>
      <w:r>
        <w:rPr>
          <w:spacing w:val="-13"/>
        </w:rPr>
        <w:t> </w:t>
      </w:r>
      <w:r>
        <w:rPr/>
        <w:t>eficiente,</w:t>
      </w:r>
      <w:r>
        <w:rPr>
          <w:spacing w:val="-12"/>
        </w:rPr>
        <w:t> </w:t>
      </w:r>
      <w:r>
        <w:rPr/>
        <w:t>lo</w:t>
      </w:r>
      <w:r>
        <w:rPr>
          <w:spacing w:val="-10"/>
        </w:rPr>
        <w:t> </w:t>
      </w:r>
      <w:r>
        <w:rPr/>
        <w:t>que</w:t>
      </w:r>
      <w:r>
        <w:rPr>
          <w:spacing w:val="-12"/>
        </w:rPr>
        <w:t> </w:t>
      </w:r>
      <w:r>
        <w:rPr/>
        <w:t>aunado</w:t>
      </w:r>
      <w:r>
        <w:rPr>
          <w:spacing w:val="-14"/>
        </w:rPr>
        <w:t> </w:t>
      </w:r>
      <w:r>
        <w:rPr/>
        <w:t>a</w:t>
      </w:r>
      <w:r>
        <w:rPr>
          <w:spacing w:val="-9"/>
        </w:rPr>
        <w:t> </w:t>
      </w:r>
      <w:r>
        <w:rPr/>
        <w:t>que</w:t>
      </w:r>
      <w:r>
        <w:rPr>
          <w:spacing w:val="-12"/>
        </w:rPr>
        <w:t> </w:t>
      </w:r>
      <w:r>
        <w:rPr/>
        <w:t>el</w:t>
      </w:r>
      <w:r>
        <w:rPr>
          <w:spacing w:val="-11"/>
        </w:rPr>
        <w:t> </w:t>
      </w:r>
      <w:r>
        <w:rPr/>
        <w:t>Estado solo haya servido para subsidiar al capital, delimitó la participación</w:t>
      </w:r>
      <w:r>
        <w:rPr>
          <w:spacing w:val="-28"/>
        </w:rPr>
        <w:t> </w:t>
      </w:r>
      <w:r>
        <w:rPr/>
        <w:t>ciudadana.</w:t>
      </w:r>
    </w:p>
    <w:p>
      <w:pPr>
        <w:pStyle w:val="BodyText"/>
      </w:pPr>
    </w:p>
    <w:p>
      <w:pPr>
        <w:pStyle w:val="BodyText"/>
        <w:spacing w:line="360" w:lineRule="auto" w:before="142"/>
        <w:ind w:left="122" w:right="125" w:firstLine="427"/>
        <w:jc w:val="both"/>
      </w:pPr>
      <w:r>
        <w:rPr/>
        <w:t>En el aspecto económico, el privilegio que el Estado otorgó a los capitalistas terminó por afectar a las clases sociales más bajas. La actividad del Estado de proteger la empresa pública y privada demandó mayores recursos y limitó la generación de empleos.</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6520;mso-wrap-distance-left:0;mso-wrap-distance-right:0" from="85.103996pt,14.915879pt" to="229.123996pt,14.915879pt" stroked="true" strokeweight=".71997pt" strokecolor="#000000">
            <w10:wrap type="topAndBottom"/>
          </v:line>
        </w:pict>
      </w:r>
    </w:p>
    <w:p>
      <w:pPr>
        <w:spacing w:before="62"/>
        <w:ind w:left="122" w:right="0" w:firstLine="0"/>
        <w:jc w:val="both"/>
        <w:rPr>
          <w:sz w:val="16"/>
        </w:rPr>
      </w:pPr>
      <w:r>
        <w:rPr>
          <w:rFonts w:ascii="Times New Roman" w:hAnsi="Times New Roman"/>
          <w:position w:val="7"/>
          <w:sz w:val="13"/>
        </w:rPr>
        <w:t>59</w:t>
      </w:r>
      <w:r>
        <w:rPr>
          <w:sz w:val="16"/>
        </w:rPr>
        <w:t>El Partido de la Revolución Mexicana cambió de denominación a Partido Revolucionario Institucional en 1946.</w:t>
      </w:r>
    </w:p>
    <w:p>
      <w:pPr>
        <w:spacing w:line="242" w:lineRule="auto" w:before="2"/>
        <w:ind w:left="122" w:right="115" w:firstLine="0"/>
        <w:jc w:val="both"/>
        <w:rPr>
          <w:sz w:val="16"/>
        </w:rPr>
      </w:pPr>
      <w:r>
        <w:rPr>
          <w:rFonts w:ascii="Times New Roman" w:hAnsi="Times New Roman"/>
          <w:position w:val="7"/>
          <w:sz w:val="13"/>
        </w:rPr>
        <w:t>60</w:t>
      </w:r>
      <w:r>
        <w:rPr>
          <w:sz w:val="16"/>
        </w:rPr>
        <w:t>Algunos</w:t>
      </w:r>
      <w:r>
        <w:rPr>
          <w:spacing w:val="-3"/>
          <w:sz w:val="16"/>
        </w:rPr>
        <w:t> </w:t>
      </w:r>
      <w:r>
        <w:rPr>
          <w:sz w:val="16"/>
        </w:rPr>
        <w:t>de</w:t>
      </w:r>
      <w:r>
        <w:rPr>
          <w:spacing w:val="-4"/>
          <w:sz w:val="16"/>
        </w:rPr>
        <w:t> </w:t>
      </w:r>
      <w:r>
        <w:rPr>
          <w:sz w:val="16"/>
        </w:rPr>
        <w:t>los</w:t>
      </w:r>
      <w:r>
        <w:rPr>
          <w:spacing w:val="-3"/>
          <w:sz w:val="16"/>
        </w:rPr>
        <w:t> </w:t>
      </w:r>
      <w:r>
        <w:rPr>
          <w:sz w:val="16"/>
        </w:rPr>
        <w:t>factores</w:t>
      </w:r>
      <w:r>
        <w:rPr>
          <w:spacing w:val="-3"/>
          <w:sz w:val="16"/>
        </w:rPr>
        <w:t> </w:t>
      </w:r>
      <w:r>
        <w:rPr>
          <w:sz w:val="16"/>
        </w:rPr>
        <w:t>políticos</w:t>
      </w:r>
      <w:r>
        <w:rPr>
          <w:spacing w:val="-3"/>
          <w:sz w:val="16"/>
        </w:rPr>
        <w:t> </w:t>
      </w:r>
      <w:r>
        <w:rPr>
          <w:sz w:val="16"/>
        </w:rPr>
        <w:t>que</w:t>
      </w:r>
      <w:r>
        <w:rPr>
          <w:spacing w:val="-4"/>
          <w:sz w:val="16"/>
        </w:rPr>
        <w:t> </w:t>
      </w:r>
      <w:r>
        <w:rPr>
          <w:sz w:val="16"/>
        </w:rPr>
        <w:t>influyeron</w:t>
      </w:r>
      <w:r>
        <w:rPr>
          <w:spacing w:val="-4"/>
          <w:sz w:val="16"/>
        </w:rPr>
        <w:t> </w:t>
      </w:r>
      <w:r>
        <w:rPr>
          <w:sz w:val="16"/>
        </w:rPr>
        <w:t>en</w:t>
      </w:r>
      <w:r>
        <w:rPr>
          <w:spacing w:val="-4"/>
          <w:sz w:val="16"/>
        </w:rPr>
        <w:t> </w:t>
      </w:r>
      <w:r>
        <w:rPr>
          <w:sz w:val="16"/>
        </w:rPr>
        <w:t>el</w:t>
      </w:r>
      <w:r>
        <w:rPr>
          <w:spacing w:val="-3"/>
          <w:sz w:val="16"/>
        </w:rPr>
        <w:t> </w:t>
      </w:r>
      <w:r>
        <w:rPr>
          <w:sz w:val="16"/>
        </w:rPr>
        <w:t>cambio</w:t>
      </w:r>
      <w:r>
        <w:rPr>
          <w:spacing w:val="-1"/>
          <w:sz w:val="16"/>
        </w:rPr>
        <w:t> </w:t>
      </w:r>
      <w:r>
        <w:rPr>
          <w:sz w:val="16"/>
        </w:rPr>
        <w:t>del</w:t>
      </w:r>
      <w:r>
        <w:rPr>
          <w:spacing w:val="-3"/>
          <w:sz w:val="16"/>
        </w:rPr>
        <w:t> </w:t>
      </w:r>
      <w:r>
        <w:rPr>
          <w:sz w:val="16"/>
        </w:rPr>
        <w:t>partido</w:t>
      </w:r>
      <w:r>
        <w:rPr>
          <w:spacing w:val="-5"/>
          <w:sz w:val="16"/>
        </w:rPr>
        <w:t> </w:t>
      </w:r>
      <w:r>
        <w:rPr>
          <w:sz w:val="16"/>
        </w:rPr>
        <w:t>hegemónico</w:t>
      </w:r>
      <w:r>
        <w:rPr>
          <w:spacing w:val="-4"/>
          <w:sz w:val="16"/>
        </w:rPr>
        <w:t> </w:t>
      </w:r>
      <w:r>
        <w:rPr>
          <w:sz w:val="16"/>
        </w:rPr>
        <w:t>en</w:t>
      </w:r>
      <w:r>
        <w:rPr>
          <w:spacing w:val="-4"/>
          <w:sz w:val="16"/>
        </w:rPr>
        <w:t> </w:t>
      </w:r>
      <w:r>
        <w:rPr>
          <w:sz w:val="16"/>
        </w:rPr>
        <w:t>el</w:t>
      </w:r>
      <w:r>
        <w:rPr>
          <w:spacing w:val="-3"/>
          <w:sz w:val="16"/>
        </w:rPr>
        <w:t> </w:t>
      </w:r>
      <w:r>
        <w:rPr>
          <w:sz w:val="16"/>
        </w:rPr>
        <w:t>año</w:t>
      </w:r>
      <w:r>
        <w:rPr>
          <w:spacing w:val="-4"/>
          <w:sz w:val="16"/>
        </w:rPr>
        <w:t> </w:t>
      </w:r>
      <w:r>
        <w:rPr>
          <w:sz w:val="16"/>
        </w:rPr>
        <w:t>2000</w:t>
      </w:r>
      <w:r>
        <w:rPr>
          <w:spacing w:val="-4"/>
          <w:sz w:val="16"/>
        </w:rPr>
        <w:t> </w:t>
      </w:r>
      <w:r>
        <w:rPr>
          <w:sz w:val="16"/>
        </w:rPr>
        <w:t>fue</w:t>
      </w:r>
      <w:r>
        <w:rPr>
          <w:spacing w:val="-4"/>
          <w:sz w:val="16"/>
        </w:rPr>
        <w:t> </w:t>
      </w:r>
      <w:r>
        <w:rPr>
          <w:sz w:val="16"/>
        </w:rPr>
        <w:t>que</w:t>
      </w:r>
      <w:r>
        <w:rPr>
          <w:spacing w:val="-4"/>
          <w:sz w:val="16"/>
        </w:rPr>
        <w:t> </w:t>
      </w:r>
      <w:r>
        <w:rPr>
          <w:sz w:val="16"/>
        </w:rPr>
        <w:t>desde</w:t>
      </w:r>
      <w:r>
        <w:rPr>
          <w:spacing w:val="-4"/>
          <w:sz w:val="16"/>
        </w:rPr>
        <w:t> </w:t>
      </w:r>
      <w:r>
        <w:rPr>
          <w:sz w:val="16"/>
        </w:rPr>
        <w:t>1989</w:t>
      </w:r>
      <w:r>
        <w:rPr>
          <w:spacing w:val="-4"/>
          <w:sz w:val="16"/>
        </w:rPr>
        <w:t> </w:t>
      </w:r>
      <w:r>
        <w:rPr>
          <w:sz w:val="16"/>
        </w:rPr>
        <w:t>el PRI perdió su representación en Baja California; la intervención de Jefe de Gobierno en 1991 en la designación del Gobernador de Guanajuato; que PRI haya eligió un candidato sustituto en 1994, lo que causó una figura presidencial débil pese</w:t>
      </w:r>
      <w:r>
        <w:rPr>
          <w:spacing w:val="-4"/>
          <w:sz w:val="16"/>
        </w:rPr>
        <w:t> </w:t>
      </w:r>
      <w:r>
        <w:rPr>
          <w:sz w:val="16"/>
        </w:rPr>
        <w:t>a</w:t>
      </w:r>
      <w:r>
        <w:rPr>
          <w:spacing w:val="-9"/>
          <w:sz w:val="16"/>
        </w:rPr>
        <w:t> </w:t>
      </w:r>
      <w:r>
        <w:rPr>
          <w:sz w:val="16"/>
        </w:rPr>
        <w:t>ser</w:t>
      </w:r>
      <w:r>
        <w:rPr>
          <w:spacing w:val="-7"/>
          <w:sz w:val="16"/>
        </w:rPr>
        <w:t> </w:t>
      </w:r>
      <w:r>
        <w:rPr>
          <w:sz w:val="16"/>
        </w:rPr>
        <w:t>considerado</w:t>
      </w:r>
      <w:r>
        <w:rPr>
          <w:spacing w:val="-7"/>
          <w:sz w:val="16"/>
        </w:rPr>
        <w:t> </w:t>
      </w:r>
      <w:r>
        <w:rPr>
          <w:sz w:val="16"/>
        </w:rPr>
        <w:t>como</w:t>
      </w:r>
      <w:r>
        <w:rPr>
          <w:spacing w:val="-7"/>
          <w:sz w:val="16"/>
        </w:rPr>
        <w:t> </w:t>
      </w:r>
      <w:r>
        <w:rPr>
          <w:sz w:val="16"/>
        </w:rPr>
        <w:t>un</w:t>
      </w:r>
      <w:r>
        <w:rPr>
          <w:spacing w:val="-4"/>
          <w:sz w:val="16"/>
        </w:rPr>
        <w:t> </w:t>
      </w:r>
      <w:r>
        <w:rPr>
          <w:sz w:val="16"/>
        </w:rPr>
        <w:t>tecnócrata</w:t>
      </w:r>
      <w:r>
        <w:rPr>
          <w:spacing w:val="-7"/>
          <w:sz w:val="16"/>
        </w:rPr>
        <w:t> </w:t>
      </w:r>
      <w:r>
        <w:rPr>
          <w:sz w:val="16"/>
        </w:rPr>
        <w:t>y</w:t>
      </w:r>
      <w:r>
        <w:rPr>
          <w:spacing w:val="-7"/>
          <w:sz w:val="16"/>
        </w:rPr>
        <w:t> </w:t>
      </w:r>
      <w:r>
        <w:rPr>
          <w:sz w:val="16"/>
        </w:rPr>
        <w:t>neoliberal;</w:t>
      </w:r>
      <w:r>
        <w:rPr>
          <w:spacing w:val="-5"/>
          <w:sz w:val="16"/>
        </w:rPr>
        <w:t> </w:t>
      </w:r>
      <w:r>
        <w:rPr>
          <w:sz w:val="16"/>
        </w:rPr>
        <w:t>el</w:t>
      </w:r>
      <w:r>
        <w:rPr>
          <w:spacing w:val="-8"/>
          <w:sz w:val="16"/>
        </w:rPr>
        <w:t> </w:t>
      </w:r>
      <w:r>
        <w:rPr>
          <w:sz w:val="16"/>
        </w:rPr>
        <w:t>cuestionamiento</w:t>
      </w:r>
      <w:r>
        <w:rPr>
          <w:spacing w:val="-7"/>
          <w:sz w:val="16"/>
        </w:rPr>
        <w:t> </w:t>
      </w:r>
      <w:r>
        <w:rPr>
          <w:sz w:val="16"/>
        </w:rPr>
        <w:t>de</w:t>
      </w:r>
      <w:r>
        <w:rPr>
          <w:spacing w:val="-7"/>
          <w:sz w:val="16"/>
        </w:rPr>
        <w:t> </w:t>
      </w:r>
      <w:r>
        <w:rPr>
          <w:sz w:val="16"/>
        </w:rPr>
        <w:t>la</w:t>
      </w:r>
      <w:r>
        <w:rPr>
          <w:spacing w:val="-6"/>
          <w:sz w:val="16"/>
        </w:rPr>
        <w:t> </w:t>
      </w:r>
      <w:r>
        <w:rPr>
          <w:sz w:val="16"/>
        </w:rPr>
        <w:t>injerencia</w:t>
      </w:r>
      <w:r>
        <w:rPr>
          <w:spacing w:val="-6"/>
          <w:sz w:val="16"/>
        </w:rPr>
        <w:t> </w:t>
      </w:r>
      <w:r>
        <w:rPr>
          <w:sz w:val="16"/>
        </w:rPr>
        <w:t>del</w:t>
      </w:r>
      <w:r>
        <w:rPr>
          <w:spacing w:val="-8"/>
          <w:sz w:val="16"/>
        </w:rPr>
        <w:t> </w:t>
      </w:r>
      <w:r>
        <w:rPr>
          <w:sz w:val="16"/>
        </w:rPr>
        <w:t>Jefe</w:t>
      </w:r>
      <w:r>
        <w:rPr>
          <w:spacing w:val="-7"/>
          <w:sz w:val="16"/>
        </w:rPr>
        <w:t> </w:t>
      </w:r>
      <w:r>
        <w:rPr>
          <w:sz w:val="16"/>
        </w:rPr>
        <w:t>del</w:t>
      </w:r>
      <w:r>
        <w:rPr>
          <w:spacing w:val="-6"/>
          <w:sz w:val="16"/>
        </w:rPr>
        <w:t> </w:t>
      </w:r>
      <w:r>
        <w:rPr>
          <w:sz w:val="16"/>
        </w:rPr>
        <w:t>Ejecutivo</w:t>
      </w:r>
      <w:r>
        <w:rPr>
          <w:spacing w:val="-4"/>
          <w:sz w:val="16"/>
        </w:rPr>
        <w:t> </w:t>
      </w:r>
      <w:r>
        <w:rPr>
          <w:sz w:val="16"/>
        </w:rPr>
        <w:t>en</w:t>
      </w:r>
      <w:r>
        <w:rPr>
          <w:spacing w:val="-7"/>
          <w:sz w:val="16"/>
        </w:rPr>
        <w:t> </w:t>
      </w:r>
      <w:r>
        <w:rPr>
          <w:sz w:val="16"/>
        </w:rPr>
        <w:t>asuntos electorales</w:t>
      </w:r>
      <w:r>
        <w:rPr>
          <w:spacing w:val="-3"/>
          <w:sz w:val="16"/>
        </w:rPr>
        <w:t> </w:t>
      </w:r>
      <w:r>
        <w:rPr>
          <w:sz w:val="16"/>
        </w:rPr>
        <w:t>en</w:t>
      </w:r>
      <w:r>
        <w:rPr>
          <w:spacing w:val="-6"/>
          <w:sz w:val="16"/>
        </w:rPr>
        <w:t> </w:t>
      </w:r>
      <w:r>
        <w:rPr>
          <w:sz w:val="16"/>
        </w:rPr>
        <w:t>Tabasco</w:t>
      </w:r>
      <w:r>
        <w:rPr>
          <w:spacing w:val="-3"/>
          <w:sz w:val="16"/>
        </w:rPr>
        <w:t> </w:t>
      </w:r>
      <w:r>
        <w:rPr>
          <w:sz w:val="16"/>
        </w:rPr>
        <w:t>y</w:t>
      </w:r>
      <w:r>
        <w:rPr>
          <w:spacing w:val="-6"/>
          <w:sz w:val="16"/>
        </w:rPr>
        <w:t> </w:t>
      </w:r>
      <w:r>
        <w:rPr>
          <w:sz w:val="16"/>
        </w:rPr>
        <w:t>Puebla;</w:t>
      </w:r>
      <w:r>
        <w:rPr>
          <w:spacing w:val="-7"/>
          <w:sz w:val="16"/>
        </w:rPr>
        <w:t> </w:t>
      </w:r>
      <w:r>
        <w:rPr>
          <w:sz w:val="16"/>
        </w:rPr>
        <w:t>su</w:t>
      </w:r>
      <w:r>
        <w:rPr>
          <w:spacing w:val="-3"/>
          <w:sz w:val="16"/>
        </w:rPr>
        <w:t> </w:t>
      </w:r>
      <w:r>
        <w:rPr>
          <w:sz w:val="16"/>
        </w:rPr>
        <w:t>el</w:t>
      </w:r>
      <w:r>
        <w:rPr>
          <w:spacing w:val="-5"/>
          <w:sz w:val="16"/>
        </w:rPr>
        <w:t> </w:t>
      </w:r>
      <w:r>
        <w:rPr>
          <w:sz w:val="16"/>
        </w:rPr>
        <w:t>distanciamiento</w:t>
      </w:r>
      <w:r>
        <w:rPr>
          <w:spacing w:val="-6"/>
          <w:sz w:val="16"/>
        </w:rPr>
        <w:t> </w:t>
      </w:r>
      <w:r>
        <w:rPr>
          <w:sz w:val="16"/>
        </w:rPr>
        <w:t>con</w:t>
      </w:r>
      <w:r>
        <w:rPr>
          <w:spacing w:val="-3"/>
          <w:sz w:val="16"/>
        </w:rPr>
        <w:t> </w:t>
      </w:r>
      <w:r>
        <w:rPr>
          <w:sz w:val="16"/>
        </w:rPr>
        <w:t>el</w:t>
      </w:r>
      <w:r>
        <w:rPr>
          <w:spacing w:val="-5"/>
          <w:sz w:val="16"/>
        </w:rPr>
        <w:t> </w:t>
      </w:r>
      <w:r>
        <w:rPr>
          <w:sz w:val="16"/>
        </w:rPr>
        <w:t>PRI;</w:t>
      </w:r>
      <w:r>
        <w:rPr>
          <w:spacing w:val="-4"/>
          <w:sz w:val="16"/>
        </w:rPr>
        <w:t> </w:t>
      </w:r>
      <w:r>
        <w:rPr>
          <w:sz w:val="16"/>
        </w:rPr>
        <w:t>y</w:t>
      </w:r>
      <w:r>
        <w:rPr>
          <w:spacing w:val="-4"/>
          <w:sz w:val="16"/>
        </w:rPr>
        <w:t> </w:t>
      </w:r>
      <w:r>
        <w:rPr>
          <w:sz w:val="16"/>
        </w:rPr>
        <w:t>la</w:t>
      </w:r>
      <w:r>
        <w:rPr>
          <w:spacing w:val="-3"/>
          <w:sz w:val="16"/>
        </w:rPr>
        <w:t> </w:t>
      </w:r>
      <w:r>
        <w:rPr>
          <w:sz w:val="16"/>
        </w:rPr>
        <w:t>pérdida</w:t>
      </w:r>
      <w:r>
        <w:rPr>
          <w:spacing w:val="-4"/>
          <w:sz w:val="16"/>
        </w:rPr>
        <w:t> </w:t>
      </w:r>
      <w:r>
        <w:rPr>
          <w:sz w:val="16"/>
        </w:rPr>
        <w:t>de</w:t>
      </w:r>
      <w:r>
        <w:rPr>
          <w:spacing w:val="-6"/>
          <w:sz w:val="16"/>
        </w:rPr>
        <w:t> </w:t>
      </w:r>
      <w:r>
        <w:rPr>
          <w:sz w:val="16"/>
        </w:rPr>
        <w:t>la</w:t>
      </w:r>
      <w:r>
        <w:rPr>
          <w:spacing w:val="-5"/>
          <w:sz w:val="16"/>
        </w:rPr>
        <w:t> </w:t>
      </w:r>
      <w:r>
        <w:rPr>
          <w:sz w:val="16"/>
        </w:rPr>
        <w:t>mayoría</w:t>
      </w:r>
      <w:r>
        <w:rPr>
          <w:spacing w:val="-3"/>
          <w:sz w:val="16"/>
        </w:rPr>
        <w:t> </w:t>
      </w:r>
      <w:r>
        <w:rPr>
          <w:sz w:val="16"/>
        </w:rPr>
        <w:t>absoluta</w:t>
      </w:r>
      <w:r>
        <w:rPr>
          <w:spacing w:val="-8"/>
          <w:sz w:val="16"/>
        </w:rPr>
        <w:t> </w:t>
      </w:r>
      <w:r>
        <w:rPr>
          <w:sz w:val="16"/>
        </w:rPr>
        <w:t>del</w:t>
      </w:r>
      <w:r>
        <w:rPr>
          <w:spacing w:val="-3"/>
          <w:sz w:val="16"/>
        </w:rPr>
        <w:t> </w:t>
      </w:r>
      <w:r>
        <w:rPr>
          <w:sz w:val="16"/>
        </w:rPr>
        <w:t>partido</w:t>
      </w:r>
      <w:r>
        <w:rPr>
          <w:spacing w:val="-4"/>
          <w:sz w:val="16"/>
        </w:rPr>
        <w:t> </w:t>
      </w:r>
      <w:r>
        <w:rPr>
          <w:sz w:val="16"/>
        </w:rPr>
        <w:t>en</w:t>
      </w:r>
      <w:r>
        <w:rPr>
          <w:spacing w:val="-6"/>
          <w:sz w:val="16"/>
        </w:rPr>
        <w:t> </w:t>
      </w:r>
      <w:r>
        <w:rPr>
          <w:sz w:val="16"/>
        </w:rPr>
        <w:t>el</w:t>
      </w:r>
      <w:r>
        <w:rPr>
          <w:spacing w:val="-3"/>
          <w:sz w:val="16"/>
        </w:rPr>
        <w:t> </w:t>
      </w:r>
      <w:r>
        <w:rPr>
          <w:sz w:val="16"/>
        </w:rPr>
        <w:t>pode, en Congreso Federal en</w:t>
      </w:r>
      <w:r>
        <w:rPr>
          <w:spacing w:val="-10"/>
          <w:sz w:val="16"/>
        </w:rPr>
        <w:t> </w:t>
      </w:r>
      <w:r>
        <w:rPr>
          <w:sz w:val="16"/>
        </w:rPr>
        <w:t>1997.</w:t>
      </w:r>
    </w:p>
    <w:p>
      <w:pPr>
        <w:spacing w:after="0" w:line="242" w:lineRule="auto"/>
        <w:jc w:val="both"/>
        <w:rPr>
          <w:sz w:val="16"/>
        </w:rPr>
        <w:sectPr>
          <w:footerReference w:type="even" r:id="rId128"/>
          <w:footerReference w:type="default" r:id="rId129"/>
          <w:pgSz w:w="12240" w:h="15840"/>
          <w:pgMar w:footer="1003" w:header="0" w:top="1360" w:bottom="1200" w:left="1580" w:right="1580"/>
          <w:pgNumType w:start="82"/>
        </w:sectPr>
      </w:pPr>
    </w:p>
    <w:p>
      <w:pPr>
        <w:pStyle w:val="BodyText"/>
        <w:spacing w:line="360" w:lineRule="auto" w:before="54"/>
        <w:ind w:left="102" w:right="122" w:firstLine="427"/>
        <w:jc w:val="both"/>
      </w:pPr>
      <w:r>
        <w:rPr/>
        <w:t>La alta actividad del Estado mediante regulaciones al mercado propició los monopolios. El poder se ejerció de manera discrecional y benefició a algunas minorías. Con el poder discrecional, solo un pequeño grupo minoritario fue beneficiado y se encareció la vida de la mayoría de la población.</w:t>
      </w:r>
    </w:p>
    <w:p>
      <w:pPr>
        <w:pStyle w:val="BodyText"/>
        <w:spacing w:line="360" w:lineRule="auto" w:before="2"/>
        <w:ind w:left="102" w:right="117" w:firstLine="427"/>
        <w:jc w:val="both"/>
      </w:pPr>
      <w:r>
        <w:rPr/>
        <w:t>A partir de la década 1970 la política se orientó a proteger a algunos empresarios y aumentó el tamaño del Estado. Los resultados de esta política del periodo 1976 a 1982 fueron los siguientes:</w:t>
      </w:r>
    </w:p>
    <w:p>
      <w:pPr>
        <w:pStyle w:val="BodyText"/>
      </w:pPr>
    </w:p>
    <w:p>
      <w:pPr>
        <w:pStyle w:val="ListParagraph"/>
        <w:numPr>
          <w:ilvl w:val="0"/>
          <w:numId w:val="44"/>
        </w:numPr>
        <w:tabs>
          <w:tab w:pos="822" w:val="left" w:leader="none"/>
        </w:tabs>
        <w:spacing w:line="240" w:lineRule="auto" w:before="142" w:after="0"/>
        <w:ind w:left="822" w:right="0" w:hanging="360"/>
        <w:jc w:val="left"/>
        <w:rPr>
          <w:sz w:val="24"/>
        </w:rPr>
      </w:pPr>
      <w:r>
        <w:rPr>
          <w:sz w:val="24"/>
        </w:rPr>
        <w:t>Deterioro de la recaudación</w:t>
      </w:r>
      <w:r>
        <w:rPr>
          <w:spacing w:val="-11"/>
          <w:sz w:val="24"/>
        </w:rPr>
        <w:t> </w:t>
      </w:r>
      <w:r>
        <w:rPr>
          <w:sz w:val="24"/>
        </w:rPr>
        <w:t>fiscal.</w:t>
      </w:r>
    </w:p>
    <w:p>
      <w:pPr>
        <w:pStyle w:val="ListParagraph"/>
        <w:numPr>
          <w:ilvl w:val="0"/>
          <w:numId w:val="44"/>
        </w:numPr>
        <w:tabs>
          <w:tab w:pos="822" w:val="left" w:leader="none"/>
        </w:tabs>
        <w:spacing w:line="240" w:lineRule="auto" w:before="140" w:after="0"/>
        <w:ind w:left="822" w:right="0" w:hanging="360"/>
        <w:jc w:val="left"/>
        <w:rPr>
          <w:sz w:val="24"/>
        </w:rPr>
      </w:pPr>
      <w:r>
        <w:rPr>
          <w:sz w:val="24"/>
        </w:rPr>
        <w:t>Dependencia de los ingresos</w:t>
      </w:r>
      <w:r>
        <w:rPr>
          <w:spacing w:val="-12"/>
          <w:sz w:val="24"/>
        </w:rPr>
        <w:t> </w:t>
      </w:r>
      <w:r>
        <w:rPr>
          <w:sz w:val="24"/>
        </w:rPr>
        <w:t>petroleros.</w:t>
      </w:r>
    </w:p>
    <w:p>
      <w:pPr>
        <w:pStyle w:val="ListParagraph"/>
        <w:numPr>
          <w:ilvl w:val="0"/>
          <w:numId w:val="44"/>
        </w:numPr>
        <w:tabs>
          <w:tab w:pos="822" w:val="left" w:leader="none"/>
        </w:tabs>
        <w:spacing w:line="240" w:lineRule="auto" w:before="137" w:after="0"/>
        <w:ind w:left="822" w:right="0" w:hanging="360"/>
        <w:jc w:val="left"/>
        <w:rPr>
          <w:sz w:val="24"/>
        </w:rPr>
      </w:pPr>
      <w:r>
        <w:rPr>
          <w:sz w:val="24"/>
        </w:rPr>
        <w:t>Bajas tasas de crecimiento del</w:t>
      </w:r>
      <w:r>
        <w:rPr>
          <w:spacing w:val="-13"/>
          <w:sz w:val="24"/>
        </w:rPr>
        <w:t> </w:t>
      </w:r>
      <w:r>
        <w:rPr>
          <w:sz w:val="24"/>
        </w:rPr>
        <w:t>PIB.</w:t>
      </w:r>
    </w:p>
    <w:p>
      <w:pPr>
        <w:pStyle w:val="ListParagraph"/>
        <w:numPr>
          <w:ilvl w:val="0"/>
          <w:numId w:val="44"/>
        </w:numPr>
        <w:tabs>
          <w:tab w:pos="822" w:val="left" w:leader="none"/>
        </w:tabs>
        <w:spacing w:line="360" w:lineRule="auto" w:before="139" w:after="0"/>
        <w:ind w:left="822" w:right="122" w:hanging="360"/>
        <w:jc w:val="both"/>
        <w:rPr>
          <w:sz w:val="24"/>
        </w:rPr>
      </w:pPr>
      <w:r>
        <w:rPr>
          <w:sz w:val="24"/>
        </w:rPr>
        <w:t>El</w:t>
      </w:r>
      <w:r>
        <w:rPr>
          <w:spacing w:val="-14"/>
          <w:sz w:val="24"/>
        </w:rPr>
        <w:t> </w:t>
      </w:r>
      <w:r>
        <w:rPr>
          <w:sz w:val="24"/>
        </w:rPr>
        <w:t>déficit</w:t>
      </w:r>
      <w:r>
        <w:rPr>
          <w:spacing w:val="-16"/>
          <w:sz w:val="24"/>
        </w:rPr>
        <w:t> </w:t>
      </w:r>
      <w:r>
        <w:rPr>
          <w:sz w:val="24"/>
        </w:rPr>
        <w:t>fiscal</w:t>
      </w:r>
      <w:r>
        <w:rPr>
          <w:spacing w:val="-14"/>
          <w:sz w:val="24"/>
        </w:rPr>
        <w:t> </w:t>
      </w:r>
      <w:r>
        <w:rPr>
          <w:sz w:val="24"/>
        </w:rPr>
        <w:t>y</w:t>
      </w:r>
      <w:r>
        <w:rPr>
          <w:spacing w:val="-16"/>
          <w:sz w:val="24"/>
        </w:rPr>
        <w:t> </w:t>
      </w:r>
      <w:r>
        <w:rPr>
          <w:sz w:val="24"/>
        </w:rPr>
        <w:t>los</w:t>
      </w:r>
      <w:r>
        <w:rPr>
          <w:spacing w:val="-13"/>
          <w:sz w:val="24"/>
        </w:rPr>
        <w:t> </w:t>
      </w:r>
      <w:r>
        <w:rPr>
          <w:sz w:val="24"/>
        </w:rPr>
        <w:t>problemas</w:t>
      </w:r>
      <w:r>
        <w:rPr>
          <w:spacing w:val="-13"/>
          <w:sz w:val="24"/>
        </w:rPr>
        <w:t> </w:t>
      </w:r>
      <w:r>
        <w:rPr>
          <w:sz w:val="24"/>
        </w:rPr>
        <w:t>en</w:t>
      </w:r>
      <w:r>
        <w:rPr>
          <w:spacing w:val="-16"/>
          <w:sz w:val="24"/>
        </w:rPr>
        <w:t> </w:t>
      </w:r>
      <w:r>
        <w:rPr>
          <w:sz w:val="24"/>
        </w:rPr>
        <w:t>el</w:t>
      </w:r>
      <w:r>
        <w:rPr>
          <w:spacing w:val="-14"/>
          <w:sz w:val="24"/>
        </w:rPr>
        <w:t> </w:t>
      </w:r>
      <w:r>
        <w:rPr>
          <w:sz w:val="24"/>
        </w:rPr>
        <w:t>mercado</w:t>
      </w:r>
      <w:r>
        <w:rPr>
          <w:spacing w:val="-16"/>
          <w:sz w:val="24"/>
        </w:rPr>
        <w:t> </w:t>
      </w:r>
      <w:r>
        <w:rPr>
          <w:sz w:val="24"/>
        </w:rPr>
        <w:t>cambiario</w:t>
      </w:r>
      <w:r>
        <w:rPr>
          <w:spacing w:val="-13"/>
          <w:sz w:val="24"/>
        </w:rPr>
        <w:t> </w:t>
      </w:r>
      <w:r>
        <w:rPr>
          <w:sz w:val="24"/>
        </w:rPr>
        <w:t>causaron</w:t>
      </w:r>
      <w:r>
        <w:rPr>
          <w:spacing w:val="-15"/>
          <w:sz w:val="24"/>
        </w:rPr>
        <w:t> </w:t>
      </w:r>
      <w:r>
        <w:rPr>
          <w:sz w:val="24"/>
        </w:rPr>
        <w:t>una</w:t>
      </w:r>
      <w:r>
        <w:rPr>
          <w:spacing w:val="-13"/>
          <w:sz w:val="24"/>
        </w:rPr>
        <w:t> </w:t>
      </w:r>
      <w:r>
        <w:rPr>
          <w:sz w:val="24"/>
        </w:rPr>
        <w:t>espiral inflacionaria.</w:t>
      </w:r>
    </w:p>
    <w:p>
      <w:pPr>
        <w:pStyle w:val="ListParagraph"/>
        <w:numPr>
          <w:ilvl w:val="0"/>
          <w:numId w:val="44"/>
        </w:numPr>
        <w:tabs>
          <w:tab w:pos="822" w:val="left" w:leader="none"/>
        </w:tabs>
        <w:spacing w:line="240" w:lineRule="auto" w:before="5" w:after="0"/>
        <w:ind w:left="822" w:right="0" w:hanging="360"/>
        <w:jc w:val="left"/>
        <w:rPr>
          <w:sz w:val="24"/>
        </w:rPr>
      </w:pPr>
      <w:r>
        <w:rPr>
          <w:sz w:val="24"/>
        </w:rPr>
        <w:t>Debilitamiento del Estado por el creciente déficit</w:t>
      </w:r>
      <w:r>
        <w:rPr>
          <w:spacing w:val="-13"/>
          <w:sz w:val="24"/>
        </w:rPr>
        <w:t> </w:t>
      </w:r>
      <w:r>
        <w:rPr>
          <w:sz w:val="24"/>
        </w:rPr>
        <w:t>fiscal.</w:t>
      </w:r>
    </w:p>
    <w:p>
      <w:pPr>
        <w:pStyle w:val="ListParagraph"/>
        <w:numPr>
          <w:ilvl w:val="0"/>
          <w:numId w:val="44"/>
        </w:numPr>
        <w:tabs>
          <w:tab w:pos="822" w:val="left" w:leader="none"/>
        </w:tabs>
        <w:spacing w:line="360" w:lineRule="auto" w:before="137" w:after="0"/>
        <w:ind w:left="822" w:right="120" w:hanging="360"/>
        <w:jc w:val="both"/>
        <w:rPr>
          <w:sz w:val="24"/>
        </w:rPr>
      </w:pPr>
      <w:r>
        <w:rPr>
          <w:sz w:val="24"/>
        </w:rPr>
        <w:t>Aumento del número de empresas del Estado: de 391 a 1,155, medida que permitió consolidar compromisos clientelares. Varias empresas en quiebra fueron adquiridas por el Estado, pero su incorporación no respondió a un proyecto</w:t>
      </w:r>
      <w:r>
        <w:rPr>
          <w:spacing w:val="-5"/>
          <w:sz w:val="24"/>
        </w:rPr>
        <w:t> </w:t>
      </w:r>
      <w:r>
        <w:rPr>
          <w:sz w:val="24"/>
        </w:rPr>
        <w:t>estratégico.</w:t>
      </w:r>
    </w:p>
    <w:p>
      <w:pPr>
        <w:pStyle w:val="ListParagraph"/>
        <w:numPr>
          <w:ilvl w:val="0"/>
          <w:numId w:val="44"/>
        </w:numPr>
        <w:tabs>
          <w:tab w:pos="822" w:val="left" w:leader="none"/>
        </w:tabs>
        <w:spacing w:line="360" w:lineRule="auto" w:before="2" w:after="0"/>
        <w:ind w:left="822" w:right="118" w:hanging="360"/>
        <w:jc w:val="both"/>
        <w:rPr>
          <w:sz w:val="24"/>
        </w:rPr>
      </w:pPr>
      <w:r>
        <w:rPr>
          <w:sz w:val="24"/>
        </w:rPr>
        <w:t>Las pérdidas de las empresas ineficientes del Estado fueron cubiertas con recursos</w:t>
      </w:r>
      <w:r>
        <w:rPr>
          <w:spacing w:val="-8"/>
          <w:sz w:val="24"/>
        </w:rPr>
        <w:t> </w:t>
      </w:r>
      <w:r>
        <w:rPr>
          <w:sz w:val="24"/>
        </w:rPr>
        <w:t>del</w:t>
      </w:r>
      <w:r>
        <w:rPr>
          <w:spacing w:val="-9"/>
          <w:sz w:val="24"/>
        </w:rPr>
        <w:t> </w:t>
      </w:r>
      <w:r>
        <w:rPr>
          <w:sz w:val="24"/>
        </w:rPr>
        <w:t>erario,</w:t>
      </w:r>
      <w:r>
        <w:rPr>
          <w:spacing w:val="-8"/>
          <w:sz w:val="24"/>
        </w:rPr>
        <w:t> </w:t>
      </w:r>
      <w:r>
        <w:rPr>
          <w:sz w:val="24"/>
        </w:rPr>
        <w:t>lo</w:t>
      </w:r>
      <w:r>
        <w:rPr>
          <w:spacing w:val="-10"/>
          <w:sz w:val="24"/>
        </w:rPr>
        <w:t> </w:t>
      </w:r>
      <w:r>
        <w:rPr>
          <w:sz w:val="24"/>
        </w:rPr>
        <w:t>que</w:t>
      </w:r>
      <w:r>
        <w:rPr>
          <w:spacing w:val="-7"/>
          <w:sz w:val="24"/>
        </w:rPr>
        <w:t> </w:t>
      </w:r>
      <w:r>
        <w:rPr>
          <w:sz w:val="24"/>
        </w:rPr>
        <w:t>se</w:t>
      </w:r>
      <w:r>
        <w:rPr>
          <w:spacing w:val="-7"/>
          <w:sz w:val="24"/>
        </w:rPr>
        <w:t> </w:t>
      </w:r>
      <w:r>
        <w:rPr>
          <w:sz w:val="24"/>
        </w:rPr>
        <w:t>reflejó</w:t>
      </w:r>
      <w:r>
        <w:rPr>
          <w:spacing w:val="-8"/>
          <w:sz w:val="24"/>
        </w:rPr>
        <w:t> </w:t>
      </w:r>
      <w:r>
        <w:rPr>
          <w:sz w:val="24"/>
        </w:rPr>
        <w:t>en</w:t>
      </w:r>
      <w:r>
        <w:rPr>
          <w:spacing w:val="-10"/>
          <w:sz w:val="24"/>
        </w:rPr>
        <w:t> </w:t>
      </w:r>
      <w:r>
        <w:rPr>
          <w:sz w:val="24"/>
        </w:rPr>
        <w:t>una</w:t>
      </w:r>
      <w:r>
        <w:rPr>
          <w:spacing w:val="-7"/>
          <w:sz w:val="24"/>
        </w:rPr>
        <w:t> </w:t>
      </w:r>
      <w:r>
        <w:rPr>
          <w:sz w:val="24"/>
        </w:rPr>
        <w:t>desatención</w:t>
      </w:r>
      <w:r>
        <w:rPr>
          <w:spacing w:val="-7"/>
          <w:sz w:val="24"/>
        </w:rPr>
        <w:t> </w:t>
      </w:r>
      <w:r>
        <w:rPr>
          <w:sz w:val="24"/>
        </w:rPr>
        <w:t>en</w:t>
      </w:r>
      <w:r>
        <w:rPr>
          <w:spacing w:val="-7"/>
          <w:sz w:val="24"/>
        </w:rPr>
        <w:t> </w:t>
      </w:r>
      <w:r>
        <w:rPr>
          <w:sz w:val="24"/>
        </w:rPr>
        <w:t>el</w:t>
      </w:r>
      <w:r>
        <w:rPr>
          <w:spacing w:val="-9"/>
          <w:sz w:val="24"/>
        </w:rPr>
        <w:t> </w:t>
      </w:r>
      <w:r>
        <w:rPr>
          <w:sz w:val="24"/>
        </w:rPr>
        <w:t>bienestar</w:t>
      </w:r>
      <w:r>
        <w:rPr>
          <w:spacing w:val="-9"/>
          <w:sz w:val="24"/>
        </w:rPr>
        <w:t> </w:t>
      </w:r>
      <w:r>
        <w:rPr>
          <w:sz w:val="24"/>
        </w:rPr>
        <w:t>de</w:t>
      </w:r>
      <w:r>
        <w:rPr>
          <w:spacing w:val="-7"/>
          <w:sz w:val="24"/>
        </w:rPr>
        <w:t> </w:t>
      </w:r>
      <w:r>
        <w:rPr>
          <w:sz w:val="24"/>
        </w:rPr>
        <w:t>la población.</w:t>
      </w:r>
    </w:p>
    <w:p>
      <w:pPr>
        <w:pStyle w:val="BodyText"/>
      </w:pPr>
    </w:p>
    <w:p>
      <w:pPr>
        <w:pStyle w:val="BodyText"/>
        <w:spacing w:line="360" w:lineRule="auto" w:before="142"/>
        <w:ind w:left="102" w:right="119" w:firstLine="427"/>
        <w:jc w:val="both"/>
      </w:pPr>
      <w:r>
        <w:rPr/>
        <w:t>Algunos historiadores consideran que la corrupción es un problema que se ha presentado en todas las épocas por las que ha transitado México y que es crónica; pero fue a partir de la llegada de los españoles y más propiamente a partir de la década de los años setenta, cuando el aumento del tamaño del Estado y la regulación excesiva sobre la economía fortalecieron el poder político autocrático, que la corrupción se hizo más evidente.</w:t>
      </w:r>
    </w:p>
    <w:p>
      <w:pPr>
        <w:pStyle w:val="BodyText"/>
        <w:spacing w:line="360" w:lineRule="auto" w:before="2"/>
        <w:ind w:left="102" w:right="120" w:firstLine="427"/>
        <w:jc w:val="both"/>
      </w:pPr>
      <w:r>
        <w:rPr/>
        <w:t>Las plazas gubernamentales disponibles derivadas del incremento estatal, el control administrativo sobre las obras públicas y adquisiciones favorecieron el debilitamiento de la sociedad civil y la corrupción en los sectores público y privado.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firstLine="427"/>
        <w:jc w:val="both"/>
      </w:pPr>
      <w:r>
        <w:rPr/>
        <w:t>La sobrerregulación del Estado propició la economía informal, lo que a su vez generó políticas discrecionales que beneficiaban a grupos selectos designados por el Estado. La sobrerregulación implicó la inexistencia de estudios previos del mercado y sobre puntos de venta, grandes restricciones para la mayoría, favorecieron la corrupción, los abusos, los vendedores informales y el encarecimiento de los productos.</w:t>
      </w:r>
    </w:p>
    <w:p>
      <w:pPr>
        <w:pStyle w:val="BodyText"/>
        <w:spacing w:line="360" w:lineRule="auto" w:before="2"/>
        <w:ind w:left="102" w:right="118" w:firstLine="427"/>
        <w:jc w:val="both"/>
      </w:pPr>
      <w:r>
        <w:rPr/>
        <w:t>El</w:t>
      </w:r>
      <w:r>
        <w:rPr>
          <w:spacing w:val="-13"/>
        </w:rPr>
        <w:t> </w:t>
      </w:r>
      <w:r>
        <w:rPr/>
        <w:t>sector</w:t>
      </w:r>
      <w:r>
        <w:rPr>
          <w:spacing w:val="-14"/>
        </w:rPr>
        <w:t> </w:t>
      </w:r>
      <w:r>
        <w:rPr/>
        <w:t>salud</w:t>
      </w:r>
      <w:r>
        <w:rPr>
          <w:spacing w:val="-12"/>
        </w:rPr>
        <w:t> </w:t>
      </w:r>
      <w:r>
        <w:rPr/>
        <w:t>y</w:t>
      </w:r>
      <w:r>
        <w:rPr>
          <w:spacing w:val="-15"/>
        </w:rPr>
        <w:t> </w:t>
      </w:r>
      <w:r>
        <w:rPr/>
        <w:t>la</w:t>
      </w:r>
      <w:r>
        <w:rPr>
          <w:spacing w:val="-12"/>
        </w:rPr>
        <w:t> </w:t>
      </w:r>
      <w:r>
        <w:rPr/>
        <w:t>tecnología</w:t>
      </w:r>
      <w:r>
        <w:rPr>
          <w:spacing w:val="-12"/>
        </w:rPr>
        <w:t> </w:t>
      </w:r>
      <w:r>
        <w:rPr/>
        <w:t>fueron</w:t>
      </w:r>
      <w:r>
        <w:rPr>
          <w:spacing w:val="-12"/>
        </w:rPr>
        <w:t> </w:t>
      </w:r>
      <w:r>
        <w:rPr/>
        <w:t>de</w:t>
      </w:r>
      <w:r>
        <w:rPr>
          <w:spacing w:val="-12"/>
        </w:rPr>
        <w:t> </w:t>
      </w:r>
      <w:r>
        <w:rPr/>
        <w:t>los</w:t>
      </w:r>
      <w:r>
        <w:rPr>
          <w:spacing w:val="-12"/>
        </w:rPr>
        <w:t> </w:t>
      </w:r>
      <w:r>
        <w:rPr/>
        <w:t>más</w:t>
      </w:r>
      <w:r>
        <w:rPr>
          <w:spacing w:val="-13"/>
        </w:rPr>
        <w:t> </w:t>
      </w:r>
      <w:r>
        <w:rPr/>
        <w:t>afectados</w:t>
      </w:r>
      <w:r>
        <w:rPr>
          <w:spacing w:val="-13"/>
        </w:rPr>
        <w:t> </w:t>
      </w:r>
      <w:r>
        <w:rPr/>
        <w:t>por</w:t>
      </w:r>
      <w:r>
        <w:rPr>
          <w:spacing w:val="-14"/>
        </w:rPr>
        <w:t> </w:t>
      </w:r>
      <w:r>
        <w:rPr/>
        <w:t>la</w:t>
      </w:r>
      <w:r>
        <w:rPr>
          <w:spacing w:val="-12"/>
        </w:rPr>
        <w:t> </w:t>
      </w:r>
      <w:r>
        <w:rPr/>
        <w:t>alta</w:t>
      </w:r>
      <w:r>
        <w:rPr>
          <w:spacing w:val="-12"/>
        </w:rPr>
        <w:t> </w:t>
      </w:r>
      <w:r>
        <w:rPr/>
        <w:t>regulación del Estado, ya que se comenzó a negociar con licencias, permisos sanitarios e incluso el Estado determinaba si era prudente introducir avances tecnológicos, además,</w:t>
      </w:r>
      <w:r>
        <w:rPr>
          <w:spacing w:val="-9"/>
        </w:rPr>
        <w:t> </w:t>
      </w:r>
      <w:r>
        <w:rPr/>
        <w:t>la</w:t>
      </w:r>
      <w:r>
        <w:rPr>
          <w:spacing w:val="-9"/>
        </w:rPr>
        <w:t> </w:t>
      </w:r>
      <w:r>
        <w:rPr/>
        <w:t>incidencia</w:t>
      </w:r>
      <w:r>
        <w:rPr>
          <w:spacing w:val="-11"/>
        </w:rPr>
        <w:t> </w:t>
      </w:r>
      <w:r>
        <w:rPr/>
        <w:t>de</w:t>
      </w:r>
      <w:r>
        <w:rPr>
          <w:spacing w:val="-8"/>
        </w:rPr>
        <w:t> </w:t>
      </w:r>
      <w:r>
        <w:rPr/>
        <w:t>la</w:t>
      </w:r>
      <w:r>
        <w:rPr>
          <w:spacing w:val="-9"/>
        </w:rPr>
        <w:t> </w:t>
      </w:r>
      <w:r>
        <w:rPr/>
        <w:t>corrupción</w:t>
      </w:r>
      <w:r>
        <w:rPr>
          <w:spacing w:val="-8"/>
        </w:rPr>
        <w:t> </w:t>
      </w:r>
      <w:r>
        <w:rPr/>
        <w:t>que</w:t>
      </w:r>
      <w:r>
        <w:rPr>
          <w:spacing w:val="-8"/>
        </w:rPr>
        <w:t> </w:t>
      </w:r>
      <w:r>
        <w:rPr/>
        <w:t>acrecentó</w:t>
      </w:r>
      <w:r>
        <w:rPr>
          <w:spacing w:val="-10"/>
        </w:rPr>
        <w:t> </w:t>
      </w:r>
      <w:r>
        <w:rPr/>
        <w:t>el</w:t>
      </w:r>
      <w:r>
        <w:rPr>
          <w:spacing w:val="-10"/>
        </w:rPr>
        <w:t> </w:t>
      </w:r>
      <w:r>
        <w:rPr/>
        <w:t>Estado</w:t>
      </w:r>
      <w:r>
        <w:rPr>
          <w:spacing w:val="-8"/>
        </w:rPr>
        <w:t> </w:t>
      </w:r>
      <w:r>
        <w:rPr/>
        <w:t>interventor</w:t>
      </w:r>
      <w:r>
        <w:rPr>
          <w:spacing w:val="-10"/>
        </w:rPr>
        <w:t> </w:t>
      </w:r>
      <w:r>
        <w:rPr/>
        <w:t>afectó</w:t>
      </w:r>
      <w:r>
        <w:rPr>
          <w:spacing w:val="-8"/>
        </w:rPr>
        <w:t> </w:t>
      </w:r>
      <w:r>
        <w:rPr/>
        <w:t>la instrumentación de las políticas públicas que inciden en el desarrollo</w:t>
      </w:r>
      <w:r>
        <w:rPr>
          <w:spacing w:val="-18"/>
        </w:rPr>
        <w:t> </w:t>
      </w:r>
      <w:r>
        <w:rPr/>
        <w:t>humano.</w:t>
      </w:r>
    </w:p>
    <w:p>
      <w:pPr>
        <w:pStyle w:val="BodyText"/>
        <w:spacing w:line="360" w:lineRule="auto" w:before="5"/>
        <w:ind w:left="102" w:right="123" w:firstLine="427"/>
        <w:jc w:val="both"/>
      </w:pPr>
      <w:r>
        <w:rPr/>
        <w:t>La globalización trajo consigo la apertura de los mercados financieros con lo que la actividad bancaria se incrementó considerablemente. La mayor crisis financiera de México (1994) generó enormes costos a la sociedad.</w:t>
      </w:r>
    </w:p>
    <w:p>
      <w:pPr>
        <w:pStyle w:val="BodyText"/>
        <w:spacing w:line="360" w:lineRule="auto" w:before="2"/>
        <w:ind w:left="102" w:right="122" w:firstLine="427"/>
        <w:jc w:val="both"/>
      </w:pPr>
      <w:r>
        <w:rPr/>
        <w:t>En la última década del Siglo XX, sobrevino una degradación extrema de la figura presidencial con los gobiernos priistas, el desgaste de las relaciones exteriores y un vacío del poder. (Olivares, 2011: 31)</w:t>
      </w:r>
    </w:p>
    <w:p>
      <w:pPr>
        <w:pStyle w:val="BodyText"/>
      </w:pPr>
    </w:p>
    <w:p>
      <w:pPr>
        <w:pStyle w:val="BodyText"/>
        <w:spacing w:before="142"/>
        <w:ind w:left="529"/>
      </w:pPr>
      <w:r>
        <w:rPr/>
        <w:t>En ambos siglos, la sociedad civil pasó por tres etapas:</w:t>
      </w:r>
    </w:p>
    <w:p>
      <w:pPr>
        <w:pStyle w:val="BodyText"/>
        <w:spacing w:before="4"/>
        <w:rPr>
          <w:sz w:val="29"/>
        </w:rPr>
      </w:pPr>
    </w:p>
    <w:p>
      <w:pPr>
        <w:pStyle w:val="ListParagraph"/>
        <w:numPr>
          <w:ilvl w:val="1"/>
          <w:numId w:val="44"/>
        </w:numPr>
        <w:tabs>
          <w:tab w:pos="822" w:val="left" w:leader="none"/>
        </w:tabs>
        <w:spacing w:line="240" w:lineRule="auto" w:before="1" w:after="0"/>
        <w:ind w:left="822" w:right="0" w:hanging="360"/>
        <w:jc w:val="left"/>
        <w:rPr>
          <w:sz w:val="24"/>
        </w:rPr>
      </w:pPr>
      <w:r>
        <w:rPr>
          <w:sz w:val="24"/>
        </w:rPr>
        <w:t>Fue orientada a obtener un cambio de régimen: la</w:t>
      </w:r>
      <w:r>
        <w:rPr>
          <w:spacing w:val="-23"/>
          <w:sz w:val="24"/>
        </w:rPr>
        <w:t> </w:t>
      </w:r>
      <w:r>
        <w:rPr>
          <w:sz w:val="24"/>
        </w:rPr>
        <w:t>independencia.</w:t>
      </w:r>
    </w:p>
    <w:p>
      <w:pPr>
        <w:pStyle w:val="ListParagraph"/>
        <w:numPr>
          <w:ilvl w:val="1"/>
          <w:numId w:val="44"/>
        </w:numPr>
        <w:tabs>
          <w:tab w:pos="822" w:val="left" w:leader="none"/>
        </w:tabs>
        <w:spacing w:line="360" w:lineRule="auto" w:before="137" w:after="0"/>
        <w:ind w:left="822" w:right="125" w:hanging="360"/>
        <w:jc w:val="both"/>
        <w:rPr>
          <w:sz w:val="24"/>
        </w:rPr>
      </w:pPr>
      <w:r>
        <w:rPr>
          <w:sz w:val="24"/>
        </w:rPr>
        <w:t>Una visión para legitimar la designación de su presidente y repartición de tierras: la</w:t>
      </w:r>
      <w:r>
        <w:rPr>
          <w:spacing w:val="-6"/>
          <w:sz w:val="24"/>
        </w:rPr>
        <w:t> </w:t>
      </w:r>
      <w:r>
        <w:rPr>
          <w:sz w:val="24"/>
        </w:rPr>
        <w:t>revolución.</w:t>
      </w:r>
    </w:p>
    <w:p>
      <w:pPr>
        <w:pStyle w:val="ListParagraph"/>
        <w:numPr>
          <w:ilvl w:val="1"/>
          <w:numId w:val="44"/>
        </w:numPr>
        <w:tabs>
          <w:tab w:pos="822" w:val="left" w:leader="none"/>
        </w:tabs>
        <w:spacing w:line="360" w:lineRule="auto" w:before="2" w:after="0"/>
        <w:ind w:left="822" w:right="118" w:hanging="360"/>
        <w:jc w:val="both"/>
        <w:rPr>
          <w:sz w:val="24"/>
        </w:rPr>
      </w:pPr>
      <w:r>
        <w:rPr>
          <w:sz w:val="24"/>
        </w:rPr>
        <w:t>Un problema de excesiva intervención del Estado en la economía, que generó graves problemas de concentración del ingreso y una creciente corrupción: la alternancia del poder por 12</w:t>
      </w:r>
      <w:r>
        <w:rPr>
          <w:spacing w:val="-21"/>
          <w:sz w:val="24"/>
        </w:rPr>
        <w:t> </w:t>
      </w:r>
      <w:r>
        <w:rPr>
          <w:sz w:val="24"/>
        </w:rPr>
        <w:t>años.</w:t>
      </w:r>
    </w:p>
    <w:p>
      <w:pPr>
        <w:pStyle w:val="BodyText"/>
      </w:pPr>
    </w:p>
    <w:p>
      <w:pPr>
        <w:pStyle w:val="BodyText"/>
        <w:spacing w:line="360" w:lineRule="auto" w:before="142"/>
        <w:ind w:left="102" w:right="116" w:firstLine="427"/>
        <w:jc w:val="both"/>
      </w:pPr>
      <w:r>
        <w:rPr/>
        <w:t>En la última etapa del Siglo XX, la sociedad civil comenzó a ocupar un espacio público. Con la alternancia del partido en el poder en el periodo 2000-2012, la observación internacional y en adelante, se abrió la posibilidad de que la sociedad civil en obligar al Estado a ser más transparente y estar en posibilidades de exigir un ejercicio de rendición de cuentas.</w:t>
      </w:r>
    </w:p>
    <w:p>
      <w:pPr>
        <w:spacing w:after="0" w:line="360" w:lineRule="auto"/>
        <w:jc w:val="both"/>
        <w:sectPr>
          <w:pgSz w:w="12240" w:h="15840"/>
          <w:pgMar w:header="0" w:footer="1003" w:top="1360" w:bottom="1200" w:left="1600" w:right="1580"/>
        </w:sectPr>
      </w:pPr>
    </w:p>
    <w:p>
      <w:pPr>
        <w:pStyle w:val="Heading3"/>
        <w:numPr>
          <w:ilvl w:val="2"/>
          <w:numId w:val="41"/>
        </w:numPr>
        <w:tabs>
          <w:tab w:pos="724" w:val="left" w:leader="none"/>
        </w:tabs>
        <w:spacing w:line="240" w:lineRule="auto" w:before="54" w:after="0"/>
        <w:ind w:left="723" w:right="0" w:hanging="601"/>
        <w:jc w:val="both"/>
      </w:pPr>
      <w:r>
        <w:rPr/>
        <w:t>La hacienda pública y la rendición de cuentas en ambos</w:t>
      </w:r>
      <w:r>
        <w:rPr>
          <w:spacing w:val="-21"/>
        </w:rPr>
        <w:t> </w:t>
      </w:r>
      <w:r>
        <w:rPr/>
        <w:t>siglos</w:t>
      </w:r>
    </w:p>
    <w:p>
      <w:pPr>
        <w:pStyle w:val="BodyText"/>
        <w:spacing w:before="5"/>
        <w:rPr>
          <w:b/>
          <w:sz w:val="29"/>
        </w:rPr>
      </w:pPr>
    </w:p>
    <w:p>
      <w:pPr>
        <w:pStyle w:val="BodyText"/>
        <w:spacing w:line="360" w:lineRule="auto"/>
        <w:ind w:left="122" w:right="110"/>
        <w:jc w:val="both"/>
      </w:pPr>
      <w:r>
        <w:rPr/>
        <w:t>En el Siglo XIX las incipientes actividades de administración pública mexicana se derivaron de la Secretaría de Despacho Universal de 1705 establecida por los españoles,</w:t>
      </w:r>
      <w:r>
        <w:rPr>
          <w:spacing w:val="-11"/>
        </w:rPr>
        <w:t> </w:t>
      </w:r>
      <w:r>
        <w:rPr/>
        <w:t>la</w:t>
      </w:r>
      <w:r>
        <w:rPr>
          <w:spacing w:val="-11"/>
        </w:rPr>
        <w:t> </w:t>
      </w:r>
      <w:r>
        <w:rPr/>
        <w:t>cual</w:t>
      </w:r>
      <w:r>
        <w:rPr>
          <w:spacing w:val="-14"/>
        </w:rPr>
        <w:t> </w:t>
      </w:r>
      <w:r>
        <w:rPr/>
        <w:t>fue</w:t>
      </w:r>
      <w:r>
        <w:rPr>
          <w:spacing w:val="-11"/>
        </w:rPr>
        <w:t> </w:t>
      </w:r>
      <w:r>
        <w:rPr/>
        <w:t>sustituida</w:t>
      </w:r>
      <w:r>
        <w:rPr>
          <w:spacing w:val="-11"/>
        </w:rPr>
        <w:t> </w:t>
      </w:r>
      <w:r>
        <w:rPr/>
        <w:t>en</w:t>
      </w:r>
      <w:r>
        <w:rPr>
          <w:spacing w:val="-11"/>
        </w:rPr>
        <w:t> </w:t>
      </w:r>
      <w:r>
        <w:rPr/>
        <w:t>1810</w:t>
      </w:r>
      <w:r>
        <w:rPr>
          <w:spacing w:val="-11"/>
        </w:rPr>
        <w:t> </w:t>
      </w:r>
      <w:r>
        <w:rPr/>
        <w:t>por</w:t>
      </w:r>
      <w:r>
        <w:rPr>
          <w:spacing w:val="-12"/>
        </w:rPr>
        <w:t> </w:t>
      </w:r>
      <w:r>
        <w:rPr/>
        <w:t>la</w:t>
      </w:r>
      <w:r>
        <w:rPr>
          <w:spacing w:val="-8"/>
        </w:rPr>
        <w:t> </w:t>
      </w:r>
      <w:r>
        <w:rPr/>
        <w:t>Secretaría</w:t>
      </w:r>
      <w:r>
        <w:rPr>
          <w:spacing w:val="-11"/>
        </w:rPr>
        <w:t> </w:t>
      </w:r>
      <w:r>
        <w:rPr/>
        <w:t>de</w:t>
      </w:r>
      <w:r>
        <w:rPr>
          <w:spacing w:val="-11"/>
        </w:rPr>
        <w:t> </w:t>
      </w:r>
      <w:r>
        <w:rPr/>
        <w:t>Estado</w:t>
      </w:r>
      <w:r>
        <w:rPr>
          <w:spacing w:val="-11"/>
        </w:rPr>
        <w:t> </w:t>
      </w:r>
      <w:r>
        <w:rPr/>
        <w:t>y</w:t>
      </w:r>
      <w:r>
        <w:rPr>
          <w:spacing w:val="-12"/>
        </w:rPr>
        <w:t> </w:t>
      </w:r>
      <w:r>
        <w:rPr/>
        <w:t>del</w:t>
      </w:r>
      <w:r>
        <w:rPr>
          <w:spacing w:val="-10"/>
        </w:rPr>
        <w:t> </w:t>
      </w:r>
      <w:r>
        <w:rPr/>
        <w:t>Despacho de Hacienda una vez que se consolidaba la</w:t>
      </w:r>
      <w:r>
        <w:rPr>
          <w:spacing w:val="-24"/>
        </w:rPr>
        <w:t> </w:t>
      </w:r>
      <w:r>
        <w:rPr/>
        <w:t>independencia.</w:t>
      </w:r>
    </w:p>
    <w:p>
      <w:pPr>
        <w:pStyle w:val="BodyText"/>
        <w:spacing w:line="360" w:lineRule="auto" w:before="2"/>
        <w:ind w:left="122" w:right="104" w:firstLine="427"/>
        <w:jc w:val="both"/>
      </w:pPr>
      <w:r>
        <w:rPr/>
        <w:t>En 1824 se expidió la Ley para el Arreglo de la Administración de la Hacienda Pública. En la Ley se establecieron las facultades de la Hacienda Pública para administrar los ingresos federales y vigilar las casas de moneda, entre otras. Lo anterior hizo necesario conformar las oficinas siguientes:</w:t>
      </w:r>
    </w:p>
    <w:p>
      <w:pPr>
        <w:pStyle w:val="BodyText"/>
      </w:pPr>
    </w:p>
    <w:p>
      <w:pPr>
        <w:pStyle w:val="ListParagraph"/>
        <w:numPr>
          <w:ilvl w:val="3"/>
          <w:numId w:val="41"/>
        </w:numPr>
        <w:tabs>
          <w:tab w:pos="842" w:val="left" w:leader="none"/>
        </w:tabs>
        <w:spacing w:line="240" w:lineRule="auto" w:before="142" w:after="0"/>
        <w:ind w:left="842" w:right="0" w:hanging="360"/>
        <w:jc w:val="left"/>
        <w:rPr>
          <w:sz w:val="24"/>
        </w:rPr>
      </w:pPr>
      <w:r>
        <w:rPr>
          <w:sz w:val="24"/>
        </w:rPr>
        <w:t>Departamento de Cuenta y Razón: Antecedente de la actual</w:t>
      </w:r>
      <w:r>
        <w:rPr>
          <w:spacing w:val="-23"/>
          <w:sz w:val="24"/>
        </w:rPr>
        <w:t> </w:t>
      </w:r>
      <w:r>
        <w:rPr>
          <w:sz w:val="24"/>
        </w:rPr>
        <w:t>SHCP.</w:t>
      </w:r>
    </w:p>
    <w:p>
      <w:pPr>
        <w:pStyle w:val="ListParagraph"/>
        <w:numPr>
          <w:ilvl w:val="3"/>
          <w:numId w:val="41"/>
        </w:numPr>
        <w:tabs>
          <w:tab w:pos="842" w:val="left" w:leader="none"/>
        </w:tabs>
        <w:spacing w:line="360" w:lineRule="auto" w:before="137" w:after="0"/>
        <w:ind w:left="842" w:right="101" w:hanging="360"/>
        <w:jc w:val="left"/>
        <w:rPr>
          <w:sz w:val="24"/>
        </w:rPr>
      </w:pPr>
      <w:r>
        <w:rPr>
          <w:sz w:val="24"/>
        </w:rPr>
        <w:t>Contaduría Mayor de Hacienda: Antecedente de la actual Auditoria Superior de la</w:t>
      </w:r>
      <w:r>
        <w:rPr>
          <w:spacing w:val="-7"/>
          <w:sz w:val="24"/>
        </w:rPr>
        <w:t> </w:t>
      </w:r>
      <w:r>
        <w:rPr>
          <w:sz w:val="24"/>
        </w:rPr>
        <w:t>Federación.</w:t>
      </w:r>
    </w:p>
    <w:p>
      <w:pPr>
        <w:pStyle w:val="ListParagraph"/>
        <w:numPr>
          <w:ilvl w:val="3"/>
          <w:numId w:val="41"/>
        </w:numPr>
        <w:tabs>
          <w:tab w:pos="842" w:val="left" w:leader="none"/>
        </w:tabs>
        <w:spacing w:line="240" w:lineRule="auto" w:before="2" w:after="0"/>
        <w:ind w:left="842" w:right="0" w:hanging="360"/>
        <w:jc w:val="left"/>
        <w:rPr>
          <w:sz w:val="24"/>
        </w:rPr>
      </w:pPr>
      <w:r>
        <w:rPr>
          <w:sz w:val="24"/>
        </w:rPr>
        <w:t>Tesorería General de la</w:t>
      </w:r>
      <w:r>
        <w:rPr>
          <w:spacing w:val="-9"/>
          <w:sz w:val="24"/>
        </w:rPr>
        <w:t> </w:t>
      </w:r>
      <w:r>
        <w:rPr>
          <w:sz w:val="24"/>
        </w:rPr>
        <w:t>Federación.</w:t>
      </w:r>
    </w:p>
    <w:p>
      <w:pPr>
        <w:pStyle w:val="ListParagraph"/>
        <w:numPr>
          <w:ilvl w:val="3"/>
          <w:numId w:val="41"/>
        </w:numPr>
        <w:tabs>
          <w:tab w:pos="842" w:val="left" w:leader="none"/>
        </w:tabs>
        <w:spacing w:line="240" w:lineRule="auto" w:before="137" w:after="0"/>
        <w:ind w:left="842" w:right="0" w:hanging="360"/>
        <w:jc w:val="left"/>
        <w:rPr>
          <w:sz w:val="24"/>
        </w:rPr>
      </w:pPr>
      <w:r>
        <w:rPr>
          <w:sz w:val="24"/>
        </w:rPr>
        <w:t>Comisaría Central de Guerra y</w:t>
      </w:r>
      <w:r>
        <w:rPr>
          <w:spacing w:val="-13"/>
          <w:sz w:val="24"/>
        </w:rPr>
        <w:t> </w:t>
      </w:r>
      <w:r>
        <w:rPr>
          <w:sz w:val="24"/>
        </w:rPr>
        <w:t>Marina.</w:t>
      </w:r>
    </w:p>
    <w:p>
      <w:pPr>
        <w:pStyle w:val="BodyText"/>
      </w:pPr>
    </w:p>
    <w:p>
      <w:pPr>
        <w:pStyle w:val="BodyText"/>
        <w:spacing w:line="357" w:lineRule="auto" w:before="139"/>
        <w:ind w:left="122" w:right="110" w:firstLine="427"/>
        <w:jc w:val="both"/>
        <w:rPr>
          <w:sz w:val="16"/>
        </w:rPr>
      </w:pPr>
      <w:r>
        <w:rPr/>
        <w:t>Durante el Siglo XX la Constitución Federal de 1917estableció los mecanismos de control y vigilancia de los recursos mediante dos mecanismos: el control interno y el externo.</w:t>
      </w:r>
      <w:r>
        <w:rPr>
          <w:position w:val="8"/>
          <w:sz w:val="16"/>
        </w:rPr>
        <w:t>61</w:t>
      </w:r>
    </w:p>
    <w:p>
      <w:pPr>
        <w:pStyle w:val="BodyText"/>
        <w:rPr>
          <w:sz w:val="26"/>
        </w:rPr>
      </w:pPr>
    </w:p>
    <w:p>
      <w:pPr>
        <w:spacing w:before="170"/>
        <w:ind w:left="1415" w:right="135" w:firstLine="0"/>
        <w:jc w:val="left"/>
        <w:rPr>
          <w:sz w:val="20"/>
        </w:rPr>
      </w:pPr>
      <w:bookmarkStart w:name="_bookmark48" w:id="65"/>
      <w:bookmarkEnd w:id="65"/>
      <w:r>
        <w:rPr/>
      </w:r>
      <w:r>
        <w:rPr>
          <w:sz w:val="20"/>
        </w:rPr>
        <w:t>Esquema 2. 3. Control y vigilancia del patrimonio del Estado mexicano</w:t>
      </w:r>
    </w:p>
    <w:p>
      <w:pPr>
        <w:pStyle w:val="BodyText"/>
        <w:rPr>
          <w:sz w:val="17"/>
        </w:rPr>
      </w:pPr>
      <w:r>
        <w:rPr/>
        <w:pict>
          <v:group style="position:absolute;margin-left:105.480003pt;margin-top:11.730865pt;width:406.6pt;height:156pt;mso-position-horizontal-relative:page;mso-position-vertical-relative:paragraph;z-index:6784;mso-wrap-distance-left:0;mso-wrap-distance-right:0" coordorigin="2110,235" coordsize="8132,3120">
            <v:shape style="position:absolute;left:2110;top:235;width:8131;height:3120" type="#_x0000_t75" stroked="false">
              <v:imagedata r:id="rId130" o:title=""/>
            </v:shape>
            <v:rect style="position:absolute;left:2251;top:290;width:7934;height:2923" filled="true" fillcolor="#edebe0" stroked="false">
              <v:fill type="solid"/>
            </v:rect>
            <v:rect style="position:absolute;left:2267;top:595;width:2059;height:483" filled="true" fillcolor="#ffffff" stroked="false">
              <v:fill type="solid"/>
            </v:rect>
            <v:rect style="position:absolute;left:2267;top:595;width:2059;height:483" filled="false" stroked="true" strokeweight=".613135pt" strokecolor="#000000"/>
            <v:rect style="position:absolute;left:6187;top:2081;width:1795;height:138" filled="true" fillcolor="#ffffff" stroked="false">
              <v:fill type="solid"/>
            </v:rect>
            <v:rect style="position:absolute;left:6187;top:2081;width:1795;height:138" filled="false" stroked="true" strokeweight=".584668pt" strokecolor="#000000"/>
            <v:rect style="position:absolute;left:6187;top:2275;width:1795;height:138" filled="true" fillcolor="#ffffff" stroked="false">
              <v:fill type="solid"/>
            </v:rect>
            <v:rect style="position:absolute;left:6187;top:2275;width:1795;height:138" filled="false" stroked="true" strokeweight=".584668pt" strokecolor="#000000"/>
            <v:rect style="position:absolute;left:6187;top:2468;width:1795;height:138" filled="true" fillcolor="#ffffff" stroked="false">
              <v:fill type="solid"/>
            </v:rect>
            <v:rect style="position:absolute;left:6187;top:2468;width:1795;height:138" filled="false" stroked="true" strokeweight=".584668pt" strokecolor="#000000"/>
            <v:shape style="position:absolute;left:7915;top:1984;width:465;height:711" coordorigin="7915,1984" coordsize="465,711" path="m7915,1984l7989,1985,8052,1988,8136,1997,8147,2321,8159,2326,8192,2332,8242,2336,8306,2338,8379,2339,8306,2340,8242,2343,8192,2347,8159,2352,8147,2358,8147,2676,8136,2682,8103,2687,8052,2691,7989,2693,7915,2694e" filled="false" stroked="true" strokeweight="1.487625pt" strokecolor="#000000">
              <v:path arrowok="t"/>
            </v:shape>
            <v:shape style="position:absolute;left:8447;top:1855;width:1661;height:840" coordorigin="8447,1855" coordsize="1661,840" path="m9277,1855l9190,1857,9105,1864,9023,1875,8945,1890,8870,1909,8800,1931,8735,1957,8676,1985,8622,2017,8553,2069,8501,2126,8465,2188,8448,2252,8447,2275,8448,2297,8465,2362,8501,2423,8553,2481,8622,2533,8676,2564,8735,2593,8800,2618,8870,2641,8945,2659,9023,2674,9105,2685,9190,2692,9277,2694,9322,2694,9408,2689,9491,2680,9572,2667,9648,2650,9720,2630,9788,2606,9850,2579,9907,2549,9957,2516,10021,2462,10068,2403,10098,2341,10108,2275,10107,2252,10090,2188,10054,2126,10001,2069,9933,2017,9879,1985,9819,1957,9754,1931,9685,1909,9610,1890,9532,1875,9450,1864,9365,1857,9277,1855xe" filled="true" fillcolor="#000000" stroked="false">
              <v:path arrowok="t"/>
              <v:fill type="solid"/>
            </v:shape>
            <v:shape style="position:absolute;left:8447;top:1855;width:1661;height:840" coordorigin="8447,1855" coordsize="1661,840" path="m8447,2275l8457,2209,8487,2146,8534,2087,8598,2034,8648,2001,8705,1971,8767,1944,8835,1920,8907,1899,8983,1882,9064,1869,9147,1860,9233,1856,9277,1855,9322,1856,9408,1860,9491,1869,9572,1882,9648,1899,9720,1920,9788,1944,9850,1971,9907,2001,9957,2034,10021,2087,10068,2146,10098,2209,10108,2275,10107,2297,10090,2362,10054,2423,10001,2481,9933,2533,9879,2564,9819,2593,9754,2618,9685,2641,9610,2659,9532,2674,9450,2685,9365,2692,9277,2694,9233,2694,9147,2689,9064,2680,8983,2667,8907,2650,8835,2630,8767,2606,8705,2579,8648,2549,8598,2516,8534,2462,8487,2403,8457,2341,8447,2275xe" filled="false" stroked="true" strokeweight=".706053pt" strokecolor="#000000">
              <v:path arrowok="t"/>
            </v:shape>
            <v:rect style="position:absolute;left:8645;top:2081;width:1329;height:429" filled="true" fillcolor="#000000" stroked="false">
              <v:fill type="solid"/>
            </v:rect>
            <v:rect style="position:absolute;left:8645;top:2081;width:1329;height:429" filled="false" stroked="true" strokeweight=".63893pt" strokecolor="#000000"/>
            <v:shape style="position:absolute;left:4406;top:817;width:474;height:246" coordorigin="4406,817" coordsize="474,246" path="m4627,837l4467,960,4602,1001,4523,1062,4879,1000,4854,878,4762,878,4627,837xm4590,825l4430,948,4455,956,4614,833,4590,825xm4565,818l4406,941,4418,945,4577,822,4565,818xm4842,817l4762,878,4854,878,4842,817xe" filled="true" fillcolor="#000000" stroked="false">
              <v:path arrowok="t"/>
              <v:fill type="solid"/>
            </v:shape>
            <v:shape style="position:absolute;left:4390;top:799;width:502;height:274" coordorigin="4390,799" coordsize="502,274" path="m4586,1003l4495,1073,4540,1066,4533,1066,4519,1057,4551,1051,4610,1006,4596,1006,4586,1003xm4551,1051l4519,1057,4533,1066,4551,1051xm4866,996l4551,1051,4533,1066,4540,1066,4892,1004,4891,1000,4867,1000,4866,996xm4593,998l4586,1003,4596,1006,4593,998xm4615,998l4593,998,4596,1006,4610,1006,4619,999,4615,998xm4623,829l4623,829,4631,831,4459,964,4458,964,4586,1003,4593,998,4615,998,4499,963,4477,963,4473,955,4487,955,4630,844,4620,841,4637,840,4659,840,4623,829xm4875,994l4866,996,4867,1000,4875,994xm4890,994l4875,994,4867,1000,4891,1000,4890,994xm4854,817l4830,817,4852,820,4833,834,4866,996,4875,994,4890,994,4854,817xm4451,961l4451,961,4458,964,4459,964,4451,961xm4623,829l4451,961,4459,964,4631,831,4623,829xm4473,955l4477,963,4483,958,4473,955xm4483,958l4477,963,4499,963,4483,958xm4594,820l4422,952,4451,961,4462,953,4445,953,4447,951,4440,951,4437,943,4450,943,4593,833,4584,830,4600,828,4622,828,4594,820xm4487,955l4473,955,4483,958,4487,955xm4451,948l4445,953,4461,951,4451,948xm4598,835l4451,948,4461,951,4445,953,4462,953,4612,838,4608,838,4598,835xm4586,817l4414,950,4422,952,4594,820,4586,817xm4437,943l4440,951,4446,946,4437,943xm4446,946l4440,951,4447,951,4451,948,4446,946xm4562,810l4390,943,4414,950,4422,944,4416,944,4415,941,4408,941,4413,938,4412,936,4415,936,4561,823,4559,823,4563,822,4567,819,4585,819,4586,817,4586,817,4562,810xm4450,943l4437,943,4446,946,4450,943xm4420,940l4414,941,4416,944,4420,940xm4569,826l4422,939,4424,940,4420,940,4416,944,4422,944,4575,826,4571,826,4569,826xm4413,938l4408,941,4414,941,4413,938xm4414,941l4408,941,4415,941,4414,941xm4414,937l4413,938,4414,941,4420,940,4422,939,4414,937xm4422,939l4420,940,4424,940,4422,939xm4561,823l4414,937,4422,939,4569,826,4561,823xm4412,936l4413,938,4414,937,4412,936xm4415,936l4412,936,4414,937,4415,936xm4659,840l4637,840,4630,844,4766,886,4780,875,4752,875,4758,870,4659,840xm4758,870l4752,875,4768,873,4758,870xm4850,799l4758,870,4768,873,4752,875,4780,875,4833,834,4830,817,4854,817,4850,799xm4637,840l4620,841,4630,844,4637,840xm4604,830l4598,835,4608,838,4604,830xm4622,830l4604,830,4608,838,4612,838,4622,830xm4622,828l4600,828,4593,833,4598,835,4604,830,4622,830,4623,829,4622,828xm4830,817l4833,834,4852,820,4830,817xm4600,828l4584,830,4593,833,4600,828xm4570,825l4569,826,4571,826,4570,825xm4582,821l4575,821,4570,825,4571,826,4575,826,4582,821xm4569,822l4563,822,4561,823,4569,826,4570,825,4569,822xm4575,821l4569,822,4570,825,4575,821xm4563,822l4559,823,4561,823,4563,822xm4567,819l4563,822,4569,822,4567,819xm4585,819l4567,819,4569,822,4575,821,4582,821,4585,819xm4586,817l4586,817,4594,820,4594,820,4586,817xe" filled="true" fillcolor="#000000" stroked="false">
              <v:path arrowok="t"/>
              <v:fill type="solid"/>
            </v:shape>
            <v:shape style="position:absolute;left:6333;top:1204;width:474;height:246" coordorigin="6333,1204" coordsize="474,246" path="m6554,1224l6394,1347,6530,1389,6450,1450,6806,1387,6781,1266,6689,1266,6554,1224xm6517,1213l6357,1336,6382,1343,6541,1220,6517,1213xm6492,1205l6333,1328,6345,1332,6505,1209,6492,1205xm6769,1204l6689,1266,6781,1266,6769,1204xe" filled="true" fillcolor="#000000" stroked="false">
              <v:path arrowok="t"/>
              <v:fill type="solid"/>
            </v:shape>
            <v:shape style="position:absolute;left:6317;top:1187;width:502;height:274" coordorigin="6317,1187" coordsize="502,274" path="m6513,1390l6422,1461,6467,1453,6460,1453,6446,1445,6478,1439,6537,1393,6523,1393,6513,1390xm6478,1439l6446,1445,6460,1453,6478,1439xm6793,1384l6478,1439,6460,1453,6467,1453,6819,1391,6818,1388,6794,1388,6793,1384xm6520,1386l6513,1390,6523,1393,6520,1386xm6542,1386l6520,1386,6523,1393,6537,1393,6546,1387,6542,1386xm6558,1219l6386,1351,6386,1351,6513,1390,6520,1386,6542,1386,6426,1350,6404,1350,6400,1342,6414,1342,6557,1232,6547,1229,6564,1227,6586,1227,6558,1219xm6802,1382l6793,1384,6794,1388,6802,1382xm6817,1382l6802,1382,6794,1388,6818,1388,6817,1382xm6781,1205l6757,1205,6779,1207,6760,1221,6793,1384,6802,1382,6817,1382,6781,1205xm6378,1349l6378,1349,6386,1351,6386,1351,6378,1349xm6550,1216l6378,1349,6386,1351,6558,1219,6550,1216xm6400,1342l6404,1350,6410,1345,6400,1342xm6410,1345l6404,1350,6426,1350,6410,1345xm6521,1207l6349,1340,6378,1349,6389,1340,6372,1340,6374,1339,6367,1339,6364,1331,6377,1331,6520,1221,6511,1218,6527,1216,6549,1216,6521,1207xm6414,1342l6400,1342,6410,1345,6414,1342xm6378,1336l6372,1340,6388,1339,6378,1336xm6525,1222l6378,1336,6388,1339,6372,1340,6389,1340,6538,1225,6535,1225,6525,1222xm6489,1198l6317,1330,6349,1340,6349,1340,6341,1338,6349,1331,6343,1331,6342,1329,6335,1329,6340,1325,6339,1324,6342,1324,6488,1211,6486,1210,6490,1210,6495,1206,6512,1206,6513,1205,6513,1205,6489,1198xm6513,1205l6341,1338,6349,1340,6521,1207,6513,1205xm6364,1331l6367,1339,6374,1334,6364,1331xm6374,1334l6367,1339,6374,1339,6378,1336,6374,1334xm6377,1331l6364,1331,6374,1334,6377,1331xm6347,1328l6341,1328,6343,1331,6347,1328xm6496,1213l6349,1327,6351,1327,6347,1328,6343,1331,6349,1331,6502,1214,6498,1214,6496,1213xm6340,1325l6335,1329,6341,1328,6340,1325xm6341,1328l6335,1329,6342,1329,6341,1328xm6341,1324l6340,1325,6341,1328,6347,1328,6349,1327,6341,1324xm6349,1327l6347,1328,6351,1327,6349,1327xm6488,1211l6341,1324,6349,1327,6496,1213,6488,1211xm6339,1324l6340,1325,6341,1324,6339,1324xm6342,1324l6339,1324,6341,1324,6342,1324xm6586,1227l6564,1227,6557,1232,6693,1274,6707,1263,6679,1263,6685,1258,6586,1227xm6685,1258l6679,1263,6695,1261,6685,1258xm6777,1187l6685,1258,6695,1261,6679,1263,6707,1263,6760,1221,6757,1205,6781,1205,6777,1187xm6564,1227l6547,1229,6557,1232,6564,1227xm6531,1217l6525,1222,6535,1225,6531,1217xm6549,1217l6531,1217,6535,1225,6538,1225,6549,1217xm6549,1216l6527,1216,6520,1221,6525,1222,6531,1217,6549,1217,6550,1216,6550,1216,6549,1216xm6757,1205l6760,1221,6779,1207,6757,1205xm6527,1216l6511,1218,6520,1221,6527,1216xm6550,1216l6550,1216,6558,1219,6558,1219,6550,1216xm6497,1212l6496,1213,6498,1214,6497,1212xm6509,1208l6502,1208,6497,1212,6498,1214,6502,1214,6509,1208xm6496,1209l6490,1210,6488,1211,6496,1213,6497,1212,6496,1209xm6502,1208l6496,1209,6497,1212,6502,1208xm6490,1210l6486,1210,6488,1211,6490,1210xm6495,1206l6490,1210,6496,1209,6495,1206xm6512,1206l6495,1206,6496,1209,6502,1208,6509,1208,6512,1206xm6513,1205l6513,1205,6521,1207,6521,1207,6513,1205xe" filled="true" fillcolor="#000000" stroked="false">
              <v:path arrowok="t"/>
              <v:fill type="solid"/>
            </v:shape>
            <v:shape style="position:absolute;left:6652;top:1855;width:598;height:226" coordorigin="6652,1855" coordsize="598,226" path="m7101,1855l6802,1855,6802,1862,7101,1862,7101,1855xm7101,1869l6802,1869,6802,1883,7101,1883,7101,1869xm7250,1968l6652,1968,6951,2081,7250,1968xm7101,1890l6802,1890,6802,1968,7101,1968,7101,1890xe" filled="true" fillcolor="#000000" stroked="false">
              <v:path arrowok="t"/>
              <v:fill type="solid"/>
            </v:shape>
            <v:shape style="position:absolute;left:6618;top:1849;width:668;height:239" coordorigin="6618,1849" coordsize="668,239" path="m6790,1962l6618,1962,6951,2088,6983,2076,6944,2076,6951,2073,6687,1974,6652,1974,6660,1963,6790,1963,6790,1962xm6951,2073l6944,2076,6959,2076,6951,2073xm7243,1963l6951,2073,6959,2076,6983,2076,7254,1974,7250,1974,7243,1963xm6660,1963l6652,1974,6687,1974,6660,1963xm6790,1963l6660,1963,6687,1974,6814,1974,6814,1968,6790,1968,6790,1963xm7089,1890l7089,1974,7215,1974,7231,1968,7113,1968,7101,1962,7113,1962,7113,1896,7101,1896,7089,1890xm7282,1963l7243,1963,7250,1974,7254,1974,7282,1963xm7113,1849l6790,1849,6790,1968,6802,1962,6814,1962,6814,1896,6802,1896,6814,1890,7113,1890,7113,1883,6814,1883,6802,1877,6814,1877,6814,1875,6802,1875,6814,1869,7113,1869,7113,1862,6814,1862,6811,1861,6802,1861,6807,1859,6802,1856,6811,1856,6814,1855,7113,1855,7113,1849xm6814,1962l6802,1962,6790,1968,6814,1968,6814,1962xm7113,1962l7101,1962,7113,1968,7113,1962xm7285,1962l7113,1962,7113,1968,7231,1968,7243,1963,7282,1963,7285,1962xm6814,1890l6802,1896,6814,1896,6814,1890xm7089,1890l6814,1890,6814,1896,7089,1896,7089,1890xm7113,1890l7089,1890,7101,1896,7113,1896,7113,1890xm6814,1877l6802,1877,6814,1883,6814,1877xm7089,1877l6814,1877,6814,1883,7089,1883,7089,1877xm7089,1869l7089,1883,7101,1877,7113,1877,7113,1875,7101,1875,7089,1869xm7113,1877l7101,1877,7089,1883,7113,1883,7113,1877xm6814,1869l6802,1875,6814,1875,6814,1869xm7089,1869l6814,1869,6814,1875,7089,1875,7089,1869xm7113,1869l7089,1869,7101,1875,7113,1875,7113,1869xm6814,1855l6807,1859,6814,1862,6814,1855xm7089,1855l6814,1855,6814,1862,7089,1862,7089,1855xm7089,1855l7089,1862,7096,1859,7089,1855xm7096,1859l7089,1862,7113,1862,7113,1861,7101,1861,7096,1859xm6807,1859l6802,1861,6811,1861,6807,1859xm7113,1856l7101,1856,7096,1859,7101,1861,7113,1861,7113,1856xm6811,1856l6802,1856,6807,1859,6811,1856xm7113,1855l7089,1855,7096,1859,7101,1856,7113,1856,7113,1855xe" filled="true" fillcolor="#000000" stroked="false">
              <v:path arrowok="t"/>
              <v:fill type="solid"/>
            </v:shape>
            <v:shape style="position:absolute;left:8541;top:2697;width:311;height:187" type="#_x0000_t75" stroked="false">
              <v:imagedata r:id="rId131" o:title=""/>
            </v:shape>
            <v:shape style="position:absolute;left:9596;top:2696;width:293;height:195" type="#_x0000_t75" stroked="false">
              <v:imagedata r:id="rId132" o:title=""/>
            </v:shape>
            <v:rect style="position:absolute;left:2244;top:283;width:7949;height:2938" filled="false" stroked="true" strokeweight=".72pt" strokecolor="#4f81bc"/>
            <v:shape style="position:absolute;left:6187;top:2081;width:1795;height:167" type="#_x0000_t202" filled="false" stroked="false">
              <v:textbox inset="0,0,0,0">
                <w:txbxContent>
                  <w:p>
                    <w:pPr>
                      <w:spacing w:before="23"/>
                      <w:ind w:left="581" w:right="581" w:firstLine="0"/>
                      <w:jc w:val="center"/>
                      <w:rPr>
                        <w:b/>
                        <w:sz w:val="8"/>
                      </w:rPr>
                    </w:pPr>
                    <w:r>
                      <w:rPr>
                        <w:b/>
                        <w:w w:val="205"/>
                        <w:sz w:val="8"/>
                      </w:rPr>
                      <w:t>Ingreso</w:t>
                    </w:r>
                  </w:p>
                </w:txbxContent>
              </v:textbox>
              <w10:wrap type="none"/>
            </v:shape>
            <v:shape style="position:absolute;left:6187;top:2247;width:1795;height:194" type="#_x0000_t202" filled="false" stroked="false">
              <v:textbox inset="0,0,0,0">
                <w:txbxContent>
                  <w:p>
                    <w:pPr>
                      <w:spacing w:before="50"/>
                      <w:ind w:left="581" w:right="581" w:firstLine="0"/>
                      <w:jc w:val="center"/>
                      <w:rPr>
                        <w:b/>
                        <w:sz w:val="8"/>
                      </w:rPr>
                    </w:pPr>
                    <w:r>
                      <w:rPr>
                        <w:b/>
                        <w:w w:val="205"/>
                        <w:sz w:val="8"/>
                      </w:rPr>
                      <w:t>Gasto</w:t>
                    </w:r>
                  </w:p>
                </w:txbxContent>
              </v:textbox>
              <w10:wrap type="none"/>
            </v:shape>
            <v:shape style="position:absolute;left:6187;top:2441;width:1795;height:166" type="#_x0000_t202" filled="false" stroked="false">
              <v:textbox inset="0,0,0,0">
                <w:txbxContent>
                  <w:p>
                    <w:pPr>
                      <w:spacing w:before="51"/>
                      <w:ind w:left="580" w:right="581" w:firstLine="0"/>
                      <w:jc w:val="center"/>
                      <w:rPr>
                        <w:b/>
                        <w:sz w:val="8"/>
                      </w:rPr>
                    </w:pPr>
                    <w:r>
                      <w:rPr>
                        <w:b/>
                        <w:w w:val="205"/>
                        <w:sz w:val="8"/>
                      </w:rPr>
                      <w:t>Deuda</w:t>
                    </w:r>
                  </w:p>
                </w:txbxContent>
              </v:textbox>
              <w10:wrap type="none"/>
            </v:shape>
            <v:shape style="position:absolute;left:2244;top:595;width:2083;height:484" type="#_x0000_t202" filled="false" stroked="false">
              <v:textbox inset="0,0,0,0">
                <w:txbxContent>
                  <w:p>
                    <w:pPr>
                      <w:spacing w:line="254" w:lineRule="auto" w:before="24"/>
                      <w:ind w:left="95" w:right="73" w:firstLine="0"/>
                      <w:jc w:val="center"/>
                      <w:rPr>
                        <w:b/>
                        <w:sz w:val="9"/>
                      </w:rPr>
                    </w:pPr>
                    <w:r>
                      <w:rPr>
                        <w:b/>
                        <w:w w:val="210"/>
                        <w:sz w:val="9"/>
                      </w:rPr>
                      <w:t>Constitución Política</w:t>
                    </w:r>
                    <w:r>
                      <w:rPr>
                        <w:b/>
                        <w:w w:val="207"/>
                        <w:sz w:val="9"/>
                      </w:rPr>
                      <w:t> </w:t>
                    </w:r>
                    <w:r>
                      <w:rPr>
                        <w:b/>
                        <w:w w:val="210"/>
                        <w:sz w:val="9"/>
                      </w:rPr>
                      <w:t>de los Estados Unidos Mexicanos (1917)</w:t>
                    </w:r>
                  </w:p>
                </w:txbxContent>
              </v:textbox>
              <w10:wrap type="none"/>
            </v:shape>
            <v:shape style="position:absolute;left:3169;top:343;width:6241;height:238" type="#_x0000_t202" filled="false" stroked="false">
              <v:textbox inset="0,0,0,0">
                <w:txbxContent>
                  <w:p>
                    <w:pPr>
                      <w:spacing w:line="116" w:lineRule="exact" w:before="0"/>
                      <w:ind w:left="0" w:right="0" w:firstLine="0"/>
                      <w:jc w:val="center"/>
                      <w:rPr>
                        <w:b/>
                        <w:sz w:val="11"/>
                      </w:rPr>
                    </w:pPr>
                    <w:r>
                      <w:rPr>
                        <w:b/>
                        <w:w w:val="215"/>
                        <w:sz w:val="11"/>
                      </w:rPr>
                      <w:t>Control</w:t>
                    </w:r>
                    <w:r>
                      <w:rPr>
                        <w:b/>
                        <w:spacing w:val="-11"/>
                        <w:w w:val="215"/>
                        <w:sz w:val="11"/>
                      </w:rPr>
                      <w:t> </w:t>
                    </w:r>
                    <w:r>
                      <w:rPr>
                        <w:b/>
                        <w:w w:val="215"/>
                        <w:sz w:val="11"/>
                      </w:rPr>
                      <w:t>y</w:t>
                    </w:r>
                    <w:r>
                      <w:rPr>
                        <w:b/>
                        <w:spacing w:val="-10"/>
                        <w:w w:val="215"/>
                        <w:sz w:val="11"/>
                      </w:rPr>
                      <w:t> </w:t>
                    </w:r>
                    <w:r>
                      <w:rPr>
                        <w:b/>
                        <w:w w:val="215"/>
                        <w:sz w:val="11"/>
                      </w:rPr>
                      <w:t>vigilancia</w:t>
                    </w:r>
                    <w:r>
                      <w:rPr>
                        <w:b/>
                        <w:spacing w:val="-8"/>
                        <w:w w:val="215"/>
                        <w:sz w:val="11"/>
                      </w:rPr>
                      <w:t> </w:t>
                    </w:r>
                    <w:r>
                      <w:rPr>
                        <w:b/>
                        <w:w w:val="215"/>
                        <w:sz w:val="11"/>
                      </w:rPr>
                      <w:t>del</w:t>
                    </w:r>
                    <w:r>
                      <w:rPr>
                        <w:b/>
                        <w:spacing w:val="-8"/>
                        <w:w w:val="215"/>
                        <w:sz w:val="11"/>
                      </w:rPr>
                      <w:t> </w:t>
                    </w:r>
                    <w:r>
                      <w:rPr>
                        <w:b/>
                        <w:w w:val="215"/>
                        <w:sz w:val="11"/>
                      </w:rPr>
                      <w:t>patrimonio</w:t>
                    </w:r>
                    <w:r>
                      <w:rPr>
                        <w:b/>
                        <w:spacing w:val="-12"/>
                        <w:w w:val="215"/>
                        <w:sz w:val="11"/>
                      </w:rPr>
                      <w:t> </w:t>
                    </w:r>
                    <w:r>
                      <w:rPr>
                        <w:b/>
                        <w:w w:val="215"/>
                        <w:sz w:val="11"/>
                      </w:rPr>
                      <w:t>del</w:t>
                    </w:r>
                    <w:r>
                      <w:rPr>
                        <w:b/>
                        <w:spacing w:val="-11"/>
                        <w:w w:val="215"/>
                        <w:sz w:val="11"/>
                      </w:rPr>
                      <w:t> </w:t>
                    </w:r>
                    <w:r>
                      <w:rPr>
                        <w:b/>
                        <w:w w:val="215"/>
                        <w:sz w:val="11"/>
                      </w:rPr>
                      <w:t>Estado</w:t>
                    </w:r>
                    <w:r>
                      <w:rPr>
                        <w:b/>
                        <w:spacing w:val="-8"/>
                        <w:w w:val="215"/>
                        <w:sz w:val="11"/>
                      </w:rPr>
                      <w:t> </w:t>
                    </w:r>
                    <w:r>
                      <w:rPr>
                        <w:b/>
                        <w:w w:val="215"/>
                        <w:sz w:val="11"/>
                      </w:rPr>
                      <w:t>mexicano</w:t>
                    </w:r>
                  </w:p>
                  <w:p>
                    <w:pPr>
                      <w:spacing w:line="113" w:lineRule="exact" w:before="8"/>
                      <w:ind w:left="0" w:right="1" w:firstLine="0"/>
                      <w:jc w:val="center"/>
                      <w:rPr>
                        <w:b/>
                        <w:sz w:val="10"/>
                      </w:rPr>
                    </w:pPr>
                    <w:r>
                      <w:rPr>
                        <w:b/>
                        <w:w w:val="210"/>
                        <w:sz w:val="10"/>
                      </w:rPr>
                      <w:t>(Siglo XX)</w:t>
                    </w:r>
                  </w:p>
                </w:txbxContent>
              </v:textbox>
              <w10:wrap type="none"/>
            </v:shape>
            <v:shape style="position:absolute;left:8820;top:2114;width:981;height:368" type="#_x0000_t202" filled="false" stroked="false">
              <v:textbox inset="0,0,0,0">
                <w:txbxContent>
                  <w:p>
                    <w:pPr>
                      <w:spacing w:line="82" w:lineRule="exact" w:before="0"/>
                      <w:ind w:left="0" w:right="0" w:firstLine="0"/>
                      <w:jc w:val="center"/>
                      <w:rPr>
                        <w:b/>
                        <w:sz w:val="8"/>
                      </w:rPr>
                    </w:pPr>
                    <w:r>
                      <w:rPr>
                        <w:b/>
                        <w:color w:val="FFFFFF"/>
                        <w:w w:val="205"/>
                        <w:sz w:val="8"/>
                      </w:rPr>
                      <w:t>Control y</w:t>
                    </w:r>
                  </w:p>
                  <w:p>
                    <w:pPr>
                      <w:spacing w:line="249" w:lineRule="auto" w:before="4"/>
                      <w:ind w:left="0" w:right="0" w:firstLine="0"/>
                      <w:jc w:val="center"/>
                      <w:rPr>
                        <w:b/>
                        <w:sz w:val="8"/>
                      </w:rPr>
                    </w:pPr>
                    <w:r>
                      <w:rPr>
                        <w:b/>
                        <w:color w:val="FFFFFF"/>
                        <w:w w:val="205"/>
                        <w:sz w:val="8"/>
                      </w:rPr>
                      <w:t>vigilancia</w:t>
                    </w:r>
                    <w:r>
                      <w:rPr>
                        <w:b/>
                        <w:color w:val="FFFFFF"/>
                        <w:spacing w:val="-10"/>
                        <w:w w:val="205"/>
                        <w:sz w:val="8"/>
                      </w:rPr>
                      <w:t> </w:t>
                    </w:r>
                    <w:r>
                      <w:rPr>
                        <w:b/>
                        <w:color w:val="FFFFFF"/>
                        <w:w w:val="205"/>
                        <w:sz w:val="8"/>
                      </w:rPr>
                      <w:t>de los</w:t>
                    </w:r>
                    <w:r>
                      <w:rPr>
                        <w:b/>
                        <w:color w:val="FFFFFF"/>
                        <w:spacing w:val="-2"/>
                        <w:w w:val="205"/>
                        <w:sz w:val="8"/>
                      </w:rPr>
                      <w:t> </w:t>
                    </w:r>
                    <w:r>
                      <w:rPr>
                        <w:b/>
                        <w:color w:val="FFFFFF"/>
                        <w:w w:val="205"/>
                        <w:sz w:val="8"/>
                      </w:rPr>
                      <w:t>recursos del</w:t>
                    </w:r>
                    <w:r>
                      <w:rPr>
                        <w:b/>
                        <w:color w:val="FFFFFF"/>
                        <w:spacing w:val="-2"/>
                        <w:w w:val="205"/>
                        <w:sz w:val="8"/>
                      </w:rPr>
                      <w:t> </w:t>
                    </w:r>
                    <w:r>
                      <w:rPr>
                        <w:b/>
                        <w:color w:val="FFFFFF"/>
                        <w:w w:val="205"/>
                        <w:sz w:val="8"/>
                      </w:rPr>
                      <w:t>Estado</w:t>
                    </w:r>
                  </w:p>
                </w:txbxContent>
              </v:textbox>
              <w10:wrap type="none"/>
            </v:shape>
            <v:shape style="position:absolute;left:2599;top:1144;width:3588;height:236" type="#_x0000_t202" filled="true" fillcolor="#ffffff" stroked="true" strokeweight=".592024pt" strokecolor="#000000">
              <v:textbox inset="0,0,0,0">
                <w:txbxContent>
                  <w:p>
                    <w:pPr>
                      <w:spacing w:line="249" w:lineRule="auto" w:before="17"/>
                      <w:ind w:left="232" w:right="219" w:firstLine="774"/>
                      <w:jc w:val="left"/>
                      <w:rPr>
                        <w:b/>
                        <w:sz w:val="8"/>
                      </w:rPr>
                    </w:pPr>
                    <w:r>
                      <w:rPr>
                        <w:b/>
                        <w:w w:val="205"/>
                        <w:sz w:val="8"/>
                      </w:rPr>
                      <w:t>Rectoría económica (artículos 25, 26, 27, 28, 79, 90, 93 y 134)</w:t>
                    </w:r>
                  </w:p>
                </w:txbxContent>
              </v:textbox>
              <v:fill type="solid"/>
              <w10:wrap type="none"/>
            </v:shape>
            <v:shape style="position:absolute;left:6055;top:1564;width:1794;height:235" type="#_x0000_t202" filled="true" fillcolor="#ffffff" stroked="true" strokeweight=".622514pt" strokecolor="#000000">
              <v:textbox inset="0,0,0,0">
                <w:txbxContent>
                  <w:p>
                    <w:pPr>
                      <w:spacing w:line="249" w:lineRule="auto" w:before="16"/>
                      <w:ind w:left="476" w:right="124" w:hanging="348"/>
                      <w:jc w:val="left"/>
                      <w:rPr>
                        <w:b/>
                        <w:sz w:val="8"/>
                      </w:rPr>
                    </w:pPr>
                    <w:r>
                      <w:rPr>
                        <w:b/>
                        <w:w w:val="205"/>
                        <w:sz w:val="8"/>
                      </w:rPr>
                      <w:t>Régimen financiero del Estado</w:t>
                    </w:r>
                  </w:p>
                </w:txbxContent>
              </v:textbox>
              <v:fill type="solid"/>
              <w10:wrap type="none"/>
            </v:shape>
            <v:shape style="position:absolute;left:8039;top:2944;width:1015;height:253" type="#_x0000_t202" filled="true" fillcolor="#000000" stroked="false">
              <v:textbox inset="0,0,0,0">
                <w:txbxContent>
                  <w:p>
                    <w:pPr>
                      <w:spacing w:line="249" w:lineRule="auto" w:before="32"/>
                      <w:ind w:left="228" w:right="197" w:hanging="13"/>
                      <w:jc w:val="left"/>
                      <w:rPr>
                        <w:b/>
                        <w:sz w:val="8"/>
                      </w:rPr>
                    </w:pPr>
                    <w:r>
                      <w:rPr>
                        <w:b/>
                        <w:color w:val="FFFFFF"/>
                        <w:w w:val="205"/>
                        <w:sz w:val="8"/>
                      </w:rPr>
                      <w:t>Control interno</w:t>
                    </w:r>
                  </w:p>
                </w:txbxContent>
              </v:textbox>
              <v:fill type="solid"/>
              <w10:wrap type="none"/>
            </v:shape>
            <v:shape style="position:absolute;left:9168;top:2944;width:1015;height:253" type="#_x0000_t202" filled="true" fillcolor="#000000" stroked="false">
              <v:textbox inset="0,0,0,0">
                <w:txbxContent>
                  <w:p>
                    <w:pPr>
                      <w:spacing w:line="249" w:lineRule="auto" w:before="32"/>
                      <w:ind w:left="211" w:right="191" w:firstLine="5"/>
                      <w:jc w:val="left"/>
                      <w:rPr>
                        <w:b/>
                        <w:sz w:val="8"/>
                      </w:rPr>
                    </w:pPr>
                    <w:r>
                      <w:rPr>
                        <w:b/>
                        <w:color w:val="FFFFFF"/>
                        <w:w w:val="205"/>
                        <w:sz w:val="8"/>
                      </w:rPr>
                      <w:t>Control externo</w:t>
                    </w:r>
                  </w:p>
                </w:txbxContent>
              </v:textbox>
              <v:fill type="solid"/>
              <w10:wrap type="none"/>
            </v:shape>
            <w10:wrap type="topAndBottom"/>
          </v:group>
        </w:pict>
      </w:r>
    </w:p>
    <w:p>
      <w:pPr>
        <w:spacing w:before="35"/>
        <w:ind w:left="1336" w:right="135" w:firstLine="0"/>
        <w:jc w:val="left"/>
        <w:rPr>
          <w:sz w:val="12"/>
        </w:rPr>
      </w:pPr>
      <w:r>
        <w:rPr>
          <w:sz w:val="12"/>
        </w:rPr>
        <w:t>FUENTE: Elaboración propia.</w:t>
      </w:r>
    </w:p>
    <w:p>
      <w:pPr>
        <w:pStyle w:val="BodyText"/>
        <w:spacing w:before="3"/>
        <w:rPr>
          <w:sz w:val="22"/>
        </w:rPr>
      </w:pPr>
      <w:r>
        <w:rPr/>
        <w:pict>
          <v:line style="position:absolute;mso-position-horizontal-relative:page;mso-position-vertical-relative:paragraph;z-index:6808;mso-wrap-distance-left:0;mso-wrap-distance-right:0" from="85.103996pt,15.164529pt" to="229.123996pt,15.164529pt" stroked="true" strokeweight=".71997pt" strokecolor="#000000">
            <w10:wrap type="topAndBottom"/>
          </v:line>
        </w:pict>
      </w:r>
    </w:p>
    <w:p>
      <w:pPr>
        <w:spacing w:line="256" w:lineRule="auto" w:before="62"/>
        <w:ind w:left="122" w:right="135" w:firstLine="0"/>
        <w:jc w:val="left"/>
        <w:rPr>
          <w:sz w:val="16"/>
        </w:rPr>
      </w:pPr>
      <w:r>
        <w:rPr>
          <w:rFonts w:ascii="Times New Roman" w:hAnsi="Times New Roman"/>
          <w:position w:val="7"/>
          <w:sz w:val="13"/>
        </w:rPr>
        <w:t>61</w:t>
      </w:r>
      <w:r>
        <w:rPr>
          <w:sz w:val="16"/>
        </w:rPr>
        <w:t>A partir de 2001 el Estado consideró fortalecer la supervisión mediante la contraloría social, con el objeto de que los resultados de la administración pública sean fiscalizados por la sociedad.</w:t>
      </w:r>
    </w:p>
    <w:p>
      <w:pPr>
        <w:spacing w:after="0" w:line="256" w:lineRule="auto"/>
        <w:jc w:val="left"/>
        <w:rPr>
          <w:sz w:val="16"/>
        </w:rPr>
        <w:sectPr>
          <w:pgSz w:w="12240" w:h="15840"/>
          <w:pgMar w:header="0" w:footer="1003" w:top="1360" w:bottom="1200" w:left="1580" w:right="1500"/>
        </w:sectPr>
      </w:pPr>
    </w:p>
    <w:p>
      <w:pPr>
        <w:pStyle w:val="BodyText"/>
        <w:spacing w:before="8"/>
        <w:rPr>
          <w:sz w:val="9"/>
        </w:rPr>
      </w:pPr>
    </w:p>
    <w:p>
      <w:pPr>
        <w:pStyle w:val="BodyText"/>
        <w:spacing w:line="360" w:lineRule="auto" w:before="69"/>
        <w:ind w:left="142" w:right="117" w:firstLine="427"/>
        <w:jc w:val="both"/>
      </w:pPr>
      <w:r>
        <w:rPr/>
        <w:t>Desde</w:t>
      </w:r>
      <w:r>
        <w:rPr>
          <w:spacing w:val="-6"/>
        </w:rPr>
        <w:t> </w:t>
      </w:r>
      <w:r>
        <w:rPr/>
        <w:t>la</w:t>
      </w:r>
      <w:r>
        <w:rPr>
          <w:spacing w:val="-9"/>
        </w:rPr>
        <w:t> </w:t>
      </w:r>
      <w:r>
        <w:rPr/>
        <w:t>promulgación</w:t>
      </w:r>
      <w:r>
        <w:rPr>
          <w:spacing w:val="-8"/>
        </w:rPr>
        <w:t> </w:t>
      </w:r>
      <w:r>
        <w:rPr/>
        <w:t>de</w:t>
      </w:r>
      <w:r>
        <w:rPr>
          <w:spacing w:val="-6"/>
        </w:rPr>
        <w:t> </w:t>
      </w:r>
      <w:r>
        <w:rPr/>
        <w:t>la</w:t>
      </w:r>
      <w:r>
        <w:rPr>
          <w:spacing w:val="-9"/>
        </w:rPr>
        <w:t> </w:t>
      </w:r>
      <w:r>
        <w:rPr/>
        <w:t>Constitución</w:t>
      </w:r>
      <w:r>
        <w:rPr>
          <w:spacing w:val="-8"/>
        </w:rPr>
        <w:t> </w:t>
      </w:r>
      <w:r>
        <w:rPr/>
        <w:t>de</w:t>
      </w:r>
      <w:r>
        <w:rPr>
          <w:spacing w:val="-10"/>
        </w:rPr>
        <w:t> </w:t>
      </w:r>
      <w:r>
        <w:rPr/>
        <w:t>1824</w:t>
      </w:r>
      <w:r>
        <w:rPr>
          <w:spacing w:val="-6"/>
        </w:rPr>
        <w:t> </w:t>
      </w:r>
      <w:r>
        <w:rPr/>
        <w:t>y</w:t>
      </w:r>
      <w:r>
        <w:rPr>
          <w:spacing w:val="-9"/>
        </w:rPr>
        <w:t> </w:t>
      </w:r>
      <w:r>
        <w:rPr/>
        <w:t>la</w:t>
      </w:r>
      <w:r>
        <w:rPr>
          <w:spacing w:val="-6"/>
        </w:rPr>
        <w:t> </w:t>
      </w:r>
      <w:r>
        <w:rPr/>
        <w:t>Ley</w:t>
      </w:r>
      <w:r>
        <w:rPr>
          <w:spacing w:val="-9"/>
        </w:rPr>
        <w:t> </w:t>
      </w:r>
      <w:r>
        <w:rPr/>
        <w:t>para</w:t>
      </w:r>
      <w:r>
        <w:rPr>
          <w:spacing w:val="-9"/>
        </w:rPr>
        <w:t> </w:t>
      </w:r>
      <w:r>
        <w:rPr/>
        <w:t>el</w:t>
      </w:r>
      <w:r>
        <w:rPr>
          <w:spacing w:val="-7"/>
        </w:rPr>
        <w:t> </w:t>
      </w:r>
      <w:r>
        <w:rPr/>
        <w:t>Arreglo</w:t>
      </w:r>
      <w:r>
        <w:rPr>
          <w:spacing w:val="-6"/>
        </w:rPr>
        <w:t> </w:t>
      </w:r>
      <w:r>
        <w:rPr/>
        <w:t>de</w:t>
      </w:r>
      <w:r>
        <w:rPr>
          <w:spacing w:val="-6"/>
        </w:rPr>
        <w:t> </w:t>
      </w:r>
      <w:r>
        <w:rPr/>
        <w:t>la Administración de la Hacienda Pública, los primeros cambios que se realizaron a</w:t>
      </w:r>
      <w:r>
        <w:rPr>
          <w:spacing w:val="-43"/>
        </w:rPr>
        <w:t> </w:t>
      </w:r>
      <w:r>
        <w:rPr/>
        <w:t>la denominación y funciones de la institución de rendición de cuentas de control externo</w:t>
      </w:r>
      <w:r>
        <w:rPr>
          <w:spacing w:val="-19"/>
        </w:rPr>
        <w:t> </w:t>
      </w:r>
      <w:r>
        <w:rPr/>
        <w:t>(del</w:t>
      </w:r>
      <w:r>
        <w:rPr>
          <w:spacing w:val="-20"/>
        </w:rPr>
        <w:t> </w:t>
      </w:r>
      <w:r>
        <w:rPr/>
        <w:t>Poder</w:t>
      </w:r>
      <w:r>
        <w:rPr>
          <w:spacing w:val="-20"/>
        </w:rPr>
        <w:t> </w:t>
      </w:r>
      <w:r>
        <w:rPr/>
        <w:t>Legislativo)</w:t>
      </w:r>
      <w:r>
        <w:rPr>
          <w:spacing w:val="-20"/>
        </w:rPr>
        <w:t> </w:t>
      </w:r>
      <w:r>
        <w:rPr/>
        <w:t>estuvieron</w:t>
      </w:r>
      <w:r>
        <w:rPr>
          <w:spacing w:val="-19"/>
        </w:rPr>
        <w:t> </w:t>
      </w:r>
      <w:r>
        <w:rPr/>
        <w:t>orientados</w:t>
      </w:r>
      <w:r>
        <w:rPr>
          <w:spacing w:val="-20"/>
        </w:rPr>
        <w:t> </w:t>
      </w:r>
      <w:r>
        <w:rPr/>
        <w:t>principalmente</w:t>
      </w:r>
      <w:r>
        <w:rPr>
          <w:spacing w:val="-21"/>
        </w:rPr>
        <w:t> </w:t>
      </w:r>
      <w:r>
        <w:rPr/>
        <w:t>hacia</w:t>
      </w:r>
      <w:r>
        <w:rPr>
          <w:spacing w:val="-19"/>
        </w:rPr>
        <w:t> </w:t>
      </w:r>
      <w:r>
        <w:rPr/>
        <w:t>la</w:t>
      </w:r>
      <w:r>
        <w:rPr>
          <w:spacing w:val="-19"/>
        </w:rPr>
        <w:t> </w:t>
      </w:r>
      <w:r>
        <w:rPr/>
        <w:t>gestión de la institución y actividades</w:t>
      </w:r>
      <w:r>
        <w:rPr>
          <w:spacing w:val="-13"/>
        </w:rPr>
        <w:t> </w:t>
      </w:r>
      <w:r>
        <w:rPr/>
        <w:t>contables.</w:t>
      </w:r>
    </w:p>
    <w:p>
      <w:pPr>
        <w:pStyle w:val="BodyText"/>
        <w:spacing w:line="360" w:lineRule="auto" w:before="2"/>
        <w:ind w:left="142" w:right="119" w:firstLine="427"/>
        <w:jc w:val="both"/>
      </w:pPr>
      <w:r>
        <w:rPr/>
        <w:t>En el esquema siguiente se presentan los elementos principales que caracterizaron el origen de la rendición de cuentas en México.</w:t>
      </w:r>
    </w:p>
    <w:p>
      <w:pPr>
        <w:pStyle w:val="BodyText"/>
      </w:pPr>
    </w:p>
    <w:p>
      <w:pPr>
        <w:spacing w:before="189"/>
        <w:ind w:left="1906" w:right="0" w:firstLine="0"/>
        <w:jc w:val="left"/>
        <w:rPr>
          <w:sz w:val="20"/>
        </w:rPr>
      </w:pPr>
      <w:bookmarkStart w:name="_bookmark49" w:id="66"/>
      <w:bookmarkEnd w:id="66"/>
      <w:r>
        <w:rPr/>
      </w:r>
      <w:r>
        <w:rPr>
          <w:sz w:val="20"/>
        </w:rPr>
        <w:t>Esquema 2. 4. Origen de la rendición de cuentas en México</w:t>
      </w:r>
    </w:p>
    <w:p>
      <w:pPr>
        <w:pStyle w:val="BodyText"/>
        <w:spacing w:before="10"/>
        <w:rPr>
          <w:sz w:val="13"/>
        </w:rPr>
      </w:pPr>
      <w:r>
        <w:rPr/>
        <w:pict>
          <v:group style="position:absolute;margin-left:83.160004pt;margin-top:9.950886pt;width:431.4pt;height:197.65pt;mso-position-horizontal-relative:page;mso-position-vertical-relative:paragraph;z-index:7096;mso-wrap-distance-left:0;mso-wrap-distance-right:0" coordorigin="1663,199" coordsize="8628,3953">
            <v:shape style="position:absolute;left:1663;top:199;width:8628;height:3953" type="#_x0000_t75" stroked="false">
              <v:imagedata r:id="rId133" o:title=""/>
            </v:shape>
            <v:rect style="position:absolute;left:1790;top:228;width:8460;height:3797" filled="true" fillcolor="#edebe0" stroked="false">
              <v:fill type="solid"/>
            </v:rect>
            <v:shape style="position:absolute;left:1969;top:1265;width:1540;height:1784" coordorigin="1969,1265" coordsize="1540,1784" path="m1969,1265l1969,2903,1973,2918,1984,2932,2003,2946,2029,2959,2062,2972,2100,2984,2144,2995,2194,3006,2249,3015,2308,3023,2371,3031,2439,3037,2509,3042,2583,3045,2660,3048,2738,3048,2817,3048,2893,3045,2967,3042,3038,3037,3105,3031,3169,3023,3228,3015,3282,3006,3332,2995,3376,2984,3415,2972,3447,2959,3473,2946,3492,2932,3504,2918,3508,2903,3508,1410,2738,1410,2660,1410,2583,1407,2509,1404,2439,1399,2371,1393,2308,1385,2249,1377,2194,1368,2144,1357,2100,1346,2062,1334,2029,1321,2003,1308,1984,1294,1973,1280,1969,1265xm3508,1265l3504,1280,3492,1294,3473,1308,3447,1321,3415,1334,3376,1346,3332,1357,3282,1368,3228,1377,3169,1385,3105,1393,3038,1399,2967,1404,2893,1407,2817,1410,2738,1410,3508,1410,3508,1265xe" filled="true" fillcolor="#4f81bc" stroked="false">
              <v:path arrowok="t"/>
              <v:fill type="solid"/>
            </v:shape>
            <v:shape style="position:absolute;left:1969;top:1119;width:1540;height:292" coordorigin="1969,1119" coordsize="1540,292" path="m2738,1119l2660,1120,2583,1122,2509,1126,2439,1131,2371,1137,2308,1144,2194,1162,2100,1183,2029,1208,1973,1250,1969,1265,1973,1280,2029,1321,2100,1346,2194,1368,2308,1385,2371,1393,2439,1399,2509,1404,2583,1407,2660,1410,2738,1410,2817,1410,2893,1407,2967,1404,3038,1399,3105,1393,3169,1385,3282,1368,3376,1346,3447,1321,3504,1280,3508,1265,3504,1250,3447,1208,3376,1183,3282,1162,3169,1144,3105,1137,3038,1131,2967,1126,2893,1122,2817,1120,2738,1119xe" filled="true" fillcolor="#94b3d6" stroked="false">
              <v:path arrowok="t"/>
              <v:fill type="solid"/>
            </v:shape>
            <v:shape style="position:absolute;left:1969;top:1119;width:1540;height:1930" coordorigin="1969,1119" coordsize="1540,1930" path="m3508,1265l3447,1321,3376,1346,3282,1368,3169,1385,3105,1393,3038,1399,2967,1404,2893,1407,2817,1410,2738,1410,2660,1410,2583,1407,2509,1404,2439,1399,2371,1393,2308,1385,2194,1368,2100,1346,2029,1321,1973,1280,1969,1265,1973,1250,1984,1235,2062,1195,2144,1172,2249,1152,2371,1137,2439,1131,2509,1126,2583,1122,2660,1120,2738,1119,2817,1120,2893,1122,2967,1126,3038,1131,3105,1137,3169,1144,3282,1162,3376,1183,3447,1208,3504,1250,3508,1265,3508,2903,3504,2918,3492,2932,3415,2972,3332,2995,3228,3015,3105,3031,3038,3037,2967,3042,2893,3045,2817,3048,2738,3048,2660,3048,2583,3045,2509,3042,2439,3037,2371,3031,2308,3023,2194,3006,2100,2984,2029,2959,1973,2918,1969,2903,1969,1265e" filled="false" stroked="true" strokeweight="1.384467pt" strokecolor="#385d89">
              <v:path arrowok="t"/>
            </v:shape>
            <v:shape style="position:absolute;left:3615;top:247;width:1063;height:741" coordorigin="3615,247" coordsize="1063,741" path="m4678,803l4188,803,4456,988,4678,803xm3859,247l3615,247,3659,248,3703,253,3746,259,3788,269,3830,281,3870,295,3910,312,3948,331,3985,353,4021,376,4055,402,4088,430,4119,460,4148,491,4176,525,4201,560,4225,596,4247,635,4266,675,4283,716,4298,759,4311,803,4555,803,4543,759,4528,716,4511,675,4491,635,4470,596,4446,560,4420,525,4393,491,4363,460,4332,430,4300,402,4265,376,4230,353,4193,331,4154,312,4115,295,4075,281,4033,269,3991,259,3948,253,3904,248,3859,247xe" filled="true" fillcolor="#4f81bc" stroked="false">
              <v:path arrowok="t"/>
              <v:fill type="solid"/>
            </v:shape>
            <v:shape style="position:absolute;left:2896;top:247;width:841;height:741" coordorigin="2896,247" coordsize="841,741" path="m3608,247l3524,253,3442,269,3363,294,3288,328,3217,371,3152,421,3092,479,3039,544,2994,615,2956,692,2927,774,2907,862,2899,925,2896,988,3141,988,3142,943,3146,899,3161,813,3186,730,3219,652,3261,579,3310,511,3366,449,3429,394,3499,347,3573,308,3653,278,3737,258,3694,252,3651,248,3608,247xe" filled="true" fillcolor="#406897" stroked="false">
              <v:path arrowok="t"/>
              <v:fill type="solid"/>
            </v:shape>
            <v:shape style="position:absolute;left:2896;top:247;width:1782;height:741" coordorigin="2896,247" coordsize="1782,741" path="m3615,247l3703,253,3788,269,3870,295,3948,331,4021,376,4088,430,4148,491,4201,560,4247,635,4283,716,4311,803,4188,803,4456,988,4678,803,4555,803,4528,716,4491,635,4446,560,4393,491,4332,430,4265,376,4193,331,4115,295,4033,269,3948,253,3859,247,3615,247,3571,248,3528,252,3444,268,3364,293,3288,328,3217,371,3152,421,3093,479,3040,544,2994,614,2957,690,2928,770,2908,855,2898,943,2896,988,3141,988,3142,943,3146,899,3161,813,3186,730,3219,652,3261,579,3310,511,3366,449,3429,394,3499,347,3573,308,3653,278,3695,267,3737,258e" filled="false" stroked="true" strokeweight="1.212319pt" strokecolor="#385d89">
              <v:path arrowok="t"/>
            </v:shape>
            <v:shape style="position:absolute;left:1816;top:3110;width:8399;height:402" coordorigin="1816,3110" coordsize="8399,402" path="m9950,3110l9950,3210,1816,3210,1816,3411,9950,3411,9950,3511,10215,3311,9950,3110xe" filled="true" fillcolor="#4f81bc" stroked="false">
              <v:path arrowok="t"/>
              <v:fill type="solid"/>
            </v:shape>
            <v:shape style="position:absolute;left:1801;top:3082;width:8436;height:458" coordorigin="1801,3082" coordsize="8436,458" path="m9934,3411l9934,3539,9971,3511,9965,3511,9939,3503,9965,3483,9965,3423,9949,3423,9934,3411xm9965,3483l9939,3503,9965,3511,9965,3483xm10193,3311l9965,3483,9965,3511,9971,3511,10225,3319,10204,3319,10193,3311xm9934,3199l1801,3199,1801,3423,9934,3423,9934,3411,1831,3411,1816,3399,1831,3399,1831,3222,1816,3222,1831,3210,9934,3210,9934,3199xm9965,3399l1831,3399,1831,3411,9934,3411,9949,3423,9965,3423,9965,3399xm1831,3399l1816,3399,1831,3411,1831,3399xm10204,3303l10193,3311,10204,3319,10204,3303xm10225,3303l10204,3303,10204,3319,10225,3319,10236,3311,10225,3303xm9971,3110l9965,3110,9965,3138,10193,3311,10204,3303,10225,3303,9971,3110xm1831,3210l1816,3222,1831,3222,1831,3210xm9965,3199l9949,3199,9934,3210,1831,3210,1831,3222,9965,3222,9965,3199xm9934,3082l9934,3210,9949,3199,9965,3199,9965,3138,9939,3118,9965,3110,9971,3110,9934,3082xm9965,3110l9939,3118,9965,3138,9965,3110xe" filled="true" fillcolor="#385d89" stroked="false">
              <v:path arrowok="t"/>
              <v:fill type="solid"/>
            </v:shape>
            <v:shape style="position:absolute;left:4115;top:296;width:5961;height:2766" type="#_x0000_t75" stroked="false">
              <v:imagedata r:id="rId134" o:title=""/>
            </v:shape>
            <v:rect style="position:absolute;left:1897;top:3635;width:1233;height:370" filled="true" fillcolor="#ffffff" stroked="false">
              <v:fill type="solid"/>
            </v:rect>
            <v:rect style="position:absolute;left:1897;top:3635;width:1233;height:370" filled="false" stroked="true" strokeweight="1.188289pt" strokecolor="#000000"/>
            <v:rect style="position:absolute;left:6443;top:3635;width:1233;height:370" filled="true" fillcolor="#ffffff" stroked="false">
              <v:fill type="solid"/>
            </v:rect>
            <v:rect style="position:absolute;left:6443;top:3635;width:1233;height:370" filled="false" stroked="true" strokeweight="1.188289pt" strokecolor="#000000"/>
            <v:shape style="position:absolute;left:1897;top:3635;width:1234;height:390" type="#_x0000_t202" filled="false" stroked="false">
              <v:textbox inset="0,0,0,0">
                <w:txbxContent>
                  <w:p>
                    <w:pPr>
                      <w:spacing w:line="254" w:lineRule="auto" w:before="48"/>
                      <w:ind w:left="99" w:right="115" w:firstLine="255"/>
                      <w:jc w:val="left"/>
                      <w:rPr>
                        <w:b/>
                        <w:sz w:val="12"/>
                      </w:rPr>
                    </w:pPr>
                    <w:r>
                      <w:rPr>
                        <w:b/>
                        <w:w w:val="135"/>
                        <w:sz w:val="12"/>
                      </w:rPr>
                      <w:t>Época prehispánica</w:t>
                    </w:r>
                  </w:p>
                </w:txbxContent>
              </v:textbox>
              <w10:wrap type="none"/>
            </v:shape>
            <v:shape style="position:absolute;left:6443;top:3635;width:1234;height:390" type="#_x0000_t202" filled="false" stroked="false">
              <v:textbox inset="0,0,0,0">
                <w:txbxContent>
                  <w:p>
                    <w:pPr>
                      <w:spacing w:line="254" w:lineRule="auto" w:before="48"/>
                      <w:ind w:left="320" w:right="317" w:firstLine="40"/>
                      <w:jc w:val="left"/>
                      <w:rPr>
                        <w:b/>
                        <w:sz w:val="12"/>
                      </w:rPr>
                    </w:pPr>
                    <w:r>
                      <w:rPr>
                        <w:b/>
                        <w:w w:val="135"/>
                        <w:sz w:val="12"/>
                      </w:rPr>
                      <w:t>Nueva España</w:t>
                    </w:r>
                  </w:p>
                </w:txbxContent>
              </v:textbox>
              <w10:wrap type="none"/>
            </v:shape>
            <v:shape style="position:absolute;left:2309;top:1120;width:708;height:325" type="#_x0000_t202" filled="false" stroked="false">
              <v:textbox inset="0,0,0,0">
                <w:txbxContent>
                  <w:p>
                    <w:pPr>
                      <w:spacing w:line="149" w:lineRule="exact" w:before="0"/>
                      <w:ind w:left="0" w:right="0" w:firstLine="0"/>
                      <w:jc w:val="left"/>
                      <w:rPr>
                        <w:b/>
                        <w:sz w:val="14"/>
                      </w:rPr>
                    </w:pPr>
                    <w:r>
                      <w:rPr>
                        <w:b/>
                        <w:color w:val="FFFFFF"/>
                        <w:w w:val="135"/>
                        <w:sz w:val="14"/>
                      </w:rPr>
                      <w:t>Imperio</w:t>
                    </w:r>
                  </w:p>
                  <w:p>
                    <w:pPr>
                      <w:spacing w:line="159" w:lineRule="exact" w:before="17"/>
                      <w:ind w:left="0" w:right="0" w:firstLine="0"/>
                      <w:jc w:val="left"/>
                      <w:rPr>
                        <w:b/>
                        <w:sz w:val="14"/>
                      </w:rPr>
                    </w:pPr>
                    <w:r>
                      <w:rPr>
                        <w:b/>
                        <w:color w:val="FFFFFF"/>
                        <w:w w:val="135"/>
                        <w:sz w:val="14"/>
                      </w:rPr>
                      <w:t>Azteca:</w:t>
                    </w:r>
                  </w:p>
                </w:txbxContent>
              </v:textbox>
              <w10:wrap type="none"/>
            </v:shape>
            <v:shape style="position:absolute;left:4433;top:1236;width:767;height:147" type="#_x0000_t202" filled="false" stroked="false">
              <v:textbox inset="0,0,0,0">
                <w:txbxContent>
                  <w:p>
                    <w:pPr>
                      <w:spacing w:line="147" w:lineRule="exact" w:before="0"/>
                      <w:ind w:left="0" w:right="-16" w:firstLine="0"/>
                      <w:jc w:val="left"/>
                      <w:rPr>
                        <w:b/>
                        <w:sz w:val="14"/>
                      </w:rPr>
                    </w:pPr>
                    <w:r>
                      <w:rPr>
                        <w:b/>
                        <w:color w:val="FFFFFF"/>
                        <w:w w:val="140"/>
                        <w:sz w:val="14"/>
                      </w:rPr>
                      <w:t>España:</w:t>
                    </w:r>
                  </w:p>
                </w:txbxContent>
              </v:textbox>
              <w10:wrap type="none"/>
            </v:shape>
            <v:shape style="position:absolute;left:6748;top:1236;width:769;height:147" type="#_x0000_t202" filled="false" stroked="false">
              <v:textbox inset="0,0,0,0">
                <w:txbxContent>
                  <w:p>
                    <w:pPr>
                      <w:spacing w:line="147" w:lineRule="exact" w:before="0"/>
                      <w:ind w:left="0" w:right="-14" w:firstLine="0"/>
                      <w:jc w:val="left"/>
                      <w:rPr>
                        <w:b/>
                        <w:sz w:val="14"/>
                      </w:rPr>
                    </w:pPr>
                    <w:r>
                      <w:rPr>
                        <w:b/>
                        <w:color w:val="FFFFFF"/>
                        <w:w w:val="140"/>
                        <w:sz w:val="14"/>
                      </w:rPr>
                      <w:t>España:</w:t>
                    </w:r>
                  </w:p>
                </w:txbxContent>
              </v:textbox>
              <w10:wrap type="none"/>
            </v:shape>
            <v:shape style="position:absolute;left:2085;top:1638;width:1148;height:1191" type="#_x0000_t202" filled="false" stroked="false">
              <v:textbox inset="0,0,0,0">
                <w:txbxContent>
                  <w:p>
                    <w:pPr>
                      <w:spacing w:line="149" w:lineRule="exact" w:before="0"/>
                      <w:ind w:left="11" w:right="17" w:firstLine="0"/>
                      <w:jc w:val="center"/>
                      <w:rPr>
                        <w:b/>
                        <w:sz w:val="14"/>
                      </w:rPr>
                    </w:pPr>
                    <w:r>
                      <w:rPr>
                        <w:b/>
                        <w:color w:val="FFFFFF"/>
                        <w:w w:val="140"/>
                        <w:sz w:val="14"/>
                      </w:rPr>
                      <w:t>Registro de</w:t>
                    </w:r>
                  </w:p>
                  <w:p>
                    <w:pPr>
                      <w:spacing w:before="17"/>
                      <w:ind w:left="11" w:right="17" w:firstLine="0"/>
                      <w:jc w:val="center"/>
                      <w:rPr>
                        <w:b/>
                        <w:sz w:val="14"/>
                      </w:rPr>
                    </w:pPr>
                    <w:r>
                      <w:rPr>
                        <w:b/>
                        <w:color w:val="FFFFFF"/>
                        <w:w w:val="140"/>
                        <w:sz w:val="14"/>
                      </w:rPr>
                      <w:t>ingresos</w:t>
                    </w:r>
                  </w:p>
                  <w:p>
                    <w:pPr>
                      <w:spacing w:line="240" w:lineRule="auto" w:before="3"/>
                      <w:rPr>
                        <w:sz w:val="16"/>
                      </w:rPr>
                    </w:pPr>
                  </w:p>
                  <w:p>
                    <w:pPr>
                      <w:spacing w:line="256" w:lineRule="auto" w:before="0"/>
                      <w:ind w:left="-1" w:right="0" w:hanging="9"/>
                      <w:jc w:val="center"/>
                      <w:rPr>
                        <w:b/>
                        <w:sz w:val="14"/>
                      </w:rPr>
                    </w:pPr>
                    <w:r>
                      <w:rPr>
                        <w:b/>
                        <w:color w:val="FFFFFF"/>
                        <w:w w:val="140"/>
                        <w:sz w:val="14"/>
                      </w:rPr>
                      <w:t>Sistema de castigos</w:t>
                    </w:r>
                    <w:r>
                      <w:rPr>
                        <w:b/>
                        <w:color w:val="FFFFFF"/>
                        <w:spacing w:val="-25"/>
                        <w:w w:val="140"/>
                        <w:sz w:val="14"/>
                      </w:rPr>
                      <w:t> </w:t>
                    </w:r>
                    <w:r>
                      <w:rPr>
                        <w:b/>
                        <w:color w:val="FFFFFF"/>
                        <w:w w:val="140"/>
                        <w:sz w:val="14"/>
                      </w:rPr>
                      <w:t>por violación</w:t>
                    </w:r>
                    <w:r>
                      <w:rPr>
                        <w:b/>
                        <w:color w:val="FFFFFF"/>
                        <w:spacing w:val="-25"/>
                        <w:w w:val="140"/>
                        <w:sz w:val="14"/>
                      </w:rPr>
                      <w:t> </w:t>
                    </w:r>
                    <w:r>
                      <w:rPr>
                        <w:b/>
                        <w:color w:val="FFFFFF"/>
                        <w:w w:val="140"/>
                        <w:sz w:val="14"/>
                      </w:rPr>
                      <w:t>de la</w:t>
                    </w:r>
                    <w:r>
                      <w:rPr>
                        <w:b/>
                        <w:color w:val="FFFFFF"/>
                        <w:spacing w:val="-17"/>
                        <w:w w:val="140"/>
                        <w:sz w:val="14"/>
                      </w:rPr>
                      <w:t> </w:t>
                    </w:r>
                    <w:r>
                      <w:rPr>
                        <w:b/>
                        <w:color w:val="FFFFFF"/>
                        <w:spacing w:val="-4"/>
                        <w:w w:val="140"/>
                        <w:sz w:val="14"/>
                      </w:rPr>
                      <w:t>ley.</w:t>
                    </w:r>
                  </w:p>
                </w:txbxContent>
              </v:textbox>
              <w10:wrap type="none"/>
            </v:shape>
            <v:shape style="position:absolute;left:4250;top:1585;width:1143;height:1013" type="#_x0000_t202" filled="false" stroked="false">
              <v:textbox inset="0,0,0,0">
                <w:txbxContent>
                  <w:p>
                    <w:pPr>
                      <w:spacing w:line="149" w:lineRule="exact" w:before="0"/>
                      <w:ind w:left="109" w:right="110" w:firstLine="0"/>
                      <w:jc w:val="center"/>
                      <w:rPr>
                        <w:b/>
                        <w:sz w:val="14"/>
                      </w:rPr>
                    </w:pPr>
                    <w:r>
                      <w:rPr>
                        <w:b/>
                        <w:color w:val="FFFFFF"/>
                        <w:w w:val="140"/>
                        <w:sz w:val="14"/>
                      </w:rPr>
                      <w:t>Tradición</w:t>
                    </w:r>
                  </w:p>
                  <w:p>
                    <w:pPr>
                      <w:spacing w:line="259" w:lineRule="auto" w:before="9"/>
                      <w:ind w:left="-1" w:right="0" w:firstLine="0"/>
                      <w:jc w:val="center"/>
                      <w:rPr>
                        <w:b/>
                        <w:sz w:val="14"/>
                      </w:rPr>
                    </w:pPr>
                    <w:r>
                      <w:rPr>
                        <w:b/>
                        <w:color w:val="FFFFFF"/>
                        <w:spacing w:val="-1"/>
                        <w:w w:val="135"/>
                        <w:sz w:val="14"/>
                      </w:rPr>
                      <w:t>institucional </w:t>
                    </w:r>
                    <w:r>
                      <w:rPr>
                        <w:b/>
                        <w:color w:val="FFFFFF"/>
                        <w:w w:val="135"/>
                        <w:sz w:val="14"/>
                      </w:rPr>
                      <w:t>musulmana, </w:t>
                    </w:r>
                    <w:r>
                      <w:rPr>
                        <w:b/>
                        <w:color w:val="FFFFFF"/>
                        <w:w w:val="140"/>
                        <w:sz w:val="14"/>
                      </w:rPr>
                      <w:t>hebrea y romano- germánica.</w:t>
                    </w:r>
                  </w:p>
                </w:txbxContent>
              </v:textbox>
              <w10:wrap type="none"/>
            </v:shape>
            <v:shape style="position:absolute;left:6472;top:1585;width:1333;height:1184" type="#_x0000_t202" filled="false" stroked="false">
              <v:textbox inset="0,0,0,0">
                <w:txbxContent>
                  <w:p>
                    <w:pPr>
                      <w:spacing w:line="149" w:lineRule="exact" w:before="0"/>
                      <w:ind w:left="38" w:right="45" w:firstLine="0"/>
                      <w:jc w:val="center"/>
                      <w:rPr>
                        <w:b/>
                        <w:sz w:val="14"/>
                      </w:rPr>
                    </w:pPr>
                    <w:r>
                      <w:rPr>
                        <w:b/>
                        <w:color w:val="FFFFFF"/>
                        <w:w w:val="140"/>
                        <w:sz w:val="14"/>
                      </w:rPr>
                      <w:t>Implantación</w:t>
                    </w:r>
                  </w:p>
                  <w:p>
                    <w:pPr>
                      <w:spacing w:line="259" w:lineRule="auto" w:before="9"/>
                      <w:ind w:left="0" w:right="0" w:hanging="21"/>
                      <w:jc w:val="center"/>
                      <w:rPr>
                        <w:b/>
                        <w:sz w:val="14"/>
                      </w:rPr>
                    </w:pPr>
                    <w:r>
                      <w:rPr>
                        <w:b/>
                        <w:color w:val="FFFFFF"/>
                        <w:w w:val="140"/>
                        <w:sz w:val="14"/>
                      </w:rPr>
                      <w:t>de la política hacendaria y la creación</w:t>
                    </w:r>
                    <w:r>
                      <w:rPr>
                        <w:b/>
                        <w:color w:val="FFFFFF"/>
                        <w:spacing w:val="-31"/>
                        <w:w w:val="140"/>
                        <w:sz w:val="14"/>
                      </w:rPr>
                      <w:t> </w:t>
                    </w:r>
                    <w:r>
                      <w:rPr>
                        <w:b/>
                        <w:color w:val="FFFFFF"/>
                        <w:w w:val="140"/>
                        <w:sz w:val="14"/>
                      </w:rPr>
                      <w:t>de tribunales de cuentas en la Nueva</w:t>
                    </w:r>
                    <w:r>
                      <w:rPr>
                        <w:b/>
                        <w:color w:val="FFFFFF"/>
                        <w:spacing w:val="-25"/>
                        <w:w w:val="140"/>
                        <w:sz w:val="14"/>
                      </w:rPr>
                      <w:t> </w:t>
                    </w:r>
                    <w:r>
                      <w:rPr>
                        <w:b/>
                        <w:color w:val="FFFFFF"/>
                        <w:spacing w:val="2"/>
                        <w:w w:val="140"/>
                        <w:sz w:val="14"/>
                      </w:rPr>
                      <w:t>España</w:t>
                    </w:r>
                  </w:p>
                </w:txbxContent>
              </v:textbox>
              <w10:wrap type="none"/>
            </v:shape>
            <v:shape style="position:absolute;left:8775;top:1882;width:1037;height:488" type="#_x0000_t202" filled="false" stroked="false">
              <v:textbox inset="0,0,0,0">
                <w:txbxContent>
                  <w:p>
                    <w:pPr>
                      <w:spacing w:line="149" w:lineRule="exact" w:before="0"/>
                      <w:ind w:left="0" w:right="-4" w:firstLine="0"/>
                      <w:jc w:val="left"/>
                      <w:rPr>
                        <w:b/>
                        <w:sz w:val="14"/>
                      </w:rPr>
                    </w:pPr>
                    <w:r>
                      <w:rPr>
                        <w:b/>
                        <w:color w:val="FFFFFF"/>
                        <w:w w:val="140"/>
                        <w:sz w:val="14"/>
                      </w:rPr>
                      <w:t>Tribunal</w:t>
                    </w:r>
                    <w:r>
                      <w:rPr>
                        <w:b/>
                        <w:color w:val="FFFFFF"/>
                        <w:spacing w:val="-36"/>
                        <w:w w:val="140"/>
                        <w:sz w:val="14"/>
                      </w:rPr>
                      <w:t> </w:t>
                    </w:r>
                    <w:r>
                      <w:rPr>
                        <w:b/>
                        <w:color w:val="FFFFFF"/>
                        <w:w w:val="140"/>
                        <w:sz w:val="14"/>
                      </w:rPr>
                      <w:t>de</w:t>
                    </w:r>
                  </w:p>
                  <w:p>
                    <w:pPr>
                      <w:spacing w:line="254" w:lineRule="auto" w:before="9"/>
                      <w:ind w:left="183" w:right="-13" w:hanging="184"/>
                      <w:jc w:val="left"/>
                      <w:rPr>
                        <w:b/>
                        <w:sz w:val="14"/>
                      </w:rPr>
                    </w:pPr>
                    <w:r>
                      <w:rPr>
                        <w:b/>
                        <w:color w:val="FFFFFF"/>
                        <w:w w:val="140"/>
                        <w:sz w:val="14"/>
                      </w:rPr>
                      <w:t>Cuentas</w:t>
                    </w:r>
                    <w:r>
                      <w:rPr>
                        <w:b/>
                        <w:color w:val="FFFFFF"/>
                        <w:spacing w:val="-26"/>
                        <w:w w:val="140"/>
                        <w:sz w:val="14"/>
                      </w:rPr>
                      <w:t> </w:t>
                    </w:r>
                    <w:r>
                      <w:rPr>
                        <w:b/>
                        <w:color w:val="FFFFFF"/>
                        <w:w w:val="140"/>
                        <w:sz w:val="14"/>
                      </w:rPr>
                      <w:t>de México</w:t>
                    </w:r>
                  </w:p>
                </w:txbxContent>
              </v:textbox>
              <w10:wrap type="none"/>
            </v:shape>
            <v:shape style="position:absolute;left:4130;top:3635;width:1234;height:224" type="#_x0000_t202" filled="true" fillcolor="#ffffff" stroked="true" strokeweight="1.177734pt" strokecolor="#000000">
              <v:textbox inset="0,0,0,0">
                <w:txbxContent>
                  <w:p>
                    <w:pPr>
                      <w:spacing w:before="36"/>
                      <w:ind w:left="195" w:right="115" w:firstLine="0"/>
                      <w:jc w:val="left"/>
                      <w:rPr>
                        <w:b/>
                        <w:sz w:val="12"/>
                      </w:rPr>
                    </w:pPr>
                    <w:r>
                      <w:rPr>
                        <w:b/>
                        <w:w w:val="135"/>
                        <w:sz w:val="12"/>
                      </w:rPr>
                      <w:t>Conquista</w:t>
                    </w:r>
                  </w:p>
                </w:txbxContent>
              </v:textbox>
              <v:fill type="solid"/>
              <w10:wrap type="none"/>
            </v:shape>
            <v:shape style="position:absolute;left:8676;top:3635;width:1387;height:224" type="#_x0000_t202" filled="true" fillcolor="#ffffff" stroked="true" strokeweight="1.173713pt" strokecolor="#000000">
              <v:textbox inset="0,0,0,0">
                <w:txbxContent>
                  <w:p>
                    <w:pPr>
                      <w:spacing w:before="36"/>
                      <w:ind w:left="109" w:right="0" w:firstLine="0"/>
                      <w:jc w:val="left"/>
                      <w:rPr>
                        <w:b/>
                        <w:sz w:val="12"/>
                      </w:rPr>
                    </w:pPr>
                    <w:r>
                      <w:rPr>
                        <w:b/>
                        <w:w w:val="135"/>
                        <w:sz w:val="12"/>
                      </w:rPr>
                      <w:t>Independencia</w:t>
                    </w:r>
                  </w:p>
                </w:txbxContent>
              </v:textbox>
              <v:fill type="solid"/>
              <w10:wrap type="none"/>
            </v:shape>
            <w10:wrap type="topAndBottom"/>
          </v:group>
        </w:pict>
      </w:r>
    </w:p>
    <w:p>
      <w:pPr>
        <w:spacing w:before="143"/>
        <w:ind w:left="142" w:right="0" w:firstLine="0"/>
        <w:jc w:val="left"/>
        <w:rPr>
          <w:sz w:val="12"/>
        </w:rPr>
      </w:pPr>
      <w:r>
        <w:rPr>
          <w:sz w:val="12"/>
        </w:rPr>
        <w:t>FUENTE:     Cosío (1981), Contaduría Mayor de Hacienda (2000), Manjarrez </w:t>
      </w:r>
      <w:r>
        <w:rPr>
          <w:b/>
          <w:sz w:val="12"/>
        </w:rPr>
        <w:t>(</w:t>
      </w:r>
      <w:r>
        <w:rPr>
          <w:sz w:val="12"/>
        </w:rPr>
        <w:t>2002) y Solares (2004).</w:t>
      </w:r>
    </w:p>
    <w:p>
      <w:pPr>
        <w:pStyle w:val="BodyText"/>
        <w:rPr>
          <w:sz w:val="12"/>
        </w:rPr>
      </w:pPr>
    </w:p>
    <w:p>
      <w:pPr>
        <w:pStyle w:val="BodyText"/>
        <w:rPr>
          <w:sz w:val="12"/>
        </w:rPr>
      </w:pPr>
    </w:p>
    <w:p>
      <w:pPr>
        <w:pStyle w:val="BodyText"/>
        <w:spacing w:before="1"/>
        <w:rPr>
          <w:sz w:val="14"/>
        </w:rPr>
      </w:pPr>
    </w:p>
    <w:p>
      <w:pPr>
        <w:pStyle w:val="BodyText"/>
        <w:spacing w:line="360" w:lineRule="auto"/>
        <w:ind w:left="142" w:right="124" w:firstLine="427"/>
        <w:jc w:val="both"/>
      </w:pPr>
      <w:r>
        <w:rPr/>
        <w:t>La Constitución de 1824 creó la obligatoriedad del Poder Ejecutivo de rendir cuentas del ejercicio de los recursos que maneja. El Congreso decretó la Ley para el Arreglo de la Hacienda Pública y se ordenó la creación de la CMH</w:t>
      </w:r>
    </w:p>
    <w:p>
      <w:pPr>
        <w:pStyle w:val="BodyText"/>
        <w:spacing w:line="360" w:lineRule="auto" w:before="2"/>
        <w:ind w:left="142" w:right="118" w:firstLine="427"/>
        <w:jc w:val="both"/>
      </w:pPr>
      <w:r>
        <w:rPr/>
        <w:t>La institución fiscalizadora evolucionó respecto de su organización y atribuciones durante ese siglo y tuvo 9 cambios de denominación en: 1838,1841, 1846,1853, 1855, 1856, 1857, 1865 y 1867.</w:t>
      </w:r>
    </w:p>
    <w:p>
      <w:pPr>
        <w:pStyle w:val="BodyText"/>
        <w:spacing w:line="360" w:lineRule="auto" w:before="5"/>
        <w:ind w:left="142" w:right="116" w:firstLine="427"/>
        <w:jc w:val="both"/>
      </w:pPr>
      <w:r>
        <w:rPr/>
        <w:t>Mediante</w:t>
      </w:r>
      <w:r>
        <w:rPr>
          <w:spacing w:val="-13"/>
        </w:rPr>
        <w:t> </w:t>
      </w:r>
      <w:r>
        <w:rPr/>
        <w:t>los</w:t>
      </w:r>
      <w:r>
        <w:rPr>
          <w:spacing w:val="-16"/>
        </w:rPr>
        <w:t> </w:t>
      </w:r>
      <w:r>
        <w:rPr/>
        <w:t>decretos</w:t>
      </w:r>
      <w:r>
        <w:rPr>
          <w:spacing w:val="-16"/>
        </w:rPr>
        <w:t> </w:t>
      </w:r>
      <w:r>
        <w:rPr/>
        <w:t>del</w:t>
      </w:r>
      <w:r>
        <w:rPr>
          <w:spacing w:val="-14"/>
        </w:rPr>
        <w:t> </w:t>
      </w:r>
      <w:r>
        <w:rPr/>
        <w:t>10</w:t>
      </w:r>
      <w:r>
        <w:rPr>
          <w:spacing w:val="-13"/>
        </w:rPr>
        <w:t> </w:t>
      </w:r>
      <w:r>
        <w:rPr/>
        <w:t>de</w:t>
      </w:r>
      <w:r>
        <w:rPr>
          <w:spacing w:val="-15"/>
        </w:rPr>
        <w:t> </w:t>
      </w:r>
      <w:r>
        <w:rPr/>
        <w:t>mayo</w:t>
      </w:r>
      <w:r>
        <w:rPr>
          <w:spacing w:val="-13"/>
        </w:rPr>
        <w:t> </w:t>
      </w:r>
      <w:r>
        <w:rPr/>
        <w:t>de</w:t>
      </w:r>
      <w:r>
        <w:rPr>
          <w:spacing w:val="-16"/>
        </w:rPr>
        <w:t> </w:t>
      </w:r>
      <w:r>
        <w:rPr/>
        <w:t>1862</w:t>
      </w:r>
      <w:r>
        <w:rPr>
          <w:spacing w:val="-13"/>
        </w:rPr>
        <w:t> </w:t>
      </w:r>
      <w:r>
        <w:rPr/>
        <w:t>se</w:t>
      </w:r>
      <w:r>
        <w:rPr>
          <w:spacing w:val="-16"/>
        </w:rPr>
        <w:t> </w:t>
      </w:r>
      <w:r>
        <w:rPr/>
        <w:t>facultó</w:t>
      </w:r>
      <w:r>
        <w:rPr>
          <w:spacing w:val="-13"/>
        </w:rPr>
        <w:t> </w:t>
      </w:r>
      <w:r>
        <w:rPr/>
        <w:t>a</w:t>
      </w:r>
      <w:r>
        <w:rPr>
          <w:spacing w:val="-7"/>
        </w:rPr>
        <w:t> </w:t>
      </w:r>
      <w:r>
        <w:rPr/>
        <w:t>la</w:t>
      </w:r>
      <w:r>
        <w:rPr>
          <w:spacing w:val="-16"/>
        </w:rPr>
        <w:t> </w:t>
      </w:r>
      <w:r>
        <w:rPr/>
        <w:t>CMH</w:t>
      </w:r>
      <w:r>
        <w:rPr>
          <w:spacing w:val="-14"/>
        </w:rPr>
        <w:t> </w:t>
      </w:r>
      <w:r>
        <w:rPr/>
        <w:t>para</w:t>
      </w:r>
      <w:r>
        <w:rPr>
          <w:spacing w:val="-14"/>
        </w:rPr>
        <w:t> </w:t>
      </w:r>
      <w:r>
        <w:rPr/>
        <w:t>requerir a las dependencias la información necesaria para la revisión de la glosa y se estableció un agente especial de negocios anexo a la</w:t>
      </w:r>
      <w:r>
        <w:rPr>
          <w:spacing w:val="-23"/>
        </w:rPr>
        <w:t> </w:t>
      </w:r>
      <w:r>
        <w:rPr/>
        <w:t>CMH.</w:t>
      </w:r>
    </w:p>
    <w:p>
      <w:pPr>
        <w:spacing w:after="0" w:line="360" w:lineRule="auto"/>
        <w:jc w:val="both"/>
        <w:sectPr>
          <w:pgSz w:w="12240" w:h="15840"/>
          <w:pgMar w:header="0" w:footer="1003" w:top="1500" w:bottom="1200" w:left="1560" w:right="1580"/>
        </w:sectPr>
      </w:pPr>
    </w:p>
    <w:p>
      <w:pPr>
        <w:pStyle w:val="BodyText"/>
        <w:spacing w:line="360" w:lineRule="auto" w:before="54"/>
        <w:ind w:left="102" w:right="198" w:firstLine="427"/>
        <w:jc w:val="both"/>
      </w:pPr>
      <w:r>
        <w:rPr/>
        <w:t>A</w:t>
      </w:r>
      <w:r>
        <w:rPr>
          <w:spacing w:val="-6"/>
        </w:rPr>
        <w:t> </w:t>
      </w:r>
      <w:r>
        <w:rPr/>
        <w:t>partir</w:t>
      </w:r>
      <w:r>
        <w:rPr>
          <w:spacing w:val="-7"/>
        </w:rPr>
        <w:t> </w:t>
      </w:r>
      <w:r>
        <w:rPr/>
        <w:t>de</w:t>
      </w:r>
      <w:r>
        <w:rPr>
          <w:spacing w:val="-8"/>
        </w:rPr>
        <w:t> </w:t>
      </w:r>
      <w:r>
        <w:rPr/>
        <w:t>las</w:t>
      </w:r>
      <w:r>
        <w:rPr>
          <w:spacing w:val="-6"/>
        </w:rPr>
        <w:t> </w:t>
      </w:r>
      <w:r>
        <w:rPr/>
        <w:t>reformas</w:t>
      </w:r>
      <w:r>
        <w:rPr>
          <w:spacing w:val="-7"/>
        </w:rPr>
        <w:t> </w:t>
      </w:r>
      <w:r>
        <w:rPr/>
        <w:t>hechas</w:t>
      </w:r>
      <w:r>
        <w:rPr>
          <w:spacing w:val="-7"/>
        </w:rPr>
        <w:t> </w:t>
      </w:r>
      <w:r>
        <w:rPr/>
        <w:t>al</w:t>
      </w:r>
      <w:r>
        <w:rPr>
          <w:spacing w:val="-7"/>
        </w:rPr>
        <w:t> </w:t>
      </w:r>
      <w:r>
        <w:rPr/>
        <w:t>artículo</w:t>
      </w:r>
      <w:r>
        <w:rPr>
          <w:spacing w:val="-9"/>
        </w:rPr>
        <w:t> </w:t>
      </w:r>
      <w:r>
        <w:rPr/>
        <w:t>72</w:t>
      </w:r>
      <w:r>
        <w:rPr>
          <w:spacing w:val="-8"/>
        </w:rPr>
        <w:t> </w:t>
      </w:r>
      <w:r>
        <w:rPr/>
        <w:t>constitucional,</w:t>
      </w:r>
      <w:r>
        <w:rPr>
          <w:spacing w:val="-9"/>
        </w:rPr>
        <w:t> </w:t>
      </w:r>
      <w:r>
        <w:rPr/>
        <w:t>el</w:t>
      </w:r>
      <w:r>
        <w:rPr>
          <w:spacing w:val="-7"/>
        </w:rPr>
        <w:t> </w:t>
      </w:r>
      <w:r>
        <w:rPr/>
        <w:t>13</w:t>
      </w:r>
      <w:r>
        <w:rPr>
          <w:spacing w:val="-8"/>
        </w:rPr>
        <w:t> </w:t>
      </w:r>
      <w:r>
        <w:rPr/>
        <w:t>de</w:t>
      </w:r>
      <w:r>
        <w:rPr>
          <w:spacing w:val="-8"/>
        </w:rPr>
        <w:t> </w:t>
      </w:r>
      <w:r>
        <w:rPr/>
        <w:t>noviembre de 1874, se restituyeron a la Cámara de Diputados </w:t>
      </w:r>
      <w:r>
        <w:rPr>
          <w:color w:val="252525"/>
        </w:rPr>
        <w:t>las </w:t>
      </w:r>
      <w:r>
        <w:rPr/>
        <w:t>facultades exclusivas, entre otras, de vigilar el desempeño de las funciones de la CMH, por medio de una comisión inspectora en su seno, y nombrar a su</w:t>
      </w:r>
      <w:r>
        <w:rPr>
          <w:spacing w:val="-18"/>
        </w:rPr>
        <w:t> </w:t>
      </w:r>
      <w:r>
        <w:rPr/>
        <w:t>personal.</w:t>
      </w:r>
    </w:p>
    <w:p>
      <w:pPr>
        <w:pStyle w:val="BodyText"/>
        <w:spacing w:line="360" w:lineRule="auto" w:before="2"/>
        <w:ind w:left="102" w:right="195" w:firstLine="427"/>
        <w:jc w:val="both"/>
      </w:pPr>
      <w:r>
        <w:rPr/>
        <w:t>El 29 de mayo de 1896 se expidió un decreto que constituía la primera Ley Orgánica de la Contaduría Mayor de Hacienda (LOCMH) y otra en 1904. Desde la primera se instituyó el puesto de Oficial Mayor, que subsistiría hasta 1978.</w:t>
      </w:r>
    </w:p>
    <w:p>
      <w:pPr>
        <w:pStyle w:val="BodyText"/>
        <w:spacing w:line="360" w:lineRule="auto" w:before="5"/>
        <w:ind w:left="102" w:right="196" w:firstLine="427"/>
        <w:jc w:val="both"/>
      </w:pPr>
      <w:r>
        <w:rPr/>
        <w:t>En ejercicio de la facultad que le confería el artículo 18 de la ley del 6 de junio de 1904, la Comisión Inspectora de la Cámara de Diputados expidió el 29 de abril de 1906 el Régimen Interior de la CMH, ordenamiento que precisaba lo dispuesto en la ley y el reglamento de 1904.</w:t>
      </w:r>
    </w:p>
    <w:p>
      <w:pPr>
        <w:pStyle w:val="BodyText"/>
        <w:spacing w:line="360" w:lineRule="auto" w:before="5"/>
        <w:ind w:left="102" w:right="102" w:firstLine="427"/>
        <w:jc w:val="both"/>
      </w:pPr>
      <w:r>
        <w:rPr/>
        <w:t>Los cambios más relevantes realizados por el H. Congreso de la Unión a la institución de control externo en los siglos XIX y XX se presentan en el esquema y cuadro siguiente:</w:t>
      </w:r>
    </w:p>
    <w:p>
      <w:pPr>
        <w:spacing w:after="0" w:line="360" w:lineRule="auto"/>
        <w:jc w:val="both"/>
        <w:sectPr>
          <w:pgSz w:w="12240" w:h="15840"/>
          <w:pgMar w:header="0" w:footer="1003" w:top="1360" w:bottom="1200" w:left="1600" w:right="1500"/>
        </w:sectPr>
      </w:pPr>
    </w:p>
    <w:p>
      <w:pPr>
        <w:spacing w:before="55"/>
        <w:ind w:left="1250" w:right="226" w:firstLine="0"/>
        <w:jc w:val="left"/>
        <w:rPr>
          <w:sz w:val="20"/>
        </w:rPr>
      </w:pPr>
      <w:bookmarkStart w:name="_bookmark50" w:id="67"/>
      <w:bookmarkEnd w:id="67"/>
      <w:r>
        <w:rPr/>
      </w:r>
      <w:r>
        <w:rPr>
          <w:sz w:val="20"/>
        </w:rPr>
        <w:t>Esquema 2. 5. Origen y evolución del control externo del Estado mexicano</w:t>
      </w:r>
    </w:p>
    <w:p>
      <w:pPr>
        <w:pStyle w:val="BodyText"/>
        <w:spacing w:before="11"/>
        <w:rPr>
          <w:sz w:val="13"/>
        </w:rPr>
      </w:pPr>
      <w:r>
        <w:rPr/>
        <w:pict>
          <v:group style="position:absolute;margin-left:83.160004pt;margin-top:9.980844pt;width:446.3pt;height:268.45pt;mso-position-horizontal-relative:page;mso-position-vertical-relative:paragraph;z-index:7792;mso-wrap-distance-left:0;mso-wrap-distance-right:0" coordorigin="1663,200" coordsize="8926,5369">
            <v:shape style="position:absolute;left:1663;top:200;width:8926;height:5369" type="#_x0000_t75" stroked="false">
              <v:imagedata r:id="rId135" o:title=""/>
            </v:shape>
            <v:rect style="position:absolute;left:1790;top:231;width:8758;height:5256" filled="true" fillcolor="#edebe0" stroked="false">
              <v:fill type="solid"/>
            </v:rect>
            <v:shape style="position:absolute;left:2579;top:4246;width:560;height:274" coordorigin="2579,4246" coordsize="560,274" path="m2998,4511l2718,4511,2718,4519,2998,4519,2998,4511xm2998,4485l2718,4485,2718,4502,2998,4502,2998,4485xm2998,4383l2718,4383,2718,4477,2998,4477,2998,4383xm2858,4246l2579,4383,3138,4383,2858,4246xe" filled="true" fillcolor="#4f81bc" stroked="false">
              <v:path arrowok="t"/>
              <v:fill type="solid"/>
            </v:shape>
            <v:shape style="position:absolute;left:2521;top:4231;width:675;height:302" coordorigin="2521,4231" coordsize="675,302" path="m2704,4383l2704,4533,3012,4533,3012,4524,2718,4524,2728,4515,2718,4506,3012,4506,3012,4502,2732,4502,2728,4498,2718,4498,2723,4494,2718,4489,2728,4489,2732,4485,3012,4485,3012,4477,2732,4477,2718,4463,2732,4463,2732,4396,2718,4396,2704,4383xm2728,4515l2718,4524,2998,4524,2993,4519,2732,4519,2728,4515xm3012,4506l2998,4506,2989,4515,2998,4524,3012,4524,3012,4506xm2732,4511l2728,4515,2732,4519,2732,4511xm2984,4511l2732,4511,2732,4519,2984,4519,2984,4511xm2984,4511l2984,4519,2989,4515,2984,4511xm2989,4515l2984,4519,2993,4519,2989,4515xm2998,4506l2718,4506,2728,4515,2732,4511,2993,4511,2998,4506xm2993,4511l2984,4511,2989,4515,2993,4511xm2732,4485l2723,4494,2732,4502,2732,4485xm2984,4485l2732,4485,2732,4502,2984,4502,2984,4485xm2984,4485l2984,4502,2993,4494,2984,4485xm2993,4494l2984,4502,3012,4502,3012,4498,2998,4498,2993,4494xm2723,4494l2718,4498,2728,4498,2723,4494xm3012,4489l2998,4489,2993,4494,2998,4498,3012,4498,3012,4489xm2728,4489l2718,4489,2723,4494,2728,4489xm3012,4485l2984,4485,2993,4494,2998,4489,3012,4489,3012,4485xm2732,4463l2718,4463,2732,4477,2732,4463xm2984,4463l2732,4463,2732,4477,2984,4477,2984,4463xm3081,4369l2984,4369,2984,4477,2998,4463,3012,4463,3012,4396,2998,4396,3012,4383,3108,4383,3081,4369xm3012,4463l2998,4463,2984,4477,3012,4477,3012,4463xm2858,4231l2521,4396,2704,4396,2704,4394,2585,4394,2579,4369,2636,4369,2858,4260,2852,4257,2913,4257,2858,4231xm2732,4383l2704,4383,2718,4396,2732,4396,2732,4383xm3012,4383l2998,4396,3012,4396,3012,4383xm3108,4383l3012,4383,3012,4396,3196,4396,3193,4394,3132,4394,3108,4383xm2636,4369l2579,4369,2585,4394,2636,4369xm2732,4369l2636,4369,2585,4394,2704,4394,2704,4383,2732,4383,2732,4369xm2913,4257l2865,4257,2858,4260,3132,4394,3138,4369,3141,4369,2913,4257xm3141,4369l3138,4369,3132,4394,3193,4394,3141,4369xm2865,4257l2852,4257,2858,4260,2865,4257xe" filled="true" fillcolor="#385d89" stroked="false">
              <v:path arrowok="t"/>
              <v:fill type="solid"/>
            </v:shape>
            <v:line style="position:absolute" from="2005,4444" to="10466,4444" stroked="true" strokeweight="1.766673pt" strokecolor="#000000"/>
            <v:line style="position:absolute" from="2359,5178" to="2782,5178" stroked="true" strokeweight="1.766673pt" strokecolor="#000000"/>
            <v:line style="position:absolute" from="2788,4842" to="3776,4842" stroked="true" strokeweight="1.766673pt" strokecolor="#000000"/>
            <v:line style="position:absolute" from="2788,5176" to="2788,4842" stroked="true" strokeweight="1.865379pt" strokecolor="#000000"/>
            <v:line style="position:absolute" from="2368,5460" to="2359,5178" stroked="true" strokeweight="1.865296pt" strokecolor="#000000"/>
            <v:line style="position:absolute" from="2154,5451" to="2366,5461" stroked="true" strokeweight="1.766857pt" strokecolor="#000000">
              <v:stroke dashstyle="longDash"/>
            </v:line>
            <v:line style="position:absolute" from="3768,4844" to="3768,4577" stroked="true" strokeweight="1.865379pt" strokecolor="#000000"/>
            <v:line style="position:absolute" from="3768,4585" to="4755,4577" stroked="true" strokeweight="1.766679pt" strokecolor="#000000">
              <v:stroke dashstyle="longDash"/>
            </v:line>
            <v:line style="position:absolute" from="2084,4051" to="10263,4051" stroked="true" strokeweight="1.325005pt" strokecolor="#497dba">
              <v:stroke dashstyle="dash"/>
            </v:line>
            <v:line style="position:absolute" from="3002,3994" to="2994,3711" stroked="true" strokeweight="1.865296pt" strokecolor="#000000"/>
            <v:line style="position:absolute" from="9056,1437" to="9056,770" stroked="true" strokeweight="1.865379pt" strokecolor="#000000"/>
            <v:line style="position:absolute" from="7153,2513" to="7153,2112" stroked="true" strokeweight="1.865379pt" strokecolor="#000000"/>
            <v:line style="position:absolute" from="8505,1790" to="8496,1441" stroked="true" strokeweight="1.865325pt" strokecolor="#000000"/>
            <v:line style="position:absolute" from="3571,3729" to="3563,3446" stroked="true" strokeweight="1.865296pt" strokecolor="#000000"/>
            <v:line style="position:absolute" from="4270,3455" to="4262,3172" stroked="true" strokeweight="1.865296pt" strokecolor="#000000"/>
            <v:line style="position:absolute" from="3757,4842" to="3749,4559" stroked="true" strokeweight="1.865296pt" strokecolor="#000000"/>
            <v:line style="position:absolute" from="7936,2059" to="7927,1777" stroked="true" strokeweight="1.865296pt" strokecolor="#000000"/>
            <v:line style="position:absolute" from="6462,2659" to="6454,2510" stroked="true" strokeweight="1.865081pt" strokecolor="#000000"/>
            <v:line style="position:absolute" from="5828,2925" to="5820,2642" stroked="true" strokeweight="1.865296pt" strokecolor="#000000"/>
            <v:line style="position:absolute" from="5044,3190" to="5036,2907" stroked="true" strokeweight="1.865296pt" strokecolor="#000000"/>
            <v:line style="position:absolute" from="3563,3454" to="4268,3446" stroked="true" strokeweight="1.766685pt" strokecolor="#000000"/>
            <v:line style="position:absolute" from="4262,3180" to="5038,3172" stroked="true" strokeweight="1.766683pt" strokecolor="#000000"/>
            <v:line style="position:absolute" from="5036,2915" to="5812,2907" stroked="true" strokeweight="1.766683pt" strokecolor="#000000"/>
            <v:line style="position:absolute" from="5820,2650" to="6454,2642" stroked="true" strokeweight="1.766688pt" strokecolor="#000000"/>
            <v:line style="position:absolute" from="6454,2518" to="7159,2510" stroked="true" strokeweight="1.766685pt" strokecolor="#000000"/>
            <v:line style="position:absolute" from="7153,2112" to="7929,2112" stroked="true" strokeweight="1.766673pt" strokecolor="#000000"/>
            <v:line style="position:absolute" from="7927,1777" to="8492,1777" stroked="true" strokeweight="1.766673pt" strokecolor="#000000"/>
            <v:line style="position:absolute" from="2994,3711" to="3558,3711" stroked="true" strokeweight="1.766673pt" strokecolor="#000000"/>
            <v:line style="position:absolute" from="8496,1441" to="9061,1441" stroked="true" strokeweight="1.766673pt" strokecolor="#000000"/>
            <v:line style="position:absolute" from="2080,3976" to="2996,3976" stroked="true" strokeweight="1.766673pt" strokecolor="#000000">
              <v:stroke dashstyle="longDash"/>
            </v:line>
            <v:line style="position:absolute" from="9131,770" to="9730,770" stroked="true" strokeweight="1.766673pt" strokecolor="#000000">
              <v:stroke dashstyle="longDash"/>
            </v:line>
            <v:line style="position:absolute" from="2159,3786" to="10338,3786" stroked="true" strokeweight="1.325005pt" strokecolor="#497dba">
              <v:stroke dashstyle="dash"/>
            </v:line>
            <v:line style="position:absolute" from="2084,3512" to="10263,3512" stroked="true" strokeweight="1.325005pt" strokecolor="#497dba">
              <v:stroke dashstyle="dash"/>
            </v:line>
            <v:line style="position:absolute" from="2364,1313" to="10543,1313" stroked="true" strokeweight="1.325005pt" strokecolor="#497dba">
              <v:stroke dashstyle="dash"/>
            </v:line>
            <v:shape style="position:absolute;left:9326;top:303;width:817;height:399" type="#_x0000_t202" filled="false" stroked="false">
              <v:textbox inset="0,0,0,0">
                <w:txbxContent>
                  <w:p>
                    <w:pPr>
                      <w:spacing w:line="116" w:lineRule="exact" w:before="0"/>
                      <w:ind w:left="122" w:right="123" w:firstLine="0"/>
                      <w:jc w:val="center"/>
                      <w:rPr>
                        <w:b/>
                        <w:sz w:val="11"/>
                      </w:rPr>
                    </w:pPr>
                    <w:r>
                      <w:rPr>
                        <w:b/>
                        <w:w w:val="110"/>
                        <w:sz w:val="11"/>
                      </w:rPr>
                      <w:t>Auditoría</w:t>
                    </w:r>
                  </w:p>
                  <w:p>
                    <w:pPr>
                      <w:spacing w:line="268" w:lineRule="auto" w:before="15"/>
                      <w:ind w:left="-1" w:right="0" w:firstLine="0"/>
                      <w:jc w:val="center"/>
                      <w:rPr>
                        <w:b/>
                        <w:sz w:val="11"/>
                      </w:rPr>
                    </w:pPr>
                    <w:r>
                      <w:rPr>
                        <w:b/>
                        <w:w w:val="110"/>
                        <w:sz w:val="11"/>
                      </w:rPr>
                      <w:t>Superior de la Federación</w:t>
                    </w:r>
                  </w:p>
                </w:txbxContent>
              </v:textbox>
              <w10:wrap type="none"/>
            </v:shape>
            <v:shape style="position:absolute;left:3672;top:714;width:753;height:213" type="#_x0000_t202" filled="false" stroked="false">
              <v:textbox inset="0,0,0,0">
                <w:txbxContent>
                  <w:p>
                    <w:pPr>
                      <w:spacing w:line="212" w:lineRule="exact" w:before="0"/>
                      <w:ind w:left="0" w:right="-15" w:firstLine="0"/>
                      <w:jc w:val="left"/>
                      <w:rPr>
                        <w:b/>
                        <w:sz w:val="21"/>
                      </w:rPr>
                    </w:pPr>
                    <w:r>
                      <w:rPr>
                        <w:b/>
                        <w:w w:val="105"/>
                        <w:sz w:val="21"/>
                      </w:rPr>
                      <w:t>México</w:t>
                    </w:r>
                  </w:p>
                </w:txbxContent>
              </v:textbox>
              <w10:wrap type="none"/>
            </v:shape>
            <v:shape style="position:absolute;left:8079;top:838;width:637;height:398"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line="268" w:lineRule="auto" w:before="15"/>
                      <w:ind w:left="46" w:right="-11" w:firstLine="0"/>
                      <w:jc w:val="left"/>
                      <w:rPr>
                        <w:b/>
                        <w:sz w:val="11"/>
                      </w:rPr>
                    </w:pPr>
                    <w:r>
                      <w:rPr>
                        <w:b/>
                        <w:w w:val="110"/>
                        <w:sz w:val="11"/>
                      </w:rPr>
                      <w:t>Mayor de Hacienda</w:t>
                    </w:r>
                  </w:p>
                </w:txbxContent>
              </v:textbox>
              <w10:wrap type="none"/>
            </v:shape>
            <v:shape style="position:absolute;left:9284;top:839;width:925;height:413" type="#_x0000_t202" filled="false" stroked="false">
              <v:textbox inset="0,0,0,0">
                <w:txbxContent>
                  <w:p>
                    <w:pPr>
                      <w:spacing w:line="172" w:lineRule="exact" w:before="0"/>
                      <w:ind w:left="0" w:right="-6" w:firstLine="0"/>
                      <w:jc w:val="left"/>
                      <w:rPr>
                        <w:b/>
                        <w:sz w:val="17"/>
                      </w:rPr>
                    </w:pPr>
                    <w:r>
                      <w:rPr>
                        <w:b/>
                        <w:w w:val="105"/>
                        <w:sz w:val="17"/>
                      </w:rPr>
                      <w:t>2000</w:t>
                    </w:r>
                  </w:p>
                  <w:p>
                    <w:pPr>
                      <w:spacing w:line="158" w:lineRule="exact" w:before="82"/>
                      <w:ind w:left="116" w:right="-4" w:firstLine="0"/>
                      <w:jc w:val="left"/>
                      <w:rPr>
                        <w:b/>
                        <w:sz w:val="14"/>
                      </w:rPr>
                    </w:pPr>
                    <w:r>
                      <w:rPr>
                        <w:b/>
                        <w:color w:val="7E7E7E"/>
                        <w:w w:val="105"/>
                        <w:sz w:val="14"/>
                      </w:rPr>
                      <w:t>Revolución</w:t>
                    </w:r>
                  </w:p>
                </w:txbxContent>
              </v:textbox>
              <w10:wrap type="none"/>
            </v:shape>
            <v:shape style="position:absolute;left:6879;top:1640;width:637;height:398"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before="15"/>
                      <w:ind w:left="46" w:right="-11" w:firstLine="0"/>
                      <w:jc w:val="left"/>
                      <w:rPr>
                        <w:b/>
                        <w:sz w:val="11"/>
                      </w:rPr>
                    </w:pPr>
                    <w:r>
                      <w:rPr>
                        <w:b/>
                        <w:w w:val="110"/>
                        <w:sz w:val="11"/>
                      </w:rPr>
                      <w:t>Mayor de</w:t>
                    </w:r>
                  </w:p>
                  <w:p>
                    <w:pPr>
                      <w:spacing w:line="125" w:lineRule="exact" w:before="15"/>
                      <w:ind w:left="46" w:right="-11" w:firstLine="0"/>
                      <w:jc w:val="left"/>
                      <w:rPr>
                        <w:b/>
                        <w:sz w:val="11"/>
                      </w:rPr>
                    </w:pPr>
                    <w:r>
                      <w:rPr>
                        <w:b/>
                        <w:w w:val="110"/>
                        <w:sz w:val="11"/>
                      </w:rPr>
                      <w:t>Hacienda</w:t>
                    </w:r>
                  </w:p>
                </w:txbxContent>
              </v:textbox>
              <w10:wrap type="none"/>
            </v:shape>
            <v:shape style="position:absolute;left:7716;top:1440;width:657;height:257" type="#_x0000_t202" filled="false" stroked="false">
              <v:textbox inset="0,0,0,0">
                <w:txbxContent>
                  <w:p>
                    <w:pPr>
                      <w:spacing w:line="116" w:lineRule="exact" w:before="0"/>
                      <w:ind w:left="93" w:right="-15" w:hanging="94"/>
                      <w:jc w:val="left"/>
                      <w:rPr>
                        <w:b/>
                        <w:sz w:val="11"/>
                      </w:rPr>
                    </w:pPr>
                    <w:r>
                      <w:rPr>
                        <w:b/>
                        <w:w w:val="110"/>
                        <w:sz w:val="11"/>
                      </w:rPr>
                      <w:t>Tribunal de</w:t>
                    </w:r>
                  </w:p>
                  <w:p>
                    <w:pPr>
                      <w:spacing w:line="125" w:lineRule="exact" w:before="15"/>
                      <w:ind w:left="93" w:right="-15" w:firstLine="0"/>
                      <w:jc w:val="left"/>
                      <w:rPr>
                        <w:b/>
                        <w:sz w:val="11"/>
                      </w:rPr>
                    </w:pPr>
                    <w:r>
                      <w:rPr>
                        <w:b/>
                        <w:w w:val="110"/>
                        <w:sz w:val="11"/>
                      </w:rPr>
                      <w:t>Cuentas</w:t>
                    </w:r>
                  </w:p>
                </w:txbxContent>
              </v:textbox>
              <w10:wrap type="none"/>
            </v:shape>
            <v:shape style="position:absolute;left:8686;top:1909;width:412;height:169" type="#_x0000_t202" filled="false" stroked="false">
              <v:textbox inset="0,0,0,0">
                <w:txbxContent>
                  <w:p>
                    <w:pPr>
                      <w:spacing w:line="168" w:lineRule="exact" w:before="0"/>
                      <w:ind w:left="0" w:right="0" w:firstLine="0"/>
                      <w:jc w:val="left"/>
                      <w:rPr>
                        <w:b/>
                        <w:sz w:val="17"/>
                      </w:rPr>
                    </w:pPr>
                    <w:r>
                      <w:rPr>
                        <w:b/>
                        <w:sz w:val="17"/>
                      </w:rPr>
                      <w:t>1867</w:t>
                    </w:r>
                  </w:p>
                </w:txbxContent>
              </v:textbox>
              <w10:wrap type="none"/>
            </v:shape>
            <v:shape style="position:absolute;left:5467;top:2175;width:637;height:399"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line="268" w:lineRule="auto" w:before="15"/>
                      <w:ind w:left="46" w:right="-11" w:firstLine="0"/>
                      <w:jc w:val="left"/>
                      <w:rPr>
                        <w:b/>
                        <w:sz w:val="11"/>
                      </w:rPr>
                    </w:pPr>
                    <w:r>
                      <w:rPr>
                        <w:b/>
                        <w:w w:val="110"/>
                        <w:sz w:val="11"/>
                      </w:rPr>
                      <w:t>Mayor de Hacienda</w:t>
                    </w:r>
                  </w:p>
                </w:txbxContent>
              </v:textbox>
              <w10:wrap type="none"/>
            </v:shape>
            <v:shape style="position:absolute;left:6234;top:2175;width:655;height:257" type="#_x0000_t202" filled="false" stroked="false">
              <v:textbox inset="0,0,0,0">
                <w:txbxContent>
                  <w:p>
                    <w:pPr>
                      <w:spacing w:line="117" w:lineRule="exact" w:before="0"/>
                      <w:ind w:left="93" w:right="-17" w:hanging="94"/>
                      <w:jc w:val="left"/>
                      <w:rPr>
                        <w:b/>
                        <w:sz w:val="11"/>
                      </w:rPr>
                    </w:pPr>
                    <w:r>
                      <w:rPr>
                        <w:b/>
                        <w:w w:val="110"/>
                        <w:sz w:val="11"/>
                      </w:rPr>
                      <w:t>Tribunal de</w:t>
                    </w:r>
                  </w:p>
                  <w:p>
                    <w:pPr>
                      <w:spacing w:line="125" w:lineRule="exact" w:before="15"/>
                      <w:ind w:left="93" w:right="-17" w:firstLine="0"/>
                      <w:jc w:val="left"/>
                      <w:rPr>
                        <w:b/>
                        <w:sz w:val="11"/>
                      </w:rPr>
                    </w:pPr>
                    <w:r>
                      <w:rPr>
                        <w:b/>
                        <w:w w:val="110"/>
                        <w:sz w:val="11"/>
                      </w:rPr>
                      <w:t>Cuentas</w:t>
                    </w:r>
                  </w:p>
                </w:txbxContent>
              </v:textbox>
              <w10:wrap type="none"/>
            </v:shape>
            <v:shape style="position:absolute;left:8121;top:2244;width:411;height:169" type="#_x0000_t202" filled="false" stroked="false">
              <v:textbox inset="0,0,0,0">
                <w:txbxContent>
                  <w:p>
                    <w:pPr>
                      <w:spacing w:line="168" w:lineRule="exact" w:before="0"/>
                      <w:ind w:left="0" w:right="-7" w:firstLine="0"/>
                      <w:jc w:val="left"/>
                      <w:rPr>
                        <w:b/>
                        <w:sz w:val="17"/>
                      </w:rPr>
                    </w:pPr>
                    <w:r>
                      <w:rPr>
                        <w:b/>
                        <w:w w:val="105"/>
                        <w:sz w:val="17"/>
                      </w:rPr>
                      <w:t>1865</w:t>
                    </w:r>
                  </w:p>
                </w:txbxContent>
              </v:textbox>
              <w10:wrap type="none"/>
            </v:shape>
            <v:shape style="position:absolute;left:4752;top:2577;width:655;height:257" type="#_x0000_t202" filled="false" stroked="false">
              <v:textbox inset="0,0,0,0">
                <w:txbxContent>
                  <w:p>
                    <w:pPr>
                      <w:spacing w:line="116" w:lineRule="exact" w:before="0"/>
                      <w:ind w:left="93" w:right="-17" w:hanging="94"/>
                      <w:jc w:val="left"/>
                      <w:rPr>
                        <w:b/>
                        <w:sz w:val="11"/>
                      </w:rPr>
                    </w:pPr>
                    <w:r>
                      <w:rPr>
                        <w:b/>
                        <w:w w:val="110"/>
                        <w:sz w:val="11"/>
                      </w:rPr>
                      <w:t>Tribunal de</w:t>
                    </w:r>
                  </w:p>
                  <w:p>
                    <w:pPr>
                      <w:spacing w:line="125" w:lineRule="exact" w:before="15"/>
                      <w:ind w:left="93" w:right="-17" w:firstLine="0"/>
                      <w:jc w:val="left"/>
                      <w:rPr>
                        <w:b/>
                        <w:sz w:val="11"/>
                      </w:rPr>
                    </w:pPr>
                    <w:r>
                      <w:rPr>
                        <w:b/>
                        <w:w w:val="110"/>
                        <w:sz w:val="11"/>
                      </w:rPr>
                      <w:t>Cuentas</w:t>
                    </w:r>
                  </w:p>
                </w:txbxContent>
              </v:textbox>
              <w10:wrap type="none"/>
            </v:shape>
            <v:shape style="position:absolute;left:7063;top:2645;width:412;height:169" type="#_x0000_t202" filled="false" stroked="false">
              <v:textbox inset="0,0,0,0">
                <w:txbxContent>
                  <w:p>
                    <w:pPr>
                      <w:spacing w:line="168" w:lineRule="exact" w:before="0"/>
                      <w:ind w:left="0" w:right="0" w:firstLine="0"/>
                      <w:jc w:val="left"/>
                      <w:rPr>
                        <w:b/>
                        <w:sz w:val="17"/>
                      </w:rPr>
                    </w:pPr>
                    <w:r>
                      <w:rPr>
                        <w:b/>
                        <w:sz w:val="17"/>
                      </w:rPr>
                      <w:t>1857</w:t>
                    </w:r>
                  </w:p>
                </w:txbxContent>
              </v:textbox>
              <w10:wrap type="none"/>
            </v:shape>
            <v:shape style="position:absolute;left:2409;top:3246;width:826;height:398" type="#_x0000_t202" filled="false" stroked="false">
              <v:textbox inset="0,0,0,0">
                <w:txbxContent>
                  <w:p>
                    <w:pPr>
                      <w:spacing w:line="117" w:lineRule="exact" w:before="0"/>
                      <w:ind w:left="177" w:right="0" w:hanging="94"/>
                      <w:jc w:val="left"/>
                      <w:rPr>
                        <w:b/>
                        <w:sz w:val="11"/>
                      </w:rPr>
                    </w:pPr>
                    <w:r>
                      <w:rPr>
                        <w:b/>
                        <w:w w:val="110"/>
                        <w:sz w:val="11"/>
                      </w:rPr>
                      <w:t>Tribunal de</w:t>
                    </w:r>
                  </w:p>
                  <w:p>
                    <w:pPr>
                      <w:spacing w:before="15"/>
                      <w:ind w:left="0" w:right="0" w:firstLine="0"/>
                      <w:jc w:val="center"/>
                      <w:rPr>
                        <w:b/>
                        <w:sz w:val="11"/>
                      </w:rPr>
                    </w:pPr>
                    <w:r>
                      <w:rPr>
                        <w:b/>
                        <w:w w:val="110"/>
                        <w:sz w:val="11"/>
                      </w:rPr>
                      <w:t>Cuentas</w:t>
                    </w:r>
                  </w:p>
                  <w:p>
                    <w:pPr>
                      <w:spacing w:line="125" w:lineRule="exact" w:before="15"/>
                      <w:ind w:left="-1" w:right="0" w:firstLine="0"/>
                      <w:jc w:val="center"/>
                      <w:rPr>
                        <w:b/>
                        <w:sz w:val="11"/>
                      </w:rPr>
                    </w:pPr>
                    <w:r>
                      <w:rPr>
                        <w:b/>
                        <w:w w:val="110"/>
                        <w:sz w:val="11"/>
                      </w:rPr>
                      <w:t>Nueva</w:t>
                    </w:r>
                    <w:r>
                      <w:rPr>
                        <w:b/>
                        <w:spacing w:val="-6"/>
                        <w:w w:val="110"/>
                        <w:sz w:val="11"/>
                      </w:rPr>
                      <w:t> </w:t>
                    </w:r>
                    <w:r>
                      <w:rPr>
                        <w:b/>
                        <w:w w:val="110"/>
                        <w:sz w:val="11"/>
                      </w:rPr>
                      <w:t>España</w:t>
                    </w:r>
                  </w:p>
                </w:txbxContent>
              </v:textbox>
              <w10:wrap type="none"/>
            </v:shape>
            <v:shape style="position:absolute;left:3269;top:3045;width:655;height:399" type="#_x0000_t202" filled="false" stroked="false">
              <v:textbox inset="0,0,0,0">
                <w:txbxContent>
                  <w:p>
                    <w:pPr>
                      <w:spacing w:line="116" w:lineRule="exact" w:before="0"/>
                      <w:ind w:left="93" w:right="-17" w:hanging="94"/>
                      <w:jc w:val="left"/>
                      <w:rPr>
                        <w:b/>
                        <w:sz w:val="11"/>
                      </w:rPr>
                    </w:pPr>
                    <w:r>
                      <w:rPr>
                        <w:b/>
                        <w:w w:val="110"/>
                        <w:sz w:val="11"/>
                      </w:rPr>
                      <w:t>Tribunal de</w:t>
                    </w:r>
                  </w:p>
                  <w:p>
                    <w:pPr>
                      <w:spacing w:before="15"/>
                      <w:ind w:left="93" w:right="-17" w:firstLine="0"/>
                      <w:jc w:val="left"/>
                      <w:rPr>
                        <w:b/>
                        <w:sz w:val="11"/>
                      </w:rPr>
                    </w:pPr>
                    <w:r>
                      <w:rPr>
                        <w:b/>
                        <w:w w:val="110"/>
                        <w:sz w:val="11"/>
                      </w:rPr>
                      <w:t>Cuentas</w:t>
                    </w:r>
                  </w:p>
                  <w:p>
                    <w:pPr>
                      <w:spacing w:line="125" w:lineRule="exact" w:before="15"/>
                      <w:ind w:left="37" w:right="-17" w:firstLine="0"/>
                      <w:jc w:val="left"/>
                      <w:rPr>
                        <w:b/>
                        <w:sz w:val="11"/>
                      </w:rPr>
                    </w:pPr>
                    <w:r>
                      <w:rPr>
                        <w:b/>
                        <w:w w:val="110"/>
                        <w:sz w:val="11"/>
                      </w:rPr>
                      <w:t>en México</w:t>
                    </w:r>
                  </w:p>
                </w:txbxContent>
              </v:textbox>
              <w10:wrap type="none"/>
            </v:shape>
            <v:shape style="position:absolute;left:3985;top:2778;width:637;height:398" type="#_x0000_t202" filled="false" stroked="false">
              <v:textbox inset="0,0,0,0">
                <w:txbxContent>
                  <w:p>
                    <w:pPr>
                      <w:spacing w:line="117" w:lineRule="exact" w:before="0"/>
                      <w:ind w:left="46" w:right="-11" w:hanging="47"/>
                      <w:jc w:val="left"/>
                      <w:rPr>
                        <w:b/>
                        <w:sz w:val="11"/>
                      </w:rPr>
                    </w:pPr>
                    <w:r>
                      <w:rPr>
                        <w:b/>
                        <w:spacing w:val="-1"/>
                        <w:w w:val="110"/>
                        <w:sz w:val="11"/>
                      </w:rPr>
                      <w:t>Contaduría</w:t>
                    </w:r>
                  </w:p>
                  <w:p>
                    <w:pPr>
                      <w:spacing w:line="268" w:lineRule="auto" w:before="15"/>
                      <w:ind w:left="46" w:right="-11" w:firstLine="0"/>
                      <w:jc w:val="left"/>
                      <w:rPr>
                        <w:b/>
                        <w:sz w:val="11"/>
                      </w:rPr>
                    </w:pPr>
                    <w:r>
                      <w:rPr>
                        <w:b/>
                        <w:w w:val="110"/>
                        <w:sz w:val="11"/>
                      </w:rPr>
                      <w:t>Mayor de Hacienda</w:t>
                    </w:r>
                  </w:p>
                </w:txbxContent>
              </v:textbox>
              <w10:wrap type="none"/>
            </v:shape>
            <v:shape style="position:absolute;left:6286;top:2779;width:411;height:169" type="#_x0000_t202" filled="false" stroked="false">
              <v:textbox inset="0,0,0,0">
                <w:txbxContent>
                  <w:p>
                    <w:pPr>
                      <w:spacing w:line="168" w:lineRule="exact" w:before="0"/>
                      <w:ind w:left="0" w:right="-7" w:firstLine="0"/>
                      <w:jc w:val="left"/>
                      <w:rPr>
                        <w:b/>
                        <w:sz w:val="17"/>
                      </w:rPr>
                    </w:pPr>
                    <w:r>
                      <w:rPr>
                        <w:b/>
                        <w:w w:val="105"/>
                        <w:sz w:val="17"/>
                      </w:rPr>
                      <w:t>1853</w:t>
                    </w:r>
                  </w:p>
                </w:txbxContent>
              </v:textbox>
              <w10:wrap type="none"/>
            </v:shape>
            <v:shape style="position:absolute;left:5651;top:3046;width:411;height:169" type="#_x0000_t202" filled="false" stroked="false">
              <v:textbox inset="0,0,0,0">
                <w:txbxContent>
                  <w:p>
                    <w:pPr>
                      <w:spacing w:line="168" w:lineRule="exact" w:before="0"/>
                      <w:ind w:left="0" w:right="-7" w:firstLine="0"/>
                      <w:jc w:val="left"/>
                      <w:rPr>
                        <w:b/>
                        <w:sz w:val="17"/>
                      </w:rPr>
                    </w:pPr>
                    <w:r>
                      <w:rPr>
                        <w:b/>
                        <w:w w:val="105"/>
                        <w:sz w:val="17"/>
                      </w:rPr>
                      <w:t>1843</w:t>
                    </w:r>
                  </w:p>
                </w:txbxContent>
              </v:textbox>
              <w10:wrap type="none"/>
            </v:shape>
            <v:shape style="position:absolute;left:5016;top:3314;width:412;height:169" type="#_x0000_t202" filled="false" stroked="false">
              <v:textbox inset="0,0,0,0">
                <w:txbxContent>
                  <w:p>
                    <w:pPr>
                      <w:spacing w:line="168" w:lineRule="exact" w:before="0"/>
                      <w:ind w:left="0" w:right="0" w:firstLine="0"/>
                      <w:jc w:val="left"/>
                      <w:rPr>
                        <w:b/>
                        <w:sz w:val="17"/>
                      </w:rPr>
                    </w:pPr>
                    <w:r>
                      <w:rPr>
                        <w:b/>
                        <w:sz w:val="17"/>
                      </w:rPr>
                      <w:t>1838</w:t>
                    </w:r>
                  </w:p>
                </w:txbxContent>
              </v:textbox>
              <w10:wrap type="none"/>
            </v:shape>
            <v:shape style="position:absolute;left:4169;top:3581;width:411;height:169" type="#_x0000_t202" filled="false" stroked="false">
              <v:textbox inset="0,0,0,0">
                <w:txbxContent>
                  <w:p>
                    <w:pPr>
                      <w:spacing w:line="168" w:lineRule="exact" w:before="0"/>
                      <w:ind w:left="0" w:right="-7" w:firstLine="0"/>
                      <w:jc w:val="left"/>
                      <w:rPr>
                        <w:b/>
                        <w:sz w:val="17"/>
                      </w:rPr>
                    </w:pPr>
                    <w:r>
                      <w:rPr>
                        <w:b/>
                        <w:w w:val="105"/>
                        <w:sz w:val="17"/>
                      </w:rPr>
                      <w:t>1824</w:t>
                    </w:r>
                  </w:p>
                </w:txbxContent>
              </v:textbox>
              <w10:wrap type="none"/>
            </v:shape>
            <v:shape style="position:absolute;left:3534;top:3849;width:412;height:169" type="#_x0000_t202" filled="false" stroked="false">
              <v:textbox inset="0,0,0,0">
                <w:txbxContent>
                  <w:p>
                    <w:pPr>
                      <w:spacing w:line="168" w:lineRule="exact" w:before="0"/>
                      <w:ind w:left="0" w:right="0" w:firstLine="0"/>
                      <w:jc w:val="left"/>
                      <w:rPr>
                        <w:b/>
                        <w:sz w:val="17"/>
                      </w:rPr>
                    </w:pPr>
                    <w:r>
                      <w:rPr>
                        <w:b/>
                        <w:sz w:val="17"/>
                      </w:rPr>
                      <w:t>1605</w:t>
                    </w:r>
                  </w:p>
                </w:txbxContent>
              </v:textbox>
              <w10:wrap type="none"/>
            </v:shape>
            <v:shape style="position:absolute;left:8926;top:3518;width:1056;height:409" type="#_x0000_t202" filled="false" stroked="false">
              <v:textbox inset="0,0,0,0">
                <w:txbxContent>
                  <w:p>
                    <w:pPr>
                      <w:spacing w:line="144" w:lineRule="exact" w:before="0"/>
                      <w:ind w:left="0" w:right="0" w:firstLine="0"/>
                      <w:jc w:val="left"/>
                      <w:rPr>
                        <w:b/>
                        <w:sz w:val="14"/>
                      </w:rPr>
                    </w:pPr>
                    <w:r>
                      <w:rPr>
                        <w:b/>
                        <w:color w:val="7E7E7E"/>
                        <w:w w:val="105"/>
                        <w:sz w:val="14"/>
                      </w:rPr>
                      <w:t>Independencia</w:t>
                    </w:r>
                  </w:p>
                  <w:p>
                    <w:pPr>
                      <w:spacing w:line="158" w:lineRule="exact" w:before="106"/>
                      <w:ind w:left="78" w:right="0" w:firstLine="0"/>
                      <w:jc w:val="left"/>
                      <w:rPr>
                        <w:b/>
                        <w:sz w:val="14"/>
                      </w:rPr>
                    </w:pPr>
                    <w:r>
                      <w:rPr>
                        <w:b/>
                        <w:color w:val="7E7E7E"/>
                        <w:w w:val="105"/>
                        <w:sz w:val="14"/>
                      </w:rPr>
                      <w:t>La Colonia</w:t>
                    </w:r>
                  </w:p>
                </w:txbxContent>
              </v:textbox>
              <w10:wrap type="none"/>
            </v:shape>
            <v:shape style="position:absolute;left:2686;top:4117;width:411;height:168" type="#_x0000_t202" filled="false" stroked="false">
              <v:textbox inset="0,0,0,0">
                <w:txbxContent>
                  <w:p>
                    <w:pPr>
                      <w:spacing w:line="168" w:lineRule="exact" w:before="0"/>
                      <w:ind w:left="0" w:right="-1" w:firstLine="0"/>
                      <w:jc w:val="left"/>
                      <w:rPr>
                        <w:b/>
                        <w:sz w:val="16"/>
                      </w:rPr>
                    </w:pPr>
                    <w:r>
                      <w:rPr>
                        <w:b/>
                        <w:w w:val="110"/>
                        <w:sz w:val="16"/>
                      </w:rPr>
                      <w:t>1524</w:t>
                    </w:r>
                  </w:p>
                </w:txbxContent>
              </v:textbox>
              <w10:wrap type="none"/>
            </v:shape>
            <v:shape style="position:absolute;left:9084;top:4254;width:738;height:142" type="#_x0000_t202" filled="false" stroked="false">
              <v:textbox inset="0,0,0,0">
                <w:txbxContent>
                  <w:p>
                    <w:pPr>
                      <w:spacing w:line="142" w:lineRule="exact" w:before="0"/>
                      <w:ind w:left="0" w:right="-1" w:firstLine="0"/>
                      <w:jc w:val="left"/>
                      <w:rPr>
                        <w:b/>
                        <w:sz w:val="14"/>
                      </w:rPr>
                    </w:pPr>
                    <w:r>
                      <w:rPr>
                        <w:b/>
                        <w:color w:val="7E7E7E"/>
                        <w:w w:val="105"/>
                        <w:sz w:val="14"/>
                      </w:rPr>
                      <w:t>Conquista</w:t>
                    </w:r>
                  </w:p>
                </w:txbxContent>
              </v:textbox>
              <w10:wrap type="none"/>
            </v:shape>
            <v:shape style="position:absolute;left:3322;top:4518;width:412;height:168" type="#_x0000_t202" filled="false" stroked="false">
              <v:textbox inset="0,0,0,0">
                <w:txbxContent>
                  <w:p>
                    <w:pPr>
                      <w:spacing w:line="168" w:lineRule="exact" w:before="0"/>
                      <w:ind w:left="0" w:right="0" w:firstLine="0"/>
                      <w:jc w:val="left"/>
                      <w:rPr>
                        <w:b/>
                        <w:sz w:val="16"/>
                      </w:rPr>
                    </w:pPr>
                    <w:r>
                      <w:rPr>
                        <w:b/>
                        <w:w w:val="110"/>
                        <w:sz w:val="16"/>
                      </w:rPr>
                      <w:t>1726</w:t>
                    </w:r>
                  </w:p>
                </w:txbxContent>
              </v:textbox>
              <w10:wrap type="none"/>
            </v:shape>
            <v:shape style="position:absolute;left:1981;top:4719;width:905;height:704" type="#_x0000_t202" filled="false" stroked="false">
              <v:textbox inset="0,0,0,0">
                <w:txbxContent>
                  <w:p>
                    <w:pPr>
                      <w:spacing w:line="172" w:lineRule="exact" w:before="0"/>
                      <w:ind w:left="494" w:right="-7" w:firstLine="0"/>
                      <w:jc w:val="left"/>
                      <w:rPr>
                        <w:b/>
                        <w:sz w:val="17"/>
                      </w:rPr>
                    </w:pPr>
                    <w:r>
                      <w:rPr>
                        <w:b/>
                        <w:w w:val="105"/>
                        <w:sz w:val="17"/>
                      </w:rPr>
                      <w:t>1510</w:t>
                    </w:r>
                  </w:p>
                  <w:p>
                    <w:pPr>
                      <w:spacing w:before="72"/>
                      <w:ind w:left="386" w:right="-7" w:firstLine="0"/>
                      <w:jc w:val="left"/>
                      <w:rPr>
                        <w:b/>
                        <w:sz w:val="17"/>
                      </w:rPr>
                    </w:pPr>
                    <w:r>
                      <w:rPr>
                        <w:b/>
                        <w:w w:val="105"/>
                        <w:sz w:val="17"/>
                      </w:rPr>
                      <w:t>1453</w:t>
                    </w:r>
                  </w:p>
                  <w:p>
                    <w:pPr>
                      <w:spacing w:line="191" w:lineRule="exact" w:before="72"/>
                      <w:ind w:left="0" w:right="-7" w:firstLine="0"/>
                      <w:jc w:val="left"/>
                      <w:rPr>
                        <w:b/>
                        <w:sz w:val="17"/>
                      </w:rPr>
                    </w:pPr>
                    <w:r>
                      <w:rPr>
                        <w:b/>
                        <w:w w:val="105"/>
                        <w:sz w:val="17"/>
                      </w:rPr>
                      <w:t>1388</w:t>
                    </w:r>
                  </w:p>
                </w:txbxContent>
              </v:textbox>
              <w10:wrap type="none"/>
            </v:shape>
            <v:shape style="position:absolute;left:4493;top:4651;width:1224;height:116" type="#_x0000_t202" filled="false" stroked="false">
              <v:textbox inset="0,0,0,0">
                <w:txbxContent>
                  <w:p>
                    <w:pPr>
                      <w:spacing w:line="115" w:lineRule="exact" w:before="0"/>
                      <w:ind w:left="0" w:right="-20" w:firstLine="0"/>
                      <w:jc w:val="left"/>
                      <w:rPr>
                        <w:b/>
                        <w:sz w:val="11"/>
                      </w:rPr>
                    </w:pPr>
                    <w:r>
                      <w:rPr>
                        <w:b/>
                        <w:w w:val="110"/>
                        <w:sz w:val="11"/>
                      </w:rPr>
                      <w:t>Consejo de Hacienda</w:t>
                    </w:r>
                  </w:p>
                </w:txbxContent>
              </v:textbox>
              <w10:wrap type="none"/>
            </v:shape>
            <v:shape style="position:absolute;left:3073;top:4985;width:867;height:257" type="#_x0000_t202" filled="false" stroked="false">
              <v:textbox inset="0,0,0,0">
                <w:txbxContent>
                  <w:p>
                    <w:pPr>
                      <w:spacing w:line="116" w:lineRule="exact" w:before="0"/>
                      <w:ind w:left="0" w:right="0" w:firstLine="0"/>
                      <w:jc w:val="center"/>
                      <w:rPr>
                        <w:b/>
                        <w:sz w:val="11"/>
                      </w:rPr>
                    </w:pPr>
                    <w:r>
                      <w:rPr>
                        <w:b/>
                        <w:w w:val="110"/>
                        <w:sz w:val="11"/>
                      </w:rPr>
                      <w:t>Tribunal</w:t>
                    </w:r>
                    <w:r>
                      <w:rPr>
                        <w:b/>
                        <w:spacing w:val="-7"/>
                        <w:w w:val="110"/>
                        <w:sz w:val="11"/>
                      </w:rPr>
                      <w:t> </w:t>
                    </w:r>
                    <w:r>
                      <w:rPr>
                        <w:b/>
                        <w:w w:val="110"/>
                        <w:sz w:val="11"/>
                      </w:rPr>
                      <w:t>Mayor</w:t>
                    </w:r>
                  </w:p>
                  <w:p>
                    <w:pPr>
                      <w:spacing w:line="125" w:lineRule="exact" w:before="15"/>
                      <w:ind w:left="11" w:right="0" w:firstLine="0"/>
                      <w:jc w:val="center"/>
                      <w:rPr>
                        <w:b/>
                        <w:sz w:val="11"/>
                      </w:rPr>
                    </w:pPr>
                    <w:r>
                      <w:rPr>
                        <w:b/>
                        <w:w w:val="110"/>
                        <w:sz w:val="11"/>
                      </w:rPr>
                      <w:t>de Cuentas</w:t>
                    </w:r>
                  </w:p>
                </w:txbxContent>
              </v:textbox>
              <w10:wrap type="none"/>
            </v:shape>
            <v:shape style="position:absolute;left:7955;top:4861;width:950;height:469" type="#_x0000_t202" filled="false" stroked="false">
              <v:textbox inset="0,0,0,0">
                <w:txbxContent>
                  <w:p>
                    <w:pPr>
                      <w:spacing w:line="217" w:lineRule="exact" w:before="0"/>
                      <w:ind w:left="0" w:right="-14" w:firstLine="74"/>
                      <w:jc w:val="left"/>
                      <w:rPr>
                        <w:b/>
                        <w:sz w:val="21"/>
                      </w:rPr>
                    </w:pPr>
                    <w:r>
                      <w:rPr>
                        <w:b/>
                        <w:w w:val="105"/>
                        <w:sz w:val="21"/>
                      </w:rPr>
                      <w:t>España</w:t>
                    </w:r>
                  </w:p>
                  <w:p>
                    <w:pPr>
                      <w:spacing w:line="237" w:lineRule="exact" w:before="15"/>
                      <w:ind w:left="0" w:right="-14" w:firstLine="0"/>
                      <w:jc w:val="left"/>
                      <w:rPr>
                        <w:b/>
                        <w:sz w:val="21"/>
                      </w:rPr>
                    </w:pPr>
                    <w:r>
                      <w:rPr>
                        <w:b/>
                        <w:w w:val="105"/>
                        <w:sz w:val="21"/>
                      </w:rPr>
                      <w:t>medieval</w:t>
                    </w:r>
                  </w:p>
                </w:txbxContent>
              </v:textbox>
              <w10:wrap type="none"/>
            </v:shape>
            <w10:wrap type="topAndBottom"/>
          </v:group>
        </w:pict>
      </w:r>
    </w:p>
    <w:p>
      <w:pPr>
        <w:spacing w:before="109"/>
        <w:ind w:left="850" w:right="226" w:hanging="708"/>
        <w:jc w:val="left"/>
        <w:rPr>
          <w:i/>
          <w:sz w:val="12"/>
        </w:rPr>
      </w:pPr>
      <w:r>
        <w:rPr>
          <w:sz w:val="12"/>
        </w:rPr>
        <w:t>FUENTE:     H. Cámara de Diputados/Auditoría Superior de la Federación (2004: 113-512), Auditoría Superior de la Federación (2005) </w:t>
      </w:r>
      <w:r>
        <w:rPr>
          <w:i/>
          <w:sz w:val="12"/>
        </w:rPr>
        <w:t>Acervo jurídico de la </w:t>
      </w:r>
      <w:r>
        <w:rPr>
          <w:i/>
          <w:sz w:val="12"/>
        </w:rPr>
        <w:t>Rendición de Cuentas y Fiscalización Superior en México </w:t>
      </w:r>
      <w:r>
        <w:rPr>
          <w:sz w:val="12"/>
        </w:rPr>
        <w:t>y Auditoría Superior de la Federación (2009) Fiscalización superior en México. </w:t>
      </w:r>
      <w:r>
        <w:rPr>
          <w:i/>
          <w:sz w:val="12"/>
        </w:rPr>
        <w:t>Reformas a la </w:t>
      </w:r>
      <w:r>
        <w:rPr>
          <w:i/>
          <w:sz w:val="12"/>
        </w:rPr>
        <w:t>Constitución Política de los Estados Unidos Mexicanos y a la ley reglamentaria</w:t>
      </w:r>
    </w:p>
    <w:p>
      <w:pPr>
        <w:spacing w:after="0"/>
        <w:jc w:val="left"/>
        <w:rPr>
          <w:sz w:val="12"/>
        </w:rPr>
        <w:sectPr>
          <w:pgSz w:w="12240" w:h="15840"/>
          <w:pgMar w:header="0" w:footer="1003" w:top="1500" w:bottom="1200" w:left="1560" w:right="1540"/>
        </w:sectPr>
      </w:pPr>
    </w:p>
    <w:p>
      <w:pPr>
        <w:spacing w:before="55"/>
        <w:ind w:left="656" w:right="766" w:firstLine="0"/>
        <w:jc w:val="left"/>
        <w:rPr>
          <w:sz w:val="20"/>
        </w:rPr>
      </w:pPr>
      <w:bookmarkStart w:name="_bookmark51" w:id="68"/>
      <w:bookmarkEnd w:id="68"/>
      <w:r>
        <w:rPr/>
      </w:r>
      <w:r>
        <w:rPr>
          <w:sz w:val="20"/>
        </w:rPr>
        <w:t>Cuadro 2. 1.Reformas constitucionales y legislativas de la institución de control externo</w:t>
      </w:r>
    </w:p>
    <w:p>
      <w:pPr>
        <w:pStyle w:val="BodyText"/>
        <w:spacing w:before="7"/>
        <w:rPr>
          <w:sz w:val="17"/>
        </w:rPr>
      </w:pPr>
    </w:p>
    <w:tbl>
      <w:tblPr>
        <w:tblW w:w="0" w:type="auto"/>
        <w:jc w:val="left"/>
        <w:tblInd w:w="102" w:type="dxa"/>
        <w:tblBorders>
          <w:top w:val="single" w:sz="12" w:space="0" w:color="BEBEBE"/>
          <w:left w:val="single" w:sz="12" w:space="0" w:color="BEBEBE"/>
          <w:bottom w:val="single" w:sz="12" w:space="0" w:color="BEBEBE"/>
          <w:right w:val="single" w:sz="12" w:space="0" w:color="BEBEBE"/>
          <w:insideH w:val="single" w:sz="12" w:space="0" w:color="BEBEBE"/>
          <w:insideV w:val="single" w:sz="12" w:space="0" w:color="BEBEBE"/>
        </w:tblBorders>
        <w:tblLayout w:type="fixed"/>
        <w:tblCellMar>
          <w:top w:w="0" w:type="dxa"/>
          <w:left w:w="0" w:type="dxa"/>
          <w:bottom w:w="0" w:type="dxa"/>
          <w:right w:w="0" w:type="dxa"/>
        </w:tblCellMar>
        <w:tblLook w:val="01E0"/>
      </w:tblPr>
      <w:tblGrid>
        <w:gridCol w:w="1166"/>
        <w:gridCol w:w="8442"/>
      </w:tblGrid>
      <w:tr>
        <w:trPr>
          <w:trHeight w:val="583" w:hRule="exact"/>
        </w:trPr>
        <w:tc>
          <w:tcPr>
            <w:tcW w:w="1166" w:type="dxa"/>
          </w:tcPr>
          <w:p>
            <w:pPr/>
          </w:p>
        </w:tc>
        <w:tc>
          <w:tcPr>
            <w:tcW w:w="8442" w:type="dxa"/>
          </w:tcPr>
          <w:p>
            <w:pPr>
              <w:pStyle w:val="TableParagraph"/>
              <w:spacing w:before="8"/>
              <w:rPr>
                <w:sz w:val="15"/>
              </w:rPr>
            </w:pPr>
          </w:p>
          <w:p>
            <w:pPr>
              <w:pStyle w:val="TableParagraph"/>
              <w:ind w:left="2496"/>
              <w:rPr>
                <w:b/>
                <w:sz w:val="14"/>
              </w:rPr>
            </w:pPr>
            <w:r>
              <w:rPr>
                <w:b/>
                <w:sz w:val="14"/>
              </w:rPr>
              <w:t>Principales cambios constitucionales y legislativos</w:t>
            </w:r>
          </w:p>
        </w:tc>
      </w:tr>
      <w:tr>
        <w:trPr>
          <w:trHeight w:val="2556" w:hRule="exact"/>
        </w:trPr>
        <w:tc>
          <w:tcPr>
            <w:tcW w:w="1166" w:type="dxa"/>
            <w:tcBorders>
              <w:bottom w:val="single" w:sz="12"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9"/>
              </w:rPr>
            </w:pPr>
          </w:p>
          <w:p>
            <w:pPr>
              <w:pStyle w:val="TableParagraph"/>
              <w:ind w:left="93" w:right="96" w:firstLine="3"/>
              <w:jc w:val="center"/>
              <w:rPr>
                <w:b/>
                <w:sz w:val="14"/>
              </w:rPr>
            </w:pPr>
            <w:r>
              <w:rPr>
                <w:b/>
                <w:sz w:val="14"/>
              </w:rPr>
              <w:t>México </w:t>
            </w:r>
            <w:r>
              <w:rPr>
                <w:b/>
                <w:spacing w:val="-1"/>
                <w:sz w:val="14"/>
              </w:rPr>
              <w:t>Independiente </w:t>
            </w:r>
            <w:r>
              <w:rPr>
                <w:b/>
                <w:sz w:val="14"/>
              </w:rPr>
              <w:t>(1821- 1854)</w:t>
            </w:r>
          </w:p>
        </w:tc>
        <w:tc>
          <w:tcPr>
            <w:tcW w:w="8442" w:type="dxa"/>
            <w:tcBorders>
              <w:bottom w:val="single" w:sz="4" w:space="0" w:color="000000"/>
              <w:right w:val="single" w:sz="4" w:space="0" w:color="000000"/>
            </w:tcBorders>
          </w:tcPr>
          <w:p>
            <w:pPr>
              <w:pStyle w:val="TableParagraph"/>
              <w:spacing w:line="276" w:lineRule="auto"/>
              <w:ind w:left="91" w:right="5464"/>
              <w:rPr>
                <w:sz w:val="14"/>
              </w:rPr>
            </w:pPr>
            <w:r>
              <w:rPr>
                <w:sz w:val="14"/>
              </w:rPr>
              <w:t>1824: La constitución estableció la CMH. 1838: Se restableció el Tribunal de Cuentas.</w:t>
            </w:r>
          </w:p>
          <w:p>
            <w:pPr>
              <w:pStyle w:val="TableParagraph"/>
              <w:ind w:left="91" w:right="165"/>
              <w:rPr>
                <w:sz w:val="14"/>
              </w:rPr>
            </w:pPr>
            <w:r>
              <w:rPr>
                <w:sz w:val="14"/>
              </w:rPr>
              <w:t>1876: Se emitió la LOCMH y su adscripción al H. Congreso de la Unión.</w:t>
            </w:r>
          </w:p>
          <w:p>
            <w:pPr>
              <w:pStyle w:val="TableParagraph"/>
              <w:spacing w:before="24"/>
              <w:ind w:left="91" w:right="165"/>
              <w:rPr>
                <w:sz w:val="14"/>
              </w:rPr>
            </w:pPr>
            <w:r>
              <w:rPr>
                <w:sz w:val="14"/>
              </w:rPr>
              <w:t>1904: Se estableció el control presupuestal como facultad exclusiva de la Cámara de Diputados.</w:t>
            </w:r>
          </w:p>
          <w:p>
            <w:pPr>
              <w:pStyle w:val="TableParagraph"/>
              <w:spacing w:before="26"/>
              <w:ind w:left="91" w:right="165"/>
              <w:rPr>
                <w:sz w:val="14"/>
              </w:rPr>
            </w:pPr>
            <w:r>
              <w:rPr>
                <w:sz w:val="14"/>
              </w:rPr>
              <w:t>1917: Se facultó a la CMH para revisar y glosar la Cuenta Pública y para revisar el cumplimiento de los programas.</w:t>
            </w:r>
          </w:p>
          <w:p>
            <w:pPr>
              <w:pStyle w:val="TableParagraph"/>
              <w:spacing w:before="24"/>
              <w:ind w:left="564" w:right="200" w:hanging="473"/>
              <w:jc w:val="both"/>
              <w:rPr>
                <w:sz w:val="14"/>
              </w:rPr>
            </w:pPr>
            <w:r>
              <w:rPr>
                <w:sz w:val="14"/>
              </w:rPr>
              <w:t>1824: La Constitución facultó al Congreso Nacional para revisar anualmente las cuentas del gobierno. Se expidió un decreto que suprimió al Tribunal Mayor de Cuentas y crea la CMH. Disposición que crea el Departamento de Cuenta y Razón en la Secretaría de Hacienda.</w:t>
            </w:r>
          </w:p>
          <w:p>
            <w:pPr>
              <w:pStyle w:val="TableParagraph"/>
              <w:ind w:left="91" w:right="5464"/>
              <w:rPr>
                <w:sz w:val="14"/>
              </w:rPr>
            </w:pPr>
            <w:r>
              <w:rPr>
                <w:sz w:val="14"/>
              </w:rPr>
              <w:t>1829: Se realizaron reformas a la CHM.</w:t>
            </w:r>
          </w:p>
          <w:p>
            <w:pPr>
              <w:pStyle w:val="TableParagraph"/>
              <w:ind w:left="91" w:right="165"/>
              <w:rPr>
                <w:sz w:val="14"/>
              </w:rPr>
            </w:pPr>
            <w:r>
              <w:rPr>
                <w:sz w:val="14"/>
              </w:rPr>
              <w:t>1831: Se llevaron a cabo innovaciones a la CMH.</w:t>
            </w:r>
          </w:p>
          <w:p>
            <w:pPr>
              <w:pStyle w:val="TableParagraph"/>
              <w:ind w:left="91" w:right="165"/>
              <w:rPr>
                <w:sz w:val="14"/>
              </w:rPr>
            </w:pPr>
            <w:r>
              <w:rPr>
                <w:sz w:val="14"/>
              </w:rPr>
              <w:t>1836: Se abrogó la Constitución de 1824 y “Las Siete Leyes” mantuvieron las funciones de la CMH y ratificaron su funcionamiento. 1838: Se instauró el Tribunal de Cuentas del cual pasa a formar parte la CMH.</w:t>
            </w:r>
          </w:p>
          <w:p>
            <w:pPr>
              <w:pStyle w:val="TableParagraph"/>
              <w:ind w:left="564" w:right="165" w:hanging="473"/>
              <w:rPr>
                <w:sz w:val="14"/>
              </w:rPr>
            </w:pPr>
            <w:r>
              <w:rPr>
                <w:sz w:val="14"/>
              </w:rPr>
              <w:t>1843:</w:t>
            </w:r>
            <w:r>
              <w:rPr>
                <w:spacing w:val="-11"/>
                <w:sz w:val="14"/>
              </w:rPr>
              <w:t> </w:t>
            </w:r>
            <w:r>
              <w:rPr>
                <w:sz w:val="14"/>
              </w:rPr>
              <w:t>La</w:t>
            </w:r>
            <w:r>
              <w:rPr>
                <w:spacing w:val="-13"/>
                <w:sz w:val="14"/>
              </w:rPr>
              <w:t> </w:t>
            </w:r>
            <w:r>
              <w:rPr>
                <w:sz w:val="14"/>
              </w:rPr>
              <w:t>Constitución</w:t>
            </w:r>
            <w:r>
              <w:rPr>
                <w:spacing w:val="-11"/>
                <w:sz w:val="14"/>
              </w:rPr>
              <w:t> </w:t>
            </w:r>
            <w:r>
              <w:rPr>
                <w:sz w:val="14"/>
              </w:rPr>
              <w:t>(llamada</w:t>
            </w:r>
            <w:r>
              <w:rPr>
                <w:spacing w:val="-11"/>
                <w:sz w:val="14"/>
              </w:rPr>
              <w:t> </w:t>
            </w:r>
            <w:r>
              <w:rPr>
                <w:sz w:val="14"/>
              </w:rPr>
              <w:t>“Las</w:t>
            </w:r>
            <w:r>
              <w:rPr>
                <w:spacing w:val="-13"/>
                <w:sz w:val="14"/>
              </w:rPr>
              <w:t> </w:t>
            </w:r>
            <w:r>
              <w:rPr>
                <w:sz w:val="14"/>
              </w:rPr>
              <w:t>Bases</w:t>
            </w:r>
            <w:r>
              <w:rPr>
                <w:spacing w:val="-10"/>
                <w:sz w:val="14"/>
              </w:rPr>
              <w:t> </w:t>
            </w:r>
            <w:r>
              <w:rPr>
                <w:sz w:val="14"/>
              </w:rPr>
              <w:t>Orgánicas”)</w:t>
            </w:r>
            <w:r>
              <w:rPr>
                <w:spacing w:val="-10"/>
                <w:sz w:val="14"/>
              </w:rPr>
              <w:t> </w:t>
            </w:r>
            <w:r>
              <w:rPr>
                <w:sz w:val="14"/>
              </w:rPr>
              <w:t>facultó</w:t>
            </w:r>
            <w:r>
              <w:rPr>
                <w:spacing w:val="-11"/>
                <w:sz w:val="14"/>
              </w:rPr>
              <w:t> </w:t>
            </w:r>
            <w:r>
              <w:rPr>
                <w:sz w:val="14"/>
              </w:rPr>
              <w:t>al</w:t>
            </w:r>
            <w:r>
              <w:rPr>
                <w:spacing w:val="-12"/>
                <w:sz w:val="14"/>
              </w:rPr>
              <w:t> </w:t>
            </w:r>
            <w:r>
              <w:rPr>
                <w:sz w:val="14"/>
              </w:rPr>
              <w:t>Congreso</w:t>
            </w:r>
            <w:r>
              <w:rPr>
                <w:spacing w:val="-11"/>
                <w:sz w:val="14"/>
              </w:rPr>
              <w:t> </w:t>
            </w:r>
            <w:r>
              <w:rPr>
                <w:sz w:val="14"/>
              </w:rPr>
              <w:t>para</w:t>
            </w:r>
            <w:r>
              <w:rPr>
                <w:spacing w:val="-13"/>
                <w:sz w:val="14"/>
              </w:rPr>
              <w:t> </w:t>
            </w:r>
            <w:r>
              <w:rPr>
                <w:sz w:val="14"/>
              </w:rPr>
              <w:t>vigilar</w:t>
            </w:r>
            <w:r>
              <w:rPr>
                <w:spacing w:val="-11"/>
                <w:sz w:val="14"/>
              </w:rPr>
              <w:t> </w:t>
            </w:r>
            <w:r>
              <w:rPr>
                <w:sz w:val="14"/>
              </w:rPr>
              <w:t>los</w:t>
            </w:r>
            <w:r>
              <w:rPr>
                <w:spacing w:val="-10"/>
                <w:sz w:val="14"/>
              </w:rPr>
              <w:t> </w:t>
            </w:r>
            <w:r>
              <w:rPr>
                <w:sz w:val="14"/>
              </w:rPr>
              <w:t>gastos</w:t>
            </w:r>
            <w:r>
              <w:rPr>
                <w:spacing w:val="-10"/>
                <w:sz w:val="14"/>
              </w:rPr>
              <w:t> </w:t>
            </w:r>
            <w:r>
              <w:rPr>
                <w:sz w:val="14"/>
              </w:rPr>
              <w:t>públicos.</w:t>
            </w:r>
            <w:r>
              <w:rPr>
                <w:spacing w:val="-11"/>
                <w:sz w:val="14"/>
              </w:rPr>
              <w:t> </w:t>
            </w:r>
            <w:r>
              <w:rPr>
                <w:sz w:val="14"/>
              </w:rPr>
              <w:t>Se</w:t>
            </w:r>
            <w:r>
              <w:rPr>
                <w:spacing w:val="-11"/>
                <w:sz w:val="14"/>
              </w:rPr>
              <w:t> </w:t>
            </w:r>
            <w:r>
              <w:rPr>
                <w:sz w:val="14"/>
              </w:rPr>
              <w:t>restableció</w:t>
            </w:r>
            <w:r>
              <w:rPr>
                <w:spacing w:val="-10"/>
                <w:sz w:val="14"/>
              </w:rPr>
              <w:t> </w:t>
            </w:r>
            <w:r>
              <w:rPr>
                <w:sz w:val="14"/>
              </w:rPr>
              <w:t>el</w:t>
            </w:r>
            <w:r>
              <w:rPr>
                <w:spacing w:val="-12"/>
                <w:sz w:val="14"/>
              </w:rPr>
              <w:t> </w:t>
            </w:r>
            <w:r>
              <w:rPr>
                <w:sz w:val="14"/>
              </w:rPr>
              <w:t>Tribunal de</w:t>
            </w:r>
            <w:r>
              <w:rPr>
                <w:spacing w:val="-5"/>
                <w:sz w:val="14"/>
              </w:rPr>
              <w:t> </w:t>
            </w:r>
            <w:r>
              <w:rPr>
                <w:sz w:val="14"/>
              </w:rPr>
              <w:t>Cuentas.</w:t>
            </w:r>
          </w:p>
          <w:p>
            <w:pPr>
              <w:pStyle w:val="TableParagraph"/>
              <w:ind w:left="91" w:right="165"/>
              <w:rPr>
                <w:sz w:val="14"/>
              </w:rPr>
            </w:pPr>
            <w:r>
              <w:rPr>
                <w:sz w:val="14"/>
              </w:rPr>
              <w:t>1853: Se expidió el decreto que restableció el Tribunal Mayor de Cuentas, y como parte de éste a la CMH.</w:t>
            </w:r>
          </w:p>
        </w:tc>
      </w:tr>
      <w:tr>
        <w:trPr>
          <w:trHeight w:val="675" w:hRule="exact"/>
        </w:trPr>
        <w:tc>
          <w:tcPr>
            <w:tcW w:w="1166" w:type="dxa"/>
            <w:tcBorders>
              <w:top w:val="single" w:sz="12" w:space="0" w:color="BEBEBE"/>
            </w:tcBorders>
          </w:tcPr>
          <w:p>
            <w:pPr>
              <w:pStyle w:val="TableParagraph"/>
              <w:spacing w:before="8"/>
              <w:rPr>
                <w:sz w:val="14"/>
              </w:rPr>
            </w:pPr>
          </w:p>
          <w:p>
            <w:pPr>
              <w:pStyle w:val="TableParagraph"/>
              <w:ind w:left="184" w:right="185" w:hanging="3"/>
              <w:rPr>
                <w:b/>
                <w:sz w:val="14"/>
              </w:rPr>
            </w:pPr>
            <w:r>
              <w:rPr>
                <w:b/>
                <w:sz w:val="14"/>
              </w:rPr>
              <w:t>La Reforma (1855-1872)</w:t>
            </w:r>
          </w:p>
        </w:tc>
        <w:tc>
          <w:tcPr>
            <w:tcW w:w="8442" w:type="dxa"/>
            <w:tcBorders>
              <w:top w:val="single" w:sz="4" w:space="0" w:color="000000"/>
              <w:bottom w:val="single" w:sz="4" w:space="0" w:color="000000"/>
              <w:right w:val="single" w:sz="4" w:space="0" w:color="000000"/>
            </w:tcBorders>
          </w:tcPr>
          <w:p>
            <w:pPr>
              <w:pStyle w:val="TableParagraph"/>
              <w:spacing w:before="20"/>
              <w:ind w:left="564" w:right="165" w:hanging="473"/>
              <w:rPr>
                <w:sz w:val="14"/>
              </w:rPr>
            </w:pPr>
            <w:r>
              <w:rPr>
                <w:sz w:val="14"/>
              </w:rPr>
              <w:t>1857: Un decreto suprimió al Tribunal Mayor de Cuentas y restableció la CMH. Éste confirmó la facultad del Legislativo de revisar las cuentas del gobierno.</w:t>
            </w:r>
          </w:p>
          <w:p>
            <w:pPr>
              <w:pStyle w:val="TableParagraph"/>
              <w:ind w:left="91" w:right="165"/>
              <w:rPr>
                <w:sz w:val="14"/>
              </w:rPr>
            </w:pPr>
            <w:r>
              <w:rPr>
                <w:sz w:val="14"/>
              </w:rPr>
              <w:t>1865: Maximiliano restableció en Tribunal de Cuentas.</w:t>
            </w:r>
          </w:p>
          <w:p>
            <w:pPr>
              <w:pStyle w:val="TableParagraph"/>
              <w:ind w:left="91" w:right="165"/>
              <w:rPr>
                <w:sz w:val="14"/>
              </w:rPr>
            </w:pPr>
            <w:r>
              <w:rPr>
                <w:sz w:val="14"/>
              </w:rPr>
              <w:t>1867: Por disposición oficial se restablecieron las funciones de la CMH.</w:t>
            </w:r>
          </w:p>
        </w:tc>
      </w:tr>
      <w:tr>
        <w:trPr>
          <w:trHeight w:val="1157" w:hRule="exact"/>
        </w:trPr>
        <w:tc>
          <w:tcPr>
            <w:tcW w:w="1166" w:type="dxa"/>
          </w:tcPr>
          <w:p>
            <w:pPr>
              <w:pStyle w:val="TableParagraph"/>
              <w:rPr>
                <w:sz w:val="14"/>
              </w:rPr>
            </w:pPr>
          </w:p>
          <w:p>
            <w:pPr>
              <w:pStyle w:val="TableParagraph"/>
              <w:rPr>
                <w:sz w:val="14"/>
              </w:rPr>
            </w:pPr>
          </w:p>
          <w:p>
            <w:pPr>
              <w:pStyle w:val="TableParagraph"/>
              <w:spacing w:line="242" w:lineRule="auto" w:before="86"/>
              <w:ind w:left="184" w:right="158" w:hanging="32"/>
              <w:rPr>
                <w:b/>
                <w:sz w:val="14"/>
              </w:rPr>
            </w:pPr>
            <w:r>
              <w:rPr>
                <w:b/>
                <w:sz w:val="14"/>
              </w:rPr>
              <w:t>El porfiriano (1876-1911)</w:t>
            </w:r>
          </w:p>
        </w:tc>
        <w:tc>
          <w:tcPr>
            <w:tcW w:w="8442" w:type="dxa"/>
            <w:tcBorders>
              <w:top w:val="single" w:sz="4" w:space="0" w:color="000000"/>
              <w:bottom w:val="single" w:sz="4" w:space="0" w:color="000000"/>
              <w:right w:val="single" w:sz="4" w:space="0" w:color="000000"/>
            </w:tcBorders>
          </w:tcPr>
          <w:p>
            <w:pPr>
              <w:pStyle w:val="TableParagraph"/>
              <w:spacing w:before="20"/>
              <w:ind w:left="91" w:right="2421"/>
              <w:rPr>
                <w:sz w:val="14"/>
              </w:rPr>
            </w:pPr>
            <w:r>
              <w:rPr>
                <w:sz w:val="14"/>
              </w:rPr>
              <w:t>1881: Un decreto dispuso que la CMH glosara la cuenta de la Tesorería de la Federación. 1896: Se expidió el reglamento de la CMH.</w:t>
            </w:r>
          </w:p>
          <w:p>
            <w:pPr>
              <w:pStyle w:val="TableParagraph"/>
              <w:ind w:left="91" w:right="2849"/>
              <w:rPr>
                <w:sz w:val="14"/>
              </w:rPr>
            </w:pPr>
            <w:r>
              <w:rPr>
                <w:sz w:val="14"/>
              </w:rPr>
              <w:t>1901: Se creó un decreto que dispone cuáles libros deberán guardarse en la CMH. 1904: Se promulgó la LOCMH.</w:t>
            </w:r>
          </w:p>
          <w:p>
            <w:pPr>
              <w:pStyle w:val="TableParagraph"/>
              <w:ind w:left="91" w:right="165"/>
              <w:rPr>
                <w:sz w:val="14"/>
              </w:rPr>
            </w:pPr>
            <w:r>
              <w:rPr>
                <w:sz w:val="14"/>
              </w:rPr>
              <w:t>1906: Se expidió el Reglamento Interior de la CMH.</w:t>
            </w:r>
          </w:p>
          <w:p>
            <w:pPr>
              <w:pStyle w:val="TableParagraph"/>
              <w:ind w:left="564" w:right="165" w:hanging="473"/>
              <w:rPr>
                <w:sz w:val="14"/>
              </w:rPr>
            </w:pPr>
            <w:r>
              <w:rPr>
                <w:sz w:val="14"/>
              </w:rPr>
              <w:t>1910: Se expidió la ley que reorganizó a la Tesorería General de la Federación y creó la Dirección de Contabilidad y Glosa, como unidad administrativa contable de la Secretaría de Hacienda.</w:t>
            </w:r>
          </w:p>
        </w:tc>
      </w:tr>
      <w:tr>
        <w:trPr>
          <w:trHeight w:val="674" w:hRule="exact"/>
        </w:trPr>
        <w:tc>
          <w:tcPr>
            <w:tcW w:w="1166" w:type="dxa"/>
          </w:tcPr>
          <w:p>
            <w:pPr>
              <w:pStyle w:val="TableParagraph"/>
              <w:spacing w:before="7"/>
              <w:rPr>
                <w:sz w:val="14"/>
              </w:rPr>
            </w:pPr>
          </w:p>
          <w:p>
            <w:pPr>
              <w:pStyle w:val="TableParagraph"/>
              <w:ind w:left="184" w:right="189" w:firstLine="4"/>
              <w:rPr>
                <w:b/>
                <w:sz w:val="14"/>
              </w:rPr>
            </w:pPr>
            <w:r>
              <w:rPr>
                <w:b/>
                <w:sz w:val="14"/>
              </w:rPr>
              <w:t>Revolución </w:t>
            </w:r>
            <w:r>
              <w:rPr>
                <w:b/>
                <w:w w:val="95"/>
                <w:sz w:val="14"/>
              </w:rPr>
              <w:t>(1910-1929)</w:t>
            </w:r>
          </w:p>
        </w:tc>
        <w:tc>
          <w:tcPr>
            <w:tcW w:w="8442" w:type="dxa"/>
            <w:tcBorders>
              <w:top w:val="single" w:sz="4" w:space="0" w:color="000000"/>
              <w:bottom w:val="single" w:sz="4" w:space="0" w:color="000000"/>
              <w:right w:val="single" w:sz="4" w:space="0" w:color="000000"/>
            </w:tcBorders>
          </w:tcPr>
          <w:p>
            <w:pPr>
              <w:pStyle w:val="TableParagraph"/>
              <w:spacing w:before="20"/>
              <w:ind w:left="564" w:right="165" w:hanging="473"/>
              <w:rPr>
                <w:sz w:val="14"/>
              </w:rPr>
            </w:pPr>
            <w:r>
              <w:rPr>
                <w:sz w:val="14"/>
              </w:rPr>
              <w:t>1917: La Ley de Secretarías y Departamentos de Estado constituyó el Departamento de Contraloría, como órgano administrativo del Poder Ejecutivo de la Federación, con carácter fiscalizador (revisión de la Cuenta Pública).</w:t>
            </w:r>
          </w:p>
          <w:p>
            <w:pPr>
              <w:pStyle w:val="TableParagraph"/>
              <w:ind w:left="91" w:right="165"/>
              <w:rPr>
                <w:sz w:val="14"/>
              </w:rPr>
            </w:pPr>
            <w:r>
              <w:rPr>
                <w:sz w:val="14"/>
              </w:rPr>
              <w:t>1918: Se expidió la Ley Orgánica del Departamento de Contraloría del Poder Ejecutivo de la Federación.</w:t>
            </w:r>
          </w:p>
          <w:p>
            <w:pPr>
              <w:pStyle w:val="TableParagraph"/>
              <w:ind w:left="91" w:right="165"/>
              <w:rPr>
                <w:sz w:val="14"/>
              </w:rPr>
            </w:pPr>
            <w:r>
              <w:rPr>
                <w:sz w:val="14"/>
              </w:rPr>
              <w:t>1926: Se abrogó la Ley Orgánica del Departamento de Contraloría de la Federación de 1918 y se expide una nueva disposición.</w:t>
            </w:r>
          </w:p>
        </w:tc>
      </w:tr>
      <w:tr>
        <w:trPr>
          <w:trHeight w:val="1786" w:hRule="exact"/>
        </w:trPr>
        <w:tc>
          <w:tcPr>
            <w:tcW w:w="1166" w:type="dxa"/>
          </w:tcPr>
          <w:p>
            <w:pPr>
              <w:pStyle w:val="TableParagraph"/>
              <w:rPr>
                <w:sz w:val="14"/>
              </w:rPr>
            </w:pPr>
          </w:p>
          <w:p>
            <w:pPr>
              <w:pStyle w:val="TableParagraph"/>
              <w:rPr>
                <w:sz w:val="14"/>
              </w:rPr>
            </w:pPr>
          </w:p>
          <w:p>
            <w:pPr>
              <w:pStyle w:val="TableParagraph"/>
              <w:spacing w:before="10"/>
              <w:rPr>
                <w:sz w:val="20"/>
              </w:rPr>
            </w:pPr>
          </w:p>
          <w:p>
            <w:pPr>
              <w:pStyle w:val="TableParagraph"/>
              <w:ind w:left="189" w:right="194"/>
              <w:jc w:val="center"/>
              <w:rPr>
                <w:b/>
                <w:sz w:val="14"/>
              </w:rPr>
            </w:pPr>
            <w:r>
              <w:rPr>
                <w:b/>
                <w:w w:val="95"/>
                <w:sz w:val="14"/>
              </w:rPr>
              <w:t>Hegemonía </w:t>
            </w:r>
            <w:r>
              <w:rPr>
                <w:b/>
                <w:sz w:val="14"/>
              </w:rPr>
              <w:t>del</w:t>
            </w:r>
          </w:p>
          <w:p>
            <w:pPr>
              <w:pStyle w:val="TableParagraph"/>
              <w:ind w:left="100" w:right="103"/>
              <w:jc w:val="center"/>
              <w:rPr>
                <w:b/>
                <w:sz w:val="14"/>
              </w:rPr>
            </w:pPr>
            <w:r>
              <w:rPr>
                <w:b/>
                <w:w w:val="95"/>
                <w:sz w:val="14"/>
              </w:rPr>
              <w:t>PNR-PRM-PRI </w:t>
            </w:r>
            <w:r>
              <w:rPr>
                <w:b/>
                <w:sz w:val="14"/>
              </w:rPr>
              <w:t>(1929-2000)</w:t>
            </w:r>
          </w:p>
        </w:tc>
        <w:tc>
          <w:tcPr>
            <w:tcW w:w="8442" w:type="dxa"/>
            <w:tcBorders>
              <w:top w:val="single" w:sz="4" w:space="0" w:color="000000"/>
              <w:bottom w:val="single" w:sz="4" w:space="0" w:color="000000"/>
              <w:right w:val="single" w:sz="4" w:space="0" w:color="000000"/>
            </w:tcBorders>
          </w:tcPr>
          <w:p>
            <w:pPr>
              <w:pStyle w:val="TableParagraph"/>
              <w:spacing w:before="20"/>
              <w:ind w:left="91" w:right="165"/>
              <w:rPr>
                <w:sz w:val="14"/>
              </w:rPr>
            </w:pPr>
            <w:r>
              <w:rPr>
                <w:sz w:val="14"/>
              </w:rPr>
              <w:t>1934: La nueva Ley de Secretarías y Departamentos de Estado suprimió el Departamento de Contraloría.</w:t>
            </w:r>
          </w:p>
          <w:p>
            <w:pPr>
              <w:pStyle w:val="TableParagraph"/>
              <w:ind w:left="564" w:right="165" w:hanging="473"/>
              <w:rPr>
                <w:sz w:val="14"/>
              </w:rPr>
            </w:pPr>
            <w:r>
              <w:rPr>
                <w:sz w:val="14"/>
              </w:rPr>
              <w:t>1936: Se promulgó una nueva LOCMH, con lo que quedó abrogada la de 1904, que otorga atribuciones a la CMH para revisar la glosa y expedir finiquitos.</w:t>
            </w:r>
          </w:p>
          <w:p>
            <w:pPr>
              <w:pStyle w:val="TableParagraph"/>
              <w:spacing w:line="276" w:lineRule="auto"/>
              <w:ind w:left="91" w:right="1216"/>
              <w:rPr>
                <w:sz w:val="14"/>
              </w:rPr>
            </w:pPr>
            <w:r>
              <w:rPr>
                <w:sz w:val="14"/>
              </w:rPr>
              <w:t>1963: Se realizaron reformas a la LOCMH. Se difundió la “Declaración de Lima sobre Fiscalización Superior”. 1978: La LOCMH estableció la eliminación de finiquitos y la faculta para la práctica de auditorías.</w:t>
            </w:r>
          </w:p>
          <w:p>
            <w:pPr>
              <w:pStyle w:val="TableParagraph"/>
              <w:spacing w:line="138" w:lineRule="exact"/>
              <w:ind w:left="564" w:right="165" w:hanging="473"/>
              <w:rPr>
                <w:sz w:val="14"/>
              </w:rPr>
            </w:pPr>
            <w:r>
              <w:rPr>
                <w:sz w:val="14"/>
              </w:rPr>
              <w:t>1999: Se realizaron reformas constitucionales para fortalecer la fiscalización, brindar a la CMH autonomía técnica y de gestión y la</w:t>
            </w:r>
          </w:p>
          <w:p>
            <w:pPr>
              <w:pStyle w:val="TableParagraph"/>
              <w:spacing w:line="276" w:lineRule="auto" w:before="24"/>
              <w:ind w:left="564" w:right="165"/>
              <w:rPr>
                <w:sz w:val="14"/>
              </w:rPr>
            </w:pPr>
            <w:r>
              <w:rPr>
                <w:sz w:val="14"/>
              </w:rPr>
              <w:t>facultó para fincar responsabilidades resarcitorias. La reforma dio mayor oportunidad para efectuar las revisiones y tener reserva en su actuación.</w:t>
            </w:r>
          </w:p>
          <w:p>
            <w:pPr>
              <w:pStyle w:val="TableParagraph"/>
              <w:spacing w:line="276" w:lineRule="auto" w:before="2"/>
              <w:ind w:left="564" w:right="165" w:hanging="473"/>
              <w:rPr>
                <w:sz w:val="14"/>
              </w:rPr>
            </w:pPr>
            <w:r>
              <w:rPr>
                <w:sz w:val="14"/>
              </w:rPr>
              <w:t>2000: Se promulgó la Ley de Fiscalización Superior de la Federación (LFSF) y con ello se cambió de denominación de CMH al de ASF. Se adoptó el modelo monocrático de fiscalización anglosajón parlamentario.</w:t>
            </w:r>
          </w:p>
        </w:tc>
      </w:tr>
    </w:tbl>
    <w:p>
      <w:pPr>
        <w:spacing w:before="7"/>
        <w:ind w:left="810" w:right="766" w:hanging="708"/>
        <w:jc w:val="left"/>
        <w:rPr>
          <w:i/>
          <w:sz w:val="12"/>
        </w:rPr>
      </w:pPr>
      <w:r>
        <w:rPr>
          <w:sz w:val="12"/>
        </w:rPr>
        <w:t>FUENTE: H. Cámara de Diputados/</w:t>
      </w:r>
      <w:r>
        <w:rPr>
          <w:i/>
          <w:sz w:val="12"/>
        </w:rPr>
        <w:t>Auditoría Superior de la Federación (2004: 113-512</w:t>
      </w:r>
      <w:r>
        <w:rPr>
          <w:sz w:val="12"/>
        </w:rPr>
        <w:t>), Manjarrez </w:t>
      </w:r>
      <w:r>
        <w:rPr>
          <w:i/>
          <w:sz w:val="12"/>
        </w:rPr>
        <w:t>(2002: </w:t>
      </w:r>
      <w:r>
        <w:rPr>
          <w:sz w:val="12"/>
        </w:rPr>
        <w:t>161-162) y Auditoría Superior de la Federación (2009 21- 144). Fiscalización superior en México. </w:t>
      </w:r>
      <w:r>
        <w:rPr>
          <w:i/>
          <w:sz w:val="12"/>
        </w:rPr>
        <w:t>Reformas a la Constitución Política de los Estados Unidos Mexicanos y a la ley reglamentaria.</w:t>
      </w:r>
    </w:p>
    <w:p>
      <w:pPr>
        <w:pStyle w:val="BodyText"/>
        <w:rPr>
          <w:i/>
          <w:sz w:val="12"/>
        </w:rPr>
      </w:pPr>
    </w:p>
    <w:p>
      <w:pPr>
        <w:pStyle w:val="BodyText"/>
        <w:spacing w:line="360" w:lineRule="auto" w:before="91"/>
        <w:ind w:left="102" w:right="916"/>
        <w:jc w:val="both"/>
      </w:pPr>
      <w:r>
        <w:rPr/>
        <w:t>En México del Siglo XIX y parte del XX predominó una revisión tradicional de contabilidad gubernamental; la revisión tradicional ha prevalecido </w:t>
      </w:r>
      <w:r>
        <w:rPr>
          <w:i/>
        </w:rPr>
        <w:t>mutatis mutandis </w:t>
      </w:r>
      <w:r>
        <w:rPr/>
        <w:t>las revisiones actuales. Sin embargo, los cambios internacionales han generado mayor interdependencia de México con el exterior, lo que hizo más amplia la actividad del Estado por la amplitud de la acción pública.</w:t>
      </w:r>
    </w:p>
    <w:p>
      <w:pPr>
        <w:pStyle w:val="BodyText"/>
        <w:spacing w:line="360" w:lineRule="auto" w:before="5"/>
        <w:ind w:left="102" w:right="917" w:firstLine="427"/>
        <w:jc w:val="both"/>
      </w:pPr>
      <w:r>
        <w:rPr/>
        <w:t>Durante el Siglo XX hubo una tendencia internacional hacia fortalecer las auditorías del sector público, que resaltó la necesidad de mejorar el impacto de las auditorías</w:t>
      </w:r>
      <w:r>
        <w:rPr>
          <w:spacing w:val="-12"/>
        </w:rPr>
        <w:t> </w:t>
      </w:r>
      <w:r>
        <w:rPr/>
        <w:t>en</w:t>
      </w:r>
      <w:r>
        <w:rPr>
          <w:spacing w:val="-11"/>
        </w:rPr>
        <w:t> </w:t>
      </w:r>
      <w:r>
        <w:rPr/>
        <w:t>México.</w:t>
      </w:r>
      <w:r>
        <w:rPr>
          <w:spacing w:val="-8"/>
        </w:rPr>
        <w:t> </w:t>
      </w:r>
      <w:r>
        <w:rPr/>
        <w:t>Por</w:t>
      </w:r>
      <w:r>
        <w:rPr>
          <w:spacing w:val="-12"/>
        </w:rPr>
        <w:t> </w:t>
      </w:r>
      <w:r>
        <w:rPr/>
        <w:t>ello,</w:t>
      </w:r>
      <w:r>
        <w:rPr>
          <w:spacing w:val="-11"/>
        </w:rPr>
        <w:t> </w:t>
      </w:r>
      <w:r>
        <w:rPr/>
        <w:t>a</w:t>
      </w:r>
      <w:r>
        <w:rPr>
          <w:spacing w:val="-13"/>
        </w:rPr>
        <w:t> </w:t>
      </w:r>
      <w:r>
        <w:rPr/>
        <w:t>finales</w:t>
      </w:r>
      <w:r>
        <w:rPr>
          <w:spacing w:val="-13"/>
        </w:rPr>
        <w:t> </w:t>
      </w:r>
      <w:r>
        <w:rPr/>
        <w:t>del</w:t>
      </w:r>
      <w:r>
        <w:rPr>
          <w:spacing w:val="-12"/>
        </w:rPr>
        <w:t> </w:t>
      </w:r>
      <w:r>
        <w:rPr/>
        <w:t>Siglo</w:t>
      </w:r>
      <w:r>
        <w:rPr>
          <w:spacing w:val="-9"/>
        </w:rPr>
        <w:t> </w:t>
      </w:r>
      <w:r>
        <w:rPr/>
        <w:t>XX,</w:t>
      </w:r>
      <w:r>
        <w:rPr>
          <w:spacing w:val="-11"/>
        </w:rPr>
        <w:t> </w:t>
      </w:r>
      <w:r>
        <w:rPr/>
        <w:t>se</w:t>
      </w:r>
      <w:r>
        <w:rPr>
          <w:spacing w:val="-11"/>
        </w:rPr>
        <w:t> </w:t>
      </w:r>
      <w:r>
        <w:rPr/>
        <w:t>consideró</w:t>
      </w:r>
      <w:r>
        <w:rPr>
          <w:spacing w:val="-11"/>
        </w:rPr>
        <w:t> </w:t>
      </w:r>
      <w:r>
        <w:rPr/>
        <w:t>que</w:t>
      </w:r>
      <w:r>
        <w:rPr>
          <w:spacing w:val="-11"/>
        </w:rPr>
        <w:t> </w:t>
      </w:r>
      <w:r>
        <w:rPr/>
        <w:t>el</w:t>
      </w:r>
      <w:r>
        <w:rPr>
          <w:spacing w:val="-12"/>
        </w:rPr>
        <w:t> </w:t>
      </w:r>
      <w:r>
        <w:rPr/>
        <w:t>contar</w:t>
      </w:r>
      <w:r>
        <w:rPr>
          <w:spacing w:val="-12"/>
        </w:rPr>
        <w:t> </w:t>
      </w:r>
      <w:r>
        <w:rPr/>
        <w:t>con una institución con mayores facultades de actuación podría apoyar a las instituciones políticas para que fueran más eficientes y menos propensas a la corrupción.</w:t>
      </w:r>
    </w:p>
    <w:p>
      <w:pPr>
        <w:spacing w:after="0" w:line="360" w:lineRule="auto"/>
        <w:jc w:val="both"/>
        <w:sectPr>
          <w:pgSz w:w="12240" w:h="15840"/>
          <w:pgMar w:header="0" w:footer="1003" w:top="1360" w:bottom="1200" w:left="1600" w:right="780"/>
        </w:sectPr>
      </w:pPr>
    </w:p>
    <w:p>
      <w:pPr>
        <w:pStyle w:val="BodyText"/>
        <w:spacing w:line="360" w:lineRule="auto" w:before="54"/>
        <w:ind w:left="122" w:right="163" w:firstLine="427"/>
        <w:jc w:val="both"/>
        <w:rPr>
          <w:sz w:val="16"/>
        </w:rPr>
      </w:pPr>
      <w:r>
        <w:rPr/>
        <w:t>Las reformas principales por las que pasó la institución auditora en el Siglo XX fueron: en 1904 cuando la Constitución Federal otorgó a la Cámara de Diputados la facultad exclusiva para ejercer el control presupuestal; en 1917 cuando se estableció la revisión y glosa de la Cuenta Pública Federal, y en 1937 cuando se autorizó</w:t>
      </w:r>
      <w:r>
        <w:rPr>
          <w:spacing w:val="-11"/>
        </w:rPr>
        <w:t> </w:t>
      </w:r>
      <w:r>
        <w:rPr/>
        <w:t>la</w:t>
      </w:r>
      <w:r>
        <w:rPr>
          <w:spacing w:val="-13"/>
        </w:rPr>
        <w:t> </w:t>
      </w:r>
      <w:r>
        <w:rPr/>
        <w:t>facultad</w:t>
      </w:r>
      <w:r>
        <w:rPr>
          <w:spacing w:val="-13"/>
        </w:rPr>
        <w:t> </w:t>
      </w:r>
      <w:r>
        <w:rPr/>
        <w:t>de</w:t>
      </w:r>
      <w:r>
        <w:rPr>
          <w:spacing w:val="-15"/>
        </w:rPr>
        <w:t> </w:t>
      </w:r>
      <w:r>
        <w:rPr/>
        <w:t>supervisar</w:t>
      </w:r>
      <w:r>
        <w:rPr>
          <w:spacing w:val="-12"/>
        </w:rPr>
        <w:t> </w:t>
      </w:r>
      <w:r>
        <w:rPr/>
        <w:t>el</w:t>
      </w:r>
      <w:r>
        <w:rPr>
          <w:spacing w:val="-12"/>
        </w:rPr>
        <w:t> </w:t>
      </w:r>
      <w:r>
        <w:rPr/>
        <w:t>cumplimiento</w:t>
      </w:r>
      <w:r>
        <w:rPr>
          <w:spacing w:val="-13"/>
        </w:rPr>
        <w:t> </w:t>
      </w:r>
      <w:r>
        <w:rPr/>
        <w:t>de</w:t>
      </w:r>
      <w:r>
        <w:rPr>
          <w:spacing w:val="-11"/>
        </w:rPr>
        <w:t> </w:t>
      </w:r>
      <w:r>
        <w:rPr/>
        <w:t>los</w:t>
      </w:r>
      <w:r>
        <w:rPr>
          <w:spacing w:val="-8"/>
        </w:rPr>
        <w:t> </w:t>
      </w:r>
      <w:r>
        <w:rPr/>
        <w:t>programas.</w:t>
      </w:r>
      <w:r>
        <w:rPr>
          <w:spacing w:val="-13"/>
        </w:rPr>
        <w:t> </w:t>
      </w:r>
      <w:r>
        <w:rPr/>
        <w:t>De</w:t>
      </w:r>
      <w:r>
        <w:rPr>
          <w:spacing w:val="-10"/>
        </w:rPr>
        <w:t> </w:t>
      </w:r>
      <w:r>
        <w:rPr/>
        <w:t>los</w:t>
      </w:r>
      <w:r>
        <w:rPr>
          <w:spacing w:val="-13"/>
        </w:rPr>
        <w:t> </w:t>
      </w:r>
      <w:r>
        <w:rPr/>
        <w:t>trabajos de la LVII Legislatura (1997-2000) del H. Congreso de la Unión, resultaron las reformas constitucionales de los artículos 73, 74, 78 y 79 de julio de 1999 y la promulgación de la LFSF en diciembre de 2000. Algunas de las facultades que el Estado otorgó a la ASF son las</w:t>
      </w:r>
      <w:r>
        <w:rPr>
          <w:spacing w:val="-11"/>
        </w:rPr>
        <w:t> </w:t>
      </w:r>
      <w:r>
        <w:rPr/>
        <w:t>siguientes:</w:t>
      </w:r>
      <w:r>
        <w:rPr>
          <w:position w:val="8"/>
          <w:sz w:val="16"/>
        </w:rPr>
        <w:t>62</w:t>
      </w:r>
    </w:p>
    <w:p>
      <w:pPr>
        <w:pStyle w:val="BodyText"/>
        <w:spacing w:before="6"/>
      </w:pPr>
    </w:p>
    <w:p>
      <w:pPr>
        <w:pStyle w:val="ListParagraph"/>
        <w:numPr>
          <w:ilvl w:val="0"/>
          <w:numId w:val="45"/>
        </w:numPr>
        <w:tabs>
          <w:tab w:pos="550" w:val="left" w:leader="none"/>
        </w:tabs>
        <w:spacing w:line="360" w:lineRule="auto" w:before="0" w:after="0"/>
        <w:ind w:left="549" w:right="115" w:hanging="286"/>
        <w:jc w:val="both"/>
        <w:rPr>
          <w:sz w:val="24"/>
        </w:rPr>
      </w:pPr>
      <w:r>
        <w:rPr>
          <w:sz w:val="24"/>
        </w:rPr>
        <w:t>Fincar directamente responsabilidades resarcitorias y aplicar multas y sanciones.</w:t>
      </w:r>
    </w:p>
    <w:p>
      <w:pPr>
        <w:pStyle w:val="ListParagraph"/>
        <w:numPr>
          <w:ilvl w:val="0"/>
          <w:numId w:val="45"/>
        </w:numPr>
        <w:tabs>
          <w:tab w:pos="550" w:val="left" w:leader="none"/>
        </w:tabs>
        <w:spacing w:line="360" w:lineRule="auto" w:before="2" w:after="0"/>
        <w:ind w:left="549" w:right="124" w:hanging="286"/>
        <w:jc w:val="both"/>
        <w:rPr>
          <w:sz w:val="24"/>
        </w:rPr>
      </w:pPr>
      <w:r>
        <w:rPr>
          <w:sz w:val="24"/>
        </w:rPr>
        <w:t>Solicitar, en situaciones excepcionales, información a los Poderes y entes auditados, para rendir informes</w:t>
      </w:r>
      <w:r>
        <w:rPr>
          <w:spacing w:val="-20"/>
          <w:sz w:val="24"/>
        </w:rPr>
        <w:t> </w:t>
      </w:r>
      <w:r>
        <w:rPr>
          <w:sz w:val="24"/>
        </w:rPr>
        <w:t>correspondientes.</w:t>
      </w:r>
    </w:p>
    <w:p>
      <w:pPr>
        <w:pStyle w:val="ListParagraph"/>
        <w:numPr>
          <w:ilvl w:val="0"/>
          <w:numId w:val="45"/>
        </w:numPr>
        <w:tabs>
          <w:tab w:pos="550" w:val="left" w:leader="none"/>
        </w:tabs>
        <w:spacing w:line="360" w:lineRule="auto" w:before="2" w:after="0"/>
        <w:ind w:left="549" w:right="120" w:hanging="286"/>
        <w:jc w:val="both"/>
        <w:rPr>
          <w:sz w:val="24"/>
        </w:rPr>
      </w:pPr>
      <w:r>
        <w:rPr>
          <w:sz w:val="24"/>
        </w:rPr>
        <w:t>Establecer normas y procedimientos, métodos y sistemas de contabilidad y archivo de libros y documentos justificativos y comprobatorios del ingreso y gasto</w:t>
      </w:r>
      <w:r>
        <w:rPr>
          <w:spacing w:val="-4"/>
          <w:sz w:val="24"/>
        </w:rPr>
        <w:t> </w:t>
      </w:r>
      <w:r>
        <w:rPr>
          <w:sz w:val="24"/>
        </w:rPr>
        <w:t>públicos.</w:t>
      </w:r>
    </w:p>
    <w:p>
      <w:pPr>
        <w:pStyle w:val="BodyText"/>
      </w:pPr>
    </w:p>
    <w:p>
      <w:pPr>
        <w:pStyle w:val="BodyText"/>
        <w:spacing w:line="360" w:lineRule="auto" w:before="142"/>
        <w:ind w:left="122" w:right="118" w:firstLine="427"/>
        <w:jc w:val="both"/>
      </w:pPr>
      <w:r>
        <w:rPr/>
        <w:t>La tendencia internacional hacia fortalecer las instituciones tuvo resultados diversos.</w:t>
      </w:r>
      <w:r>
        <w:rPr>
          <w:spacing w:val="-7"/>
        </w:rPr>
        <w:t> </w:t>
      </w:r>
      <w:r>
        <w:rPr/>
        <w:t>Mientras</w:t>
      </w:r>
      <w:r>
        <w:rPr>
          <w:spacing w:val="-8"/>
        </w:rPr>
        <w:t> </w:t>
      </w:r>
      <w:r>
        <w:rPr/>
        <w:t>que,</w:t>
      </w:r>
      <w:r>
        <w:rPr>
          <w:spacing w:val="-7"/>
        </w:rPr>
        <w:t> </w:t>
      </w:r>
      <w:r>
        <w:rPr/>
        <w:t>en</w:t>
      </w:r>
      <w:r>
        <w:rPr>
          <w:spacing w:val="-9"/>
        </w:rPr>
        <w:t> </w:t>
      </w:r>
      <w:r>
        <w:rPr/>
        <w:t>países</w:t>
      </w:r>
      <w:r>
        <w:rPr>
          <w:spacing w:val="-8"/>
        </w:rPr>
        <w:t> </w:t>
      </w:r>
      <w:r>
        <w:rPr/>
        <w:t>como</w:t>
      </w:r>
      <w:r>
        <w:rPr>
          <w:spacing w:val="-7"/>
        </w:rPr>
        <w:t> </w:t>
      </w:r>
      <w:r>
        <w:rPr/>
        <w:t>Estados</w:t>
      </w:r>
      <w:r>
        <w:rPr>
          <w:spacing w:val="-8"/>
        </w:rPr>
        <w:t> </w:t>
      </w:r>
      <w:r>
        <w:rPr/>
        <w:t>Unidos,</w:t>
      </w:r>
      <w:r>
        <w:rPr>
          <w:spacing w:val="-7"/>
        </w:rPr>
        <w:t> </w:t>
      </w:r>
      <w:r>
        <w:rPr/>
        <w:t>Inglaterra</w:t>
      </w:r>
      <w:r>
        <w:rPr>
          <w:spacing w:val="-9"/>
        </w:rPr>
        <w:t> </w:t>
      </w:r>
      <w:r>
        <w:rPr/>
        <w:t>y</w:t>
      </w:r>
      <w:r>
        <w:rPr>
          <w:spacing w:val="-10"/>
        </w:rPr>
        <w:t> </w:t>
      </w:r>
      <w:r>
        <w:rPr/>
        <w:t>sobre</w:t>
      </w:r>
      <w:r>
        <w:rPr>
          <w:spacing w:val="-8"/>
        </w:rPr>
        <w:t> </w:t>
      </w:r>
      <w:r>
        <w:rPr/>
        <w:t>todo</w:t>
      </w:r>
      <w:r>
        <w:rPr>
          <w:spacing w:val="-7"/>
        </w:rPr>
        <w:t> </w:t>
      </w:r>
      <w:r>
        <w:rPr/>
        <w:t>los países nórdicos registraron altos niveles de gobernabilidad, en México el fortalecimiento de la rendición de cuentas no se reflejó en un fortalecimiento de las instituciones ni en menor corrupción, tal vez porque las condiciones económicas y la cultura política son diametralmente opuestas entre estos países y México. En el año 2002 la ASF asumió la presidencia de la INTOSAI y en 2005 se llevó a cabo el “Foro Internacional de Fiscalización México y el</w:t>
      </w:r>
      <w:r>
        <w:rPr>
          <w:spacing w:val="-13"/>
        </w:rPr>
        <w:t> </w:t>
      </w:r>
      <w:r>
        <w:rPr/>
        <w:t>Mundo”.</w:t>
      </w:r>
    </w:p>
    <w:p>
      <w:pPr>
        <w:pStyle w:val="BodyText"/>
        <w:spacing w:line="360" w:lineRule="auto" w:before="2"/>
        <w:ind w:left="122" w:right="117" w:firstLine="427"/>
        <w:jc w:val="both"/>
      </w:pPr>
      <w:r>
        <w:rPr/>
        <w:t>El antecedente más remoto de la institución de rendición de cuentas del Poder Ejecutivo es la Secretaría de Estado y del Despacho Universal de 1705, a partir de la cual se creó la Secretaría de Estado y Despacho de Hacienda en 1821.</w:t>
      </w:r>
    </w:p>
    <w:p>
      <w:pPr>
        <w:pStyle w:val="BodyText"/>
        <w:rPr>
          <w:sz w:val="20"/>
        </w:rPr>
      </w:pPr>
    </w:p>
    <w:p>
      <w:pPr>
        <w:pStyle w:val="BodyText"/>
        <w:spacing w:before="1"/>
      </w:pPr>
      <w:r>
        <w:rPr/>
        <w:pict>
          <v:line style="position:absolute;mso-position-horizontal-relative:page;mso-position-vertical-relative:paragraph;z-index:7816;mso-wrap-distance-left:0;mso-wrap-distance-right:0" from="85.103996pt,16.210896pt" to="229.123996pt,16.210896pt" stroked="true" strokeweight=".71997pt" strokecolor="#000000">
            <w10:wrap type="topAndBottom"/>
          </v:line>
        </w:pict>
      </w:r>
    </w:p>
    <w:p>
      <w:pPr>
        <w:spacing w:line="300" w:lineRule="auto" w:before="65"/>
        <w:ind w:left="122" w:right="2371" w:firstLine="0"/>
        <w:jc w:val="left"/>
        <w:rPr>
          <w:sz w:val="16"/>
        </w:rPr>
      </w:pPr>
      <w:r>
        <w:rPr>
          <w:rFonts w:ascii="Times New Roman"/>
          <w:position w:val="7"/>
          <w:sz w:val="13"/>
        </w:rPr>
        <w:t>62 </w:t>
      </w:r>
      <w:r>
        <w:rPr>
          <w:sz w:val="16"/>
        </w:rPr>
        <w:t>Disponible en: </w:t>
      </w:r>
      <w:hyperlink r:id="rId138">
        <w:r>
          <w:rPr>
            <w:color w:val="0000FF"/>
            <w:sz w:val="16"/>
            <w:u w:val="single" w:color="0000FF"/>
          </w:rPr>
          <w:t>http://www.asf.gob.mx/Publication/38_Normas_que_dan_Origen_a_la_ASF </w:t>
        </w:r>
      </w:hyperlink>
      <w:r>
        <w:rPr>
          <w:sz w:val="16"/>
        </w:rPr>
        <w:t>[Fecha de consulta: 1 de septiembre, 2015]</w:t>
      </w:r>
    </w:p>
    <w:p>
      <w:pPr>
        <w:spacing w:after="0" w:line="300" w:lineRule="auto"/>
        <w:jc w:val="left"/>
        <w:rPr>
          <w:sz w:val="16"/>
        </w:rPr>
        <w:sectPr>
          <w:footerReference w:type="even" r:id="rId136"/>
          <w:footerReference w:type="default" r:id="rId137"/>
          <w:pgSz w:w="12240" w:h="15840"/>
          <w:pgMar w:footer="1003" w:header="0" w:top="1360" w:bottom="1200" w:left="1580" w:right="1580"/>
        </w:sectPr>
      </w:pPr>
    </w:p>
    <w:p>
      <w:pPr>
        <w:pStyle w:val="BodyText"/>
        <w:spacing w:line="362" w:lineRule="auto" w:before="54"/>
        <w:ind w:left="322" w:right="193" w:firstLine="427"/>
      </w:pPr>
      <w:r>
        <w:rPr/>
        <w:t>Los cambios más importantes realizados a la institución durante los dos siglos se presentan en el cuadro siguiente:</w:t>
      </w:r>
    </w:p>
    <w:p>
      <w:pPr>
        <w:pStyle w:val="BodyText"/>
      </w:pPr>
    </w:p>
    <w:p>
      <w:pPr>
        <w:spacing w:before="141"/>
        <w:ind w:left="322" w:right="193" w:firstLine="0"/>
        <w:jc w:val="left"/>
        <w:rPr>
          <w:sz w:val="20"/>
        </w:rPr>
      </w:pPr>
      <w:r>
        <w:rPr>
          <w:sz w:val="20"/>
        </w:rPr>
        <w:t>Cuadro 2. 2. Reformas constitucionales y legislativas de la Institución de control interno</w:t>
      </w:r>
    </w:p>
    <w:p>
      <w:pPr>
        <w:pStyle w:val="BodyText"/>
        <w:spacing w:before="4"/>
        <w:rPr>
          <w:sz w:val="17"/>
        </w:rPr>
      </w:pPr>
    </w:p>
    <w:tbl>
      <w:tblPr>
        <w:tblW w:w="0" w:type="auto"/>
        <w:jc w:val="left"/>
        <w:tblInd w:w="101" w:type="dxa"/>
        <w:tblBorders>
          <w:top w:val="single" w:sz="12" w:space="0" w:color="BEBEBE"/>
          <w:left w:val="single" w:sz="12" w:space="0" w:color="BEBEBE"/>
          <w:bottom w:val="single" w:sz="12" w:space="0" w:color="BEBEBE"/>
          <w:right w:val="single" w:sz="12" w:space="0" w:color="BEBEBE"/>
          <w:insideH w:val="single" w:sz="12" w:space="0" w:color="BEBEBE"/>
          <w:insideV w:val="single" w:sz="12" w:space="0" w:color="BEBEBE"/>
        </w:tblBorders>
        <w:tblLayout w:type="fixed"/>
        <w:tblCellMar>
          <w:top w:w="0" w:type="dxa"/>
          <w:left w:w="0" w:type="dxa"/>
          <w:bottom w:w="0" w:type="dxa"/>
          <w:right w:w="0" w:type="dxa"/>
        </w:tblCellMar>
        <w:tblLook w:val="01E0"/>
      </w:tblPr>
      <w:tblGrid>
        <w:gridCol w:w="1166"/>
        <w:gridCol w:w="8085"/>
      </w:tblGrid>
      <w:tr>
        <w:trPr>
          <w:trHeight w:val="586" w:hRule="exact"/>
        </w:trPr>
        <w:tc>
          <w:tcPr>
            <w:tcW w:w="1166" w:type="dxa"/>
          </w:tcPr>
          <w:p>
            <w:pPr/>
          </w:p>
        </w:tc>
        <w:tc>
          <w:tcPr>
            <w:tcW w:w="8085" w:type="dxa"/>
          </w:tcPr>
          <w:p>
            <w:pPr>
              <w:pStyle w:val="TableParagraph"/>
              <w:spacing w:before="10"/>
              <w:rPr>
                <w:sz w:val="15"/>
              </w:rPr>
            </w:pPr>
          </w:p>
          <w:p>
            <w:pPr>
              <w:pStyle w:val="TableParagraph"/>
              <w:ind w:left="2319"/>
              <w:rPr>
                <w:b/>
                <w:sz w:val="14"/>
              </w:rPr>
            </w:pPr>
            <w:r>
              <w:rPr>
                <w:b/>
                <w:sz w:val="14"/>
              </w:rPr>
              <w:t>Principales cambios constitucionales y legislativos</w:t>
            </w:r>
          </w:p>
        </w:tc>
      </w:tr>
      <w:tr>
        <w:trPr>
          <w:trHeight w:val="2057" w:hRule="exact"/>
        </w:trPr>
        <w:tc>
          <w:tcPr>
            <w:tcW w:w="116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1"/>
              </w:rPr>
            </w:pPr>
          </w:p>
          <w:p>
            <w:pPr>
              <w:pStyle w:val="TableParagraph"/>
              <w:ind w:left="93" w:right="96" w:firstLine="3"/>
              <w:jc w:val="center"/>
              <w:rPr>
                <w:b/>
                <w:sz w:val="14"/>
              </w:rPr>
            </w:pPr>
            <w:r>
              <w:rPr>
                <w:b/>
                <w:sz w:val="14"/>
              </w:rPr>
              <w:t>México </w:t>
            </w:r>
            <w:r>
              <w:rPr>
                <w:b/>
                <w:spacing w:val="-1"/>
                <w:sz w:val="14"/>
              </w:rPr>
              <w:t>Independiente </w:t>
            </w:r>
            <w:r>
              <w:rPr>
                <w:b/>
                <w:sz w:val="14"/>
              </w:rPr>
              <w:t>(1821- 1854)</w:t>
            </w:r>
          </w:p>
        </w:tc>
        <w:tc>
          <w:tcPr>
            <w:tcW w:w="8085" w:type="dxa"/>
            <w:tcBorders>
              <w:bottom w:val="single" w:sz="4" w:space="0" w:color="000000"/>
              <w:right w:val="single" w:sz="4" w:space="0" w:color="000000"/>
            </w:tcBorders>
          </w:tcPr>
          <w:p>
            <w:pPr>
              <w:pStyle w:val="TableParagraph"/>
              <w:spacing w:line="278" w:lineRule="auto"/>
              <w:ind w:left="551" w:right="102" w:hanging="459"/>
              <w:rPr>
                <w:sz w:val="14"/>
              </w:rPr>
            </w:pPr>
            <w:r>
              <w:rPr>
                <w:sz w:val="14"/>
              </w:rPr>
              <w:t>1821: Mediante el Reglamento Provisional para el Gobierno Interior y Exterior de la Secretaría de Estado y del Despacho Universal se creó la Secretaría de Estado y del Despacho de Hacienda.</w:t>
            </w:r>
          </w:p>
          <w:p>
            <w:pPr>
              <w:pStyle w:val="TableParagraph"/>
              <w:spacing w:line="276" w:lineRule="auto"/>
              <w:ind w:left="551" w:right="102" w:hanging="459"/>
              <w:rPr>
                <w:sz w:val="14"/>
              </w:rPr>
            </w:pPr>
            <w:r>
              <w:rPr>
                <w:sz w:val="14"/>
              </w:rPr>
              <w:t>1824: Se expidió la Ley para el Arreglo de la Administración de la Hacienda Pública. Se crearon cuatro departamentos, entre ellos el Departamento de Cuenta y Razón.</w:t>
            </w:r>
          </w:p>
          <w:p>
            <w:pPr>
              <w:pStyle w:val="TableParagraph"/>
              <w:ind w:left="93" w:right="102"/>
              <w:rPr>
                <w:sz w:val="14"/>
              </w:rPr>
            </w:pPr>
            <w:r>
              <w:rPr>
                <w:sz w:val="14"/>
              </w:rPr>
              <w:t>1825: Se expidió el Reglamento Provisional para la Secretaría del Despacho de Hacienda.</w:t>
            </w:r>
          </w:p>
          <w:p>
            <w:pPr>
              <w:pStyle w:val="TableParagraph"/>
              <w:spacing w:before="24"/>
              <w:ind w:left="93" w:right="102"/>
              <w:rPr>
                <w:sz w:val="14"/>
              </w:rPr>
            </w:pPr>
            <w:r>
              <w:rPr>
                <w:sz w:val="14"/>
              </w:rPr>
              <w:t>1831: Se estableció la Dirección General de Rentas y se suprime el Departamento de Cuenta y Razón.</w:t>
            </w:r>
          </w:p>
          <w:p>
            <w:pPr>
              <w:pStyle w:val="TableParagraph"/>
              <w:spacing w:line="276" w:lineRule="auto" w:before="24"/>
              <w:ind w:left="551" w:right="102" w:hanging="459"/>
              <w:rPr>
                <w:sz w:val="14"/>
              </w:rPr>
            </w:pPr>
            <w:r>
              <w:rPr>
                <w:sz w:val="14"/>
              </w:rPr>
              <w:t>1843: A la Secretaría del Despacho de Hacienda se le otorgó el carácter de Ministerio de Hacienda mediante las Bases Orgánicas de la República Mexicana.</w:t>
            </w:r>
          </w:p>
          <w:p>
            <w:pPr>
              <w:pStyle w:val="TableParagraph"/>
              <w:spacing w:line="276" w:lineRule="auto" w:before="2"/>
              <w:ind w:left="551" w:right="102" w:hanging="459"/>
              <w:rPr>
                <w:sz w:val="14"/>
              </w:rPr>
            </w:pPr>
            <w:r>
              <w:rPr>
                <w:sz w:val="14"/>
              </w:rPr>
              <w:t>1852: Mediante el Decreto por el que se Modifica la Organización del Ministerio de Hacienda, la Secretaría del Despacho de Hacienda queda dividida en 6 secciones, una de ellas denominada Sección de Crédito Público.</w:t>
            </w:r>
          </w:p>
          <w:p>
            <w:pPr>
              <w:pStyle w:val="TableParagraph"/>
              <w:ind w:left="93" w:right="102"/>
              <w:rPr>
                <w:sz w:val="14"/>
              </w:rPr>
            </w:pPr>
            <w:r>
              <w:rPr>
                <w:sz w:val="14"/>
              </w:rPr>
              <w:t>1853: La Sección de Crédito Público pasó a denominarse Secretaría de Hacienda y Crédito Público.</w:t>
            </w:r>
          </w:p>
        </w:tc>
      </w:tr>
      <w:tr>
        <w:trPr>
          <w:trHeight w:val="353" w:hRule="exact"/>
        </w:trPr>
        <w:tc>
          <w:tcPr>
            <w:tcW w:w="1166" w:type="dxa"/>
          </w:tcPr>
          <w:p>
            <w:pPr>
              <w:pStyle w:val="TableParagraph"/>
              <w:spacing w:line="242" w:lineRule="auto" w:before="5"/>
              <w:ind w:left="184" w:right="185" w:hanging="3"/>
              <w:rPr>
                <w:b/>
                <w:sz w:val="14"/>
              </w:rPr>
            </w:pPr>
            <w:r>
              <w:rPr>
                <w:b/>
                <w:sz w:val="14"/>
              </w:rPr>
              <w:t>La Reforma (1855-1872)</w:t>
            </w:r>
          </w:p>
        </w:tc>
        <w:tc>
          <w:tcPr>
            <w:tcW w:w="8085" w:type="dxa"/>
            <w:tcBorders>
              <w:top w:val="single" w:sz="4" w:space="0" w:color="000000"/>
              <w:bottom w:val="single" w:sz="4" w:space="0" w:color="000000"/>
              <w:right w:val="single" w:sz="4" w:space="0" w:color="000000"/>
            </w:tcBorders>
          </w:tcPr>
          <w:p>
            <w:pPr>
              <w:pStyle w:val="TableParagraph"/>
              <w:spacing w:before="17"/>
              <w:ind w:left="93" w:right="102"/>
              <w:rPr>
                <w:sz w:val="14"/>
              </w:rPr>
            </w:pPr>
            <w:r>
              <w:rPr>
                <w:sz w:val="14"/>
              </w:rPr>
              <w:t>1867: A la Secretaría de Hacienda se le consideró dependencia auditora.</w:t>
            </w:r>
          </w:p>
        </w:tc>
      </w:tr>
      <w:tr>
        <w:trPr>
          <w:trHeight w:val="350" w:hRule="exact"/>
        </w:trPr>
        <w:tc>
          <w:tcPr>
            <w:tcW w:w="1166" w:type="dxa"/>
          </w:tcPr>
          <w:p>
            <w:pPr>
              <w:pStyle w:val="TableParagraph"/>
              <w:spacing w:before="5"/>
              <w:ind w:left="184" w:right="172" w:hanging="15"/>
              <w:rPr>
                <w:b/>
                <w:sz w:val="14"/>
              </w:rPr>
            </w:pPr>
            <w:r>
              <w:rPr>
                <w:b/>
                <w:sz w:val="14"/>
              </w:rPr>
              <w:t>El Porfiriato (1876-1911)</w:t>
            </w:r>
          </w:p>
        </w:tc>
        <w:tc>
          <w:tcPr>
            <w:tcW w:w="8085" w:type="dxa"/>
            <w:tcBorders>
              <w:top w:val="single" w:sz="4" w:space="0" w:color="000000"/>
              <w:bottom w:val="single" w:sz="4" w:space="0" w:color="000000"/>
              <w:right w:val="single" w:sz="4" w:space="0" w:color="000000"/>
            </w:tcBorders>
          </w:tcPr>
          <w:p>
            <w:pPr>
              <w:pStyle w:val="TableParagraph"/>
              <w:spacing w:before="17"/>
              <w:ind w:left="551" w:right="102" w:hanging="459"/>
              <w:rPr>
                <w:sz w:val="14"/>
              </w:rPr>
            </w:pPr>
            <w:r>
              <w:rPr>
                <w:sz w:val="14"/>
              </w:rPr>
              <w:t>1881: La Secretaría de Hacienda concentró las actividades de recaudación, distribución, auditoría, contabilidad, formación de la cuenta general del erario, glosa preventiva y la formulación de las observaciones derivadas de la glosa.</w:t>
            </w:r>
          </w:p>
        </w:tc>
      </w:tr>
      <w:tr>
        <w:trPr>
          <w:trHeight w:val="353" w:hRule="exact"/>
        </w:trPr>
        <w:tc>
          <w:tcPr>
            <w:tcW w:w="1166" w:type="dxa"/>
          </w:tcPr>
          <w:p>
            <w:pPr>
              <w:pStyle w:val="TableParagraph"/>
              <w:spacing w:before="8"/>
              <w:ind w:left="184" w:right="189" w:firstLine="4"/>
              <w:rPr>
                <w:b/>
                <w:sz w:val="14"/>
              </w:rPr>
            </w:pPr>
            <w:r>
              <w:rPr>
                <w:b/>
                <w:sz w:val="14"/>
              </w:rPr>
              <w:t>Revolución </w:t>
            </w:r>
            <w:r>
              <w:rPr>
                <w:b/>
                <w:w w:val="95"/>
                <w:sz w:val="14"/>
              </w:rPr>
              <w:t>(1910-1929)</w:t>
            </w:r>
          </w:p>
        </w:tc>
        <w:tc>
          <w:tcPr>
            <w:tcW w:w="8085" w:type="dxa"/>
            <w:tcBorders>
              <w:top w:val="single" w:sz="4" w:space="0" w:color="000000"/>
              <w:bottom w:val="single" w:sz="4" w:space="0" w:color="000000"/>
              <w:right w:val="single" w:sz="4" w:space="0" w:color="000000"/>
            </w:tcBorders>
          </w:tcPr>
          <w:p>
            <w:pPr>
              <w:pStyle w:val="TableParagraph"/>
              <w:spacing w:before="20"/>
              <w:ind w:left="551" w:right="102" w:hanging="425"/>
              <w:rPr>
                <w:sz w:val="14"/>
              </w:rPr>
            </w:pPr>
            <w:r>
              <w:rPr>
                <w:sz w:val="14"/>
              </w:rPr>
              <w:t>1917: Mediante la Ley de Secretarías de Estado se creó el Departamento de Contraloría, adscrito directamente al Presidente de la República.</w:t>
            </w:r>
          </w:p>
        </w:tc>
      </w:tr>
      <w:tr>
        <w:trPr>
          <w:trHeight w:val="4860" w:hRule="exact"/>
        </w:trPr>
        <w:tc>
          <w:tcPr>
            <w:tcW w:w="116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spacing w:line="242" w:lineRule="auto" w:before="1"/>
              <w:ind w:left="189" w:right="194"/>
              <w:jc w:val="center"/>
              <w:rPr>
                <w:b/>
                <w:sz w:val="14"/>
              </w:rPr>
            </w:pPr>
            <w:r>
              <w:rPr>
                <w:b/>
                <w:w w:val="95"/>
                <w:sz w:val="14"/>
              </w:rPr>
              <w:t>Hegemonía </w:t>
            </w:r>
            <w:r>
              <w:rPr>
                <w:b/>
                <w:sz w:val="14"/>
              </w:rPr>
              <w:t>del</w:t>
            </w:r>
          </w:p>
          <w:p>
            <w:pPr>
              <w:pStyle w:val="TableParagraph"/>
              <w:ind w:left="100" w:right="103"/>
              <w:jc w:val="center"/>
              <w:rPr>
                <w:b/>
                <w:sz w:val="14"/>
              </w:rPr>
            </w:pPr>
            <w:r>
              <w:rPr>
                <w:b/>
                <w:w w:val="95"/>
                <w:sz w:val="14"/>
              </w:rPr>
              <w:t>PNR-PRM-PRI </w:t>
            </w:r>
            <w:r>
              <w:rPr>
                <w:b/>
                <w:sz w:val="14"/>
              </w:rPr>
              <w:t>(1929-2000)</w:t>
            </w:r>
          </w:p>
        </w:tc>
        <w:tc>
          <w:tcPr>
            <w:tcW w:w="8085" w:type="dxa"/>
            <w:tcBorders>
              <w:top w:val="single" w:sz="4" w:space="0" w:color="000000"/>
              <w:bottom w:val="single" w:sz="4" w:space="0" w:color="000000"/>
              <w:right w:val="single" w:sz="4" w:space="0" w:color="000000"/>
            </w:tcBorders>
          </w:tcPr>
          <w:p>
            <w:pPr>
              <w:pStyle w:val="TableParagraph"/>
              <w:spacing w:line="242" w:lineRule="auto" w:before="17"/>
              <w:ind w:left="551" w:right="112" w:hanging="459"/>
              <w:jc w:val="both"/>
              <w:rPr>
                <w:sz w:val="14"/>
              </w:rPr>
            </w:pPr>
            <w:r>
              <w:rPr>
                <w:sz w:val="14"/>
              </w:rPr>
              <w:t>1932: Mediante las reformas a la Ley de Secretarías de Estado de 1917, se suprimió el Departamento de Contraloría y se transfirieron sus funciones a la Secretaría de Hacienda.</w:t>
            </w:r>
          </w:p>
          <w:p>
            <w:pPr>
              <w:pStyle w:val="TableParagraph"/>
              <w:ind w:left="551" w:right="105" w:hanging="459"/>
              <w:jc w:val="both"/>
              <w:rPr>
                <w:sz w:val="14"/>
              </w:rPr>
            </w:pPr>
            <w:r>
              <w:rPr>
                <w:sz w:val="14"/>
              </w:rPr>
              <w:t>1935: Se creó la Contaduría de la Federación, encargada de la contabilidad gubernamental, la glosa y el finca miento de responsabilidades.</w:t>
            </w:r>
          </w:p>
          <w:p>
            <w:pPr>
              <w:pStyle w:val="TableParagraph"/>
              <w:ind w:left="93" w:right="102"/>
              <w:rPr>
                <w:sz w:val="14"/>
              </w:rPr>
            </w:pPr>
            <w:r>
              <w:rPr>
                <w:sz w:val="14"/>
              </w:rPr>
              <w:t>1947: La Ley de Secretarías estableció la Secretaría de Bienes Nacionales e Inspección Administrativa.</w:t>
            </w:r>
          </w:p>
          <w:p>
            <w:pPr>
              <w:pStyle w:val="TableParagraph"/>
              <w:ind w:left="551" w:right="105" w:hanging="459"/>
              <w:jc w:val="both"/>
              <w:rPr>
                <w:sz w:val="14"/>
              </w:rPr>
            </w:pPr>
            <w:r>
              <w:rPr>
                <w:sz w:val="14"/>
              </w:rPr>
              <w:t>1948: Se creó la Comisión Nacional de Inversiones, con funciones de control, vigilancia y coordinación sobre los organismos descentralizados y empresas de participación estatal.</w:t>
            </w:r>
          </w:p>
          <w:p>
            <w:pPr>
              <w:pStyle w:val="TableParagraph"/>
              <w:ind w:left="551" w:right="110" w:hanging="459"/>
              <w:jc w:val="both"/>
              <w:rPr>
                <w:sz w:val="14"/>
              </w:rPr>
            </w:pPr>
            <w:r>
              <w:rPr>
                <w:sz w:val="14"/>
              </w:rPr>
              <w:t>1949: Se facultó a la Secretaría de Hacienda para instituir el mecanismo correspondiente para el control de las entidades no financieras,</w:t>
            </w:r>
          </w:p>
          <w:p>
            <w:pPr>
              <w:pStyle w:val="TableParagraph"/>
              <w:ind w:left="551" w:right="102" w:hanging="425"/>
              <w:rPr>
                <w:sz w:val="14"/>
              </w:rPr>
            </w:pPr>
            <w:r>
              <w:rPr>
                <w:sz w:val="14"/>
              </w:rPr>
              <w:t>1958: Se creó la Secretaría de la Presidencia, asignándole la facultad de elaborar el Plan General del Gasto Público e Inversiones del Poder Ejecutivo, así como coordinar y vigilar los programas de inversión de la Administración Pública. La</w:t>
            </w:r>
            <w:r>
              <w:rPr>
                <w:spacing w:val="-11"/>
                <w:sz w:val="14"/>
              </w:rPr>
              <w:t> </w:t>
            </w:r>
            <w:r>
              <w:rPr>
                <w:sz w:val="14"/>
              </w:rPr>
              <w:t>misma</w:t>
            </w:r>
            <w:r>
              <w:rPr>
                <w:spacing w:val="-11"/>
                <w:sz w:val="14"/>
              </w:rPr>
              <w:t> </w:t>
            </w:r>
            <w:r>
              <w:rPr>
                <w:sz w:val="14"/>
              </w:rPr>
              <w:t>Ley</w:t>
            </w:r>
            <w:r>
              <w:rPr>
                <w:spacing w:val="-13"/>
                <w:sz w:val="14"/>
              </w:rPr>
              <w:t> </w:t>
            </w:r>
            <w:r>
              <w:rPr>
                <w:sz w:val="14"/>
              </w:rPr>
              <w:t>estableció</w:t>
            </w:r>
            <w:r>
              <w:rPr>
                <w:spacing w:val="-11"/>
                <w:sz w:val="14"/>
              </w:rPr>
              <w:t> </w:t>
            </w:r>
            <w:r>
              <w:rPr>
                <w:sz w:val="14"/>
              </w:rPr>
              <w:t>que</w:t>
            </w:r>
            <w:r>
              <w:rPr>
                <w:spacing w:val="-11"/>
                <w:sz w:val="14"/>
              </w:rPr>
              <w:t> </w:t>
            </w:r>
            <w:r>
              <w:rPr>
                <w:sz w:val="14"/>
              </w:rPr>
              <w:t>a</w:t>
            </w:r>
            <w:r>
              <w:rPr>
                <w:spacing w:val="-11"/>
                <w:sz w:val="14"/>
              </w:rPr>
              <w:t> </w:t>
            </w:r>
            <w:r>
              <w:rPr>
                <w:sz w:val="14"/>
              </w:rPr>
              <w:t>la</w:t>
            </w:r>
            <w:r>
              <w:rPr>
                <w:spacing w:val="-10"/>
                <w:sz w:val="14"/>
              </w:rPr>
              <w:t> </w:t>
            </w:r>
            <w:r>
              <w:rPr>
                <w:sz w:val="14"/>
              </w:rPr>
              <w:t>Secretaría</w:t>
            </w:r>
            <w:r>
              <w:rPr>
                <w:spacing w:val="-11"/>
                <w:sz w:val="14"/>
              </w:rPr>
              <w:t> </w:t>
            </w:r>
            <w:r>
              <w:rPr>
                <w:sz w:val="14"/>
              </w:rPr>
              <w:t>de</w:t>
            </w:r>
            <w:r>
              <w:rPr>
                <w:spacing w:val="-11"/>
                <w:sz w:val="14"/>
              </w:rPr>
              <w:t> </w:t>
            </w:r>
            <w:r>
              <w:rPr>
                <w:sz w:val="14"/>
              </w:rPr>
              <w:t>Hacienda</w:t>
            </w:r>
            <w:r>
              <w:rPr>
                <w:spacing w:val="-11"/>
                <w:sz w:val="14"/>
              </w:rPr>
              <w:t> </w:t>
            </w:r>
            <w:r>
              <w:rPr>
                <w:sz w:val="14"/>
              </w:rPr>
              <w:t>le</w:t>
            </w:r>
            <w:r>
              <w:rPr>
                <w:spacing w:val="-10"/>
                <w:sz w:val="14"/>
              </w:rPr>
              <w:t> </w:t>
            </w:r>
            <w:r>
              <w:rPr>
                <w:sz w:val="14"/>
              </w:rPr>
              <w:t>compete</w:t>
            </w:r>
            <w:r>
              <w:rPr>
                <w:spacing w:val="-11"/>
                <w:sz w:val="14"/>
              </w:rPr>
              <w:t> </w:t>
            </w:r>
            <w:r>
              <w:rPr>
                <w:sz w:val="14"/>
              </w:rPr>
              <w:t>la</w:t>
            </w:r>
            <w:r>
              <w:rPr>
                <w:spacing w:val="-11"/>
                <w:sz w:val="14"/>
              </w:rPr>
              <w:t> </w:t>
            </w:r>
            <w:r>
              <w:rPr>
                <w:sz w:val="14"/>
              </w:rPr>
              <w:t>glosa</w:t>
            </w:r>
            <w:r>
              <w:rPr>
                <w:spacing w:val="-11"/>
                <w:sz w:val="14"/>
              </w:rPr>
              <w:t> </w:t>
            </w:r>
            <w:r>
              <w:rPr>
                <w:sz w:val="14"/>
              </w:rPr>
              <w:t>preventiva;</w:t>
            </w:r>
            <w:r>
              <w:rPr>
                <w:spacing w:val="-10"/>
                <w:sz w:val="14"/>
              </w:rPr>
              <w:t> </w:t>
            </w:r>
            <w:r>
              <w:rPr>
                <w:sz w:val="14"/>
              </w:rPr>
              <w:t>la</w:t>
            </w:r>
            <w:r>
              <w:rPr>
                <w:spacing w:val="-11"/>
                <w:sz w:val="14"/>
              </w:rPr>
              <w:t> </w:t>
            </w:r>
            <w:r>
              <w:rPr>
                <w:sz w:val="14"/>
              </w:rPr>
              <w:t>formulación</w:t>
            </w:r>
            <w:r>
              <w:rPr>
                <w:spacing w:val="-11"/>
                <w:sz w:val="14"/>
              </w:rPr>
              <w:t> </w:t>
            </w:r>
            <w:r>
              <w:rPr>
                <w:sz w:val="14"/>
              </w:rPr>
              <w:t>del</w:t>
            </w:r>
            <w:r>
              <w:rPr>
                <w:spacing w:val="-10"/>
                <w:sz w:val="14"/>
              </w:rPr>
              <w:t> </w:t>
            </w:r>
            <w:r>
              <w:rPr>
                <w:sz w:val="14"/>
              </w:rPr>
              <w:t>Presupuesto; la</w:t>
            </w:r>
            <w:r>
              <w:rPr>
                <w:spacing w:val="-4"/>
                <w:sz w:val="14"/>
              </w:rPr>
              <w:t> </w:t>
            </w:r>
            <w:r>
              <w:rPr>
                <w:sz w:val="14"/>
              </w:rPr>
              <w:t>contabilidad</w:t>
            </w:r>
            <w:r>
              <w:rPr>
                <w:spacing w:val="-2"/>
                <w:sz w:val="14"/>
              </w:rPr>
              <w:t> </w:t>
            </w:r>
            <w:r>
              <w:rPr>
                <w:sz w:val="14"/>
              </w:rPr>
              <w:t>y</w:t>
            </w:r>
            <w:r>
              <w:rPr>
                <w:spacing w:val="-4"/>
                <w:sz w:val="14"/>
              </w:rPr>
              <w:t> </w:t>
            </w:r>
            <w:r>
              <w:rPr>
                <w:sz w:val="14"/>
              </w:rPr>
              <w:t>la</w:t>
            </w:r>
            <w:r>
              <w:rPr>
                <w:spacing w:val="-2"/>
                <w:sz w:val="14"/>
              </w:rPr>
              <w:t> </w:t>
            </w:r>
            <w:r>
              <w:rPr>
                <w:sz w:val="14"/>
              </w:rPr>
              <w:t>autorización</w:t>
            </w:r>
            <w:r>
              <w:rPr>
                <w:spacing w:val="-4"/>
                <w:sz w:val="14"/>
              </w:rPr>
              <w:t> </w:t>
            </w:r>
            <w:r>
              <w:rPr>
                <w:sz w:val="14"/>
              </w:rPr>
              <w:t>de</w:t>
            </w:r>
            <w:r>
              <w:rPr>
                <w:spacing w:val="-4"/>
                <w:sz w:val="14"/>
              </w:rPr>
              <w:t> </w:t>
            </w:r>
            <w:r>
              <w:rPr>
                <w:sz w:val="14"/>
              </w:rPr>
              <w:t>actos</w:t>
            </w:r>
            <w:r>
              <w:rPr>
                <w:spacing w:val="-2"/>
                <w:sz w:val="14"/>
              </w:rPr>
              <w:t> </w:t>
            </w:r>
            <w:r>
              <w:rPr>
                <w:sz w:val="14"/>
              </w:rPr>
              <w:t>y</w:t>
            </w:r>
            <w:r>
              <w:rPr>
                <w:spacing w:val="-6"/>
                <w:sz w:val="14"/>
              </w:rPr>
              <w:t> </w:t>
            </w:r>
            <w:r>
              <w:rPr>
                <w:sz w:val="14"/>
              </w:rPr>
              <w:t>contratos,</w:t>
            </w:r>
            <w:r>
              <w:rPr>
                <w:spacing w:val="-4"/>
                <w:sz w:val="14"/>
              </w:rPr>
              <w:t> </w:t>
            </w:r>
            <w:r>
              <w:rPr>
                <w:sz w:val="14"/>
              </w:rPr>
              <w:t>conjuntamente</w:t>
            </w:r>
            <w:r>
              <w:rPr>
                <w:spacing w:val="-4"/>
                <w:sz w:val="14"/>
              </w:rPr>
              <w:t> </w:t>
            </w:r>
            <w:r>
              <w:rPr>
                <w:sz w:val="14"/>
              </w:rPr>
              <w:t>con</w:t>
            </w:r>
            <w:r>
              <w:rPr>
                <w:spacing w:val="-4"/>
                <w:sz w:val="14"/>
              </w:rPr>
              <w:t> </w:t>
            </w:r>
            <w:r>
              <w:rPr>
                <w:sz w:val="14"/>
              </w:rPr>
              <w:t>la</w:t>
            </w:r>
            <w:r>
              <w:rPr>
                <w:spacing w:val="-4"/>
                <w:sz w:val="14"/>
              </w:rPr>
              <w:t> </w:t>
            </w:r>
            <w:r>
              <w:rPr>
                <w:sz w:val="14"/>
              </w:rPr>
              <w:t>Secretaría</w:t>
            </w:r>
            <w:r>
              <w:rPr>
                <w:spacing w:val="-5"/>
                <w:sz w:val="14"/>
              </w:rPr>
              <w:t> </w:t>
            </w:r>
            <w:r>
              <w:rPr>
                <w:sz w:val="14"/>
              </w:rPr>
              <w:t>del</w:t>
            </w:r>
            <w:r>
              <w:rPr>
                <w:spacing w:val="-4"/>
                <w:sz w:val="14"/>
              </w:rPr>
              <w:t> </w:t>
            </w:r>
            <w:r>
              <w:rPr>
                <w:sz w:val="14"/>
              </w:rPr>
              <w:t>Patrimonio</w:t>
            </w:r>
            <w:r>
              <w:rPr>
                <w:spacing w:val="-4"/>
                <w:sz w:val="14"/>
              </w:rPr>
              <w:t> </w:t>
            </w:r>
            <w:r>
              <w:rPr>
                <w:sz w:val="14"/>
              </w:rPr>
              <w:t>Nacional.</w:t>
            </w:r>
          </w:p>
          <w:p>
            <w:pPr>
              <w:pStyle w:val="TableParagraph"/>
              <w:ind w:left="93" w:right="102"/>
              <w:rPr>
                <w:sz w:val="14"/>
              </w:rPr>
            </w:pPr>
            <w:r>
              <w:rPr>
                <w:sz w:val="14"/>
              </w:rPr>
              <w:t>1976: Las funciones de control y vigilancia quedaron distribuidas de la forma siguiente:</w:t>
            </w:r>
          </w:p>
          <w:p>
            <w:pPr>
              <w:pStyle w:val="TableParagraph"/>
              <w:numPr>
                <w:ilvl w:val="0"/>
                <w:numId w:val="46"/>
              </w:numPr>
              <w:tabs>
                <w:tab w:pos="718" w:val="left" w:leader="none"/>
              </w:tabs>
              <w:spacing w:line="240" w:lineRule="auto" w:before="2" w:after="0"/>
              <w:ind w:left="693" w:right="112" w:hanging="141"/>
              <w:jc w:val="left"/>
              <w:rPr>
                <w:sz w:val="14"/>
              </w:rPr>
            </w:pPr>
            <w:r>
              <w:rPr>
                <w:sz w:val="14"/>
              </w:rPr>
              <w:t>El manejo de la deuda pública y lo referente al avalúo de los bienes muebles nacionales, bajo la responsabilidad de la</w:t>
            </w:r>
            <w:r>
              <w:rPr>
                <w:spacing w:val="-5"/>
                <w:sz w:val="14"/>
              </w:rPr>
              <w:t> </w:t>
            </w:r>
            <w:r>
              <w:rPr>
                <w:sz w:val="14"/>
              </w:rPr>
              <w:t>SHCP;</w:t>
            </w:r>
          </w:p>
          <w:p>
            <w:pPr>
              <w:pStyle w:val="TableParagraph"/>
              <w:numPr>
                <w:ilvl w:val="0"/>
                <w:numId w:val="46"/>
              </w:numPr>
              <w:tabs>
                <w:tab w:pos="723" w:val="left" w:leader="none"/>
              </w:tabs>
              <w:spacing w:line="240" w:lineRule="auto" w:before="0" w:after="0"/>
              <w:ind w:left="693" w:right="104" w:hanging="141"/>
              <w:jc w:val="left"/>
              <w:rPr>
                <w:sz w:val="14"/>
              </w:rPr>
            </w:pPr>
            <w:r>
              <w:rPr>
                <w:sz w:val="14"/>
              </w:rPr>
              <w:t>El control, vigilancia y evaluación del ejercicio del gasto público federal y de los presupuestos, de los contratos de obra</w:t>
            </w:r>
            <w:r>
              <w:rPr>
                <w:spacing w:val="-4"/>
                <w:sz w:val="14"/>
              </w:rPr>
              <w:t> </w:t>
            </w:r>
            <w:r>
              <w:rPr>
                <w:sz w:val="14"/>
              </w:rPr>
              <w:t>pública,</w:t>
            </w:r>
            <w:r>
              <w:rPr>
                <w:spacing w:val="-2"/>
                <w:sz w:val="14"/>
              </w:rPr>
              <w:t> </w:t>
            </w:r>
            <w:r>
              <w:rPr>
                <w:sz w:val="14"/>
              </w:rPr>
              <w:t>de</w:t>
            </w:r>
            <w:r>
              <w:rPr>
                <w:spacing w:val="-4"/>
                <w:sz w:val="14"/>
              </w:rPr>
              <w:t> </w:t>
            </w:r>
            <w:r>
              <w:rPr>
                <w:sz w:val="14"/>
              </w:rPr>
              <w:t>la</w:t>
            </w:r>
            <w:r>
              <w:rPr>
                <w:spacing w:val="-4"/>
                <w:sz w:val="14"/>
              </w:rPr>
              <w:t> </w:t>
            </w:r>
            <w:r>
              <w:rPr>
                <w:sz w:val="14"/>
              </w:rPr>
              <w:t>informática, y</w:t>
            </w:r>
            <w:r>
              <w:rPr>
                <w:spacing w:val="-4"/>
                <w:sz w:val="14"/>
              </w:rPr>
              <w:t> </w:t>
            </w:r>
            <w:r>
              <w:rPr>
                <w:sz w:val="14"/>
              </w:rPr>
              <w:t>de</w:t>
            </w:r>
            <w:r>
              <w:rPr>
                <w:spacing w:val="-4"/>
                <w:sz w:val="14"/>
              </w:rPr>
              <w:t> </w:t>
            </w:r>
            <w:r>
              <w:rPr>
                <w:sz w:val="14"/>
              </w:rPr>
              <w:t>las</w:t>
            </w:r>
            <w:r>
              <w:rPr>
                <w:spacing w:val="-1"/>
                <w:sz w:val="14"/>
              </w:rPr>
              <w:t> </w:t>
            </w:r>
            <w:r>
              <w:rPr>
                <w:sz w:val="14"/>
              </w:rPr>
              <w:t>adquisiciones,</w:t>
            </w:r>
            <w:r>
              <w:rPr>
                <w:spacing w:val="-2"/>
                <w:sz w:val="14"/>
              </w:rPr>
              <w:t> </w:t>
            </w:r>
            <w:r>
              <w:rPr>
                <w:sz w:val="14"/>
              </w:rPr>
              <w:t>en</w:t>
            </w:r>
            <w:r>
              <w:rPr>
                <w:spacing w:val="-4"/>
                <w:sz w:val="14"/>
              </w:rPr>
              <w:t> </w:t>
            </w:r>
            <w:r>
              <w:rPr>
                <w:sz w:val="14"/>
              </w:rPr>
              <w:t>la</w:t>
            </w:r>
            <w:r>
              <w:rPr>
                <w:spacing w:val="-4"/>
                <w:sz w:val="14"/>
              </w:rPr>
              <w:t> </w:t>
            </w:r>
            <w:r>
              <w:rPr>
                <w:sz w:val="14"/>
              </w:rPr>
              <w:t>Secretaría</w:t>
            </w:r>
            <w:r>
              <w:rPr>
                <w:spacing w:val="-3"/>
                <w:sz w:val="14"/>
              </w:rPr>
              <w:t> </w:t>
            </w:r>
            <w:r>
              <w:rPr>
                <w:sz w:val="14"/>
              </w:rPr>
              <w:t>de</w:t>
            </w:r>
            <w:r>
              <w:rPr>
                <w:spacing w:val="-4"/>
                <w:sz w:val="14"/>
              </w:rPr>
              <w:t> </w:t>
            </w:r>
            <w:r>
              <w:rPr>
                <w:sz w:val="14"/>
              </w:rPr>
              <w:t>Programación y</w:t>
            </w:r>
            <w:r>
              <w:rPr>
                <w:spacing w:val="-6"/>
                <w:sz w:val="14"/>
              </w:rPr>
              <w:t> </w:t>
            </w:r>
            <w:r>
              <w:rPr>
                <w:sz w:val="14"/>
              </w:rPr>
              <w:t>Presupuesto;</w:t>
            </w:r>
          </w:p>
          <w:p>
            <w:pPr>
              <w:pStyle w:val="TableParagraph"/>
              <w:numPr>
                <w:ilvl w:val="0"/>
                <w:numId w:val="47"/>
              </w:numPr>
              <w:tabs>
                <w:tab w:pos="694" w:val="left" w:leader="none"/>
              </w:tabs>
              <w:spacing w:line="240" w:lineRule="auto" w:before="0" w:after="0"/>
              <w:ind w:left="693" w:right="110" w:hanging="141"/>
              <w:jc w:val="left"/>
              <w:rPr>
                <w:sz w:val="14"/>
              </w:rPr>
            </w:pPr>
            <w:r>
              <w:rPr>
                <w:sz w:val="14"/>
              </w:rPr>
              <w:t>La administración y vigilancia de los bienes de propiedad originaria, los que constituyen recursos naturales no renovables y</w:t>
            </w:r>
            <w:r>
              <w:rPr>
                <w:spacing w:val="-5"/>
                <w:sz w:val="14"/>
              </w:rPr>
              <w:t> </w:t>
            </w:r>
            <w:r>
              <w:rPr>
                <w:sz w:val="14"/>
              </w:rPr>
              <w:t>los</w:t>
            </w:r>
            <w:r>
              <w:rPr>
                <w:spacing w:val="-4"/>
                <w:sz w:val="14"/>
              </w:rPr>
              <w:t> </w:t>
            </w:r>
            <w:r>
              <w:rPr>
                <w:sz w:val="14"/>
              </w:rPr>
              <w:t>de</w:t>
            </w:r>
            <w:r>
              <w:rPr>
                <w:spacing w:val="-4"/>
                <w:sz w:val="14"/>
              </w:rPr>
              <w:t> </w:t>
            </w:r>
            <w:r>
              <w:rPr>
                <w:sz w:val="14"/>
              </w:rPr>
              <w:t>dominio</w:t>
            </w:r>
            <w:r>
              <w:rPr>
                <w:spacing w:val="-2"/>
                <w:sz w:val="14"/>
              </w:rPr>
              <w:t> </w:t>
            </w:r>
            <w:r>
              <w:rPr>
                <w:sz w:val="14"/>
              </w:rPr>
              <w:t>público</w:t>
            </w:r>
            <w:r>
              <w:rPr>
                <w:spacing w:val="-2"/>
                <w:sz w:val="14"/>
              </w:rPr>
              <w:t> </w:t>
            </w:r>
            <w:r>
              <w:rPr>
                <w:sz w:val="14"/>
              </w:rPr>
              <w:t>de uso</w:t>
            </w:r>
            <w:r>
              <w:rPr>
                <w:spacing w:val="-4"/>
                <w:sz w:val="14"/>
              </w:rPr>
              <w:t> </w:t>
            </w:r>
            <w:r>
              <w:rPr>
                <w:sz w:val="14"/>
              </w:rPr>
              <w:t>común,</w:t>
            </w:r>
            <w:r>
              <w:rPr>
                <w:spacing w:val="-4"/>
                <w:sz w:val="14"/>
              </w:rPr>
              <w:t> </w:t>
            </w:r>
            <w:r>
              <w:rPr>
                <w:sz w:val="14"/>
              </w:rPr>
              <w:t>en</w:t>
            </w:r>
            <w:r>
              <w:rPr>
                <w:spacing w:val="-4"/>
                <w:sz w:val="14"/>
              </w:rPr>
              <w:t> </w:t>
            </w:r>
            <w:r>
              <w:rPr>
                <w:sz w:val="14"/>
              </w:rPr>
              <w:t>la</w:t>
            </w:r>
            <w:r>
              <w:rPr>
                <w:spacing w:val="-4"/>
                <w:sz w:val="14"/>
              </w:rPr>
              <w:t> </w:t>
            </w:r>
            <w:r>
              <w:rPr>
                <w:sz w:val="14"/>
              </w:rPr>
              <w:t>Secretaría</w:t>
            </w:r>
            <w:r>
              <w:rPr>
                <w:spacing w:val="-5"/>
                <w:sz w:val="14"/>
              </w:rPr>
              <w:t> </w:t>
            </w:r>
            <w:r>
              <w:rPr>
                <w:sz w:val="14"/>
              </w:rPr>
              <w:t>de</w:t>
            </w:r>
            <w:r>
              <w:rPr>
                <w:spacing w:val="-4"/>
                <w:sz w:val="14"/>
              </w:rPr>
              <w:t> </w:t>
            </w:r>
            <w:r>
              <w:rPr>
                <w:sz w:val="14"/>
              </w:rPr>
              <w:t>Patrimonio y</w:t>
            </w:r>
            <w:r>
              <w:rPr>
                <w:spacing w:val="-4"/>
                <w:sz w:val="14"/>
              </w:rPr>
              <w:t> </w:t>
            </w:r>
            <w:r>
              <w:rPr>
                <w:sz w:val="14"/>
              </w:rPr>
              <w:t>Fomento</w:t>
            </w:r>
            <w:r>
              <w:rPr>
                <w:spacing w:val="-3"/>
                <w:sz w:val="14"/>
              </w:rPr>
              <w:t> </w:t>
            </w:r>
            <w:r>
              <w:rPr>
                <w:sz w:val="14"/>
              </w:rPr>
              <w:t>Industrial; y</w:t>
            </w:r>
          </w:p>
          <w:p>
            <w:pPr>
              <w:pStyle w:val="TableParagraph"/>
              <w:numPr>
                <w:ilvl w:val="0"/>
                <w:numId w:val="47"/>
              </w:numPr>
              <w:tabs>
                <w:tab w:pos="694" w:val="left" w:leader="none"/>
              </w:tabs>
              <w:spacing w:line="240" w:lineRule="auto" w:before="0" w:after="0"/>
              <w:ind w:left="693" w:right="0" w:hanging="141"/>
              <w:jc w:val="left"/>
              <w:rPr>
                <w:sz w:val="14"/>
              </w:rPr>
            </w:pPr>
            <w:r>
              <w:rPr>
                <w:sz w:val="14"/>
              </w:rPr>
              <w:t>La administración y vigilancia de los inmuebles de propiedad</w:t>
            </w:r>
            <w:r>
              <w:rPr>
                <w:spacing w:val="-27"/>
                <w:sz w:val="14"/>
              </w:rPr>
              <w:t> </w:t>
            </w:r>
            <w:r>
              <w:rPr>
                <w:sz w:val="14"/>
              </w:rPr>
              <w:t>federal.</w:t>
            </w:r>
          </w:p>
          <w:p>
            <w:pPr>
              <w:pStyle w:val="TableParagraph"/>
              <w:ind w:left="551" w:right="106" w:hanging="459"/>
              <w:jc w:val="both"/>
              <w:rPr>
                <w:sz w:val="14"/>
              </w:rPr>
            </w:pPr>
            <w:r>
              <w:rPr>
                <w:sz w:val="14"/>
              </w:rPr>
              <w:t>1982: Se realizaron reformas a la Ley Orgánica de la Administración Pública Federal (LOAPF) y se creó la Secretaría de la Contraloría General de la Federación; para integrar las funciones de control y evaluación global de la gestión pública anteriormente dispersas.</w:t>
            </w:r>
          </w:p>
          <w:p>
            <w:pPr>
              <w:pStyle w:val="TableParagraph"/>
              <w:ind w:left="551" w:right="105" w:hanging="459"/>
              <w:jc w:val="both"/>
              <w:rPr>
                <w:sz w:val="14"/>
              </w:rPr>
            </w:pPr>
            <w:r>
              <w:rPr>
                <w:sz w:val="14"/>
              </w:rPr>
              <w:t>1994: Las reformas a la LOAPF fueron realizadas para que tareas de gobierno se realizaran con oportunidad y eficiencia, para evitar duplicidad de funciones y precisar responsabilidades. Se cambió el nombre de SECOGEF a Secretaría de Contraloría y Desarrollo Administrativo (SECODAM).</w:t>
            </w:r>
          </w:p>
          <w:p>
            <w:pPr>
              <w:pStyle w:val="TableParagraph"/>
              <w:spacing w:before="2"/>
              <w:ind w:left="93"/>
              <w:rPr>
                <w:sz w:val="14"/>
              </w:rPr>
            </w:pPr>
            <w:r>
              <w:rPr>
                <w:sz w:val="14"/>
              </w:rPr>
              <w:t>1996: Las reformas a la LOAPF facultaron a la SECODAM para designar y remover a los contralores internos de la APF y de la Procuraduría General de la República.</w:t>
            </w:r>
          </w:p>
          <w:p>
            <w:pPr>
              <w:pStyle w:val="TableParagraph"/>
              <w:ind w:left="93" w:right="102"/>
              <w:rPr>
                <w:sz w:val="14"/>
              </w:rPr>
            </w:pPr>
            <w:r>
              <w:rPr>
                <w:sz w:val="14"/>
              </w:rPr>
              <w:t>1997: Se modificó el Reglamento Interior de la SECODAM.</w:t>
            </w:r>
          </w:p>
        </w:tc>
      </w:tr>
    </w:tbl>
    <w:p>
      <w:pPr>
        <w:pStyle w:val="BodyText"/>
        <w:spacing w:before="9"/>
        <w:rPr>
          <w:sz w:val="12"/>
        </w:rPr>
      </w:pPr>
    </w:p>
    <w:p>
      <w:pPr>
        <w:spacing w:before="0"/>
        <w:ind w:left="322" w:right="193" w:firstLine="0"/>
        <w:jc w:val="left"/>
        <w:rPr>
          <w:sz w:val="12"/>
        </w:rPr>
      </w:pPr>
      <w:r>
        <w:rPr>
          <w:sz w:val="12"/>
        </w:rPr>
        <w:t>FUENTE:     Antecedentes Históricos de la Secretaría de Hacienda y Crédito Público y Manual de Organización General de la Secretaría de la Función Pública.</w:t>
      </w:r>
    </w:p>
    <w:p>
      <w:pPr>
        <w:spacing w:after="0"/>
        <w:jc w:val="left"/>
        <w:rPr>
          <w:sz w:val="12"/>
        </w:rPr>
        <w:sectPr>
          <w:pgSz w:w="12240" w:h="15840"/>
          <w:pgMar w:header="0" w:footer="1003" w:top="1360" w:bottom="1200" w:left="1380" w:right="1360"/>
        </w:sectPr>
      </w:pPr>
    </w:p>
    <w:p>
      <w:pPr>
        <w:pStyle w:val="BodyText"/>
        <w:spacing w:line="360" w:lineRule="auto" w:before="54"/>
        <w:ind w:left="122" w:right="122" w:firstLine="427"/>
        <w:jc w:val="both"/>
      </w:pPr>
      <w:r>
        <w:rPr/>
        <w:t>Con el objetivo de enfrentar la crisis económica de 1983 el Poder Ejecutivo emprendió</w:t>
      </w:r>
      <w:r>
        <w:rPr>
          <w:spacing w:val="-10"/>
        </w:rPr>
        <w:t> </w:t>
      </w:r>
      <w:r>
        <w:rPr/>
        <w:t>un</w:t>
      </w:r>
      <w:r>
        <w:rPr>
          <w:spacing w:val="-7"/>
        </w:rPr>
        <w:t> </w:t>
      </w:r>
      <w:r>
        <w:rPr/>
        <w:t>plan</w:t>
      </w:r>
      <w:r>
        <w:rPr>
          <w:spacing w:val="-9"/>
        </w:rPr>
        <w:t> </w:t>
      </w:r>
      <w:r>
        <w:rPr/>
        <w:t>nacional.</w:t>
      </w:r>
      <w:r>
        <w:rPr>
          <w:spacing w:val="-10"/>
        </w:rPr>
        <w:t> </w:t>
      </w:r>
      <w:r>
        <w:rPr/>
        <w:t>A</w:t>
      </w:r>
      <w:r>
        <w:rPr>
          <w:spacing w:val="-7"/>
        </w:rPr>
        <w:t> </w:t>
      </w:r>
      <w:r>
        <w:rPr/>
        <w:t>partir</w:t>
      </w:r>
      <w:r>
        <w:rPr>
          <w:spacing w:val="-8"/>
        </w:rPr>
        <w:t> </w:t>
      </w:r>
      <w:r>
        <w:rPr/>
        <w:t>de</w:t>
      </w:r>
      <w:r>
        <w:rPr>
          <w:spacing w:val="-9"/>
        </w:rPr>
        <w:t> </w:t>
      </w:r>
      <w:r>
        <w:rPr/>
        <w:t>ese</w:t>
      </w:r>
      <w:r>
        <w:rPr>
          <w:spacing w:val="-7"/>
        </w:rPr>
        <w:t> </w:t>
      </w:r>
      <w:r>
        <w:rPr/>
        <w:t>año,</w:t>
      </w:r>
      <w:r>
        <w:rPr>
          <w:spacing w:val="-7"/>
        </w:rPr>
        <w:t> </w:t>
      </w:r>
      <w:r>
        <w:rPr/>
        <w:t>cada</w:t>
      </w:r>
      <w:r>
        <w:rPr>
          <w:spacing w:val="-7"/>
        </w:rPr>
        <w:t> </w:t>
      </w:r>
      <w:r>
        <w:rPr/>
        <w:t>sexenio</w:t>
      </w:r>
      <w:r>
        <w:rPr>
          <w:spacing w:val="-10"/>
        </w:rPr>
        <w:t> </w:t>
      </w:r>
      <w:r>
        <w:rPr/>
        <w:t>se</w:t>
      </w:r>
      <w:r>
        <w:rPr>
          <w:spacing w:val="-9"/>
        </w:rPr>
        <w:t> </w:t>
      </w:r>
      <w:r>
        <w:rPr/>
        <w:t>ha</w:t>
      </w:r>
      <w:r>
        <w:rPr>
          <w:spacing w:val="-9"/>
        </w:rPr>
        <w:t> </w:t>
      </w:r>
      <w:r>
        <w:rPr/>
        <w:t>presentado</w:t>
      </w:r>
      <w:r>
        <w:rPr>
          <w:spacing w:val="-12"/>
        </w:rPr>
        <w:t> </w:t>
      </w:r>
      <w:r>
        <w:rPr/>
        <w:t>un plan nacional de desarrollo, basado en el artículo 25 de la Constitución Federal. El Plan Nacional de Desarrollo 1995-2000, en materia de control, buscó promover la probidad y rendición de cuentas como un elemento esencial de la reforma del Estado.</w:t>
      </w:r>
    </w:p>
    <w:p>
      <w:pPr>
        <w:pStyle w:val="BodyText"/>
        <w:spacing w:line="357" w:lineRule="auto" w:before="2"/>
        <w:ind w:left="122" w:right="112" w:firstLine="427"/>
        <w:jc w:val="both"/>
      </w:pPr>
      <w:r>
        <w:rPr/>
        <w:t>La reforma incluyó cambios en la LOAPF, la Ley Federal de las Entidades Paraestatales y Federal de Responsabilidades de los Servidores Públicos</w:t>
      </w:r>
      <w:r>
        <w:rPr>
          <w:position w:val="8"/>
          <w:sz w:val="16"/>
        </w:rPr>
        <w:t>63 </w:t>
      </w:r>
      <w:r>
        <w:rPr/>
        <w:t>y otorgar autonomía a las contralorías internas.</w:t>
      </w:r>
    </w:p>
    <w:p>
      <w:pPr>
        <w:pStyle w:val="BodyText"/>
        <w:spacing w:line="360" w:lineRule="auto" w:before="8"/>
        <w:ind w:left="122" w:right="117" w:firstLine="427"/>
        <w:jc w:val="both"/>
      </w:pPr>
      <w:r>
        <w:rPr/>
        <w:t>Dentro de la Secretaría de Contraloría y Desarrollo Administrativo</w:t>
      </w:r>
      <w:r>
        <w:rPr>
          <w:spacing w:val="-39"/>
        </w:rPr>
        <w:t> </w:t>
      </w:r>
      <w:r>
        <w:rPr/>
        <w:t>(SECODAM) se</w:t>
      </w:r>
      <w:r>
        <w:rPr>
          <w:spacing w:val="-14"/>
        </w:rPr>
        <w:t> </w:t>
      </w:r>
      <w:r>
        <w:rPr/>
        <w:t>creó</w:t>
      </w:r>
      <w:r>
        <w:rPr>
          <w:spacing w:val="-14"/>
        </w:rPr>
        <w:t> </w:t>
      </w:r>
      <w:r>
        <w:rPr/>
        <w:t>la</w:t>
      </w:r>
      <w:r>
        <w:rPr>
          <w:spacing w:val="-14"/>
        </w:rPr>
        <w:t> </w:t>
      </w:r>
      <w:r>
        <w:rPr/>
        <w:t>Secretaría</w:t>
      </w:r>
      <w:r>
        <w:rPr>
          <w:spacing w:val="-14"/>
        </w:rPr>
        <w:t> </w:t>
      </w:r>
      <w:r>
        <w:rPr/>
        <w:t>Ejecutiva</w:t>
      </w:r>
      <w:r>
        <w:rPr>
          <w:spacing w:val="-14"/>
        </w:rPr>
        <w:t> </w:t>
      </w:r>
      <w:r>
        <w:rPr/>
        <w:t>de</w:t>
      </w:r>
      <w:r>
        <w:rPr>
          <w:spacing w:val="-14"/>
        </w:rPr>
        <w:t> </w:t>
      </w:r>
      <w:r>
        <w:rPr/>
        <w:t>la</w:t>
      </w:r>
      <w:r>
        <w:rPr>
          <w:spacing w:val="-14"/>
        </w:rPr>
        <w:t> </w:t>
      </w:r>
      <w:r>
        <w:rPr/>
        <w:t>Comisión</w:t>
      </w:r>
      <w:r>
        <w:rPr>
          <w:spacing w:val="-16"/>
        </w:rPr>
        <w:t> </w:t>
      </w:r>
      <w:r>
        <w:rPr/>
        <w:t>Intersecretarial</w:t>
      </w:r>
      <w:r>
        <w:rPr>
          <w:spacing w:val="-14"/>
        </w:rPr>
        <w:t> </w:t>
      </w:r>
      <w:r>
        <w:rPr/>
        <w:t>para</w:t>
      </w:r>
      <w:r>
        <w:rPr>
          <w:spacing w:val="-14"/>
        </w:rPr>
        <w:t> </w:t>
      </w:r>
      <w:r>
        <w:rPr/>
        <w:t>la</w:t>
      </w:r>
      <w:r>
        <w:rPr>
          <w:spacing w:val="-16"/>
        </w:rPr>
        <w:t> </w:t>
      </w:r>
      <w:r>
        <w:rPr/>
        <w:t>Transparencia y el Combate a la Corrupción en la Administración Pública Federal,</w:t>
      </w:r>
      <w:r>
        <w:rPr>
          <w:position w:val="8"/>
          <w:sz w:val="16"/>
        </w:rPr>
        <w:t>64 </w:t>
      </w:r>
      <w:r>
        <w:rPr/>
        <w:t>creada para coordinar las políticas y acciones para prevenir y combatir la corrupción y fomentar la transparencia en el ejercicio de las atribuciones de las diversas dependencias y entidades de la Administración Pública Federal, así como para dar seguimiento a los programas y acciones en la</w:t>
      </w:r>
      <w:r>
        <w:rPr>
          <w:spacing w:val="-10"/>
        </w:rPr>
        <w:t> </w:t>
      </w:r>
      <w:r>
        <w:rPr/>
        <w:t>materia.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spacing w:before="83"/>
        <w:ind w:left="122" w:right="50" w:firstLine="0"/>
        <w:jc w:val="left"/>
        <w:rPr>
          <w:sz w:val="16"/>
        </w:rPr>
      </w:pPr>
      <w:r>
        <w:rPr>
          <w:rFonts w:ascii="Times New Roman"/>
          <w:position w:val="7"/>
          <w:sz w:val="13"/>
        </w:rPr>
        <w:t>63</w:t>
      </w:r>
      <w:r>
        <w:rPr>
          <w:sz w:val="16"/>
        </w:rPr>
        <w:t>Publicado en el DOF el 24 de diciembre de 1996.</w:t>
      </w:r>
    </w:p>
    <w:p>
      <w:pPr>
        <w:spacing w:before="5"/>
        <w:ind w:left="122" w:right="50" w:firstLine="0"/>
        <w:jc w:val="left"/>
        <w:rPr>
          <w:sz w:val="16"/>
        </w:rPr>
      </w:pPr>
      <w:r>
        <w:rPr>
          <w:rFonts w:ascii="Times New Roman" w:hAnsi="Times New Roman"/>
          <w:position w:val="7"/>
          <w:sz w:val="13"/>
        </w:rPr>
        <w:t>64 </w:t>
      </w:r>
      <w:r>
        <w:rPr>
          <w:sz w:val="16"/>
        </w:rPr>
        <w:t>Su creación se realizó con base en lo publicado en el DOF el 4 de diciembre de 2000.</w:t>
      </w:r>
    </w:p>
    <w:p>
      <w:pPr>
        <w:spacing w:after="0"/>
        <w:jc w:val="left"/>
        <w:rPr>
          <w:sz w:val="16"/>
        </w:rPr>
        <w:sectPr>
          <w:footerReference w:type="even" r:id="rId139"/>
          <w:footerReference w:type="default" r:id="rId140"/>
          <w:pgSz w:w="12240" w:h="15840"/>
          <w:pgMar w:footer="1174" w:header="0" w:top="1360" w:bottom="1360" w:left="1580" w:right="1580"/>
        </w:sectPr>
      </w:pPr>
    </w:p>
    <w:p>
      <w:pPr>
        <w:pStyle w:val="Heading1"/>
        <w:spacing w:line="360" w:lineRule="auto"/>
        <w:ind w:left="1933" w:right="306" w:hanging="1611"/>
        <w:jc w:val="left"/>
      </w:pPr>
      <w:bookmarkStart w:name="_bookmark52" w:id="69"/>
      <w:bookmarkEnd w:id="69"/>
      <w:r>
        <w:rPr>
          <w:b w:val="0"/>
        </w:rPr>
      </w:r>
      <w:r>
        <w:rPr/>
        <w:t>CAPÍTULO TERCERO. SISTEMAS POLÍTICOS Y DE RENDICIÓN DE CUENTAS EN AMÉRICA Y EUROPA</w:t>
      </w:r>
    </w:p>
    <w:p>
      <w:pPr>
        <w:pStyle w:val="BodyText"/>
        <w:spacing w:before="1"/>
        <w:rPr>
          <w:b/>
          <w:sz w:val="25"/>
        </w:rPr>
      </w:pPr>
    </w:p>
    <w:p>
      <w:pPr>
        <w:pStyle w:val="Heading2"/>
        <w:numPr>
          <w:ilvl w:val="1"/>
          <w:numId w:val="48"/>
        </w:numPr>
        <w:tabs>
          <w:tab w:pos="555" w:val="left" w:leader="none"/>
        </w:tabs>
        <w:spacing w:line="240" w:lineRule="auto" w:before="0" w:after="0"/>
        <w:ind w:left="554" w:right="0" w:hanging="432"/>
        <w:jc w:val="both"/>
      </w:pPr>
      <w:bookmarkStart w:name="_bookmark53" w:id="70"/>
      <w:bookmarkEnd w:id="70"/>
      <w:r>
        <w:rPr>
          <w:b w:val="0"/>
        </w:rPr>
      </w:r>
      <w:bookmarkStart w:name="_bookmark53" w:id="71"/>
      <w:bookmarkEnd w:id="71"/>
      <w:r>
        <w:rPr/>
        <w:t>El</w:t>
      </w:r>
      <w:r>
        <w:rPr/>
        <w:t> régimen político</w:t>
      </w:r>
      <w:r>
        <w:rPr>
          <w:spacing w:val="-9"/>
        </w:rPr>
        <w:t> </w:t>
      </w:r>
      <w:r>
        <w:rPr/>
        <w:t>democrático</w:t>
      </w:r>
    </w:p>
    <w:p>
      <w:pPr>
        <w:pStyle w:val="BodyText"/>
        <w:rPr>
          <w:b/>
          <w:sz w:val="26"/>
        </w:rPr>
      </w:pPr>
    </w:p>
    <w:p>
      <w:pPr>
        <w:pStyle w:val="BodyText"/>
        <w:spacing w:before="3"/>
        <w:rPr>
          <w:b/>
          <w:sz w:val="28"/>
        </w:rPr>
      </w:pPr>
    </w:p>
    <w:p>
      <w:pPr>
        <w:pStyle w:val="BodyText"/>
        <w:spacing w:line="360" w:lineRule="auto"/>
        <w:ind w:left="122" w:right="120"/>
        <w:jc w:val="both"/>
      </w:pPr>
      <w:r>
        <w:rPr/>
        <w:t>El control político es imprescindible para cualquier Estado democrático. En el sistema político las demandas de la sociedad exigen la eficiencia del Estado y del equilibrio de los poderes públicos para la atención eficiente de las demandas, y así avanzar hacia el “buen gobierno”.</w:t>
      </w:r>
    </w:p>
    <w:p>
      <w:pPr>
        <w:pStyle w:val="BodyText"/>
        <w:spacing w:line="360" w:lineRule="auto" w:before="5"/>
        <w:ind w:left="122" w:right="115" w:firstLine="427"/>
        <w:jc w:val="both"/>
      </w:pPr>
      <w:r>
        <w:rPr/>
        <w:t>La política, Estado y rendición de cuentas son imprescindibles para el logro del buen gobierno, por lo que el análisis teórico y real, permiten evaluar en cierta medida, el grado de avance del Estado hacia el buen gobierno. En este capítulo se presenta</w:t>
      </w:r>
      <w:r>
        <w:rPr>
          <w:spacing w:val="-7"/>
        </w:rPr>
        <w:t> </w:t>
      </w:r>
      <w:r>
        <w:rPr/>
        <w:t>un</w:t>
      </w:r>
      <w:r>
        <w:rPr>
          <w:spacing w:val="-6"/>
        </w:rPr>
        <w:t> </w:t>
      </w:r>
      <w:r>
        <w:rPr/>
        <w:t>análisis</w:t>
      </w:r>
      <w:r>
        <w:rPr>
          <w:spacing w:val="-5"/>
        </w:rPr>
        <w:t> </w:t>
      </w:r>
      <w:r>
        <w:rPr/>
        <w:t>del</w:t>
      </w:r>
      <w:r>
        <w:rPr>
          <w:spacing w:val="-6"/>
        </w:rPr>
        <w:t> </w:t>
      </w:r>
      <w:r>
        <w:rPr/>
        <w:t>sistema</w:t>
      </w:r>
      <w:r>
        <w:rPr>
          <w:spacing w:val="-7"/>
        </w:rPr>
        <w:t> </w:t>
      </w:r>
      <w:r>
        <w:rPr/>
        <w:t>político</w:t>
      </w:r>
      <w:r>
        <w:rPr>
          <w:spacing w:val="-6"/>
        </w:rPr>
        <w:t> </w:t>
      </w:r>
      <w:r>
        <w:rPr/>
        <w:t>de</w:t>
      </w:r>
      <w:r>
        <w:rPr>
          <w:spacing w:val="-7"/>
        </w:rPr>
        <w:t> </w:t>
      </w:r>
      <w:r>
        <w:rPr/>
        <w:t>algunos</w:t>
      </w:r>
      <w:r>
        <w:rPr>
          <w:spacing w:val="-5"/>
        </w:rPr>
        <w:t> </w:t>
      </w:r>
      <w:r>
        <w:rPr/>
        <w:t>regímenes</w:t>
      </w:r>
      <w:r>
        <w:rPr>
          <w:spacing w:val="-8"/>
        </w:rPr>
        <w:t> </w:t>
      </w:r>
      <w:r>
        <w:rPr/>
        <w:t>de</w:t>
      </w:r>
      <w:r>
        <w:rPr>
          <w:spacing w:val="-7"/>
        </w:rPr>
        <w:t> </w:t>
      </w:r>
      <w:r>
        <w:rPr/>
        <w:t>América</w:t>
      </w:r>
      <w:r>
        <w:rPr>
          <w:spacing w:val="-7"/>
        </w:rPr>
        <w:t> </w:t>
      </w:r>
      <w:r>
        <w:rPr/>
        <w:t>(México y</w:t>
      </w:r>
      <w:r>
        <w:rPr>
          <w:spacing w:val="-16"/>
        </w:rPr>
        <w:t> </w:t>
      </w:r>
      <w:r>
        <w:rPr/>
        <w:t>Estados</w:t>
      </w:r>
      <w:r>
        <w:rPr>
          <w:spacing w:val="-14"/>
        </w:rPr>
        <w:t> </w:t>
      </w:r>
      <w:r>
        <w:rPr/>
        <w:t>Unidos)</w:t>
      </w:r>
      <w:r>
        <w:rPr>
          <w:spacing w:val="-15"/>
        </w:rPr>
        <w:t> </w:t>
      </w:r>
      <w:r>
        <w:rPr/>
        <w:t>y</w:t>
      </w:r>
      <w:r>
        <w:rPr>
          <w:spacing w:val="-16"/>
        </w:rPr>
        <w:t> </w:t>
      </w:r>
      <w:r>
        <w:rPr/>
        <w:t>tres</w:t>
      </w:r>
      <w:r>
        <w:rPr>
          <w:spacing w:val="-14"/>
        </w:rPr>
        <w:t> </w:t>
      </w:r>
      <w:r>
        <w:rPr/>
        <w:t>de</w:t>
      </w:r>
      <w:r>
        <w:rPr>
          <w:spacing w:val="-13"/>
        </w:rPr>
        <w:t> </w:t>
      </w:r>
      <w:r>
        <w:rPr/>
        <w:t>Europa</w:t>
      </w:r>
      <w:r>
        <w:rPr>
          <w:spacing w:val="-13"/>
        </w:rPr>
        <w:t> </w:t>
      </w:r>
      <w:r>
        <w:rPr/>
        <w:t>(Alemania,</w:t>
      </w:r>
      <w:r>
        <w:rPr>
          <w:spacing w:val="-13"/>
        </w:rPr>
        <w:t> </w:t>
      </w:r>
      <w:r>
        <w:rPr/>
        <w:t>España</w:t>
      </w:r>
      <w:r>
        <w:rPr>
          <w:spacing w:val="-13"/>
        </w:rPr>
        <w:t> </w:t>
      </w:r>
      <w:r>
        <w:rPr/>
        <w:t>y</w:t>
      </w:r>
      <w:r>
        <w:rPr>
          <w:spacing w:val="-16"/>
        </w:rPr>
        <w:t> </w:t>
      </w:r>
      <w:r>
        <w:rPr/>
        <w:t>Reino</w:t>
      </w:r>
      <w:r>
        <w:rPr>
          <w:spacing w:val="-13"/>
        </w:rPr>
        <w:t> </w:t>
      </w:r>
      <w:r>
        <w:rPr/>
        <w:t>Unido),</w:t>
      </w:r>
      <w:r>
        <w:rPr>
          <w:spacing w:val="-14"/>
        </w:rPr>
        <w:t> </w:t>
      </w:r>
      <w:r>
        <w:rPr/>
        <w:t>con</w:t>
      </w:r>
      <w:r>
        <w:rPr>
          <w:spacing w:val="-9"/>
        </w:rPr>
        <w:t> </w:t>
      </w:r>
      <w:r>
        <w:rPr/>
        <w:t>especial énfasis en el aspecto</w:t>
      </w:r>
      <w:r>
        <w:rPr>
          <w:spacing w:val="-8"/>
        </w:rPr>
        <w:t> </w:t>
      </w:r>
      <w:r>
        <w:rPr/>
        <w:t>nacional.</w:t>
      </w:r>
    </w:p>
    <w:p>
      <w:pPr>
        <w:pStyle w:val="BodyText"/>
        <w:spacing w:line="360" w:lineRule="auto" w:before="5"/>
        <w:ind w:left="122" w:right="115" w:firstLine="427"/>
        <w:jc w:val="both"/>
        <w:rPr>
          <w:sz w:val="16"/>
        </w:rPr>
      </w:pPr>
      <w:r>
        <w:rPr/>
        <w:t>La selección de las economías se basa en que éstas presentan regímenes políticos</w:t>
      </w:r>
      <w:r>
        <w:rPr>
          <w:spacing w:val="-5"/>
        </w:rPr>
        <w:t> </w:t>
      </w:r>
      <w:r>
        <w:rPr/>
        <w:t>diferenciados,</w:t>
      </w:r>
      <w:r>
        <w:rPr>
          <w:spacing w:val="-7"/>
        </w:rPr>
        <w:t> </w:t>
      </w:r>
      <w:r>
        <w:rPr/>
        <w:t>cuentan</w:t>
      </w:r>
      <w:r>
        <w:rPr>
          <w:spacing w:val="-7"/>
        </w:rPr>
        <w:t> </w:t>
      </w:r>
      <w:r>
        <w:rPr/>
        <w:t>con</w:t>
      </w:r>
      <w:r>
        <w:rPr>
          <w:spacing w:val="-7"/>
        </w:rPr>
        <w:t> </w:t>
      </w:r>
      <w:r>
        <w:rPr/>
        <w:t>diferentes</w:t>
      </w:r>
      <w:r>
        <w:rPr>
          <w:spacing w:val="-5"/>
        </w:rPr>
        <w:t> </w:t>
      </w:r>
      <w:r>
        <w:rPr/>
        <w:t>modelos</w:t>
      </w:r>
      <w:r>
        <w:rPr>
          <w:spacing w:val="-7"/>
        </w:rPr>
        <w:t> </w:t>
      </w:r>
      <w:r>
        <w:rPr/>
        <w:t>institucionales</w:t>
      </w:r>
      <w:r>
        <w:rPr>
          <w:spacing w:val="-5"/>
        </w:rPr>
        <w:t> </w:t>
      </w:r>
      <w:r>
        <w:rPr/>
        <w:t>de</w:t>
      </w:r>
      <w:r>
        <w:rPr>
          <w:spacing w:val="-7"/>
        </w:rPr>
        <w:t> </w:t>
      </w:r>
      <w:r>
        <w:rPr/>
        <w:t>rendición de</w:t>
      </w:r>
      <w:r>
        <w:rPr>
          <w:spacing w:val="-6"/>
        </w:rPr>
        <w:t> </w:t>
      </w:r>
      <w:r>
        <w:rPr/>
        <w:t>cuentas</w:t>
      </w:r>
      <w:r>
        <w:rPr>
          <w:spacing w:val="-7"/>
        </w:rPr>
        <w:t> </w:t>
      </w:r>
      <w:r>
        <w:rPr/>
        <w:t>y</w:t>
      </w:r>
      <w:r>
        <w:rPr>
          <w:spacing w:val="-9"/>
        </w:rPr>
        <w:t> </w:t>
      </w:r>
      <w:r>
        <w:rPr/>
        <w:t>pertenecen</w:t>
      </w:r>
      <w:r>
        <w:rPr>
          <w:spacing w:val="-6"/>
        </w:rPr>
        <w:t> </w:t>
      </w:r>
      <w:r>
        <w:rPr/>
        <w:t>a</w:t>
      </w:r>
      <w:r>
        <w:rPr>
          <w:spacing w:val="-8"/>
        </w:rPr>
        <w:t> </w:t>
      </w:r>
      <w:r>
        <w:rPr/>
        <w:t>las</w:t>
      </w:r>
      <w:r>
        <w:rPr>
          <w:spacing w:val="-9"/>
        </w:rPr>
        <w:t> </w:t>
      </w:r>
      <w:r>
        <w:rPr/>
        <w:t>organizaciones</w:t>
      </w:r>
      <w:r>
        <w:rPr>
          <w:spacing w:val="-7"/>
        </w:rPr>
        <w:t> </w:t>
      </w:r>
      <w:r>
        <w:rPr/>
        <w:t>más</w:t>
      </w:r>
      <w:r>
        <w:rPr>
          <w:spacing w:val="-9"/>
        </w:rPr>
        <w:t> </w:t>
      </w:r>
      <w:r>
        <w:rPr/>
        <w:t>importantes</w:t>
      </w:r>
      <w:r>
        <w:rPr>
          <w:spacing w:val="-9"/>
        </w:rPr>
        <w:t> </w:t>
      </w:r>
      <w:r>
        <w:rPr/>
        <w:t>del</w:t>
      </w:r>
      <w:r>
        <w:rPr>
          <w:spacing w:val="-10"/>
        </w:rPr>
        <w:t> </w:t>
      </w:r>
      <w:r>
        <w:rPr/>
        <w:t>mundo:</w:t>
      </w:r>
      <w:r>
        <w:rPr>
          <w:spacing w:val="-9"/>
        </w:rPr>
        <w:t> </w:t>
      </w:r>
      <w:r>
        <w:rPr/>
        <w:t>la</w:t>
      </w:r>
      <w:r>
        <w:rPr>
          <w:spacing w:val="-6"/>
        </w:rPr>
        <w:t> </w:t>
      </w:r>
      <w:r>
        <w:rPr/>
        <w:t>ONU, la Organización Internacional de las Entidades Fiscalizadoras Superiores</w:t>
      </w:r>
      <w:r>
        <w:rPr>
          <w:position w:val="8"/>
          <w:sz w:val="16"/>
        </w:rPr>
        <w:t>65</w:t>
      </w:r>
      <w:r>
        <w:rPr/>
        <w:t>(INTOSAI) y la</w:t>
      </w:r>
      <w:r>
        <w:rPr>
          <w:spacing w:val="-14"/>
        </w:rPr>
        <w:t> </w:t>
      </w:r>
      <w:r>
        <w:rPr/>
        <w:t>OCDE.</w:t>
      </w:r>
      <w:r>
        <w:rPr>
          <w:position w:val="8"/>
          <w:sz w:val="16"/>
        </w:rPr>
        <w:t>66</w:t>
      </w:r>
    </w:p>
    <w:p>
      <w:pPr>
        <w:pStyle w:val="BodyText"/>
        <w:spacing w:line="360" w:lineRule="auto"/>
        <w:ind w:left="122" w:right="115" w:firstLine="424"/>
        <w:jc w:val="both"/>
      </w:pPr>
      <w:r>
        <w:rPr/>
        <w:t>La historia y la cultura política de cada Estado hacen que las prioridades de</w:t>
      </w:r>
      <w:r>
        <w:rPr>
          <w:spacing w:val="-38"/>
        </w:rPr>
        <w:t> </w:t>
      </w:r>
      <w:r>
        <w:rPr/>
        <w:t>las políticas públicas sean diferentes, así como sus resultados en el impacto y la profundidad</w:t>
      </w:r>
      <w:r>
        <w:rPr>
          <w:spacing w:val="-17"/>
        </w:rPr>
        <w:t> </w:t>
      </w:r>
      <w:r>
        <w:rPr/>
        <w:t>de</w:t>
      </w:r>
      <w:r>
        <w:rPr>
          <w:spacing w:val="-17"/>
        </w:rPr>
        <w:t> </w:t>
      </w:r>
      <w:r>
        <w:rPr/>
        <w:t>su</w:t>
      </w:r>
      <w:r>
        <w:rPr>
          <w:spacing w:val="-17"/>
        </w:rPr>
        <w:t> </w:t>
      </w:r>
      <w:r>
        <w:rPr/>
        <w:t>rendición</w:t>
      </w:r>
      <w:r>
        <w:rPr>
          <w:spacing w:val="-17"/>
        </w:rPr>
        <w:t> </w:t>
      </w:r>
      <w:r>
        <w:rPr/>
        <w:t>de</w:t>
      </w:r>
      <w:r>
        <w:rPr>
          <w:spacing w:val="-17"/>
        </w:rPr>
        <w:t> </w:t>
      </w:r>
      <w:r>
        <w:rPr/>
        <w:t>cuentas.</w:t>
      </w:r>
      <w:r>
        <w:rPr>
          <w:spacing w:val="-17"/>
        </w:rPr>
        <w:t> </w:t>
      </w:r>
      <w:r>
        <w:rPr/>
        <w:t>De</w:t>
      </w:r>
      <w:r>
        <w:rPr>
          <w:spacing w:val="-19"/>
        </w:rPr>
        <w:t> </w:t>
      </w:r>
      <w:r>
        <w:rPr/>
        <w:t>esta</w:t>
      </w:r>
      <w:r>
        <w:rPr>
          <w:spacing w:val="-19"/>
        </w:rPr>
        <w:t> </w:t>
      </w:r>
      <w:r>
        <w:rPr/>
        <w:t>forma,</w:t>
      </w:r>
      <w:r>
        <w:rPr>
          <w:spacing w:val="-17"/>
        </w:rPr>
        <w:t> </w:t>
      </w:r>
      <w:r>
        <w:rPr/>
        <w:t>los</w:t>
      </w:r>
      <w:r>
        <w:rPr>
          <w:spacing w:val="-19"/>
        </w:rPr>
        <w:t> </w:t>
      </w:r>
      <w:r>
        <w:rPr/>
        <w:t>países</w:t>
      </w:r>
      <w:r>
        <w:rPr>
          <w:spacing w:val="-17"/>
        </w:rPr>
        <w:t> </w:t>
      </w:r>
      <w:r>
        <w:rPr/>
        <w:t>avanzados</w:t>
      </w:r>
      <w:r>
        <w:rPr>
          <w:spacing w:val="-17"/>
        </w:rPr>
        <w:t> </w:t>
      </w:r>
      <w:r>
        <w:rPr/>
        <w:t>tienen la característica de tener instituciones políticas ancestrales, mientras que los emergentes cuentan con instituciones relativamente</w:t>
      </w:r>
      <w:r>
        <w:rPr>
          <w:spacing w:val="-18"/>
        </w:rPr>
        <w:t> </w:t>
      </w:r>
      <w:r>
        <w:rPr/>
        <w:t>recientes.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7840;mso-wrap-distance-left:0;mso-wrap-distance-right:0" from="85.103996pt,14.507802pt" to="229.123996pt,14.507802pt" stroked="true" strokeweight=".72003pt" strokecolor="#000000">
            <w10:wrap type="topAndBottom"/>
          </v:line>
        </w:pict>
      </w:r>
    </w:p>
    <w:p>
      <w:pPr>
        <w:spacing w:before="62"/>
        <w:ind w:left="122" w:right="0" w:firstLine="0"/>
        <w:jc w:val="both"/>
        <w:rPr>
          <w:sz w:val="16"/>
        </w:rPr>
      </w:pPr>
      <w:r>
        <w:rPr>
          <w:rFonts w:ascii="Times New Roman"/>
          <w:position w:val="7"/>
          <w:sz w:val="13"/>
        </w:rPr>
        <w:t>65</w:t>
      </w:r>
      <w:r>
        <w:rPr>
          <w:i/>
          <w:sz w:val="16"/>
        </w:rPr>
        <w:t>International Organization of Supreme Audit Institutions (INTOSAI)</w:t>
      </w:r>
      <w:r>
        <w:rPr>
          <w:sz w:val="16"/>
        </w:rPr>
        <w:t>.</w:t>
      </w:r>
    </w:p>
    <w:p>
      <w:pPr>
        <w:spacing w:line="244" w:lineRule="auto" w:before="5"/>
        <w:ind w:left="122" w:right="115" w:firstLine="0"/>
        <w:jc w:val="both"/>
        <w:rPr>
          <w:sz w:val="16"/>
        </w:rPr>
      </w:pPr>
      <w:r>
        <w:rPr>
          <w:rFonts w:ascii="Times New Roman" w:hAnsi="Times New Roman"/>
          <w:position w:val="7"/>
          <w:sz w:val="13"/>
        </w:rPr>
        <w:t>66</w:t>
      </w:r>
      <w:r>
        <w:rPr>
          <w:sz w:val="16"/>
        </w:rPr>
        <w:t>Un criterio económico considerado, de acuerdo con I</w:t>
      </w:r>
      <w:r>
        <w:rPr>
          <w:i/>
          <w:sz w:val="16"/>
        </w:rPr>
        <w:t>nternational Monetary Found</w:t>
      </w:r>
      <w:r>
        <w:rPr>
          <w:sz w:val="16"/>
        </w:rPr>
        <w:t>, </w:t>
      </w:r>
      <w:r>
        <w:rPr>
          <w:i/>
          <w:sz w:val="16"/>
        </w:rPr>
        <w:t>World Economic Outlook Database, </w:t>
      </w:r>
      <w:r>
        <w:rPr>
          <w:i/>
          <w:sz w:val="16"/>
        </w:rPr>
        <w:t>September 2011, </w:t>
      </w:r>
      <w:r>
        <w:rPr>
          <w:sz w:val="16"/>
        </w:rPr>
        <w:t>es que los países se posicionaron en las primeras 15 economías con el mayor del Producto Interno Bruto mundial 2011 (Estados Unidos, en la posición primera, Alemania en la cuarta, Reino Unido en la séptima, España en la decimoprimera y México en la decimocuarta).</w:t>
      </w:r>
    </w:p>
    <w:p>
      <w:pPr>
        <w:spacing w:after="0" w:line="244" w:lineRule="auto"/>
        <w:jc w:val="both"/>
        <w:rPr>
          <w:sz w:val="16"/>
        </w:rPr>
        <w:sectPr>
          <w:pgSz w:w="12240" w:h="15840"/>
          <w:pgMar w:header="0" w:footer="1003" w:top="1360" w:bottom="1200" w:left="1580" w:right="1580"/>
        </w:sectPr>
      </w:pPr>
    </w:p>
    <w:p>
      <w:pPr>
        <w:pStyle w:val="BodyText"/>
        <w:spacing w:line="360" w:lineRule="auto" w:before="54"/>
        <w:ind w:left="122" w:right="99" w:firstLine="424"/>
        <w:jc w:val="both"/>
        <w:rPr>
          <w:b/>
        </w:rPr>
      </w:pPr>
      <w:r>
        <w:rPr/>
        <w:t>De</w:t>
      </w:r>
      <w:r>
        <w:rPr>
          <w:spacing w:val="-18"/>
        </w:rPr>
        <w:t> </w:t>
      </w:r>
      <w:r>
        <w:rPr/>
        <w:t>acuerdo</w:t>
      </w:r>
      <w:r>
        <w:rPr>
          <w:spacing w:val="-18"/>
        </w:rPr>
        <w:t> </w:t>
      </w:r>
      <w:r>
        <w:rPr/>
        <w:t>con</w:t>
      </w:r>
      <w:r>
        <w:rPr>
          <w:spacing w:val="-18"/>
        </w:rPr>
        <w:t> </w:t>
      </w:r>
      <w:r>
        <w:rPr/>
        <w:t>David</w:t>
      </w:r>
      <w:r>
        <w:rPr>
          <w:spacing w:val="-18"/>
        </w:rPr>
        <w:t> </w:t>
      </w:r>
      <w:r>
        <w:rPr/>
        <w:t>Easton,</w:t>
      </w:r>
      <w:r>
        <w:rPr>
          <w:spacing w:val="-18"/>
        </w:rPr>
        <w:t> </w:t>
      </w:r>
      <w:r>
        <w:rPr/>
        <w:t>el</w:t>
      </w:r>
      <w:r>
        <w:rPr>
          <w:spacing w:val="-19"/>
        </w:rPr>
        <w:t> </w:t>
      </w:r>
      <w:r>
        <w:rPr/>
        <w:t>sistema</w:t>
      </w:r>
      <w:r>
        <w:rPr>
          <w:spacing w:val="-18"/>
        </w:rPr>
        <w:t> </w:t>
      </w:r>
      <w:r>
        <w:rPr/>
        <w:t>político</w:t>
      </w:r>
      <w:r>
        <w:rPr>
          <w:spacing w:val="-18"/>
        </w:rPr>
        <w:t> </w:t>
      </w:r>
      <w:r>
        <w:rPr/>
        <w:t>se</w:t>
      </w:r>
      <w:r>
        <w:rPr>
          <w:spacing w:val="-18"/>
        </w:rPr>
        <w:t> </w:t>
      </w:r>
      <w:r>
        <w:rPr/>
        <w:t>equipará</w:t>
      </w:r>
      <w:r>
        <w:rPr>
          <w:spacing w:val="-19"/>
        </w:rPr>
        <w:t> </w:t>
      </w:r>
      <w:r>
        <w:rPr/>
        <w:t>a</w:t>
      </w:r>
      <w:r>
        <w:rPr>
          <w:spacing w:val="-18"/>
        </w:rPr>
        <w:t> </w:t>
      </w:r>
      <w:r>
        <w:rPr/>
        <w:t>las</w:t>
      </w:r>
      <w:r>
        <w:rPr>
          <w:spacing w:val="-18"/>
        </w:rPr>
        <w:t> </w:t>
      </w:r>
      <w:r>
        <w:rPr/>
        <w:t>interacciones de la conducta social mediante la cual se asignan autoritariamente valores en una sociedad</w:t>
      </w:r>
      <w:r>
        <w:rPr>
          <w:spacing w:val="-4"/>
        </w:rPr>
        <w:t> </w:t>
      </w:r>
      <w:r>
        <w:rPr/>
        <w:t>(Easton,</w:t>
      </w:r>
      <w:r>
        <w:rPr>
          <w:spacing w:val="-4"/>
        </w:rPr>
        <w:t> </w:t>
      </w:r>
      <w:r>
        <w:rPr/>
        <w:t>1999:</w:t>
      </w:r>
      <w:r>
        <w:rPr>
          <w:spacing w:val="-4"/>
        </w:rPr>
        <w:t> </w:t>
      </w:r>
      <w:r>
        <w:rPr/>
        <w:t>88</w:t>
      </w:r>
      <w:r>
        <w:rPr>
          <w:spacing w:val="-4"/>
        </w:rPr>
        <w:t> </w:t>
      </w:r>
      <w:r>
        <w:rPr/>
        <w:t>y</w:t>
      </w:r>
      <w:r>
        <w:rPr>
          <w:spacing w:val="-7"/>
        </w:rPr>
        <w:t> </w:t>
      </w:r>
      <w:r>
        <w:rPr/>
        <w:t>90).</w:t>
      </w:r>
      <w:r>
        <w:rPr>
          <w:spacing w:val="-7"/>
        </w:rPr>
        <w:t> </w:t>
      </w:r>
      <w:r>
        <w:rPr/>
        <w:t>En</w:t>
      </w:r>
      <w:r>
        <w:rPr>
          <w:spacing w:val="-4"/>
        </w:rPr>
        <w:t> </w:t>
      </w:r>
      <w:r>
        <w:rPr/>
        <w:t>la</w:t>
      </w:r>
      <w:r>
        <w:rPr>
          <w:spacing w:val="-6"/>
        </w:rPr>
        <w:t> </w:t>
      </w:r>
      <w:r>
        <w:rPr/>
        <w:t>actualidad,</w:t>
      </w:r>
      <w:r>
        <w:rPr>
          <w:spacing w:val="-4"/>
        </w:rPr>
        <w:t> </w:t>
      </w:r>
      <w:r>
        <w:rPr/>
        <w:t>la</w:t>
      </w:r>
      <w:r>
        <w:rPr>
          <w:spacing w:val="-6"/>
        </w:rPr>
        <w:t> </w:t>
      </w:r>
      <w:r>
        <w:rPr/>
        <w:t>definición</w:t>
      </w:r>
      <w:r>
        <w:rPr>
          <w:spacing w:val="-6"/>
        </w:rPr>
        <w:t> </w:t>
      </w:r>
      <w:r>
        <w:rPr/>
        <w:t>del</w:t>
      </w:r>
      <w:r>
        <w:rPr>
          <w:spacing w:val="-7"/>
        </w:rPr>
        <w:t> </w:t>
      </w:r>
      <w:r>
        <w:rPr/>
        <w:t>sistema</w:t>
      </w:r>
      <w:r>
        <w:rPr>
          <w:spacing w:val="-6"/>
        </w:rPr>
        <w:t> </w:t>
      </w:r>
      <w:r>
        <w:rPr/>
        <w:t>político sigue considerando el planteamiento de Easton, ya que la interacción de las instituciones y los procesos políticos tienen influencia recíproca con el medio. Lo anterior hace necesaria la intervención del Estado para el logro de los objetivos (atención de demandas sociales), la movilización de recursos, la normativa y la interacción entre el Estado y la sociedad (Espinoza,</w:t>
      </w:r>
      <w:r>
        <w:rPr>
          <w:spacing w:val="-14"/>
        </w:rPr>
        <w:t> </w:t>
      </w:r>
      <w:r>
        <w:rPr/>
        <w:t>2010)</w:t>
      </w:r>
      <w:r>
        <w:rPr>
          <w:b/>
        </w:rPr>
        <w:t>.</w:t>
      </w:r>
    </w:p>
    <w:p>
      <w:pPr>
        <w:pStyle w:val="BodyText"/>
        <w:spacing w:line="360" w:lineRule="auto" w:before="2"/>
        <w:ind w:left="122" w:right="98" w:firstLine="427"/>
        <w:jc w:val="both"/>
      </w:pPr>
      <w:r>
        <w:rPr/>
        <w:t>El estudio del sistema político se orienta al análisis del conjunto de valores sociales e instituciones, y los procesos políticos que rigen y conforman la vida política de una nación. Prácticamente todo sistema se concreta en un pacto social denominado constitución, que le da identidad al régimen político</w:t>
      </w:r>
      <w:r>
        <w:rPr>
          <w:position w:val="8"/>
          <w:sz w:val="16"/>
        </w:rPr>
        <w:t>67 </w:t>
      </w:r>
      <w:r>
        <w:rPr/>
        <w:t>y su estudio dio origen al constitucionalismo, a excepción del sistema inglés.</w:t>
      </w:r>
    </w:p>
    <w:p>
      <w:pPr>
        <w:pStyle w:val="BodyText"/>
        <w:spacing w:line="360" w:lineRule="auto" w:before="5"/>
        <w:ind w:left="122" w:right="98" w:firstLine="427"/>
        <w:jc w:val="both"/>
      </w:pPr>
      <w:r>
        <w:rPr/>
        <w:t>El constitucionalismo es considerado la expresión de la política del Estado democrático, el cual tiene, entre otras características, limitar el poder público y asegurar los derechos fundamentales de las personas (libertad e igualdad). El constitucionalismo democrático es el régimen político y jurídico de un Estado, en el que además de establecer límites al poder, los órganos de gobierno se vuelven populares al expresar (al menos en la constitución) el principio de gobierno del pueblo. Se considera que la democracia representativa es la forma actual de presentar las decisiones de los ciudadanos.</w:t>
      </w:r>
    </w:p>
    <w:p>
      <w:pPr>
        <w:pStyle w:val="BodyText"/>
        <w:spacing w:line="360" w:lineRule="auto" w:before="5"/>
        <w:ind w:left="122" w:right="98" w:firstLine="427"/>
        <w:jc w:val="both"/>
      </w:pPr>
      <w:r>
        <w:rPr/>
        <w:t>Actualmente, los Estados son considerados Estados-nación, ya que cuentan con un territorio delimitado, una población y gobierno. Existen varias formas de organización del Estado, las cuales corresponden a la historia e idiosincrasia de cada país. El régimen constitucional democrático es la forma de organización del poder, que puede adquirir tres modalidades: el presidencial, el parlamentario y el mixto (híbrido, semiparlamentario o semipresidencial), los cuales tienen las características siguientes:</w:t>
      </w:r>
    </w:p>
    <w:p>
      <w:pPr>
        <w:pStyle w:val="BodyText"/>
        <w:rPr>
          <w:sz w:val="20"/>
        </w:rPr>
      </w:pPr>
    </w:p>
    <w:p>
      <w:pPr>
        <w:pStyle w:val="BodyText"/>
        <w:spacing w:before="9"/>
        <w:rPr>
          <w:sz w:val="21"/>
        </w:rPr>
      </w:pPr>
      <w:r>
        <w:rPr/>
        <w:pict>
          <v:line style="position:absolute;mso-position-horizontal-relative:page;mso-position-vertical-relative:paragraph;z-index:7864;mso-wrap-distance-left:0;mso-wrap-distance-right:0" from="85.103996pt,14.894894pt" to="229.123996pt,14.894894pt" stroked="true" strokeweight=".71997pt" strokecolor="#000000">
            <w10:wrap type="topAndBottom"/>
          </v:line>
        </w:pict>
      </w:r>
    </w:p>
    <w:p>
      <w:pPr>
        <w:spacing w:line="256" w:lineRule="auto" w:before="62"/>
        <w:ind w:left="122" w:right="0" w:firstLine="0"/>
        <w:jc w:val="left"/>
        <w:rPr>
          <w:sz w:val="16"/>
        </w:rPr>
      </w:pPr>
      <w:r>
        <w:rPr>
          <w:rFonts w:ascii="Times New Roman" w:hAnsi="Times New Roman"/>
          <w:position w:val="7"/>
          <w:sz w:val="13"/>
        </w:rPr>
        <w:t>67</w:t>
      </w:r>
      <w:r>
        <w:rPr>
          <w:sz w:val="16"/>
        </w:rPr>
        <w:t>Alexis de Toqueville consideró que los regímenes políticos se desquebrajan, no al ser autoritarios, sino al apertura se, ya que esto evidencia sus deficiencias. FnGM (2012: 12).</w:t>
      </w:r>
    </w:p>
    <w:p>
      <w:pPr>
        <w:spacing w:line="170" w:lineRule="exact" w:before="0"/>
        <w:ind w:left="122" w:right="0" w:firstLine="0"/>
        <w:jc w:val="left"/>
        <w:rPr>
          <w:sz w:val="16"/>
        </w:rPr>
      </w:pPr>
      <w:r>
        <w:rPr>
          <w:sz w:val="16"/>
        </w:rPr>
        <w:t>Disponible  en: </w:t>
      </w:r>
      <w:hyperlink r:id="rId44">
        <w:r>
          <w:rPr>
            <w:sz w:val="16"/>
          </w:rPr>
          <w:t>http://www.world-governance.org/IMG/pdf_862_AB_GM_Communs_et_gouvernance_mondiale_ES-3.pdf</w:t>
        </w:r>
      </w:hyperlink>
    </w:p>
    <w:p>
      <w:pPr>
        <w:spacing w:before="1"/>
        <w:ind w:left="122" w:right="0" w:firstLine="0"/>
        <w:jc w:val="left"/>
        <w:rPr>
          <w:sz w:val="16"/>
        </w:rPr>
      </w:pPr>
      <w:r>
        <w:rPr>
          <w:sz w:val="16"/>
        </w:rPr>
        <w:t>[Fecha de consulta: 10 de septiembre, 2015].</w:t>
      </w:r>
    </w:p>
    <w:p>
      <w:pPr>
        <w:spacing w:after="0"/>
        <w:jc w:val="left"/>
        <w:rPr>
          <w:sz w:val="16"/>
        </w:rPr>
        <w:sectPr>
          <w:footerReference w:type="even" r:id="rId141"/>
          <w:footerReference w:type="default" r:id="rId142"/>
          <w:pgSz w:w="12240" w:h="15840"/>
          <w:pgMar w:footer="1003" w:header="0" w:top="1360" w:bottom="1200" w:left="1580" w:right="1600"/>
          <w:pgNumType w:start="94"/>
        </w:sectPr>
      </w:pPr>
    </w:p>
    <w:p>
      <w:pPr>
        <w:spacing w:before="55"/>
        <w:ind w:left="2260" w:right="0" w:firstLine="0"/>
        <w:jc w:val="left"/>
        <w:rPr>
          <w:sz w:val="20"/>
        </w:rPr>
      </w:pPr>
      <w:bookmarkStart w:name="_bookmark54" w:id="72"/>
      <w:bookmarkEnd w:id="72"/>
      <w:r>
        <w:rPr/>
      </w:r>
      <w:r>
        <w:rPr>
          <w:sz w:val="20"/>
        </w:rPr>
        <w:t>Cuadro 3. 1. Características principales de los regímenes políticos</w:t>
      </w:r>
    </w:p>
    <w:p>
      <w:pPr>
        <w:pStyle w:val="BodyText"/>
        <w:spacing w:before="7"/>
        <w:rPr>
          <w:sz w:val="17"/>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0"/>
        <w:gridCol w:w="2127"/>
        <w:gridCol w:w="3118"/>
        <w:gridCol w:w="3829"/>
      </w:tblGrid>
      <w:tr>
        <w:trPr>
          <w:trHeight w:val="770" w:hRule="exact"/>
        </w:trPr>
        <w:tc>
          <w:tcPr>
            <w:tcW w:w="1100" w:type="dxa"/>
            <w:tcBorders>
              <w:top w:val="single" w:sz="12" w:space="0" w:color="BEBEBE"/>
              <w:left w:val="single" w:sz="12" w:space="0" w:color="BEBEBE"/>
              <w:bottom w:val="single" w:sz="12" w:space="0" w:color="BEBEBE"/>
              <w:right w:val="single" w:sz="12" w:space="0" w:color="BEBEBE"/>
            </w:tcBorders>
          </w:tcPr>
          <w:p>
            <w:pPr>
              <w:pStyle w:val="TableParagraph"/>
              <w:spacing w:before="8"/>
              <w:rPr>
                <w:sz w:val="15"/>
              </w:rPr>
            </w:pPr>
          </w:p>
          <w:p>
            <w:pPr>
              <w:pStyle w:val="TableParagraph"/>
              <w:spacing w:line="276" w:lineRule="auto"/>
              <w:ind w:left="286" w:hanging="49"/>
              <w:rPr>
                <w:b/>
                <w:sz w:val="14"/>
              </w:rPr>
            </w:pPr>
            <w:r>
              <w:rPr>
                <w:b/>
                <w:w w:val="95"/>
                <w:sz w:val="14"/>
              </w:rPr>
              <w:t>Régimen </w:t>
            </w:r>
            <w:r>
              <w:rPr>
                <w:b/>
                <w:sz w:val="14"/>
              </w:rPr>
              <w:t>político</w:t>
            </w:r>
          </w:p>
        </w:tc>
        <w:tc>
          <w:tcPr>
            <w:tcW w:w="2127"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spacing w:before="125"/>
              <w:ind w:left="636"/>
              <w:rPr>
                <w:b/>
                <w:sz w:val="14"/>
              </w:rPr>
            </w:pPr>
            <w:r>
              <w:rPr>
                <w:b/>
                <w:sz w:val="14"/>
              </w:rPr>
              <w:t>Presidencial</w:t>
            </w:r>
          </w:p>
        </w:tc>
        <w:tc>
          <w:tcPr>
            <w:tcW w:w="3118"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spacing w:before="125"/>
              <w:ind w:left="1057" w:right="1057"/>
              <w:jc w:val="center"/>
              <w:rPr>
                <w:b/>
                <w:sz w:val="14"/>
              </w:rPr>
            </w:pPr>
            <w:r>
              <w:rPr>
                <w:b/>
                <w:sz w:val="14"/>
              </w:rPr>
              <w:t>Parlamentario</w:t>
            </w:r>
          </w:p>
        </w:tc>
        <w:tc>
          <w:tcPr>
            <w:tcW w:w="3829"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spacing w:before="106"/>
              <w:ind w:left="1357" w:right="1360"/>
              <w:jc w:val="center"/>
              <w:rPr>
                <w:rFonts w:ascii="Calibri" w:hAnsi="Calibri"/>
                <w:sz w:val="14"/>
              </w:rPr>
            </w:pPr>
            <w:r>
              <w:rPr>
                <w:b/>
                <w:sz w:val="14"/>
              </w:rPr>
              <w:t>Mixto (híbrido)</w:t>
            </w:r>
            <w:r>
              <w:rPr>
                <w:rFonts w:ascii="Calibri" w:hAnsi="Calibri"/>
                <w:sz w:val="14"/>
              </w:rPr>
              <w:t>*</w:t>
            </w:r>
          </w:p>
        </w:tc>
      </w:tr>
      <w:tr>
        <w:trPr>
          <w:trHeight w:val="662" w:hRule="exact"/>
        </w:trPr>
        <w:tc>
          <w:tcPr>
            <w:tcW w:w="1100" w:type="dxa"/>
            <w:tcBorders>
              <w:top w:val="single" w:sz="12" w:space="0" w:color="BEBEBE"/>
              <w:left w:val="single" w:sz="12" w:space="0" w:color="BEBEBE"/>
              <w:bottom w:val="single" w:sz="12" w:space="0" w:color="BEBEBE"/>
              <w:right w:val="single" w:sz="12" w:space="0" w:color="BEBEBE"/>
            </w:tcBorders>
          </w:tcPr>
          <w:p>
            <w:pPr>
              <w:pStyle w:val="TableParagraph"/>
              <w:spacing w:before="8"/>
              <w:rPr>
                <w:sz w:val="20"/>
              </w:rPr>
            </w:pPr>
          </w:p>
          <w:p>
            <w:pPr>
              <w:pStyle w:val="TableParagraph"/>
              <w:ind w:right="137"/>
              <w:jc w:val="right"/>
              <w:rPr>
                <w:b/>
                <w:sz w:val="14"/>
              </w:rPr>
            </w:pPr>
            <w:r>
              <w:rPr>
                <w:b/>
                <w:sz w:val="14"/>
              </w:rPr>
              <w:t>Semejanzas</w:t>
            </w:r>
          </w:p>
        </w:tc>
        <w:tc>
          <w:tcPr>
            <w:tcW w:w="9074" w:type="dxa"/>
            <w:gridSpan w:val="3"/>
            <w:tcBorders>
              <w:top w:val="single" w:sz="12" w:space="0" w:color="BEBEBE"/>
              <w:left w:val="single" w:sz="12" w:space="0" w:color="BEBEBE"/>
            </w:tcBorders>
          </w:tcPr>
          <w:p>
            <w:pPr>
              <w:pStyle w:val="TableParagraph"/>
              <w:spacing w:line="159" w:lineRule="exact"/>
              <w:ind w:left="1971" w:right="4254"/>
              <w:rPr>
                <w:sz w:val="14"/>
              </w:rPr>
            </w:pPr>
            <w:r>
              <w:rPr>
                <w:sz w:val="14"/>
              </w:rPr>
              <w:t>División de poderes:</w:t>
            </w:r>
          </w:p>
          <w:p>
            <w:pPr>
              <w:pStyle w:val="TableParagraph"/>
              <w:ind w:left="1971" w:right="4254"/>
              <w:rPr>
                <w:sz w:val="14"/>
              </w:rPr>
            </w:pPr>
            <w:r>
              <w:rPr>
                <w:sz w:val="14"/>
              </w:rPr>
              <w:t>Poder Ejecutivo: Presidente o primer ministro Poder Legislativo: Dos cámaras</w:t>
            </w:r>
          </w:p>
          <w:p>
            <w:pPr>
              <w:pStyle w:val="TableParagraph"/>
              <w:ind w:left="1971"/>
              <w:rPr>
                <w:sz w:val="14"/>
              </w:rPr>
            </w:pPr>
            <w:r>
              <w:rPr>
                <w:sz w:val="14"/>
              </w:rPr>
              <w:t>Poder Judicial: Resuelve en caso de controversias.</w:t>
            </w:r>
          </w:p>
        </w:tc>
      </w:tr>
      <w:tr>
        <w:trPr>
          <w:trHeight w:val="401" w:hRule="exact"/>
        </w:trPr>
        <w:tc>
          <w:tcPr>
            <w:tcW w:w="1100" w:type="dxa"/>
            <w:tcBorders>
              <w:top w:val="single" w:sz="12" w:space="0" w:color="BEBEBE"/>
              <w:left w:val="single" w:sz="12" w:space="0" w:color="BEBEBE"/>
              <w:bottom w:val="single" w:sz="12" w:space="0" w:color="BEBEBE"/>
              <w:right w:val="single" w:sz="12" w:space="0" w:color="BEBEBE"/>
            </w:tcBorders>
          </w:tcPr>
          <w:p>
            <w:pPr>
              <w:pStyle w:val="TableParagraph"/>
              <w:spacing w:before="101"/>
              <w:ind w:left="307"/>
              <w:rPr>
                <w:b/>
                <w:sz w:val="14"/>
              </w:rPr>
            </w:pPr>
            <w:r>
              <w:rPr>
                <w:b/>
                <w:sz w:val="14"/>
              </w:rPr>
              <w:t>Origen</w:t>
            </w:r>
          </w:p>
        </w:tc>
        <w:tc>
          <w:tcPr>
            <w:tcW w:w="2127" w:type="dxa"/>
            <w:tcBorders>
              <w:left w:val="single" w:sz="12" w:space="0" w:color="BEBEBE"/>
            </w:tcBorders>
          </w:tcPr>
          <w:p>
            <w:pPr>
              <w:pStyle w:val="TableParagraph"/>
              <w:spacing w:line="276" w:lineRule="auto" w:before="20"/>
              <w:ind w:left="93" w:right="921"/>
              <w:rPr>
                <w:sz w:val="14"/>
              </w:rPr>
            </w:pPr>
            <w:r>
              <w:rPr>
                <w:sz w:val="14"/>
              </w:rPr>
              <w:t>Reino Unido (siglos XIII y XIV)</w:t>
            </w:r>
          </w:p>
        </w:tc>
        <w:tc>
          <w:tcPr>
            <w:tcW w:w="3118" w:type="dxa"/>
          </w:tcPr>
          <w:p>
            <w:pPr>
              <w:pStyle w:val="TableParagraph"/>
              <w:spacing w:before="20"/>
              <w:ind w:left="103" w:right="2004"/>
              <w:rPr>
                <w:sz w:val="14"/>
              </w:rPr>
            </w:pPr>
            <w:r>
              <w:rPr>
                <w:sz w:val="14"/>
              </w:rPr>
              <w:t>Estados Unidos (Siglo XVIII)</w:t>
            </w:r>
          </w:p>
        </w:tc>
        <w:tc>
          <w:tcPr>
            <w:tcW w:w="3829" w:type="dxa"/>
          </w:tcPr>
          <w:p>
            <w:pPr>
              <w:pStyle w:val="TableParagraph"/>
              <w:spacing w:line="276" w:lineRule="auto" w:before="20"/>
              <w:ind w:left="103" w:right="2911"/>
              <w:rPr>
                <w:sz w:val="14"/>
              </w:rPr>
            </w:pPr>
            <w:r>
              <w:rPr>
                <w:sz w:val="14"/>
              </w:rPr>
              <w:t>Francia (Siglo XX)</w:t>
            </w:r>
          </w:p>
        </w:tc>
      </w:tr>
      <w:tr>
        <w:trPr>
          <w:trHeight w:val="514" w:hRule="exact"/>
        </w:trPr>
        <w:tc>
          <w:tcPr>
            <w:tcW w:w="1100" w:type="dxa"/>
            <w:tcBorders>
              <w:top w:val="single" w:sz="12" w:space="0" w:color="BEBEBE"/>
              <w:left w:val="single" w:sz="12" w:space="0" w:color="BEBEBE"/>
              <w:bottom w:val="single" w:sz="12" w:space="0" w:color="BEBEBE"/>
              <w:right w:val="single" w:sz="12" w:space="0" w:color="BEBEBE"/>
            </w:tcBorders>
          </w:tcPr>
          <w:p>
            <w:pPr>
              <w:pStyle w:val="TableParagraph"/>
              <w:spacing w:before="7"/>
              <w:rPr>
                <w:sz w:val="14"/>
              </w:rPr>
            </w:pPr>
          </w:p>
          <w:p>
            <w:pPr>
              <w:pStyle w:val="TableParagraph"/>
              <w:ind w:right="199"/>
              <w:jc w:val="right"/>
              <w:rPr>
                <w:b/>
                <w:sz w:val="14"/>
              </w:rPr>
            </w:pPr>
            <w:r>
              <w:rPr>
                <w:b/>
                <w:sz w:val="14"/>
              </w:rPr>
              <w:t>Soberanía</w:t>
            </w:r>
          </w:p>
        </w:tc>
        <w:tc>
          <w:tcPr>
            <w:tcW w:w="2127" w:type="dxa"/>
            <w:tcBorders>
              <w:left w:val="single" w:sz="12" w:space="0" w:color="BEBEBE"/>
            </w:tcBorders>
          </w:tcPr>
          <w:p>
            <w:pPr>
              <w:pStyle w:val="TableParagraph"/>
              <w:spacing w:before="20"/>
              <w:ind w:left="93" w:right="921"/>
              <w:rPr>
                <w:sz w:val="14"/>
              </w:rPr>
            </w:pPr>
            <w:r>
              <w:rPr>
                <w:sz w:val="14"/>
              </w:rPr>
              <w:t>El presidente</w:t>
            </w:r>
          </w:p>
          <w:p>
            <w:pPr>
              <w:pStyle w:val="TableParagraph"/>
              <w:ind w:left="93" w:right="710"/>
              <w:rPr>
                <w:sz w:val="14"/>
              </w:rPr>
            </w:pPr>
            <w:r>
              <w:rPr>
                <w:sz w:val="14"/>
              </w:rPr>
              <w:t>(Jefe de Estado y de gobierno).</w:t>
            </w:r>
          </w:p>
        </w:tc>
        <w:tc>
          <w:tcPr>
            <w:tcW w:w="3118" w:type="dxa"/>
          </w:tcPr>
          <w:p>
            <w:pPr>
              <w:pStyle w:val="TableParagraph"/>
              <w:spacing w:before="20"/>
              <w:ind w:left="103" w:right="2004"/>
              <w:rPr>
                <w:sz w:val="14"/>
              </w:rPr>
            </w:pPr>
            <w:r>
              <w:rPr>
                <w:sz w:val="14"/>
              </w:rPr>
              <w:t>El parlamento.</w:t>
            </w:r>
          </w:p>
        </w:tc>
        <w:tc>
          <w:tcPr>
            <w:tcW w:w="3829" w:type="dxa"/>
          </w:tcPr>
          <w:p>
            <w:pPr>
              <w:pStyle w:val="TableParagraph"/>
              <w:spacing w:line="276" w:lineRule="auto" w:before="20"/>
              <w:ind w:left="103"/>
              <w:rPr>
                <w:sz w:val="14"/>
              </w:rPr>
            </w:pPr>
            <w:r>
              <w:rPr>
                <w:sz w:val="14"/>
              </w:rPr>
              <w:t>El</w:t>
            </w:r>
            <w:r>
              <w:rPr>
                <w:spacing w:val="-12"/>
                <w:sz w:val="14"/>
              </w:rPr>
              <w:t> </w:t>
            </w:r>
            <w:r>
              <w:rPr>
                <w:sz w:val="14"/>
              </w:rPr>
              <w:t>Presidente</w:t>
            </w:r>
            <w:r>
              <w:rPr>
                <w:spacing w:val="-11"/>
                <w:sz w:val="14"/>
              </w:rPr>
              <w:t> </w:t>
            </w:r>
            <w:r>
              <w:rPr>
                <w:sz w:val="14"/>
              </w:rPr>
              <w:t>(jefe</w:t>
            </w:r>
            <w:r>
              <w:rPr>
                <w:spacing w:val="-11"/>
                <w:sz w:val="14"/>
              </w:rPr>
              <w:t> </w:t>
            </w:r>
            <w:r>
              <w:rPr>
                <w:sz w:val="14"/>
              </w:rPr>
              <w:t>de</w:t>
            </w:r>
            <w:r>
              <w:rPr>
                <w:spacing w:val="-13"/>
                <w:sz w:val="14"/>
              </w:rPr>
              <w:t> </w:t>
            </w:r>
            <w:r>
              <w:rPr>
                <w:sz w:val="14"/>
              </w:rPr>
              <w:t>Estado)</w:t>
            </w:r>
            <w:r>
              <w:rPr>
                <w:spacing w:val="-10"/>
                <w:sz w:val="14"/>
              </w:rPr>
              <w:t> </w:t>
            </w:r>
            <w:r>
              <w:rPr>
                <w:sz w:val="14"/>
              </w:rPr>
              <w:t>y</w:t>
            </w:r>
            <w:r>
              <w:rPr>
                <w:spacing w:val="-13"/>
                <w:sz w:val="14"/>
              </w:rPr>
              <w:t> </w:t>
            </w:r>
            <w:r>
              <w:rPr>
                <w:sz w:val="14"/>
              </w:rPr>
              <w:t>el</w:t>
            </w:r>
            <w:r>
              <w:rPr>
                <w:spacing w:val="-12"/>
                <w:sz w:val="14"/>
              </w:rPr>
              <w:t> </w:t>
            </w:r>
            <w:r>
              <w:rPr>
                <w:sz w:val="14"/>
              </w:rPr>
              <w:t>parlamento</w:t>
            </w:r>
            <w:r>
              <w:rPr>
                <w:spacing w:val="-11"/>
                <w:sz w:val="14"/>
              </w:rPr>
              <w:t> </w:t>
            </w:r>
            <w:r>
              <w:rPr>
                <w:sz w:val="14"/>
              </w:rPr>
              <w:t>(con</w:t>
            </w:r>
            <w:r>
              <w:rPr>
                <w:spacing w:val="-13"/>
                <w:sz w:val="14"/>
              </w:rPr>
              <w:t> </w:t>
            </w:r>
            <w:r>
              <w:rPr>
                <w:sz w:val="14"/>
              </w:rPr>
              <w:t>facultad de cambiar el</w:t>
            </w:r>
            <w:r>
              <w:rPr>
                <w:spacing w:val="-12"/>
                <w:sz w:val="14"/>
              </w:rPr>
              <w:t> </w:t>
            </w:r>
            <w:r>
              <w:rPr>
                <w:sz w:val="14"/>
              </w:rPr>
              <w:t>gobierno).</w:t>
            </w:r>
          </w:p>
        </w:tc>
      </w:tr>
      <w:tr>
        <w:trPr>
          <w:trHeight w:val="1801" w:hRule="exact"/>
        </w:trPr>
        <w:tc>
          <w:tcPr>
            <w:tcW w:w="1100"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4"/>
              </w:rPr>
            </w:pPr>
          </w:p>
          <w:p>
            <w:pPr>
              <w:pStyle w:val="TableParagraph"/>
              <w:ind w:left="300"/>
              <w:rPr>
                <w:b/>
                <w:sz w:val="14"/>
              </w:rPr>
            </w:pPr>
            <w:r>
              <w:rPr>
                <w:b/>
                <w:sz w:val="14"/>
              </w:rPr>
              <w:t>Estado</w:t>
            </w:r>
          </w:p>
        </w:tc>
        <w:tc>
          <w:tcPr>
            <w:tcW w:w="2127" w:type="dxa"/>
            <w:tcBorders>
              <w:left w:val="single" w:sz="12" w:space="0" w:color="BEBEBE"/>
            </w:tcBorders>
          </w:tcPr>
          <w:p>
            <w:pPr>
              <w:pStyle w:val="TableParagraph"/>
              <w:spacing w:line="276" w:lineRule="auto" w:before="17"/>
              <w:ind w:left="93" w:right="103"/>
              <w:jc w:val="both"/>
              <w:rPr>
                <w:sz w:val="14"/>
              </w:rPr>
            </w:pPr>
            <w:r>
              <w:rPr>
                <w:sz w:val="14"/>
              </w:rPr>
              <w:t>El Poder Ejecutivo es unipersonal, por un presidente elegido</w:t>
            </w:r>
            <w:r>
              <w:rPr>
                <w:spacing w:val="-9"/>
                <w:sz w:val="14"/>
              </w:rPr>
              <w:t> </w:t>
            </w:r>
            <w:r>
              <w:rPr>
                <w:sz w:val="14"/>
              </w:rPr>
              <w:t>con</w:t>
            </w:r>
            <w:r>
              <w:rPr>
                <w:spacing w:val="-9"/>
                <w:sz w:val="14"/>
              </w:rPr>
              <w:t> </w:t>
            </w:r>
            <w:r>
              <w:rPr>
                <w:sz w:val="14"/>
              </w:rPr>
              <w:t>base</w:t>
            </w:r>
            <w:r>
              <w:rPr>
                <w:spacing w:val="-7"/>
                <w:sz w:val="14"/>
              </w:rPr>
              <w:t> </w:t>
            </w:r>
            <w:r>
              <w:rPr>
                <w:sz w:val="14"/>
              </w:rPr>
              <w:t>en</w:t>
            </w:r>
            <w:r>
              <w:rPr>
                <w:spacing w:val="-7"/>
                <w:sz w:val="14"/>
              </w:rPr>
              <w:t> </w:t>
            </w:r>
            <w:r>
              <w:rPr>
                <w:sz w:val="14"/>
              </w:rPr>
              <w:t>el</w:t>
            </w:r>
            <w:r>
              <w:rPr>
                <w:spacing w:val="-8"/>
                <w:sz w:val="14"/>
              </w:rPr>
              <w:t> </w:t>
            </w:r>
            <w:r>
              <w:rPr>
                <w:sz w:val="14"/>
              </w:rPr>
              <w:t>sufragio universal.</w:t>
            </w:r>
          </w:p>
          <w:p>
            <w:pPr>
              <w:pStyle w:val="TableParagraph"/>
              <w:spacing w:line="276" w:lineRule="auto" w:before="1"/>
              <w:ind w:left="93" w:right="104"/>
              <w:jc w:val="both"/>
              <w:rPr>
                <w:sz w:val="14"/>
              </w:rPr>
            </w:pPr>
            <w:r>
              <w:rPr>
                <w:sz w:val="14"/>
              </w:rPr>
              <w:t>La elección del presidente es directa o semidirecta.</w:t>
            </w:r>
          </w:p>
          <w:p>
            <w:pPr>
              <w:pStyle w:val="TableParagraph"/>
              <w:spacing w:line="276" w:lineRule="auto"/>
              <w:ind w:left="93" w:right="105"/>
              <w:jc w:val="both"/>
              <w:rPr>
                <w:sz w:val="14"/>
              </w:rPr>
            </w:pPr>
            <w:r>
              <w:rPr>
                <w:sz w:val="14"/>
              </w:rPr>
              <w:t>El presidente designa a su gabinete.</w:t>
            </w:r>
          </w:p>
        </w:tc>
        <w:tc>
          <w:tcPr>
            <w:tcW w:w="3118" w:type="dxa"/>
          </w:tcPr>
          <w:p>
            <w:pPr>
              <w:pStyle w:val="TableParagraph"/>
              <w:spacing w:line="242" w:lineRule="auto" w:before="17"/>
              <w:ind w:left="103" w:right="106"/>
              <w:jc w:val="both"/>
              <w:rPr>
                <w:sz w:val="14"/>
              </w:rPr>
            </w:pPr>
            <w:r>
              <w:rPr>
                <w:sz w:val="14"/>
              </w:rPr>
              <w:t>El Poder Ejecutivo se integra por el jefe de Estado (el rey) y el jefe de gobierno (el presidente).</w:t>
            </w:r>
          </w:p>
          <w:p>
            <w:pPr>
              <w:pStyle w:val="TableParagraph"/>
              <w:ind w:left="103" w:right="103"/>
              <w:jc w:val="both"/>
              <w:rPr>
                <w:sz w:val="14"/>
              </w:rPr>
            </w:pPr>
            <w:r>
              <w:rPr>
                <w:sz w:val="14"/>
              </w:rPr>
              <w:t>Tanto el jefe de Estado como de gobierno pueden ser removidos por el parlamento.</w:t>
            </w:r>
          </w:p>
          <w:p>
            <w:pPr>
              <w:pStyle w:val="TableParagraph"/>
              <w:ind w:left="103" w:right="105"/>
              <w:jc w:val="both"/>
              <w:rPr>
                <w:sz w:val="14"/>
              </w:rPr>
            </w:pPr>
            <w:r>
              <w:rPr>
                <w:sz w:val="14"/>
              </w:rPr>
              <w:t>Tanto el Poder Ejecutivo como el Legislativo están mezclados (se comparten).</w:t>
            </w:r>
          </w:p>
          <w:p>
            <w:pPr>
              <w:pStyle w:val="TableParagraph"/>
              <w:ind w:left="103" w:right="103"/>
              <w:jc w:val="both"/>
              <w:rPr>
                <w:sz w:val="14"/>
              </w:rPr>
            </w:pPr>
            <w:r>
              <w:rPr>
                <w:sz w:val="14"/>
              </w:rPr>
              <w:t>El</w:t>
            </w:r>
            <w:r>
              <w:rPr>
                <w:spacing w:val="-8"/>
                <w:sz w:val="14"/>
              </w:rPr>
              <w:t> </w:t>
            </w:r>
            <w:r>
              <w:rPr>
                <w:sz w:val="14"/>
              </w:rPr>
              <w:t>Estado</w:t>
            </w:r>
            <w:r>
              <w:rPr>
                <w:spacing w:val="-9"/>
                <w:sz w:val="14"/>
              </w:rPr>
              <w:t> </w:t>
            </w:r>
            <w:r>
              <w:rPr>
                <w:sz w:val="14"/>
              </w:rPr>
              <w:t>está</w:t>
            </w:r>
            <w:r>
              <w:rPr>
                <w:spacing w:val="-9"/>
                <w:sz w:val="14"/>
              </w:rPr>
              <w:t> </w:t>
            </w:r>
            <w:r>
              <w:rPr>
                <w:sz w:val="14"/>
              </w:rPr>
              <w:t>dirigido</w:t>
            </w:r>
            <w:r>
              <w:rPr>
                <w:spacing w:val="-9"/>
                <w:sz w:val="14"/>
              </w:rPr>
              <w:t> </w:t>
            </w:r>
            <w:r>
              <w:rPr>
                <w:sz w:val="14"/>
              </w:rPr>
              <w:t>por</w:t>
            </w:r>
            <w:r>
              <w:rPr>
                <w:spacing w:val="-9"/>
                <w:sz w:val="14"/>
              </w:rPr>
              <w:t> </w:t>
            </w:r>
            <w:r>
              <w:rPr>
                <w:sz w:val="14"/>
              </w:rPr>
              <w:t>el</w:t>
            </w:r>
            <w:r>
              <w:rPr>
                <w:spacing w:val="-8"/>
                <w:sz w:val="14"/>
              </w:rPr>
              <w:t> </w:t>
            </w:r>
            <w:r>
              <w:rPr>
                <w:sz w:val="14"/>
              </w:rPr>
              <w:t>parlamento,</w:t>
            </w:r>
            <w:r>
              <w:rPr>
                <w:spacing w:val="-9"/>
                <w:sz w:val="14"/>
              </w:rPr>
              <w:t> </w:t>
            </w:r>
            <w:r>
              <w:rPr>
                <w:sz w:val="14"/>
              </w:rPr>
              <w:t>por</w:t>
            </w:r>
            <w:r>
              <w:rPr>
                <w:spacing w:val="-9"/>
                <w:sz w:val="14"/>
              </w:rPr>
              <w:t> </w:t>
            </w:r>
            <w:r>
              <w:rPr>
                <w:sz w:val="14"/>
              </w:rPr>
              <w:t>lo que el gobierno y su permanencia dependen del parlamento. El parlamento es exclusivo en la dirección de la</w:t>
            </w:r>
            <w:r>
              <w:rPr>
                <w:spacing w:val="-10"/>
                <w:sz w:val="14"/>
              </w:rPr>
              <w:t> </w:t>
            </w:r>
            <w:r>
              <w:rPr>
                <w:sz w:val="14"/>
              </w:rPr>
              <w:t>política.</w:t>
            </w:r>
          </w:p>
        </w:tc>
        <w:tc>
          <w:tcPr>
            <w:tcW w:w="3829" w:type="dxa"/>
          </w:tcPr>
          <w:p>
            <w:pPr>
              <w:pStyle w:val="TableParagraph"/>
              <w:spacing w:line="278" w:lineRule="auto" w:before="17"/>
              <w:ind w:left="103" w:right="104"/>
              <w:jc w:val="both"/>
              <w:rPr>
                <w:sz w:val="14"/>
              </w:rPr>
            </w:pPr>
            <w:r>
              <w:rPr>
                <w:sz w:val="14"/>
              </w:rPr>
              <w:t>El</w:t>
            </w:r>
            <w:r>
              <w:rPr>
                <w:spacing w:val="-7"/>
                <w:sz w:val="14"/>
              </w:rPr>
              <w:t> </w:t>
            </w:r>
            <w:r>
              <w:rPr>
                <w:sz w:val="14"/>
              </w:rPr>
              <w:t>Poder</w:t>
            </w:r>
            <w:r>
              <w:rPr>
                <w:spacing w:val="-9"/>
                <w:sz w:val="14"/>
              </w:rPr>
              <w:t> </w:t>
            </w:r>
            <w:r>
              <w:rPr>
                <w:sz w:val="14"/>
              </w:rPr>
              <w:t>Ejecutivo</w:t>
            </w:r>
            <w:r>
              <w:rPr>
                <w:spacing w:val="-6"/>
                <w:sz w:val="14"/>
              </w:rPr>
              <w:t> </w:t>
            </w:r>
            <w:r>
              <w:rPr>
                <w:sz w:val="14"/>
              </w:rPr>
              <w:t>se</w:t>
            </w:r>
            <w:r>
              <w:rPr>
                <w:spacing w:val="-6"/>
                <w:sz w:val="14"/>
              </w:rPr>
              <w:t> </w:t>
            </w:r>
            <w:r>
              <w:rPr>
                <w:sz w:val="14"/>
              </w:rPr>
              <w:t>divide</w:t>
            </w:r>
            <w:r>
              <w:rPr>
                <w:spacing w:val="-6"/>
                <w:sz w:val="14"/>
              </w:rPr>
              <w:t> </w:t>
            </w:r>
            <w:r>
              <w:rPr>
                <w:sz w:val="14"/>
              </w:rPr>
              <w:t>en</w:t>
            </w:r>
            <w:r>
              <w:rPr>
                <w:spacing w:val="-6"/>
                <w:sz w:val="14"/>
              </w:rPr>
              <w:t> </w:t>
            </w:r>
            <w:r>
              <w:rPr>
                <w:sz w:val="14"/>
              </w:rPr>
              <w:t>presidente</w:t>
            </w:r>
            <w:r>
              <w:rPr>
                <w:spacing w:val="-6"/>
                <w:sz w:val="14"/>
              </w:rPr>
              <w:t> </w:t>
            </w:r>
            <w:r>
              <w:rPr>
                <w:sz w:val="14"/>
              </w:rPr>
              <w:t>(jefe</w:t>
            </w:r>
            <w:r>
              <w:rPr>
                <w:spacing w:val="-6"/>
                <w:sz w:val="14"/>
              </w:rPr>
              <w:t> </w:t>
            </w:r>
            <w:r>
              <w:rPr>
                <w:sz w:val="14"/>
              </w:rPr>
              <w:t>de</w:t>
            </w:r>
            <w:r>
              <w:rPr>
                <w:spacing w:val="-6"/>
                <w:sz w:val="14"/>
              </w:rPr>
              <w:t> </w:t>
            </w:r>
            <w:r>
              <w:rPr>
                <w:sz w:val="14"/>
              </w:rPr>
              <w:t>Estado) electo de manera directa y un primer ministro (jefe de gobierno), nombrado por el</w:t>
            </w:r>
            <w:r>
              <w:rPr>
                <w:spacing w:val="-17"/>
                <w:sz w:val="14"/>
              </w:rPr>
              <w:t> </w:t>
            </w:r>
            <w:r>
              <w:rPr>
                <w:sz w:val="14"/>
              </w:rPr>
              <w:t>parlamento.</w:t>
            </w:r>
          </w:p>
          <w:p>
            <w:pPr>
              <w:pStyle w:val="TableParagraph"/>
              <w:spacing w:line="276" w:lineRule="auto"/>
              <w:ind w:left="103" w:right="105"/>
              <w:jc w:val="both"/>
              <w:rPr>
                <w:sz w:val="14"/>
              </w:rPr>
            </w:pPr>
            <w:r>
              <w:rPr>
                <w:sz w:val="14"/>
              </w:rPr>
              <w:t>El presidente comparte el poder con el (jefe de gobierno) primer ministro.</w:t>
            </w:r>
          </w:p>
          <w:p>
            <w:pPr>
              <w:pStyle w:val="TableParagraph"/>
              <w:spacing w:line="276" w:lineRule="auto"/>
              <w:ind w:left="103" w:right="103"/>
              <w:jc w:val="both"/>
              <w:rPr>
                <w:sz w:val="14"/>
              </w:rPr>
            </w:pPr>
            <w:r>
              <w:rPr>
                <w:sz w:val="14"/>
              </w:rPr>
              <w:t>El presidente tiene como función principal garantizar el funcionamiento regular de las instituciones y dirige la política exterior, la diplomacia y las fuerzas armadas.</w:t>
            </w:r>
          </w:p>
        </w:tc>
      </w:tr>
      <w:tr>
        <w:trPr>
          <w:trHeight w:val="998" w:hRule="exact"/>
        </w:trPr>
        <w:tc>
          <w:tcPr>
            <w:tcW w:w="1100"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spacing w:line="242" w:lineRule="auto" w:before="87"/>
              <w:ind w:left="242" w:right="244"/>
              <w:jc w:val="center"/>
              <w:rPr>
                <w:b/>
                <w:sz w:val="14"/>
              </w:rPr>
            </w:pPr>
            <w:r>
              <w:rPr>
                <w:b/>
                <w:w w:val="95"/>
                <w:sz w:val="14"/>
              </w:rPr>
              <w:t>Relación </w:t>
            </w:r>
            <w:r>
              <w:rPr>
                <w:b/>
                <w:sz w:val="14"/>
              </w:rPr>
              <w:t>entre poderes</w:t>
            </w:r>
          </w:p>
        </w:tc>
        <w:tc>
          <w:tcPr>
            <w:tcW w:w="2127" w:type="dxa"/>
            <w:tcBorders>
              <w:left w:val="single" w:sz="12" w:space="0" w:color="BEBEBE"/>
            </w:tcBorders>
          </w:tcPr>
          <w:p>
            <w:pPr>
              <w:pStyle w:val="TableParagraph"/>
              <w:spacing w:before="20"/>
              <w:ind w:left="93" w:right="104"/>
              <w:jc w:val="both"/>
              <w:rPr>
                <w:sz w:val="14"/>
              </w:rPr>
            </w:pPr>
            <w:r>
              <w:rPr>
                <w:sz w:val="14"/>
              </w:rPr>
              <w:t>Se realiza mediante las instituciones políticas y, en caso de controversias o extralimitación de funciones,</w:t>
            </w:r>
            <w:r>
              <w:rPr>
                <w:spacing w:val="-17"/>
                <w:sz w:val="14"/>
              </w:rPr>
              <w:t> </w:t>
            </w:r>
            <w:r>
              <w:rPr>
                <w:sz w:val="14"/>
              </w:rPr>
              <w:t>el Poder Judicial funge como garante de la</w:t>
            </w:r>
            <w:r>
              <w:rPr>
                <w:spacing w:val="-10"/>
                <w:sz w:val="14"/>
              </w:rPr>
              <w:t> </w:t>
            </w:r>
            <w:r>
              <w:rPr>
                <w:sz w:val="14"/>
              </w:rPr>
              <w:t>legalidad.</w:t>
            </w:r>
          </w:p>
        </w:tc>
        <w:tc>
          <w:tcPr>
            <w:tcW w:w="3118" w:type="dxa"/>
          </w:tcPr>
          <w:p>
            <w:pPr>
              <w:pStyle w:val="TableParagraph"/>
              <w:spacing w:before="20"/>
              <w:ind w:left="103" w:right="102"/>
              <w:jc w:val="both"/>
              <w:rPr>
                <w:sz w:val="14"/>
              </w:rPr>
            </w:pPr>
            <w:r>
              <w:rPr>
                <w:sz w:val="14"/>
              </w:rPr>
              <w:t>El jefe de Estado (rey) tiene una función simbólica, que puede ser decisiva en caso de crisis política profunda, pero no dispone de atribuciones políticas.</w:t>
            </w:r>
          </w:p>
          <w:p>
            <w:pPr>
              <w:pStyle w:val="TableParagraph"/>
              <w:ind w:left="103" w:right="105"/>
              <w:jc w:val="both"/>
              <w:rPr>
                <w:sz w:val="14"/>
              </w:rPr>
            </w:pPr>
            <w:r>
              <w:rPr>
                <w:sz w:val="14"/>
              </w:rPr>
              <w:t>El jefe de Estado acata la decisión del electorado o de la mayoría parlamentaria.</w:t>
            </w:r>
          </w:p>
        </w:tc>
        <w:tc>
          <w:tcPr>
            <w:tcW w:w="3829" w:type="dxa"/>
          </w:tcPr>
          <w:p>
            <w:pPr>
              <w:pStyle w:val="TableParagraph"/>
              <w:spacing w:line="276" w:lineRule="auto" w:before="20"/>
              <w:ind w:left="103" w:right="105"/>
              <w:jc w:val="both"/>
              <w:rPr>
                <w:sz w:val="14"/>
              </w:rPr>
            </w:pPr>
            <w:r>
              <w:rPr>
                <w:sz w:val="14"/>
              </w:rPr>
              <w:t>El presidente mantiene una relación con los dirigentes de los partidos contrarios y favorece el compromiso y la negociación (función de árbitro).</w:t>
            </w:r>
          </w:p>
          <w:p>
            <w:pPr>
              <w:pStyle w:val="TableParagraph"/>
              <w:spacing w:line="276" w:lineRule="auto"/>
              <w:ind w:left="103" w:right="106"/>
              <w:jc w:val="both"/>
              <w:rPr>
                <w:sz w:val="14"/>
              </w:rPr>
            </w:pPr>
            <w:r>
              <w:rPr>
                <w:sz w:val="14"/>
              </w:rPr>
              <w:t>El jefe de gobierno está involucrado en la lucha política cotidiana.</w:t>
            </w:r>
          </w:p>
        </w:tc>
      </w:tr>
    </w:tbl>
    <w:p>
      <w:pPr>
        <w:pStyle w:val="BodyText"/>
        <w:spacing w:before="3"/>
        <w:rPr>
          <w:sz w:val="7"/>
        </w:rPr>
      </w:pPr>
    </w:p>
    <w:p>
      <w:pPr>
        <w:tabs>
          <w:tab w:pos="2905" w:val="left" w:leader="none"/>
        </w:tabs>
        <w:spacing w:before="81"/>
        <w:ind w:left="1490" w:right="0" w:firstLine="0"/>
        <w:jc w:val="left"/>
        <w:rPr>
          <w:sz w:val="16"/>
        </w:rPr>
      </w:pPr>
      <w:r>
        <w:rPr>
          <w:sz w:val="16"/>
        </w:rPr>
        <w:t>FUENTE:</w:t>
        <w:tab/>
        <w:t>Elaboración propia con base en Espinoza Toledo, Ricardo.</w:t>
      </w:r>
      <w:r>
        <w:rPr>
          <w:spacing w:val="-18"/>
          <w:sz w:val="16"/>
        </w:rPr>
        <w:t> </w:t>
      </w:r>
      <w:r>
        <w:rPr>
          <w:sz w:val="16"/>
        </w:rPr>
        <w:t>(2010)</w:t>
      </w:r>
    </w:p>
    <w:p>
      <w:pPr>
        <w:pStyle w:val="BodyText"/>
        <w:spacing w:before="2"/>
        <w:rPr>
          <w:sz w:val="23"/>
        </w:rPr>
      </w:pPr>
    </w:p>
    <w:p>
      <w:pPr>
        <w:pStyle w:val="BodyText"/>
        <w:spacing w:line="360" w:lineRule="auto"/>
        <w:ind w:left="782" w:right="822" w:firstLine="427"/>
        <w:jc w:val="both"/>
      </w:pPr>
      <w:r>
        <w:rPr/>
        <w:t>El parlamentarismo, el presidencialismo y el sistema mixto se distinguen, en principio, por la relación existente entre los poderes Ejecutivo y Legislativo. En el primero existe una separación funcional, pero están unidos orgánicamente; en el segundo, la separación es tanto funcional como orgánica y en el tercero, hay una mezcla de separación orgánica y funcional.</w:t>
      </w:r>
    </w:p>
    <w:p>
      <w:pPr>
        <w:pStyle w:val="BodyText"/>
        <w:spacing w:line="360" w:lineRule="auto" w:before="2"/>
        <w:ind w:left="782" w:right="823" w:firstLine="427"/>
        <w:jc w:val="both"/>
      </w:pPr>
      <w:r>
        <w:rPr/>
        <w:t>El análisis de la relación entre los poderes Ejecutivo y Legislativo y el modo en que éstos se organizan responde a historias y culturas políticas particulares; el estudio</w:t>
      </w:r>
      <w:r>
        <w:rPr>
          <w:spacing w:val="-13"/>
        </w:rPr>
        <w:t> </w:t>
      </w:r>
      <w:r>
        <w:rPr/>
        <w:t>de</w:t>
      </w:r>
      <w:r>
        <w:rPr>
          <w:spacing w:val="-13"/>
        </w:rPr>
        <w:t> </w:t>
      </w:r>
      <w:r>
        <w:rPr/>
        <w:t>los</w:t>
      </w:r>
      <w:r>
        <w:rPr>
          <w:spacing w:val="-13"/>
        </w:rPr>
        <w:t> </w:t>
      </w:r>
      <w:r>
        <w:rPr/>
        <w:t>principales</w:t>
      </w:r>
      <w:r>
        <w:rPr>
          <w:spacing w:val="-11"/>
        </w:rPr>
        <w:t> </w:t>
      </w:r>
      <w:r>
        <w:rPr/>
        <w:t>regímenes</w:t>
      </w:r>
      <w:r>
        <w:rPr>
          <w:spacing w:val="-11"/>
        </w:rPr>
        <w:t> </w:t>
      </w:r>
      <w:r>
        <w:rPr/>
        <w:t>políticos</w:t>
      </w:r>
      <w:r>
        <w:rPr>
          <w:spacing w:val="-14"/>
        </w:rPr>
        <w:t> </w:t>
      </w:r>
      <w:r>
        <w:rPr/>
        <w:t>de</w:t>
      </w:r>
      <w:r>
        <w:rPr>
          <w:spacing w:val="-13"/>
        </w:rPr>
        <w:t> </w:t>
      </w:r>
      <w:r>
        <w:rPr/>
        <w:t>democracia</w:t>
      </w:r>
      <w:r>
        <w:rPr>
          <w:spacing w:val="-13"/>
        </w:rPr>
        <w:t> </w:t>
      </w:r>
      <w:r>
        <w:rPr/>
        <w:t>pluralista</w:t>
      </w:r>
      <w:r>
        <w:rPr>
          <w:spacing w:val="-10"/>
        </w:rPr>
        <w:t> </w:t>
      </w:r>
      <w:r>
        <w:rPr/>
        <w:t>corresponde al parlamentarismo británico, ya que es ahí donde aparece históricamente el principio de separación de poderes y la elección de los</w:t>
      </w:r>
      <w:r>
        <w:rPr>
          <w:spacing w:val="-24"/>
        </w:rPr>
        <w:t> </w:t>
      </w:r>
      <w:r>
        <w:rPr/>
        <w:t>gobernantes.</w:t>
      </w:r>
    </w:p>
    <w:p>
      <w:pPr>
        <w:pStyle w:val="BodyText"/>
        <w:spacing w:line="360" w:lineRule="auto" w:before="5"/>
        <w:ind w:left="782" w:right="820" w:firstLine="427"/>
        <w:jc w:val="both"/>
      </w:pPr>
      <w:r>
        <w:rPr/>
        <w:t>En todo sistema político democrático, el diseño y la ejecución de las políticas públicas</w:t>
      </w:r>
      <w:r>
        <w:rPr>
          <w:spacing w:val="-4"/>
        </w:rPr>
        <w:t> </w:t>
      </w:r>
      <w:r>
        <w:rPr/>
        <w:t>se</w:t>
      </w:r>
      <w:r>
        <w:rPr>
          <w:spacing w:val="-6"/>
        </w:rPr>
        <w:t> </w:t>
      </w:r>
      <w:r>
        <w:rPr/>
        <w:t>encuentra</w:t>
      </w:r>
      <w:r>
        <w:rPr>
          <w:spacing w:val="-6"/>
        </w:rPr>
        <w:t> </w:t>
      </w:r>
      <w:r>
        <w:rPr/>
        <w:t>a</w:t>
      </w:r>
      <w:r>
        <w:rPr>
          <w:spacing w:val="-4"/>
        </w:rPr>
        <w:t> </w:t>
      </w:r>
      <w:r>
        <w:rPr/>
        <w:t>cargo</w:t>
      </w:r>
      <w:r>
        <w:rPr>
          <w:spacing w:val="-4"/>
        </w:rPr>
        <w:t> </w:t>
      </w:r>
      <w:r>
        <w:rPr/>
        <w:t>del</w:t>
      </w:r>
      <w:r>
        <w:rPr>
          <w:spacing w:val="-5"/>
        </w:rPr>
        <w:t> </w:t>
      </w:r>
      <w:r>
        <w:rPr/>
        <w:t>Poder</w:t>
      </w:r>
      <w:r>
        <w:rPr>
          <w:spacing w:val="-5"/>
        </w:rPr>
        <w:t> </w:t>
      </w:r>
      <w:r>
        <w:rPr/>
        <w:t>Ejecutivo,</w:t>
      </w:r>
      <w:r>
        <w:rPr>
          <w:spacing w:val="-4"/>
        </w:rPr>
        <w:t> </w:t>
      </w:r>
      <w:r>
        <w:rPr/>
        <w:t>que</w:t>
      </w:r>
      <w:r>
        <w:rPr>
          <w:spacing w:val="-4"/>
        </w:rPr>
        <w:t> </w:t>
      </w:r>
      <w:r>
        <w:rPr/>
        <w:t>implica</w:t>
      </w:r>
      <w:r>
        <w:rPr>
          <w:spacing w:val="-4"/>
        </w:rPr>
        <w:t> </w:t>
      </w:r>
      <w:r>
        <w:rPr/>
        <w:t>el</w:t>
      </w:r>
      <w:r>
        <w:rPr>
          <w:spacing w:val="-5"/>
        </w:rPr>
        <w:t> </w:t>
      </w:r>
      <w:r>
        <w:rPr/>
        <w:t>mayor</w:t>
      </w:r>
      <w:r>
        <w:rPr>
          <w:spacing w:val="-5"/>
        </w:rPr>
        <w:t> </w:t>
      </w:r>
      <w:r>
        <w:rPr/>
        <w:t>empleo</w:t>
      </w:r>
      <w:r>
        <w:rPr>
          <w:spacing w:val="-6"/>
        </w:rPr>
        <w:t> </w:t>
      </w:r>
      <w:r>
        <w:rPr/>
        <w:t>de recursos humanos, materiales y económicos, lo que hace necesaria una vigilancia permanente de sus actividades por parte del Estado. El peso del Poder Ejecutivo debe equilibrarse con los otros dos para evitar excesos de</w:t>
      </w:r>
      <w:r>
        <w:rPr>
          <w:spacing w:val="-20"/>
        </w:rPr>
        <w:t> </w:t>
      </w:r>
      <w:r>
        <w:rPr/>
        <w:t>poder.</w:t>
      </w:r>
    </w:p>
    <w:p>
      <w:pPr>
        <w:spacing w:after="0" w:line="360" w:lineRule="auto"/>
        <w:jc w:val="both"/>
        <w:sectPr>
          <w:pgSz w:w="12240" w:h="15840"/>
          <w:pgMar w:header="0" w:footer="1003" w:top="1360" w:bottom="1200" w:left="920" w:right="880"/>
        </w:sectPr>
      </w:pPr>
    </w:p>
    <w:p>
      <w:pPr>
        <w:pStyle w:val="Heading2"/>
        <w:numPr>
          <w:ilvl w:val="1"/>
          <w:numId w:val="48"/>
        </w:numPr>
        <w:tabs>
          <w:tab w:pos="555" w:val="left" w:leader="none"/>
        </w:tabs>
        <w:spacing w:line="240" w:lineRule="auto" w:before="54" w:after="0"/>
        <w:ind w:left="554" w:right="0" w:hanging="432"/>
        <w:jc w:val="both"/>
      </w:pPr>
      <w:bookmarkStart w:name="_bookmark55" w:id="73"/>
      <w:bookmarkEnd w:id="73"/>
      <w:r>
        <w:rPr>
          <w:b w:val="0"/>
        </w:rPr>
      </w:r>
      <w:bookmarkStart w:name="_bookmark55" w:id="74"/>
      <w:bookmarkEnd w:id="74"/>
      <w:r>
        <w:rPr/>
        <w:t>El</w:t>
      </w:r>
      <w:r>
        <w:rPr/>
        <w:t> control político mediante la división de</w:t>
      </w:r>
      <w:r>
        <w:rPr>
          <w:spacing w:val="-15"/>
        </w:rPr>
        <w:t> </w:t>
      </w:r>
      <w:r>
        <w:rPr/>
        <w:t>poderes</w:t>
      </w:r>
    </w:p>
    <w:p>
      <w:pPr>
        <w:pStyle w:val="BodyText"/>
        <w:spacing w:before="1"/>
        <w:rPr>
          <w:b/>
          <w:sz w:val="30"/>
        </w:rPr>
      </w:pPr>
    </w:p>
    <w:p>
      <w:pPr>
        <w:pStyle w:val="BodyText"/>
        <w:spacing w:line="357" w:lineRule="auto"/>
        <w:ind w:left="122" w:right="119"/>
        <w:jc w:val="both"/>
        <w:rPr>
          <w:sz w:val="16"/>
        </w:rPr>
      </w:pPr>
      <w:r>
        <w:rPr/>
        <w:t>Para ejercerse en forma equilibrada, la soberanía</w:t>
      </w:r>
      <w:r>
        <w:rPr>
          <w:position w:val="8"/>
          <w:sz w:val="16"/>
        </w:rPr>
        <w:t>68 </w:t>
      </w:r>
      <w:r>
        <w:rPr/>
        <w:t>del poder supremo debe dividirse</w:t>
      </w:r>
      <w:r>
        <w:rPr>
          <w:spacing w:val="-13"/>
        </w:rPr>
        <w:t> </w:t>
      </w:r>
      <w:r>
        <w:rPr/>
        <w:t>en</w:t>
      </w:r>
      <w:r>
        <w:rPr>
          <w:spacing w:val="-13"/>
        </w:rPr>
        <w:t> </w:t>
      </w:r>
      <w:r>
        <w:rPr/>
        <w:t>poderes.</w:t>
      </w:r>
      <w:r>
        <w:rPr>
          <w:spacing w:val="-11"/>
        </w:rPr>
        <w:t> </w:t>
      </w:r>
      <w:r>
        <w:rPr/>
        <w:t>La</w:t>
      </w:r>
      <w:r>
        <w:rPr>
          <w:spacing w:val="-13"/>
        </w:rPr>
        <w:t> </w:t>
      </w:r>
      <w:r>
        <w:rPr/>
        <w:t>división</w:t>
      </w:r>
      <w:r>
        <w:rPr>
          <w:spacing w:val="-13"/>
        </w:rPr>
        <w:t> </w:t>
      </w:r>
      <w:r>
        <w:rPr/>
        <w:t>de</w:t>
      </w:r>
      <w:r>
        <w:rPr>
          <w:spacing w:val="-13"/>
        </w:rPr>
        <w:t> </w:t>
      </w:r>
      <w:r>
        <w:rPr/>
        <w:t>poderes</w:t>
      </w:r>
      <w:r>
        <w:rPr>
          <w:position w:val="8"/>
          <w:sz w:val="16"/>
        </w:rPr>
        <w:t>69</w:t>
      </w:r>
      <w:r>
        <w:rPr>
          <w:spacing w:val="8"/>
          <w:position w:val="8"/>
          <w:sz w:val="16"/>
        </w:rPr>
        <w:t> </w:t>
      </w:r>
      <w:r>
        <w:rPr/>
        <w:t>busca</w:t>
      </w:r>
      <w:r>
        <w:rPr>
          <w:spacing w:val="-13"/>
        </w:rPr>
        <w:t> </w:t>
      </w:r>
      <w:r>
        <w:rPr/>
        <w:t>moderar</w:t>
      </w:r>
      <w:r>
        <w:rPr>
          <w:spacing w:val="-14"/>
        </w:rPr>
        <w:t> </w:t>
      </w:r>
      <w:r>
        <w:rPr/>
        <w:t>y</w:t>
      </w:r>
      <w:r>
        <w:rPr>
          <w:spacing w:val="-16"/>
        </w:rPr>
        <w:t> </w:t>
      </w:r>
      <w:r>
        <w:rPr/>
        <w:t>equilibrar</w:t>
      </w:r>
      <w:r>
        <w:rPr>
          <w:spacing w:val="-15"/>
        </w:rPr>
        <w:t> </w:t>
      </w:r>
      <w:r>
        <w:rPr/>
        <w:t>el</w:t>
      </w:r>
      <w:r>
        <w:rPr>
          <w:spacing w:val="-14"/>
        </w:rPr>
        <w:t> </w:t>
      </w:r>
      <w:r>
        <w:rPr/>
        <w:t>ejercicio del poder. Se considera que </w:t>
      </w:r>
      <w:r>
        <w:rPr>
          <w:spacing w:val="2"/>
        </w:rPr>
        <w:t>el </w:t>
      </w:r>
      <w:r>
        <w:rPr/>
        <w:t>principio de división de poderes fue planteado originalmente por Aristóteles y formulado más detalladamente por Montesquieu.</w:t>
      </w:r>
      <w:r>
        <w:rPr>
          <w:spacing w:val="-22"/>
        </w:rPr>
        <w:t> </w:t>
      </w:r>
      <w:r>
        <w:rPr>
          <w:position w:val="8"/>
          <w:sz w:val="16"/>
        </w:rPr>
        <w:t>70</w:t>
      </w:r>
    </w:p>
    <w:p>
      <w:pPr>
        <w:pStyle w:val="BodyText"/>
        <w:spacing w:line="360" w:lineRule="auto" w:before="4"/>
        <w:ind w:left="122" w:right="116" w:firstLine="424"/>
        <w:jc w:val="both"/>
      </w:pPr>
      <w:r>
        <w:rPr/>
        <w:t>Se considera que el principio político que guía esta necesidad de separar y dividir las funciones ejecutivas, de justicia y del senado (Montesquieu) es aquél según el cual el poder modera al mismo poder, por lo que los poderes deben moderarse a sí mismos.</w:t>
      </w:r>
    </w:p>
    <w:p>
      <w:pPr>
        <w:pStyle w:val="BodyText"/>
        <w:spacing w:line="360" w:lineRule="auto" w:before="2"/>
        <w:ind w:left="122" w:right="116" w:firstLine="424"/>
        <w:jc w:val="both"/>
      </w:pPr>
      <w:r>
        <w:rPr/>
        <w:t>Siempre se ha considerado necesario el poder coercitivo del Estado para mantener el orden político y económico de la sociedad; sin embargo, John Stuart Mill advirtió sobre el abuso del poder del Estado para beneficio propio.</w:t>
      </w:r>
      <w:r>
        <w:rPr>
          <w:position w:val="8"/>
          <w:sz w:val="16"/>
        </w:rPr>
        <w:t>71 </w:t>
      </w:r>
      <w:r>
        <w:rPr/>
        <w:t>Cuando una nación tiene una división del poder efectiva (no sólo establecida en el pacto social, sino llevada también a la práctica) le es más fácil tener una vigilancia del poder. La división de poderes constituye el eje central de la democracia, pues es a través de ella que es posible lograr el buen gobierno, es decir, sincronizar la gobernanza, gobernabilidad y el sistema político. La idea central del control gubernamental es frenar el abuso del poder.</w:t>
      </w:r>
    </w:p>
    <w:p>
      <w:pPr>
        <w:pStyle w:val="BodyText"/>
        <w:spacing w:line="360" w:lineRule="auto" w:before="5"/>
        <w:ind w:left="122" w:right="116" w:firstLine="427"/>
        <w:jc w:val="both"/>
      </w:pPr>
      <w:r>
        <w:rPr/>
        <w:t>Si</w:t>
      </w:r>
      <w:r>
        <w:rPr>
          <w:spacing w:val="-8"/>
        </w:rPr>
        <w:t> </w:t>
      </w:r>
      <w:r>
        <w:rPr/>
        <w:t>la</w:t>
      </w:r>
      <w:r>
        <w:rPr>
          <w:spacing w:val="-7"/>
        </w:rPr>
        <w:t> </w:t>
      </w:r>
      <w:r>
        <w:rPr/>
        <w:t>división</w:t>
      </w:r>
      <w:r>
        <w:rPr>
          <w:spacing w:val="-7"/>
        </w:rPr>
        <w:t> </w:t>
      </w:r>
      <w:r>
        <w:rPr/>
        <w:t>de</w:t>
      </w:r>
      <w:r>
        <w:rPr>
          <w:spacing w:val="-7"/>
        </w:rPr>
        <w:t> </w:t>
      </w:r>
      <w:r>
        <w:rPr/>
        <w:t>poderes</w:t>
      </w:r>
      <w:r>
        <w:rPr>
          <w:spacing w:val="-8"/>
        </w:rPr>
        <w:t> </w:t>
      </w:r>
      <w:r>
        <w:rPr/>
        <w:t>es</w:t>
      </w:r>
      <w:r>
        <w:rPr>
          <w:spacing w:val="-10"/>
        </w:rPr>
        <w:t> </w:t>
      </w:r>
      <w:r>
        <w:rPr/>
        <w:t>inefectiva,</w:t>
      </w:r>
      <w:r>
        <w:rPr>
          <w:spacing w:val="-7"/>
        </w:rPr>
        <w:t> </w:t>
      </w:r>
      <w:r>
        <w:rPr/>
        <w:t>se</w:t>
      </w:r>
      <w:r>
        <w:rPr>
          <w:spacing w:val="-7"/>
        </w:rPr>
        <w:t> </w:t>
      </w:r>
      <w:r>
        <w:rPr/>
        <w:t>inhibe</w:t>
      </w:r>
      <w:r>
        <w:rPr>
          <w:spacing w:val="-7"/>
        </w:rPr>
        <w:t> </w:t>
      </w:r>
      <w:r>
        <w:rPr/>
        <w:t>la</w:t>
      </w:r>
      <w:r>
        <w:rPr>
          <w:spacing w:val="-7"/>
        </w:rPr>
        <w:t> </w:t>
      </w:r>
      <w:r>
        <w:rPr/>
        <w:t>rendición</w:t>
      </w:r>
      <w:r>
        <w:rPr>
          <w:spacing w:val="-7"/>
        </w:rPr>
        <w:t> </w:t>
      </w:r>
      <w:r>
        <w:rPr/>
        <w:t>de</w:t>
      </w:r>
      <w:r>
        <w:rPr>
          <w:spacing w:val="-7"/>
        </w:rPr>
        <w:t> </w:t>
      </w:r>
      <w:r>
        <w:rPr/>
        <w:t>cuentas,</w:t>
      </w:r>
      <w:r>
        <w:rPr>
          <w:spacing w:val="-10"/>
        </w:rPr>
        <w:t> </w:t>
      </w:r>
      <w:r>
        <w:rPr/>
        <w:t>ya</w:t>
      </w:r>
      <w:r>
        <w:rPr>
          <w:spacing w:val="-7"/>
        </w:rPr>
        <w:t> </w:t>
      </w:r>
      <w:r>
        <w:rPr/>
        <w:t>que el grupo político actuaría simultáneamente como juez y parte, lo que da lugar a la corrupción y la impunidad, tal como lo advirtió Hobbes al mencionar: “cuando un hombre es juez, no hay lugar para la acusación, ya que nadie está obligado a acusarse a sí mismo por razón de un pacto.”</w:t>
      </w:r>
      <w:r>
        <w:rPr>
          <w:position w:val="8"/>
          <w:sz w:val="16"/>
        </w:rPr>
        <w:t>72</w:t>
      </w:r>
      <w:r>
        <w:rPr/>
        <w:t>La democracia es semejante a un sistema de pesos (del Poder Ejecutivo) y contrapesos (Poder Legislativo y  </w:t>
      </w:r>
      <w:r>
        <w:rPr>
          <w:spacing w:val="62"/>
        </w:rPr>
        <w:t> </w:t>
      </w:r>
      <w:r>
        <w:rPr/>
        <w:t>Poder</w:t>
      </w:r>
    </w:p>
    <w:p>
      <w:pPr>
        <w:pStyle w:val="BodyText"/>
        <w:rPr>
          <w:sz w:val="20"/>
        </w:rPr>
      </w:pPr>
    </w:p>
    <w:p>
      <w:pPr>
        <w:pStyle w:val="BodyText"/>
        <w:spacing w:before="4"/>
        <w:rPr>
          <w:sz w:val="14"/>
        </w:rPr>
      </w:pPr>
      <w:r>
        <w:rPr/>
        <w:pict>
          <v:line style="position:absolute;mso-position-horizontal-relative:page;mso-position-vertical-relative:paragraph;z-index:7888;mso-wrap-distance-left:0;mso-wrap-distance-right:0" from="85.103996pt,10.604866pt" to="229.123996pt,10.604866pt" stroked="true" strokeweight=".72003pt" strokecolor="#000000">
            <w10:wrap type="topAndBottom"/>
          </v:line>
        </w:pict>
      </w:r>
    </w:p>
    <w:p>
      <w:pPr>
        <w:spacing w:line="256" w:lineRule="auto" w:before="60"/>
        <w:ind w:left="122" w:right="117" w:firstLine="0"/>
        <w:jc w:val="both"/>
        <w:rPr>
          <w:sz w:val="16"/>
        </w:rPr>
      </w:pPr>
      <w:r>
        <w:rPr>
          <w:rFonts w:ascii="Times New Roman" w:hAnsi="Times New Roman"/>
          <w:position w:val="7"/>
          <w:sz w:val="13"/>
        </w:rPr>
        <w:t>68</w:t>
      </w:r>
      <w:r>
        <w:rPr>
          <w:sz w:val="16"/>
        </w:rPr>
        <w:t>Los artículos 39, 40 y 41 de la Constitución Política de los Estados Unidos Mexicanos consideran la soberanía como un poder de voluntad superior, como un derecho cuyo titular es la Nación.</w:t>
      </w:r>
    </w:p>
    <w:p>
      <w:pPr>
        <w:spacing w:line="206" w:lineRule="exact" w:before="0"/>
        <w:ind w:left="122" w:right="0" w:firstLine="0"/>
        <w:jc w:val="both"/>
        <w:rPr>
          <w:sz w:val="16"/>
        </w:rPr>
      </w:pPr>
      <w:r>
        <w:rPr>
          <w:rFonts w:ascii="Times New Roman" w:hAnsi="Times New Roman"/>
          <w:position w:val="7"/>
          <w:sz w:val="13"/>
        </w:rPr>
        <w:t>69</w:t>
      </w:r>
      <w:r>
        <w:rPr>
          <w:sz w:val="16"/>
        </w:rPr>
        <w:t>La división de poderes se expresa en términos jurídico-políticos y en la acción del Estado.</w:t>
      </w:r>
    </w:p>
    <w:p>
      <w:pPr>
        <w:spacing w:line="254" w:lineRule="auto" w:before="9"/>
        <w:ind w:left="122" w:right="114" w:firstLine="0"/>
        <w:jc w:val="both"/>
        <w:rPr>
          <w:sz w:val="16"/>
        </w:rPr>
      </w:pPr>
      <w:r>
        <w:rPr>
          <w:rFonts w:ascii="Calibri" w:hAnsi="Calibri"/>
          <w:position w:val="8"/>
          <w:sz w:val="14"/>
        </w:rPr>
        <w:t>70</w:t>
      </w:r>
      <w:r>
        <w:rPr>
          <w:sz w:val="16"/>
        </w:rPr>
        <w:t>Montesquieu (1748) consideró que las funciones del Legislativo deben estar limitadas: “</w:t>
      </w:r>
      <w:r>
        <w:rPr>
          <w:i/>
          <w:sz w:val="16"/>
        </w:rPr>
        <w:t>Pero si el poder legislativo, en un </w:t>
      </w:r>
      <w:r>
        <w:rPr>
          <w:i/>
          <w:sz w:val="16"/>
        </w:rPr>
        <w:t>Estado libre, no debe inmiscuirse en las funciones del ejecutivo ni paralizarlas, tiene el derecho y debe tener la facultad de examinar de qué manera las leyes que él ha hecho han sido ejecutadas</w:t>
      </w:r>
      <w:r>
        <w:rPr>
          <w:sz w:val="16"/>
        </w:rPr>
        <w:t>.”</w:t>
      </w:r>
    </w:p>
    <w:p>
      <w:pPr>
        <w:spacing w:line="208" w:lineRule="exact" w:before="0"/>
        <w:ind w:left="122" w:right="0" w:firstLine="0"/>
        <w:jc w:val="both"/>
        <w:rPr>
          <w:i/>
          <w:sz w:val="16"/>
        </w:rPr>
      </w:pPr>
      <w:r>
        <w:rPr>
          <w:rFonts w:ascii="Times New Roman" w:hAnsi="Times New Roman"/>
          <w:position w:val="7"/>
          <w:sz w:val="13"/>
        </w:rPr>
        <w:t>71</w:t>
      </w:r>
      <w:r>
        <w:rPr>
          <w:sz w:val="16"/>
        </w:rPr>
        <w:t>Mill</w:t>
      </w:r>
      <w:r>
        <w:rPr>
          <w:spacing w:val="-12"/>
          <w:sz w:val="16"/>
        </w:rPr>
        <w:t> </w:t>
      </w:r>
      <w:r>
        <w:rPr>
          <w:sz w:val="16"/>
        </w:rPr>
        <w:t>(1860:</w:t>
      </w:r>
      <w:r>
        <w:rPr>
          <w:spacing w:val="-11"/>
          <w:sz w:val="16"/>
        </w:rPr>
        <w:t> </w:t>
      </w:r>
      <w:r>
        <w:rPr>
          <w:sz w:val="16"/>
        </w:rPr>
        <w:t>347)</w:t>
      </w:r>
      <w:r>
        <w:rPr>
          <w:spacing w:val="-15"/>
          <w:sz w:val="16"/>
        </w:rPr>
        <w:t> </w:t>
      </w:r>
      <w:r>
        <w:rPr>
          <w:sz w:val="16"/>
        </w:rPr>
        <w:t>mencionó:</w:t>
      </w:r>
      <w:r>
        <w:rPr>
          <w:spacing w:val="-10"/>
          <w:sz w:val="16"/>
        </w:rPr>
        <w:t> </w:t>
      </w:r>
      <w:r>
        <w:rPr>
          <w:sz w:val="16"/>
        </w:rPr>
        <w:t>“</w:t>
      </w:r>
      <w:r>
        <w:rPr>
          <w:i/>
          <w:sz w:val="16"/>
        </w:rPr>
        <w:t>El</w:t>
      </w:r>
      <w:r>
        <w:rPr>
          <w:i/>
          <w:spacing w:val="-12"/>
          <w:sz w:val="16"/>
        </w:rPr>
        <w:t> </w:t>
      </w:r>
      <w:r>
        <w:rPr>
          <w:i/>
          <w:sz w:val="16"/>
        </w:rPr>
        <w:t>principio</w:t>
      </w:r>
      <w:r>
        <w:rPr>
          <w:i/>
          <w:spacing w:val="-13"/>
          <w:sz w:val="16"/>
        </w:rPr>
        <w:t> </w:t>
      </w:r>
      <w:r>
        <w:rPr>
          <w:i/>
          <w:sz w:val="16"/>
        </w:rPr>
        <w:t>mismo</w:t>
      </w:r>
      <w:r>
        <w:rPr>
          <w:i/>
          <w:spacing w:val="-13"/>
          <w:sz w:val="16"/>
        </w:rPr>
        <w:t> </w:t>
      </w:r>
      <w:r>
        <w:rPr>
          <w:i/>
          <w:sz w:val="16"/>
        </w:rPr>
        <w:t>del</w:t>
      </w:r>
      <w:r>
        <w:rPr>
          <w:i/>
          <w:spacing w:val="-12"/>
          <w:sz w:val="16"/>
        </w:rPr>
        <w:t> </w:t>
      </w:r>
      <w:r>
        <w:rPr>
          <w:i/>
          <w:sz w:val="16"/>
        </w:rPr>
        <w:t>gobierno</w:t>
      </w:r>
      <w:r>
        <w:rPr>
          <w:i/>
          <w:spacing w:val="-13"/>
          <w:sz w:val="16"/>
        </w:rPr>
        <w:t> </w:t>
      </w:r>
      <w:r>
        <w:rPr>
          <w:i/>
          <w:sz w:val="16"/>
        </w:rPr>
        <w:t>representativo</w:t>
      </w:r>
      <w:r>
        <w:rPr>
          <w:i/>
          <w:spacing w:val="-15"/>
          <w:sz w:val="16"/>
        </w:rPr>
        <w:t> </w:t>
      </w:r>
      <w:r>
        <w:rPr>
          <w:i/>
          <w:sz w:val="16"/>
        </w:rPr>
        <w:t>descansa</w:t>
      </w:r>
      <w:r>
        <w:rPr>
          <w:i/>
          <w:spacing w:val="-15"/>
          <w:sz w:val="16"/>
        </w:rPr>
        <w:t> </w:t>
      </w:r>
      <w:r>
        <w:rPr>
          <w:i/>
          <w:sz w:val="16"/>
        </w:rPr>
        <w:t>en</w:t>
      </w:r>
      <w:r>
        <w:rPr>
          <w:i/>
          <w:spacing w:val="-13"/>
          <w:sz w:val="16"/>
        </w:rPr>
        <w:t> </w:t>
      </w:r>
      <w:r>
        <w:rPr>
          <w:i/>
          <w:sz w:val="16"/>
        </w:rPr>
        <w:t>la</w:t>
      </w:r>
      <w:r>
        <w:rPr>
          <w:i/>
          <w:spacing w:val="-12"/>
          <w:sz w:val="16"/>
        </w:rPr>
        <w:t> </w:t>
      </w:r>
      <w:r>
        <w:rPr>
          <w:i/>
          <w:sz w:val="16"/>
        </w:rPr>
        <w:t>presunción</w:t>
      </w:r>
      <w:r>
        <w:rPr>
          <w:i/>
          <w:spacing w:val="-13"/>
          <w:sz w:val="16"/>
        </w:rPr>
        <w:t> </w:t>
      </w:r>
      <w:r>
        <w:rPr>
          <w:i/>
          <w:sz w:val="16"/>
        </w:rPr>
        <w:t>de</w:t>
      </w:r>
      <w:r>
        <w:rPr>
          <w:i/>
          <w:spacing w:val="-13"/>
          <w:sz w:val="16"/>
        </w:rPr>
        <w:t> </w:t>
      </w:r>
      <w:r>
        <w:rPr>
          <w:i/>
          <w:sz w:val="16"/>
        </w:rPr>
        <w:t>que</w:t>
      </w:r>
      <w:r>
        <w:rPr>
          <w:i/>
          <w:spacing w:val="-13"/>
          <w:sz w:val="16"/>
        </w:rPr>
        <w:t> </w:t>
      </w:r>
      <w:r>
        <w:rPr>
          <w:i/>
          <w:sz w:val="16"/>
        </w:rPr>
        <w:t>los</w:t>
      </w:r>
      <w:r>
        <w:rPr>
          <w:i/>
          <w:spacing w:val="-13"/>
          <w:sz w:val="16"/>
        </w:rPr>
        <w:t> </w:t>
      </w:r>
      <w:r>
        <w:rPr>
          <w:i/>
          <w:sz w:val="16"/>
        </w:rPr>
        <w:t>que</w:t>
      </w:r>
      <w:r>
        <w:rPr>
          <w:i/>
          <w:spacing w:val="-13"/>
          <w:sz w:val="16"/>
        </w:rPr>
        <w:t> </w:t>
      </w:r>
      <w:r>
        <w:rPr>
          <w:i/>
          <w:sz w:val="16"/>
        </w:rPr>
        <w:t>poseen</w:t>
      </w:r>
    </w:p>
    <w:p>
      <w:pPr>
        <w:spacing w:before="13"/>
        <w:ind w:left="122" w:right="120" w:firstLine="0"/>
        <w:jc w:val="both"/>
        <w:rPr>
          <w:sz w:val="16"/>
        </w:rPr>
      </w:pPr>
      <w:r>
        <w:rPr>
          <w:i/>
          <w:sz w:val="16"/>
        </w:rPr>
        <w:t>el poder abusarán de él en provecho propio, no porque siempre sea así, sino por ser la tendencia natural de las cosas, </w:t>
      </w:r>
      <w:r>
        <w:rPr>
          <w:i/>
          <w:sz w:val="16"/>
        </w:rPr>
        <w:t>tendencia que las instituciones libres tienen por objeto regular.</w:t>
      </w:r>
      <w:r>
        <w:rPr>
          <w:sz w:val="16"/>
        </w:rPr>
        <w:t>”</w:t>
      </w:r>
    </w:p>
    <w:p>
      <w:pPr>
        <w:spacing w:line="256" w:lineRule="auto" w:before="0"/>
        <w:ind w:left="122" w:right="207" w:firstLine="0"/>
        <w:jc w:val="both"/>
        <w:rPr>
          <w:sz w:val="16"/>
        </w:rPr>
      </w:pPr>
      <w:r>
        <w:rPr>
          <w:rFonts w:ascii="Times New Roman"/>
          <w:position w:val="7"/>
          <w:sz w:val="13"/>
        </w:rPr>
        <w:t>72</w:t>
      </w:r>
      <w:r>
        <w:rPr>
          <w:sz w:val="16"/>
        </w:rPr>
        <w:t>Disponible en: </w:t>
      </w:r>
      <w:hyperlink r:id="rId143">
        <w:r>
          <w:rPr>
            <w:sz w:val="16"/>
            <w:u w:val="single"/>
          </w:rPr>
          <w:t>http://www.laeditorialvirtual.com.ar/Pages/Hobbes/ElEstado_01.htm </w:t>
        </w:r>
      </w:hyperlink>
      <w:r>
        <w:rPr>
          <w:sz w:val="16"/>
        </w:rPr>
        <w:t>[Fecha de consulta: 14 de septiembre, 2015]</w:t>
      </w:r>
    </w:p>
    <w:p>
      <w:pPr>
        <w:spacing w:after="0" w:line="256" w:lineRule="auto"/>
        <w:jc w:val="both"/>
        <w:rPr>
          <w:sz w:val="16"/>
        </w:rPr>
        <w:sectPr>
          <w:pgSz w:w="12240" w:h="15840"/>
          <w:pgMar w:header="0" w:footer="1003" w:top="1360" w:bottom="1200" w:left="1580" w:right="1580"/>
        </w:sectPr>
      </w:pPr>
    </w:p>
    <w:p>
      <w:pPr>
        <w:pStyle w:val="BodyText"/>
        <w:spacing w:line="360" w:lineRule="auto" w:before="54"/>
        <w:ind w:left="122" w:right="444"/>
        <w:jc w:val="both"/>
      </w:pPr>
      <w:r>
        <w:rPr/>
        <w:t>Judicial), que requiere un cálculo preciso del poder para lograr el equilibrio. Cualquier desviación del equilibrio provoca anarquía (ingobernabilidad o mal gobierno) o absolutismo (dictadura o supremacía del Poder Ejecutivo).</w:t>
      </w:r>
    </w:p>
    <w:p>
      <w:pPr>
        <w:pStyle w:val="BodyText"/>
        <w:spacing w:before="7"/>
        <w:rPr>
          <w:sz w:val="20"/>
        </w:rPr>
      </w:pPr>
    </w:p>
    <w:p>
      <w:pPr>
        <w:spacing w:before="0"/>
        <w:ind w:left="3113" w:right="0" w:firstLine="0"/>
        <w:jc w:val="left"/>
        <w:rPr>
          <w:sz w:val="20"/>
        </w:rPr>
      </w:pPr>
      <w:bookmarkStart w:name="_bookmark56" w:id="75"/>
      <w:bookmarkEnd w:id="75"/>
      <w:r>
        <w:rPr/>
      </w:r>
      <w:r>
        <w:rPr>
          <w:sz w:val="20"/>
        </w:rPr>
        <w:t>Esquema 3. 1. Equilibrio político</w:t>
      </w:r>
    </w:p>
    <w:p>
      <w:pPr>
        <w:pStyle w:val="BodyText"/>
        <w:spacing w:before="11"/>
        <w:rPr>
          <w:sz w:val="13"/>
        </w:rPr>
      </w:pPr>
      <w:r>
        <w:rPr/>
        <w:pict>
          <v:group style="position:absolute;margin-left:104.519997pt;margin-top:9.980874pt;width:439.35pt;height:187.45pt;mso-position-horizontal-relative:page;mso-position-vertical-relative:paragraph;z-index:8056;mso-wrap-distance-left:0;mso-wrap-distance-right:0" coordorigin="2090,200" coordsize="8787,3749">
            <v:shape style="position:absolute;left:2090;top:200;width:8786;height:3749" type="#_x0000_t75" stroked="false">
              <v:imagedata r:id="rId144" o:title=""/>
            </v:shape>
            <v:rect style="position:absolute;left:2218;top:228;width:8618;height:3617" filled="true" fillcolor="#edebe0" stroked="false">
              <v:fill type="solid"/>
            </v:rect>
            <v:shape style="position:absolute;left:4895;top:554;width:3010;height:2242" type="#_x0000_t75" stroked="false">
              <v:imagedata r:id="rId145" o:title=""/>
            </v:shape>
            <v:shape style="position:absolute;left:8139;top:1315;width:909;height:821" type="#_x0000_t75" stroked="false">
              <v:imagedata r:id="rId146" o:title=""/>
            </v:shape>
            <v:shape style="position:absolute;left:8217;top:1391;width:743;height:635" coordorigin="8217,1391" coordsize="743,635" path="m8240,1550l8217,1550,8217,1867,8240,1867,8240,1550xm8309,1550l8263,1550,8263,1867,8309,1867,8309,1550xm8593,1391l8593,1550,8332,1550,8332,1867,8593,1867,8593,2026,8960,1709,8593,1391xe" filled="true" fillcolor="#000000" stroked="false">
              <v:path arrowok="t"/>
              <v:fill type="solid"/>
            </v:shape>
            <v:shape style="position:absolute;left:8198;top:1351;width:790;height:717" coordorigin="8198,1351" coordsize="790,717" path="m8574,1867l8574,2067,8621,2026,8613,2026,8579,2014,8613,1985,8613,1884,8593,1884,8574,1867xm8613,1985l8579,2014,8613,2026,8613,1985xm8932,1709l8613,1985,8613,2026,8621,2026,8973,1721,8946,1721,8932,1709xm8243,1533l8198,1533,8198,1884,8243,1884,8243,1867,8220,1867,8220,1853,8217,1850,8220,1850,8220,1567,8217,1567,8220,1564,8220,1550,8243,1550,8243,1533xm8260,1533l8243,1533,8243,1884,8260,1884,8260,1533xm8312,1533l8260,1533,8260,1884,8312,1884,8312,1867,8282,1867,8263,1850,8282,1850,8282,1567,8263,1567,8282,1550,8312,1550,8312,1533xm8328,1533l8312,1533,8312,1884,8328,1884,8328,1533xm8574,1533l8328,1533,8328,1884,8574,1884,8574,1867,8351,1867,8332,1850,8351,1850,8351,1567,8332,1567,8351,1550,8574,1550,8574,1533xm8613,1850l8351,1850,8351,1867,8574,1867,8593,1884,8613,1884,8613,1850xm8220,1853l8220,1867,8229,1860,8220,1853xm8229,1860l8220,1867,8237,1867,8229,1860xm8237,1853l8229,1860,8237,1867,8237,1853xm8243,1850l8240,1850,8237,1853,8237,1867,8243,1867,8243,1850xm8282,1850l8263,1850,8282,1867,8282,1850xm8289,1850l8282,1850,8282,1867,8289,1867,8289,1850xm8289,1550l8289,1867,8309,1850,8312,1850,8312,1567,8309,1567,8289,1550xm8312,1850l8309,1850,8289,1867,8312,1867,8312,1850xm8351,1850l8332,1850,8351,1867,8351,1850xm8229,1557l8220,1564,8220,1853,8229,1860,8237,1853,8237,1564,8229,1557xm8220,1850l8217,1850,8220,1853,8220,1850xm8237,1564l8237,1853,8240,1850,8243,1850,8243,1567,8240,1567,8237,1564xm8946,1697l8932,1709,8946,1721,8946,1697xm8973,1697l8946,1697,8946,1721,8973,1721,8987,1709,8973,1697xm8621,1391l8613,1391,8613,1432,8932,1709,8946,1697,8973,1697,8621,1391xm8220,1564l8217,1567,8220,1567,8220,1564xm8243,1550l8237,1550,8237,1564,8240,1567,8243,1567,8243,1550xm8282,1550l8263,1567,8282,1567,8282,1550xm8289,1550l8282,1550,8282,1567,8289,1567,8289,1550xm8312,1550l8289,1550,8309,1567,8312,1567,8312,1550xm8351,1550l8332,1567,8351,1567,8351,1550xm8613,1533l8593,1533,8574,1550,8351,1550,8351,1567,8613,1567,8613,1533xm8220,1550l8220,1564,8229,1557,8220,1550xm8237,1550l8229,1557,8237,1564,8237,1550xm8237,1550l8220,1550,8229,1557,8237,1550xm8574,1351l8574,1550,8593,1533,8613,1533,8613,1432,8579,1403,8613,1391,8621,1391,8574,1351xm8613,1391l8579,1403,8613,1432,8613,1391xe" filled="true" fillcolor="#ffffff" stroked="false">
              <v:path arrowok="t"/>
              <v:fill type="solid"/>
            </v:shape>
            <v:rect style="position:absolute;left:2242;top:1269;width:1475;height:1227" filled="true" fillcolor="#ffffff" stroked="false">
              <v:fill type="solid"/>
            </v:rect>
            <v:rect style="position:absolute;left:2242;top:1269;width:1475;height:1227" filled="false" stroked="true" strokeweight="1.34946pt" strokecolor="#000000"/>
            <v:rect style="position:absolute;left:8965;top:1523;width:1847;height:736" filled="true" fillcolor="#ffffff" stroked="false">
              <v:fill type="solid"/>
            </v:rect>
            <v:rect style="position:absolute;left:8965;top:1523;width:1847;height:736" filled="false" stroked="true" strokeweight="1.296063pt" strokecolor="#000000"/>
            <v:shape style="position:absolute;left:3781;top:1315;width:909;height:821" type="#_x0000_t75" stroked="false">
              <v:imagedata r:id="rId146" o:title=""/>
            </v:shape>
            <v:shape style="position:absolute;left:3859;top:1391;width:743;height:635" coordorigin="3859,1391" coordsize="743,635" path="m3882,1550l3859,1550,3859,1867,3882,1867,3882,1550xm3951,1550l3905,1550,3905,1867,3951,1867,3951,1550xm4235,1391l4235,1550,3974,1550,3974,1867,4235,1867,4235,2026,4602,1709,4235,1391xe" filled="true" fillcolor="#000000" stroked="false">
              <v:path arrowok="t"/>
              <v:fill type="solid"/>
            </v:shape>
            <v:shape style="position:absolute;left:3840;top:1351;width:790;height:717" coordorigin="3840,1351" coordsize="790,717" path="m4216,1867l4216,2067,4263,2026,4255,2026,4221,2014,4255,1985,4255,1884,4235,1884,4216,1867xm4255,1985l4221,2014,4255,2026,4255,1985xm4574,1709l4255,1985,4255,2026,4263,2026,4616,1721,4588,1721,4574,1709xm3885,1533l3840,1533,3840,1884,3885,1884,3885,1867,3863,1867,3863,1853,3859,1850,3863,1850,3863,1567,3859,1567,3863,1564,3863,1550,3885,1550,3885,1533xm3902,1533l3885,1533,3885,1884,3902,1884,3902,1533xm3954,1533l3902,1533,3902,1884,3954,1884,3954,1867,3925,1867,3905,1850,3925,1850,3925,1567,3905,1567,3925,1550,3954,1550,3954,1533xm3970,1533l3954,1533,3954,1884,3970,1884,3970,1533xm4216,1533l3970,1533,3970,1884,4216,1884,4216,1867,3993,1867,3974,1850,3993,1850,3993,1567,3974,1567,3993,1550,4216,1550,4216,1533xm4255,1850l3993,1850,3993,1867,4216,1867,4235,1884,4255,1884,4255,1850xm3863,1853l3863,1867,3871,1860,3863,1853xm3871,1860l3863,1867,3879,1867,3871,1860xm3879,1853l3871,1860,3879,1867,3879,1853xm3885,1850l3882,1850,3879,1853,3879,1867,3885,1867,3885,1850xm3925,1850l3905,1850,3925,1867,3925,1850xm3931,1850l3925,1850,3925,1867,3931,1867,3931,1850xm3931,1550l3931,1867,3951,1850,3954,1850,3954,1567,3951,1567,3931,1550xm3954,1850l3951,1850,3931,1867,3954,1867,3954,1850xm3993,1850l3974,1850,3993,1867,3993,1850xm3871,1557l3863,1564,3863,1853,3871,1860,3879,1853,3879,1564,3871,1557xm3863,1850l3859,1850,3863,1853,3863,1850xm3879,1564l3879,1853,3882,1850,3885,1850,3885,1567,3882,1567,3879,1564xm4588,1697l4574,1709,4588,1721,4588,1697xm4616,1697l4588,1697,4588,1721,4616,1721,4629,1709,4616,1697xm4263,1391l4255,1391,4255,1432,4574,1709,4588,1697,4616,1697,4263,1391xm3863,1564l3859,1567,3863,1567,3863,1564xm3885,1550l3879,1550,3879,1564,3882,1567,3885,1567,3885,1550xm3925,1550l3905,1567,3925,1567,3925,1550xm3931,1550l3925,1550,3925,1567,3931,1567,3931,1550xm3954,1550l3931,1550,3951,1567,3954,1567,3954,1550xm3993,1550l3974,1567,3993,1567,3993,1550xm4255,1533l4235,1533,4216,1550,3993,1550,3993,1567,4255,1567,4255,1533xm3863,1550l3863,1564,3871,1557,3863,1550xm3879,1550l3871,1557,3879,1564,3879,1550xm3879,1550l3863,1550,3871,1557,3879,1550xm4216,1351l4216,1550,4235,1533,4255,1533,4255,1432,4221,1403,4255,1391,4263,1391,4216,1351xm4255,1391l4221,1403,4255,1432,4255,1391xe" filled="true" fillcolor="#ffffff" stroked="false">
              <v:path arrowok="t"/>
              <v:fill type="solid"/>
            </v:shape>
            <v:shape style="position:absolute;left:4680;top:2991;width:1329;height:314" coordorigin="4680,2991" coordsize="1329,314" path="m5374,3147l5314,3147,5326,3159,5336,3193,5342,3243,5344,3304,5347,3243,5353,3193,5363,3159,5374,3147xm6009,2991l4680,2991,4682,3051,4689,3101,4698,3135,4710,3147,5979,3147,5990,3135,6000,3101,6006,3051,6009,2991xe" filled="true" fillcolor="#f1f1f1" stroked="false">
              <v:path arrowok="t"/>
              <v:fill type="solid"/>
            </v:shape>
            <v:shape style="position:absolute;left:4680;top:2991;width:1329;height:314" coordorigin="4680,2991" coordsize="1329,314" path="m6009,2991l6006,3051,6000,3101,5990,3135,5979,3147,5374,3147,5363,3159,5353,3193,5347,3243,5344,3304,5342,3243,5336,3193,5326,3159,5314,3147,4710,3147,4698,3135,4689,3101,4682,3051,4680,2991e" filled="false" stroked="true" strokeweight="1.705936pt" strokecolor="#000000">
              <v:path arrowok="t"/>
            </v:shape>
            <v:shape style="position:absolute;left:6966;top:2991;width:1329;height:314" coordorigin="6966,2991" coordsize="1329,314" path="m7661,3147l7601,3147,7612,3159,7622,3193,7628,3243,7631,3304,7633,3243,7640,3193,7649,3159,7661,3147xm8295,2991l6966,2991,6969,3051,6975,3101,6985,3135,6996,3147,8265,3147,8277,3135,8286,3101,8293,3051,8295,2991xe" filled="true" fillcolor="#f1f1f1" stroked="false">
              <v:path arrowok="t"/>
              <v:fill type="solid"/>
            </v:shape>
            <v:shape style="position:absolute;left:6966;top:2991;width:1329;height:314" coordorigin="6966,2991" coordsize="1329,314" path="m8295,2991l8293,3051,8286,3101,8277,3135,8265,3147,7661,3147,7649,3159,7640,3193,7633,3243,7631,3304,7628,3243,7622,3193,7612,3159,7601,3147,6996,3147,6985,3135,6975,3101,6969,3051,6966,2991e" filled="false" stroked="true" strokeweight="1.705936pt" strokecolor="#000000">
              <v:path arrowok="t"/>
            </v:shape>
            <v:shape style="position:absolute;left:2218;top:1269;width:1500;height:1227" type="#_x0000_t202" filled="false" stroked="false">
              <v:textbox inset="0,0,0,0">
                <w:txbxContent>
                  <w:p>
                    <w:pPr>
                      <w:spacing w:line="259" w:lineRule="auto" w:before="50"/>
                      <w:ind w:left="114" w:right="0" w:firstLine="0"/>
                      <w:jc w:val="left"/>
                      <w:rPr>
                        <w:b/>
                        <w:sz w:val="13"/>
                      </w:rPr>
                    </w:pPr>
                    <w:r>
                      <w:rPr>
                        <w:b/>
                        <w:w w:val="120"/>
                        <w:sz w:val="13"/>
                      </w:rPr>
                      <w:t>Autonomía de poderes</w:t>
                    </w:r>
                  </w:p>
                  <w:p>
                    <w:pPr>
                      <w:spacing w:line="240" w:lineRule="auto" w:before="11"/>
                      <w:rPr>
                        <w:sz w:val="13"/>
                      </w:rPr>
                    </w:pPr>
                  </w:p>
                  <w:p>
                    <w:pPr>
                      <w:spacing w:line="259" w:lineRule="auto" w:before="0"/>
                      <w:ind w:left="114" w:right="0" w:firstLine="0"/>
                      <w:jc w:val="left"/>
                      <w:rPr>
                        <w:b/>
                        <w:sz w:val="13"/>
                      </w:rPr>
                    </w:pPr>
                    <w:r>
                      <w:rPr>
                        <w:b/>
                        <w:w w:val="120"/>
                        <w:sz w:val="13"/>
                      </w:rPr>
                      <w:t>Diseño institucional</w:t>
                    </w:r>
                  </w:p>
                </w:txbxContent>
              </v:textbox>
              <w10:wrap type="none"/>
            </v:shape>
            <v:shape style="position:absolute;left:8965;top:1523;width:1872;height:737" type="#_x0000_t202" filled="false" stroked="false">
              <v:textbox inset="0,0,0,0">
                <w:txbxContent>
                  <w:p>
                    <w:pPr>
                      <w:spacing w:line="259" w:lineRule="auto" w:before="52"/>
                      <w:ind w:left="97" w:right="78" w:firstLine="0"/>
                      <w:jc w:val="left"/>
                      <w:rPr>
                        <w:b/>
                        <w:sz w:val="13"/>
                      </w:rPr>
                    </w:pPr>
                    <w:r>
                      <w:rPr>
                        <w:b/>
                        <w:w w:val="120"/>
                        <w:sz w:val="13"/>
                      </w:rPr>
                      <w:t>Vigilancia de la división del poder mediante la rendición de cuentas</w:t>
                    </w:r>
                  </w:p>
                </w:txbxContent>
              </v:textbox>
              <w10:wrap type="none"/>
            </v:shape>
            <v:shape style="position:absolute;left:5068;top:1843;width:701;height:297" type="#_x0000_t202" filled="false" stroked="false">
              <v:textbox inset="0,0,0,0">
                <w:txbxContent>
                  <w:p>
                    <w:pPr>
                      <w:spacing w:line="137" w:lineRule="exact" w:before="0"/>
                      <w:ind w:left="0" w:right="0" w:firstLine="0"/>
                      <w:jc w:val="center"/>
                      <w:rPr>
                        <w:b/>
                        <w:sz w:val="13"/>
                      </w:rPr>
                    </w:pPr>
                    <w:r>
                      <w:rPr>
                        <w:b/>
                        <w:w w:val="120"/>
                        <w:sz w:val="13"/>
                      </w:rPr>
                      <w:t>Poder</w:t>
                    </w:r>
                  </w:p>
                  <w:p>
                    <w:pPr>
                      <w:spacing w:line="148" w:lineRule="exact" w:before="11"/>
                      <w:ind w:left="0" w:right="0" w:firstLine="0"/>
                      <w:jc w:val="center"/>
                      <w:rPr>
                        <w:b/>
                        <w:sz w:val="13"/>
                      </w:rPr>
                    </w:pPr>
                    <w:r>
                      <w:rPr>
                        <w:b/>
                        <w:w w:val="120"/>
                        <w:sz w:val="13"/>
                      </w:rPr>
                      <w:t>Ejecutivo</w:t>
                    </w:r>
                  </w:p>
                </w:txbxContent>
              </v:textbox>
              <w10:wrap type="none"/>
            </v:shape>
            <v:shape style="position:absolute;left:6621;top:1843;width:1287;height:297" type="#_x0000_t202" filled="false" stroked="false">
              <v:textbox inset="0,0,0,0">
                <w:txbxContent>
                  <w:p>
                    <w:pPr>
                      <w:spacing w:line="137" w:lineRule="exact" w:before="0"/>
                      <w:ind w:left="0" w:right="-11" w:firstLine="0"/>
                      <w:jc w:val="left"/>
                      <w:rPr>
                        <w:b/>
                        <w:sz w:val="13"/>
                      </w:rPr>
                    </w:pPr>
                    <w:r>
                      <w:rPr>
                        <w:b/>
                        <w:w w:val="120"/>
                        <w:sz w:val="13"/>
                      </w:rPr>
                      <w:t>Poder</w:t>
                    </w:r>
                    <w:r>
                      <w:rPr>
                        <w:b/>
                        <w:spacing w:val="-23"/>
                        <w:w w:val="120"/>
                        <w:sz w:val="13"/>
                      </w:rPr>
                      <w:t> </w:t>
                    </w:r>
                    <w:r>
                      <w:rPr>
                        <w:b/>
                        <w:w w:val="120"/>
                        <w:sz w:val="13"/>
                      </w:rPr>
                      <w:t>Legislativo</w:t>
                    </w:r>
                  </w:p>
                  <w:p>
                    <w:pPr>
                      <w:spacing w:line="148" w:lineRule="exact" w:before="11"/>
                      <w:ind w:left="0" w:right="-11" w:firstLine="0"/>
                      <w:jc w:val="left"/>
                      <w:rPr>
                        <w:b/>
                        <w:sz w:val="13"/>
                      </w:rPr>
                    </w:pPr>
                    <w:r>
                      <w:rPr>
                        <w:b/>
                        <w:w w:val="120"/>
                        <w:sz w:val="13"/>
                      </w:rPr>
                      <w:t>Poder Judicial</w:t>
                    </w:r>
                  </w:p>
                </w:txbxContent>
              </v:textbox>
              <w10:wrap type="none"/>
            </v:shape>
            <v:shape style="position:absolute;left:4964;top:3634;width:456;height:162" type="#_x0000_t202" filled="false" stroked="false">
              <v:textbox inset="0,0,0,0">
                <w:txbxContent>
                  <w:p>
                    <w:pPr>
                      <w:spacing w:line="161" w:lineRule="exact" w:before="0"/>
                      <w:ind w:left="0" w:right="-4" w:firstLine="0"/>
                      <w:jc w:val="left"/>
                      <w:rPr>
                        <w:b/>
                        <w:sz w:val="16"/>
                      </w:rPr>
                    </w:pPr>
                    <w:r>
                      <w:rPr>
                        <w:b/>
                        <w:w w:val="115"/>
                        <w:sz w:val="16"/>
                      </w:rPr>
                      <w:t>Peso</w:t>
                    </w:r>
                  </w:p>
                </w:txbxContent>
              </v:textbox>
              <w10:wrap type="none"/>
            </v:shape>
            <v:shape style="position:absolute;left:7114;top:3634;width:1044;height:162" type="#_x0000_t202" filled="false" stroked="false">
              <v:textbox inset="0,0,0,0">
                <w:txbxContent>
                  <w:p>
                    <w:pPr>
                      <w:spacing w:line="161" w:lineRule="exact" w:before="0"/>
                      <w:ind w:left="0" w:right="0" w:firstLine="0"/>
                      <w:jc w:val="left"/>
                      <w:rPr>
                        <w:b/>
                        <w:sz w:val="16"/>
                      </w:rPr>
                    </w:pPr>
                    <w:r>
                      <w:rPr>
                        <w:b/>
                        <w:w w:val="115"/>
                        <w:sz w:val="16"/>
                      </w:rPr>
                      <w:t>Contrapeso</w:t>
                    </w:r>
                  </w:p>
                </w:txbxContent>
              </v:textbox>
              <w10:wrap type="none"/>
            </v:shape>
            <w10:wrap type="topAndBottom"/>
          </v:group>
        </w:pict>
      </w:r>
    </w:p>
    <w:p>
      <w:pPr>
        <w:tabs>
          <w:tab w:pos="1537" w:val="left" w:leader="none"/>
        </w:tabs>
        <w:spacing w:before="0"/>
        <w:ind w:left="122" w:right="0" w:firstLine="0"/>
        <w:jc w:val="both"/>
        <w:rPr>
          <w:sz w:val="16"/>
        </w:rPr>
      </w:pPr>
      <w:r>
        <w:rPr>
          <w:sz w:val="16"/>
        </w:rPr>
        <w:t>FUENTE:</w:t>
        <w:tab/>
        <w:t>Solares</w:t>
      </w:r>
      <w:r>
        <w:rPr>
          <w:spacing w:val="-3"/>
          <w:sz w:val="16"/>
        </w:rPr>
        <w:t> </w:t>
      </w:r>
      <w:r>
        <w:rPr>
          <w:sz w:val="16"/>
        </w:rPr>
        <w:t>(2003).</w:t>
      </w:r>
    </w:p>
    <w:p>
      <w:pPr>
        <w:pStyle w:val="BodyText"/>
        <w:rPr>
          <w:sz w:val="16"/>
        </w:rPr>
      </w:pPr>
    </w:p>
    <w:p>
      <w:pPr>
        <w:pStyle w:val="BodyText"/>
        <w:rPr>
          <w:sz w:val="16"/>
        </w:rPr>
      </w:pPr>
    </w:p>
    <w:p>
      <w:pPr>
        <w:pStyle w:val="BodyText"/>
        <w:spacing w:before="1"/>
        <w:rPr>
          <w:sz w:val="14"/>
        </w:rPr>
      </w:pPr>
    </w:p>
    <w:p>
      <w:pPr>
        <w:pStyle w:val="BodyText"/>
        <w:spacing w:line="360" w:lineRule="auto"/>
        <w:ind w:left="122" w:right="442" w:firstLine="427"/>
        <w:jc w:val="both"/>
      </w:pPr>
      <w:r>
        <w:rPr/>
        <w:t>El equilibrio es difícil de sostener si no existe la voluntad política de respetar la división</w:t>
      </w:r>
      <w:r>
        <w:rPr>
          <w:spacing w:val="-14"/>
        </w:rPr>
        <w:t> </w:t>
      </w:r>
      <w:r>
        <w:rPr/>
        <w:t>de</w:t>
      </w:r>
      <w:r>
        <w:rPr>
          <w:spacing w:val="-16"/>
        </w:rPr>
        <w:t> </w:t>
      </w:r>
      <w:r>
        <w:rPr/>
        <w:t>poderes</w:t>
      </w:r>
      <w:r>
        <w:rPr>
          <w:spacing w:val="-13"/>
        </w:rPr>
        <w:t> </w:t>
      </w:r>
      <w:r>
        <w:rPr/>
        <w:t>y</w:t>
      </w:r>
      <w:r>
        <w:rPr>
          <w:spacing w:val="-16"/>
        </w:rPr>
        <w:t> </w:t>
      </w:r>
      <w:r>
        <w:rPr/>
        <w:t>si</w:t>
      </w:r>
      <w:r>
        <w:rPr>
          <w:spacing w:val="-17"/>
        </w:rPr>
        <w:t> </w:t>
      </w:r>
      <w:r>
        <w:rPr/>
        <w:t>el</w:t>
      </w:r>
      <w:r>
        <w:rPr>
          <w:spacing w:val="-17"/>
        </w:rPr>
        <w:t> </w:t>
      </w:r>
      <w:r>
        <w:rPr/>
        <w:t>Estado</w:t>
      </w:r>
      <w:r>
        <w:rPr>
          <w:spacing w:val="-16"/>
        </w:rPr>
        <w:t> </w:t>
      </w:r>
      <w:r>
        <w:rPr/>
        <w:t>es</w:t>
      </w:r>
      <w:r>
        <w:rPr>
          <w:spacing w:val="-16"/>
        </w:rPr>
        <w:t> </w:t>
      </w:r>
      <w:r>
        <w:rPr/>
        <w:t>democráticamente</w:t>
      </w:r>
      <w:r>
        <w:rPr>
          <w:spacing w:val="-17"/>
        </w:rPr>
        <w:t> </w:t>
      </w:r>
      <w:r>
        <w:rPr/>
        <w:t>frágil.</w:t>
      </w:r>
      <w:r>
        <w:rPr>
          <w:spacing w:val="-14"/>
        </w:rPr>
        <w:t> </w:t>
      </w:r>
      <w:r>
        <w:rPr/>
        <w:t>Cuando</w:t>
      </w:r>
      <w:r>
        <w:rPr>
          <w:spacing w:val="-14"/>
        </w:rPr>
        <w:t> </w:t>
      </w:r>
      <w:r>
        <w:rPr/>
        <w:t>el</w:t>
      </w:r>
      <w:r>
        <w:rPr>
          <w:spacing w:val="-17"/>
        </w:rPr>
        <w:t> </w:t>
      </w:r>
      <w:r>
        <w:rPr/>
        <w:t>contrapeso no es efectivo y la democracia es endeble, le es más conveniente al poder político promover la civilidad política mediante la conveniencia mutua que por la</w:t>
      </w:r>
      <w:r>
        <w:rPr>
          <w:spacing w:val="-34"/>
        </w:rPr>
        <w:t> </w:t>
      </w:r>
      <w:r>
        <w:rPr/>
        <w:t>fuerza.</w:t>
      </w:r>
    </w:p>
    <w:p>
      <w:pPr>
        <w:pStyle w:val="BodyText"/>
        <w:spacing w:line="360" w:lineRule="auto"/>
        <w:ind w:left="122" w:right="437" w:firstLine="427"/>
        <w:jc w:val="both"/>
      </w:pPr>
      <w:r>
        <w:rPr/>
        <w:t>La acción de la </w:t>
      </w:r>
      <w:r>
        <w:rPr>
          <w:i/>
        </w:rPr>
        <w:t>res publica</w:t>
      </w:r>
      <w:r>
        <w:rPr>
          <w:position w:val="8"/>
          <w:sz w:val="16"/>
        </w:rPr>
        <w:t>73 </w:t>
      </w:r>
      <w:r>
        <w:rPr/>
        <w:t>recae en la clase política</w:t>
      </w:r>
      <w:r>
        <w:rPr>
          <w:position w:val="8"/>
          <w:sz w:val="16"/>
        </w:rPr>
        <w:t>74 </w:t>
      </w:r>
      <w:r>
        <w:rPr/>
        <w:t>que está integrada por los funcionarios públicos de un Estado. De acuerdo con Gaetano Mosca (1896), algunas características de esta clase son las siguientes:</w:t>
      </w:r>
    </w:p>
    <w:p>
      <w:pPr>
        <w:pStyle w:val="BodyText"/>
      </w:pPr>
    </w:p>
    <w:p>
      <w:pPr>
        <w:pStyle w:val="ListParagraph"/>
        <w:numPr>
          <w:ilvl w:val="2"/>
          <w:numId w:val="48"/>
        </w:numPr>
        <w:tabs>
          <w:tab w:pos="842" w:val="left" w:leader="none"/>
        </w:tabs>
        <w:spacing w:line="240" w:lineRule="auto" w:before="142" w:after="0"/>
        <w:ind w:left="842" w:right="0" w:hanging="360"/>
        <w:jc w:val="left"/>
        <w:rPr>
          <w:sz w:val="24"/>
        </w:rPr>
      </w:pPr>
      <w:r>
        <w:rPr>
          <w:sz w:val="24"/>
        </w:rPr>
        <w:t>Está compuesto por una minoría de personas</w:t>
      </w:r>
      <w:r>
        <w:rPr>
          <w:spacing w:val="-17"/>
          <w:sz w:val="24"/>
        </w:rPr>
        <w:t> </w:t>
      </w:r>
      <w:r>
        <w:rPr>
          <w:sz w:val="24"/>
        </w:rPr>
        <w:t>influyentes.</w:t>
      </w:r>
    </w:p>
    <w:p>
      <w:pPr>
        <w:pStyle w:val="ListParagraph"/>
        <w:numPr>
          <w:ilvl w:val="2"/>
          <w:numId w:val="48"/>
        </w:numPr>
        <w:tabs>
          <w:tab w:pos="842" w:val="left" w:leader="none"/>
        </w:tabs>
        <w:spacing w:line="360" w:lineRule="auto" w:before="140" w:after="0"/>
        <w:ind w:left="842" w:right="446" w:hanging="360"/>
        <w:jc w:val="left"/>
        <w:rPr>
          <w:sz w:val="24"/>
        </w:rPr>
      </w:pPr>
      <w:r>
        <w:rPr>
          <w:sz w:val="24"/>
        </w:rPr>
        <w:t>Existe una persona que encabeza la clase política y se encuentra al mando del</w:t>
      </w:r>
      <w:r>
        <w:rPr>
          <w:spacing w:val="-5"/>
          <w:sz w:val="24"/>
        </w:rPr>
        <w:t> </w:t>
      </w:r>
      <w:r>
        <w:rPr>
          <w:sz w:val="24"/>
        </w:rPr>
        <w:t>Estado.</w:t>
      </w:r>
    </w:p>
    <w:p>
      <w:pPr>
        <w:pStyle w:val="BodyText"/>
        <w:spacing w:before="4"/>
        <w:rPr>
          <w:sz w:val="16"/>
        </w:rPr>
      </w:pPr>
      <w:r>
        <w:rPr/>
        <w:pict>
          <v:line style="position:absolute;mso-position-horizontal-relative:page;mso-position-vertical-relative:paragraph;z-index:8080;mso-wrap-distance-left:0;mso-wrap-distance-right:0" from="85.103996pt,11.753919pt" to="229.123996pt,11.753919pt" stroked="true" strokeweight=".71997pt" strokecolor="#000000">
            <w10:wrap type="topAndBottom"/>
          </v:line>
        </w:pict>
      </w:r>
    </w:p>
    <w:p>
      <w:pPr>
        <w:spacing w:line="256" w:lineRule="auto" w:before="62"/>
        <w:ind w:left="122" w:right="436" w:firstLine="0"/>
        <w:jc w:val="both"/>
        <w:rPr>
          <w:sz w:val="16"/>
        </w:rPr>
      </w:pPr>
      <w:r>
        <w:rPr>
          <w:rFonts w:ascii="Times New Roman" w:hAnsi="Times New Roman"/>
          <w:position w:val="7"/>
          <w:sz w:val="13"/>
        </w:rPr>
        <w:t>73</w:t>
      </w:r>
      <w:r>
        <w:rPr>
          <w:sz w:val="16"/>
        </w:rPr>
        <w:t>Pimentel (2004: 676) mencionó que Por</w:t>
      </w:r>
      <w:r>
        <w:rPr>
          <w:i/>
          <w:sz w:val="16"/>
        </w:rPr>
        <w:t>res pública </w:t>
      </w:r>
      <w:r>
        <w:rPr>
          <w:sz w:val="16"/>
        </w:rPr>
        <w:t>entiende la cosa pública, la república, el Estado, administración del Estado, asuntos públicos, interés público.</w:t>
      </w:r>
    </w:p>
    <w:p>
      <w:pPr>
        <w:spacing w:line="206" w:lineRule="exact" w:before="0"/>
        <w:ind w:left="122" w:right="0" w:firstLine="0"/>
        <w:jc w:val="both"/>
        <w:rPr>
          <w:i/>
          <w:sz w:val="16"/>
        </w:rPr>
      </w:pPr>
      <w:r>
        <w:rPr>
          <w:rFonts w:ascii="Times New Roman" w:hAnsi="Times New Roman"/>
          <w:position w:val="7"/>
          <w:sz w:val="13"/>
        </w:rPr>
        <w:t>74</w:t>
      </w:r>
      <w:r>
        <w:rPr>
          <w:sz w:val="16"/>
        </w:rPr>
        <w:t>Sierra Rojas (2001: 195) mencionó que la clase política es una expresión acuñada por Gaetano Mosca, de su obra </w:t>
      </w:r>
      <w:r>
        <w:rPr>
          <w:i/>
          <w:sz w:val="16"/>
        </w:rPr>
        <w:t>Elementi</w:t>
      </w:r>
    </w:p>
    <w:p>
      <w:pPr>
        <w:spacing w:before="13"/>
        <w:ind w:left="122" w:right="434" w:firstLine="0"/>
        <w:jc w:val="both"/>
        <w:rPr>
          <w:sz w:val="16"/>
        </w:rPr>
      </w:pPr>
      <w:r>
        <w:rPr>
          <w:i/>
          <w:sz w:val="16"/>
        </w:rPr>
        <w:t>di</w:t>
      </w:r>
      <w:r>
        <w:rPr>
          <w:i/>
          <w:spacing w:val="-3"/>
          <w:sz w:val="16"/>
        </w:rPr>
        <w:t> </w:t>
      </w:r>
      <w:r>
        <w:rPr>
          <w:i/>
          <w:sz w:val="16"/>
        </w:rPr>
        <w:t>Scienza</w:t>
      </w:r>
      <w:r>
        <w:rPr>
          <w:i/>
          <w:spacing w:val="-2"/>
          <w:sz w:val="16"/>
        </w:rPr>
        <w:t> </w:t>
      </w:r>
      <w:r>
        <w:rPr>
          <w:i/>
          <w:sz w:val="16"/>
        </w:rPr>
        <w:t>Política</w:t>
      </w:r>
      <w:r>
        <w:rPr>
          <w:sz w:val="16"/>
        </w:rPr>
        <w:t>,</w:t>
      </w:r>
      <w:r>
        <w:rPr>
          <w:spacing w:val="-1"/>
          <w:sz w:val="16"/>
        </w:rPr>
        <w:t> </w:t>
      </w:r>
      <w:r>
        <w:rPr>
          <w:sz w:val="16"/>
        </w:rPr>
        <w:t>para</w:t>
      </w:r>
      <w:r>
        <w:rPr>
          <w:spacing w:val="-4"/>
          <w:sz w:val="16"/>
        </w:rPr>
        <w:t> </w:t>
      </w:r>
      <w:r>
        <w:rPr>
          <w:sz w:val="16"/>
        </w:rPr>
        <w:t>designar</w:t>
      </w:r>
      <w:r>
        <w:rPr>
          <w:spacing w:val="-4"/>
          <w:sz w:val="16"/>
        </w:rPr>
        <w:t> </w:t>
      </w:r>
      <w:r>
        <w:rPr>
          <w:sz w:val="16"/>
        </w:rPr>
        <w:t>a</w:t>
      </w:r>
      <w:r>
        <w:rPr>
          <w:spacing w:val="-2"/>
          <w:sz w:val="16"/>
        </w:rPr>
        <w:t> </w:t>
      </w:r>
      <w:r>
        <w:rPr>
          <w:sz w:val="16"/>
        </w:rPr>
        <w:t>la</w:t>
      </w:r>
      <w:r>
        <w:rPr>
          <w:spacing w:val="-4"/>
          <w:sz w:val="16"/>
        </w:rPr>
        <w:t> </w:t>
      </w:r>
      <w:r>
        <w:rPr>
          <w:sz w:val="16"/>
        </w:rPr>
        <w:t>clase</w:t>
      </w:r>
      <w:r>
        <w:rPr>
          <w:spacing w:val="-4"/>
          <w:sz w:val="16"/>
        </w:rPr>
        <w:t> </w:t>
      </w:r>
      <w:r>
        <w:rPr>
          <w:sz w:val="16"/>
        </w:rPr>
        <w:t>dominante.</w:t>
      </w:r>
      <w:r>
        <w:rPr>
          <w:spacing w:val="-3"/>
          <w:sz w:val="16"/>
        </w:rPr>
        <w:t> </w:t>
      </w:r>
      <w:r>
        <w:rPr>
          <w:sz w:val="16"/>
        </w:rPr>
        <w:t>Originalmente</w:t>
      </w:r>
      <w:r>
        <w:rPr>
          <w:spacing w:val="-2"/>
          <w:sz w:val="16"/>
        </w:rPr>
        <w:t> </w:t>
      </w:r>
      <w:r>
        <w:rPr>
          <w:sz w:val="16"/>
        </w:rPr>
        <w:t>el</w:t>
      </w:r>
      <w:r>
        <w:rPr>
          <w:spacing w:val="-4"/>
          <w:sz w:val="16"/>
        </w:rPr>
        <w:t> </w:t>
      </w:r>
      <w:r>
        <w:rPr>
          <w:sz w:val="16"/>
        </w:rPr>
        <w:t>autor</w:t>
      </w:r>
      <w:r>
        <w:rPr>
          <w:spacing w:val="-4"/>
          <w:sz w:val="16"/>
        </w:rPr>
        <w:t> </w:t>
      </w:r>
      <w:r>
        <w:rPr>
          <w:sz w:val="16"/>
        </w:rPr>
        <w:t>se</w:t>
      </w:r>
      <w:r>
        <w:rPr>
          <w:spacing w:val="-4"/>
          <w:sz w:val="16"/>
        </w:rPr>
        <w:t> </w:t>
      </w:r>
      <w:r>
        <w:rPr>
          <w:sz w:val="16"/>
        </w:rPr>
        <w:t>refiere</w:t>
      </w:r>
      <w:r>
        <w:rPr>
          <w:spacing w:val="-4"/>
          <w:sz w:val="16"/>
        </w:rPr>
        <w:t> </w:t>
      </w:r>
      <w:r>
        <w:rPr>
          <w:sz w:val="16"/>
        </w:rPr>
        <w:t>a</w:t>
      </w:r>
      <w:r>
        <w:rPr>
          <w:spacing w:val="-2"/>
          <w:sz w:val="16"/>
        </w:rPr>
        <w:t> </w:t>
      </w:r>
      <w:r>
        <w:rPr>
          <w:sz w:val="16"/>
        </w:rPr>
        <w:t>la</w:t>
      </w:r>
      <w:r>
        <w:rPr>
          <w:spacing w:val="-6"/>
          <w:sz w:val="16"/>
        </w:rPr>
        <w:t> </w:t>
      </w:r>
      <w:r>
        <w:rPr>
          <w:sz w:val="16"/>
        </w:rPr>
        <w:t>clase</w:t>
      </w:r>
      <w:r>
        <w:rPr>
          <w:spacing w:val="-4"/>
          <w:sz w:val="16"/>
        </w:rPr>
        <w:t> </w:t>
      </w:r>
      <w:r>
        <w:rPr>
          <w:sz w:val="16"/>
        </w:rPr>
        <w:t>política,</w:t>
      </w:r>
      <w:r>
        <w:rPr>
          <w:spacing w:val="-3"/>
          <w:sz w:val="16"/>
        </w:rPr>
        <w:t> </w:t>
      </w:r>
      <w:r>
        <w:rPr>
          <w:sz w:val="16"/>
        </w:rPr>
        <w:t>pero</w:t>
      </w:r>
      <w:r>
        <w:rPr>
          <w:spacing w:val="-2"/>
          <w:sz w:val="16"/>
        </w:rPr>
        <w:t> </w:t>
      </w:r>
      <w:r>
        <w:rPr>
          <w:sz w:val="16"/>
        </w:rPr>
        <w:t>al</w:t>
      </w:r>
      <w:r>
        <w:rPr>
          <w:spacing w:val="-4"/>
          <w:sz w:val="16"/>
        </w:rPr>
        <w:t> </w:t>
      </w:r>
      <w:r>
        <w:rPr>
          <w:sz w:val="16"/>
        </w:rPr>
        <w:t>traducir</w:t>
      </w:r>
      <w:r>
        <w:rPr>
          <w:spacing w:val="-4"/>
          <w:sz w:val="16"/>
        </w:rPr>
        <w:t> </w:t>
      </w:r>
      <w:r>
        <w:rPr>
          <w:sz w:val="16"/>
        </w:rPr>
        <w:t>la obra al inglés y al alemán se convierte en clase dominante. Es el conjunto de personas que ejercen efectivamente el poder en un Estado. En el estado capitalista es la burguesía. Sierra advirtió que el término no debe confundirse clase dominante con</w:t>
      </w:r>
      <w:r>
        <w:rPr>
          <w:spacing w:val="-7"/>
          <w:sz w:val="16"/>
        </w:rPr>
        <w:t> </w:t>
      </w:r>
      <w:r>
        <w:rPr>
          <w:sz w:val="16"/>
        </w:rPr>
        <w:t>el</w:t>
      </w:r>
      <w:r>
        <w:rPr>
          <w:spacing w:val="-8"/>
          <w:sz w:val="16"/>
        </w:rPr>
        <w:t> </w:t>
      </w:r>
      <w:r>
        <w:rPr>
          <w:sz w:val="16"/>
        </w:rPr>
        <w:t>sector</w:t>
      </w:r>
      <w:r>
        <w:rPr>
          <w:spacing w:val="-9"/>
          <w:sz w:val="16"/>
        </w:rPr>
        <w:t> </w:t>
      </w:r>
      <w:r>
        <w:rPr>
          <w:sz w:val="16"/>
        </w:rPr>
        <w:t>dominante,</w:t>
      </w:r>
      <w:r>
        <w:rPr>
          <w:spacing w:val="-5"/>
          <w:sz w:val="16"/>
        </w:rPr>
        <w:t> </w:t>
      </w:r>
      <w:r>
        <w:rPr>
          <w:sz w:val="16"/>
        </w:rPr>
        <w:t>que</w:t>
      </w:r>
      <w:r>
        <w:rPr>
          <w:spacing w:val="-9"/>
          <w:sz w:val="16"/>
        </w:rPr>
        <w:t> </w:t>
      </w:r>
      <w:r>
        <w:rPr>
          <w:sz w:val="16"/>
        </w:rPr>
        <w:t>es</w:t>
      </w:r>
      <w:r>
        <w:rPr>
          <w:spacing w:val="-7"/>
          <w:sz w:val="16"/>
        </w:rPr>
        <w:t> </w:t>
      </w:r>
      <w:r>
        <w:rPr>
          <w:sz w:val="16"/>
        </w:rPr>
        <w:t>la</w:t>
      </w:r>
      <w:r>
        <w:rPr>
          <w:spacing w:val="-11"/>
          <w:sz w:val="16"/>
        </w:rPr>
        <w:t> </w:t>
      </w:r>
      <w:r>
        <w:rPr>
          <w:sz w:val="16"/>
        </w:rPr>
        <w:t>fracción</w:t>
      </w:r>
      <w:r>
        <w:rPr>
          <w:spacing w:val="-7"/>
          <w:sz w:val="16"/>
        </w:rPr>
        <w:t> </w:t>
      </w:r>
      <w:r>
        <w:rPr>
          <w:sz w:val="16"/>
        </w:rPr>
        <w:t>de</w:t>
      </w:r>
      <w:r>
        <w:rPr>
          <w:spacing w:val="-9"/>
          <w:sz w:val="16"/>
        </w:rPr>
        <w:t> </w:t>
      </w:r>
      <w:r>
        <w:rPr>
          <w:sz w:val="16"/>
        </w:rPr>
        <w:t>la</w:t>
      </w:r>
      <w:r>
        <w:rPr>
          <w:spacing w:val="-9"/>
          <w:sz w:val="16"/>
        </w:rPr>
        <w:t> </w:t>
      </w:r>
      <w:r>
        <w:rPr>
          <w:sz w:val="16"/>
        </w:rPr>
        <w:t>clase</w:t>
      </w:r>
      <w:r>
        <w:rPr>
          <w:spacing w:val="-7"/>
          <w:sz w:val="16"/>
        </w:rPr>
        <w:t> </w:t>
      </w:r>
      <w:r>
        <w:rPr>
          <w:sz w:val="16"/>
        </w:rPr>
        <w:t>dominante</w:t>
      </w:r>
      <w:r>
        <w:rPr>
          <w:spacing w:val="-7"/>
          <w:sz w:val="16"/>
        </w:rPr>
        <w:t> </w:t>
      </w:r>
      <w:r>
        <w:rPr>
          <w:sz w:val="16"/>
        </w:rPr>
        <w:t>que</w:t>
      </w:r>
      <w:r>
        <w:rPr>
          <w:spacing w:val="-9"/>
          <w:sz w:val="16"/>
        </w:rPr>
        <w:t> </w:t>
      </w:r>
      <w:r>
        <w:rPr>
          <w:sz w:val="16"/>
        </w:rPr>
        <w:t>en</w:t>
      </w:r>
      <w:r>
        <w:rPr>
          <w:spacing w:val="-7"/>
          <w:sz w:val="16"/>
        </w:rPr>
        <w:t> </w:t>
      </w:r>
      <w:r>
        <w:rPr>
          <w:sz w:val="16"/>
        </w:rPr>
        <w:t>un</w:t>
      </w:r>
      <w:r>
        <w:rPr>
          <w:spacing w:val="-9"/>
          <w:sz w:val="16"/>
        </w:rPr>
        <w:t> </w:t>
      </w:r>
      <w:r>
        <w:rPr>
          <w:sz w:val="16"/>
        </w:rPr>
        <w:t>momento</w:t>
      </w:r>
      <w:r>
        <w:rPr>
          <w:spacing w:val="-7"/>
          <w:sz w:val="16"/>
        </w:rPr>
        <w:t> </w:t>
      </w:r>
      <w:r>
        <w:rPr>
          <w:sz w:val="16"/>
        </w:rPr>
        <w:t>dado</w:t>
      </w:r>
      <w:r>
        <w:rPr>
          <w:spacing w:val="-9"/>
          <w:sz w:val="16"/>
        </w:rPr>
        <w:t> </w:t>
      </w:r>
      <w:r>
        <w:rPr>
          <w:sz w:val="16"/>
        </w:rPr>
        <w:t>controla</w:t>
      </w:r>
      <w:r>
        <w:rPr>
          <w:spacing w:val="-9"/>
          <w:sz w:val="16"/>
        </w:rPr>
        <w:t> </w:t>
      </w:r>
      <w:r>
        <w:rPr>
          <w:sz w:val="16"/>
        </w:rPr>
        <w:t>en</w:t>
      </w:r>
      <w:r>
        <w:rPr>
          <w:spacing w:val="-7"/>
          <w:sz w:val="16"/>
        </w:rPr>
        <w:t> </w:t>
      </w:r>
      <w:r>
        <w:rPr>
          <w:sz w:val="16"/>
        </w:rPr>
        <w:t>forma</w:t>
      </w:r>
      <w:r>
        <w:rPr>
          <w:spacing w:val="-9"/>
          <w:sz w:val="16"/>
        </w:rPr>
        <w:t> </w:t>
      </w:r>
      <w:r>
        <w:rPr>
          <w:sz w:val="16"/>
        </w:rPr>
        <w:t>directa</w:t>
      </w:r>
      <w:r>
        <w:rPr>
          <w:spacing w:val="-7"/>
          <w:sz w:val="16"/>
        </w:rPr>
        <w:t> </w:t>
      </w:r>
      <w:r>
        <w:rPr>
          <w:sz w:val="16"/>
        </w:rPr>
        <w:t>el</w:t>
      </w:r>
      <w:r>
        <w:rPr>
          <w:spacing w:val="-8"/>
          <w:sz w:val="16"/>
        </w:rPr>
        <w:t> </w:t>
      </w:r>
      <w:r>
        <w:rPr>
          <w:sz w:val="16"/>
        </w:rPr>
        <w:t>poder político, o con un grupo gobernante que es el conjunto de personas elegidas o nombradas para que ocupen los más altos cargos</w:t>
      </w:r>
      <w:r>
        <w:rPr>
          <w:spacing w:val="-6"/>
          <w:sz w:val="16"/>
        </w:rPr>
        <w:t> </w:t>
      </w:r>
      <w:r>
        <w:rPr>
          <w:sz w:val="16"/>
        </w:rPr>
        <w:t>públicos.</w:t>
      </w:r>
    </w:p>
    <w:p>
      <w:pPr>
        <w:spacing w:after="0"/>
        <w:jc w:val="both"/>
        <w:rPr>
          <w:sz w:val="16"/>
        </w:rPr>
        <w:sectPr>
          <w:pgSz w:w="12240" w:h="15840"/>
          <w:pgMar w:header="0" w:footer="1003" w:top="1360" w:bottom="1200" w:left="1580" w:right="1260"/>
        </w:sectPr>
      </w:pPr>
    </w:p>
    <w:p>
      <w:pPr>
        <w:pStyle w:val="ListParagraph"/>
        <w:numPr>
          <w:ilvl w:val="2"/>
          <w:numId w:val="48"/>
        </w:numPr>
        <w:tabs>
          <w:tab w:pos="842" w:val="left" w:leader="none"/>
        </w:tabs>
        <w:spacing w:line="360" w:lineRule="auto" w:before="54" w:after="0"/>
        <w:ind w:left="842" w:right="125" w:hanging="360"/>
        <w:jc w:val="both"/>
        <w:rPr>
          <w:sz w:val="24"/>
        </w:rPr>
      </w:pPr>
      <w:r>
        <w:rPr>
          <w:sz w:val="24"/>
        </w:rPr>
        <w:t>En ocasiones el poder supremo comparte el poder con el rey o un primer ministro o administrador más poderoso; otras veces, en lugar del presidente electo,</w:t>
      </w:r>
      <w:r>
        <w:rPr>
          <w:spacing w:val="-10"/>
          <w:sz w:val="24"/>
        </w:rPr>
        <w:t> </w:t>
      </w:r>
      <w:r>
        <w:rPr>
          <w:sz w:val="24"/>
        </w:rPr>
        <w:t>gobernará</w:t>
      </w:r>
      <w:r>
        <w:rPr>
          <w:spacing w:val="-10"/>
          <w:sz w:val="24"/>
        </w:rPr>
        <w:t> </w:t>
      </w:r>
      <w:r>
        <w:rPr>
          <w:sz w:val="24"/>
        </w:rPr>
        <w:t>el</w:t>
      </w:r>
      <w:r>
        <w:rPr>
          <w:spacing w:val="-11"/>
          <w:sz w:val="24"/>
        </w:rPr>
        <w:t> </w:t>
      </w:r>
      <w:r>
        <w:rPr>
          <w:sz w:val="24"/>
        </w:rPr>
        <w:t>hombre</w:t>
      </w:r>
      <w:r>
        <w:rPr>
          <w:spacing w:val="-10"/>
          <w:sz w:val="24"/>
        </w:rPr>
        <w:t> </w:t>
      </w:r>
      <w:r>
        <w:rPr>
          <w:sz w:val="24"/>
        </w:rPr>
        <w:t>político</w:t>
      </w:r>
      <w:r>
        <w:rPr>
          <w:spacing w:val="-9"/>
          <w:sz w:val="24"/>
        </w:rPr>
        <w:t> </w:t>
      </w:r>
      <w:r>
        <w:rPr>
          <w:sz w:val="24"/>
        </w:rPr>
        <w:t>más</w:t>
      </w:r>
      <w:r>
        <w:rPr>
          <w:spacing w:val="-8"/>
          <w:sz w:val="24"/>
        </w:rPr>
        <w:t> </w:t>
      </w:r>
      <w:r>
        <w:rPr>
          <w:sz w:val="24"/>
        </w:rPr>
        <w:t>influyente</w:t>
      </w:r>
      <w:r>
        <w:rPr>
          <w:spacing w:val="-7"/>
          <w:sz w:val="24"/>
        </w:rPr>
        <w:t> </w:t>
      </w:r>
      <w:r>
        <w:rPr>
          <w:sz w:val="24"/>
        </w:rPr>
        <w:t>que</w:t>
      </w:r>
      <w:r>
        <w:rPr>
          <w:spacing w:val="-9"/>
          <w:sz w:val="24"/>
        </w:rPr>
        <w:t> </w:t>
      </w:r>
      <w:r>
        <w:rPr>
          <w:sz w:val="24"/>
        </w:rPr>
        <w:t>procuró</w:t>
      </w:r>
      <w:r>
        <w:rPr>
          <w:spacing w:val="-7"/>
          <w:sz w:val="24"/>
        </w:rPr>
        <w:t> </w:t>
      </w:r>
      <w:r>
        <w:rPr>
          <w:sz w:val="24"/>
        </w:rPr>
        <w:t>su</w:t>
      </w:r>
      <w:r>
        <w:rPr>
          <w:spacing w:val="-7"/>
          <w:sz w:val="24"/>
        </w:rPr>
        <w:t> </w:t>
      </w:r>
      <w:r>
        <w:rPr>
          <w:sz w:val="24"/>
        </w:rPr>
        <w:t>elección.</w:t>
      </w:r>
    </w:p>
    <w:p>
      <w:pPr>
        <w:pStyle w:val="ListParagraph"/>
        <w:numPr>
          <w:ilvl w:val="2"/>
          <w:numId w:val="48"/>
        </w:numPr>
        <w:tabs>
          <w:tab w:pos="842" w:val="left" w:leader="none"/>
        </w:tabs>
        <w:spacing w:line="360" w:lineRule="auto" w:before="5" w:after="0"/>
        <w:ind w:left="842" w:right="126" w:hanging="360"/>
        <w:jc w:val="both"/>
        <w:rPr>
          <w:sz w:val="24"/>
        </w:rPr>
      </w:pPr>
      <w:r>
        <w:rPr>
          <w:sz w:val="24"/>
        </w:rPr>
        <w:t>Bajo circunstancias especiales, puede haber, en lugar de una sola persona, dos o tres que desempeñan las funciones de suprema</w:t>
      </w:r>
      <w:r>
        <w:rPr>
          <w:spacing w:val="-27"/>
          <w:sz w:val="24"/>
        </w:rPr>
        <w:t> </w:t>
      </w:r>
      <w:r>
        <w:rPr>
          <w:sz w:val="24"/>
        </w:rPr>
        <w:t>dirección.</w:t>
      </w:r>
    </w:p>
    <w:p>
      <w:pPr>
        <w:pStyle w:val="ListParagraph"/>
        <w:numPr>
          <w:ilvl w:val="2"/>
          <w:numId w:val="48"/>
        </w:numPr>
        <w:tabs>
          <w:tab w:pos="842" w:val="left" w:leader="none"/>
        </w:tabs>
        <w:spacing w:line="360" w:lineRule="auto" w:before="5" w:after="0"/>
        <w:ind w:left="842" w:right="117" w:hanging="360"/>
        <w:jc w:val="both"/>
        <w:rPr>
          <w:sz w:val="24"/>
        </w:rPr>
      </w:pPr>
      <w:r>
        <w:rPr>
          <w:sz w:val="24"/>
        </w:rPr>
        <w:t>En cualquier organización social, las presiones de la población ejercen una cierta influencia sobre la acción de la clase</w:t>
      </w:r>
      <w:r>
        <w:rPr>
          <w:spacing w:val="-19"/>
          <w:sz w:val="24"/>
        </w:rPr>
        <w:t> </w:t>
      </w:r>
      <w:r>
        <w:rPr>
          <w:sz w:val="24"/>
        </w:rPr>
        <w:t>política.</w:t>
      </w:r>
    </w:p>
    <w:p>
      <w:pPr>
        <w:pStyle w:val="BodyText"/>
        <w:spacing w:before="2"/>
      </w:pPr>
    </w:p>
    <w:p>
      <w:pPr>
        <w:pStyle w:val="BodyText"/>
        <w:spacing w:line="357" w:lineRule="auto"/>
        <w:ind w:left="122" w:right="117" w:firstLine="424"/>
        <w:jc w:val="both"/>
        <w:rPr>
          <w:sz w:val="16"/>
        </w:rPr>
      </w:pPr>
      <w:r>
        <w:rPr/>
        <w:t>El</w:t>
      </w:r>
      <w:r>
        <w:rPr>
          <w:spacing w:val="-14"/>
        </w:rPr>
        <w:t> </w:t>
      </w:r>
      <w:r>
        <w:rPr/>
        <w:t>poder</w:t>
      </w:r>
      <w:r>
        <w:rPr>
          <w:spacing w:val="-15"/>
        </w:rPr>
        <w:t> </w:t>
      </w:r>
      <w:r>
        <w:rPr/>
        <w:t>siempre</w:t>
      </w:r>
      <w:r>
        <w:rPr>
          <w:spacing w:val="-13"/>
        </w:rPr>
        <w:t> </w:t>
      </w:r>
      <w:r>
        <w:rPr/>
        <w:t>genera</w:t>
      </w:r>
      <w:r>
        <w:rPr>
          <w:spacing w:val="-14"/>
        </w:rPr>
        <w:t> </w:t>
      </w:r>
      <w:r>
        <w:rPr/>
        <w:t>la</w:t>
      </w:r>
      <w:r>
        <w:rPr>
          <w:spacing w:val="-13"/>
        </w:rPr>
        <w:t> </w:t>
      </w:r>
      <w:r>
        <w:rPr/>
        <w:t>ambición</w:t>
      </w:r>
      <w:r>
        <w:rPr>
          <w:spacing w:val="-16"/>
        </w:rPr>
        <w:t> </w:t>
      </w:r>
      <w:r>
        <w:rPr/>
        <w:t>de</w:t>
      </w:r>
      <w:r>
        <w:rPr>
          <w:spacing w:val="-13"/>
        </w:rPr>
        <w:t> </w:t>
      </w:r>
      <w:r>
        <w:rPr/>
        <w:t>la</w:t>
      </w:r>
      <w:r>
        <w:rPr>
          <w:spacing w:val="-16"/>
        </w:rPr>
        <w:t> </w:t>
      </w:r>
      <w:r>
        <w:rPr/>
        <w:t>clase</w:t>
      </w:r>
      <w:r>
        <w:rPr>
          <w:spacing w:val="-13"/>
        </w:rPr>
        <w:t> </w:t>
      </w:r>
      <w:r>
        <w:rPr/>
        <w:t>política,</w:t>
      </w:r>
      <w:r>
        <w:rPr>
          <w:spacing w:val="-13"/>
        </w:rPr>
        <w:t> </w:t>
      </w:r>
      <w:r>
        <w:rPr/>
        <w:t>por</w:t>
      </w:r>
      <w:r>
        <w:rPr>
          <w:spacing w:val="-15"/>
        </w:rPr>
        <w:t> </w:t>
      </w:r>
      <w:r>
        <w:rPr/>
        <w:t>lo</w:t>
      </w:r>
      <w:r>
        <w:rPr>
          <w:spacing w:val="-13"/>
        </w:rPr>
        <w:t> </w:t>
      </w:r>
      <w:r>
        <w:rPr/>
        <w:t>que</w:t>
      </w:r>
      <w:r>
        <w:rPr>
          <w:spacing w:val="-16"/>
        </w:rPr>
        <w:t> </w:t>
      </w:r>
      <w:r>
        <w:rPr/>
        <w:t>es</w:t>
      </w:r>
      <w:r>
        <w:rPr>
          <w:spacing w:val="-14"/>
        </w:rPr>
        <w:t> </w:t>
      </w:r>
      <w:r>
        <w:rPr/>
        <w:t>necesario que el mismo Estado obligue a la clase política a frenar esa ambición. Esta fuerza es la que ejerce Estado para contrarrestar los posibles excesos del Poder Ejecutivo.</w:t>
      </w:r>
      <w:r>
        <w:rPr>
          <w:position w:val="8"/>
          <w:sz w:val="16"/>
        </w:rPr>
        <w:t>75</w:t>
      </w:r>
    </w:p>
    <w:p>
      <w:pPr>
        <w:pStyle w:val="BodyText"/>
        <w:spacing w:line="360" w:lineRule="auto" w:before="4"/>
        <w:ind w:left="122" w:right="120" w:firstLine="424"/>
        <w:jc w:val="both"/>
      </w:pPr>
      <w:r>
        <w:rPr/>
        <w:t>Cuando hay un efectivo equilibrio de poderes, el resultado es el buen gobierno (buena</w:t>
      </w:r>
      <w:r>
        <w:rPr>
          <w:spacing w:val="-18"/>
        </w:rPr>
        <w:t> </w:t>
      </w:r>
      <w:r>
        <w:rPr/>
        <w:t>gobernanza).</w:t>
      </w:r>
      <w:r>
        <w:rPr>
          <w:spacing w:val="-21"/>
        </w:rPr>
        <w:t> </w:t>
      </w:r>
      <w:r>
        <w:rPr/>
        <w:t>Maquiavelo</w:t>
      </w:r>
      <w:r>
        <w:rPr>
          <w:spacing w:val="-18"/>
        </w:rPr>
        <w:t> </w:t>
      </w:r>
      <w:r>
        <w:rPr/>
        <w:t>(1512-1517:</w:t>
      </w:r>
      <w:r>
        <w:rPr>
          <w:spacing w:val="-18"/>
        </w:rPr>
        <w:t> </w:t>
      </w:r>
      <w:r>
        <w:rPr/>
        <w:t>13)</w:t>
      </w:r>
      <w:r>
        <w:rPr>
          <w:spacing w:val="-19"/>
        </w:rPr>
        <w:t> </w:t>
      </w:r>
      <w:r>
        <w:rPr/>
        <w:t>comentó</w:t>
      </w:r>
      <w:r>
        <w:rPr>
          <w:spacing w:val="-18"/>
        </w:rPr>
        <w:t> </w:t>
      </w:r>
      <w:r>
        <w:rPr/>
        <w:t>que</w:t>
      </w:r>
      <w:r>
        <w:rPr>
          <w:spacing w:val="-18"/>
        </w:rPr>
        <w:t> </w:t>
      </w:r>
      <w:r>
        <w:rPr/>
        <w:t>“en</w:t>
      </w:r>
      <w:r>
        <w:rPr>
          <w:spacing w:val="-20"/>
        </w:rPr>
        <w:t> </w:t>
      </w:r>
      <w:r>
        <w:rPr/>
        <w:t>una</w:t>
      </w:r>
      <w:r>
        <w:rPr>
          <w:spacing w:val="-18"/>
        </w:rPr>
        <w:t> </w:t>
      </w:r>
      <w:r>
        <w:rPr/>
        <w:t>constitución donde</w:t>
      </w:r>
      <w:r>
        <w:rPr>
          <w:spacing w:val="-5"/>
        </w:rPr>
        <w:t> </w:t>
      </w:r>
      <w:r>
        <w:rPr/>
        <w:t>coexistan</w:t>
      </w:r>
      <w:r>
        <w:rPr>
          <w:spacing w:val="-5"/>
        </w:rPr>
        <w:t> </w:t>
      </w:r>
      <w:r>
        <w:rPr/>
        <w:t>la</w:t>
      </w:r>
      <w:r>
        <w:rPr>
          <w:spacing w:val="-5"/>
        </w:rPr>
        <w:t> </w:t>
      </w:r>
      <w:r>
        <w:rPr/>
        <w:t>monarquía</w:t>
      </w:r>
      <w:r>
        <w:rPr>
          <w:spacing w:val="-5"/>
        </w:rPr>
        <w:t> </w:t>
      </w:r>
      <w:r>
        <w:rPr/>
        <w:t>[Poder</w:t>
      </w:r>
      <w:r>
        <w:rPr>
          <w:spacing w:val="-6"/>
        </w:rPr>
        <w:t> </w:t>
      </w:r>
      <w:r>
        <w:rPr/>
        <w:t>Ejecutivo],</w:t>
      </w:r>
      <w:r>
        <w:rPr>
          <w:spacing w:val="-5"/>
        </w:rPr>
        <w:t> </w:t>
      </w:r>
      <w:r>
        <w:rPr/>
        <w:t>la</w:t>
      </w:r>
      <w:r>
        <w:rPr>
          <w:spacing w:val="-5"/>
        </w:rPr>
        <w:t> </w:t>
      </w:r>
      <w:r>
        <w:rPr/>
        <w:t>aristocracia</w:t>
      </w:r>
      <w:r>
        <w:rPr>
          <w:spacing w:val="-5"/>
        </w:rPr>
        <w:t> </w:t>
      </w:r>
      <w:r>
        <w:rPr/>
        <w:t>[Poder</w:t>
      </w:r>
      <w:r>
        <w:rPr>
          <w:spacing w:val="-6"/>
        </w:rPr>
        <w:t> </w:t>
      </w:r>
      <w:r>
        <w:rPr/>
        <w:t>Judicial]</w:t>
      </w:r>
      <w:r>
        <w:rPr>
          <w:spacing w:val="-5"/>
        </w:rPr>
        <w:t> </w:t>
      </w:r>
      <w:r>
        <w:rPr/>
        <w:t>y</w:t>
      </w:r>
      <w:r>
        <w:rPr>
          <w:spacing w:val="-8"/>
        </w:rPr>
        <w:t> </w:t>
      </w:r>
      <w:r>
        <w:rPr/>
        <w:t>la democracia [Poder Legislativo], cada uno de estos poderes vigila y contrarresta los abusos de los otros” (Solares, 2004:</w:t>
      </w:r>
      <w:r>
        <w:rPr>
          <w:spacing w:val="-13"/>
        </w:rPr>
        <w:t> </w:t>
      </w:r>
      <w:r>
        <w:rPr/>
        <w:t>123).</w:t>
      </w:r>
    </w:p>
    <w:p>
      <w:pPr>
        <w:pStyle w:val="BodyText"/>
        <w:spacing w:line="360" w:lineRule="auto" w:before="5"/>
        <w:ind w:left="122" w:right="125" w:firstLine="427"/>
        <w:jc w:val="both"/>
      </w:pPr>
      <w:r>
        <w:rPr/>
        <w:t>Se considera que el buen gobierno es resultado, entre otros aspectos, de un buen diseño institucional que aplique sanciones ejemplares en casos de abuso del poder. Así como en sentido económico la libre competencia impide la formación de monopolios, en la política el equilibrio de poderes impide la anarquía, ya que el interés colectivo se sobrepondrá al individual en ambas esferas.</w:t>
      </w:r>
    </w:p>
    <w:p>
      <w:pPr>
        <w:pStyle w:val="BodyText"/>
      </w:pPr>
    </w:p>
    <w:p>
      <w:pPr>
        <w:pStyle w:val="BodyText"/>
        <w:spacing w:line="360" w:lineRule="auto" w:before="142"/>
        <w:ind w:left="122" w:right="121" w:firstLine="427"/>
        <w:jc w:val="both"/>
      </w:pPr>
      <w:r>
        <w:rPr/>
        <w:t>La división de poderes depende de una verdadera autonomía política del Estado, el cual, a su vez usa como herramienta básica la rendición de cuentas, y esta</w:t>
      </w:r>
      <w:r>
        <w:rPr>
          <w:spacing w:val="-14"/>
        </w:rPr>
        <w:t> </w:t>
      </w:r>
      <w:r>
        <w:rPr/>
        <w:t>última</w:t>
      </w:r>
      <w:r>
        <w:rPr>
          <w:spacing w:val="-14"/>
        </w:rPr>
        <w:t> </w:t>
      </w:r>
      <w:r>
        <w:rPr/>
        <w:t>también</w:t>
      </w:r>
      <w:r>
        <w:rPr>
          <w:spacing w:val="-14"/>
        </w:rPr>
        <w:t> </w:t>
      </w:r>
      <w:r>
        <w:rPr/>
        <w:t>está</w:t>
      </w:r>
      <w:r>
        <w:rPr>
          <w:spacing w:val="-14"/>
        </w:rPr>
        <w:t> </w:t>
      </w:r>
      <w:r>
        <w:rPr/>
        <w:t>supeditada</w:t>
      </w:r>
      <w:r>
        <w:rPr>
          <w:spacing w:val="-14"/>
        </w:rPr>
        <w:t> </w:t>
      </w:r>
      <w:r>
        <w:rPr/>
        <w:t>a</w:t>
      </w:r>
      <w:r>
        <w:rPr>
          <w:spacing w:val="-14"/>
        </w:rPr>
        <w:t> </w:t>
      </w:r>
      <w:r>
        <w:rPr/>
        <w:t>la</w:t>
      </w:r>
      <w:r>
        <w:rPr>
          <w:spacing w:val="-14"/>
        </w:rPr>
        <w:t> </w:t>
      </w:r>
      <w:r>
        <w:rPr/>
        <w:t>autonomía</w:t>
      </w:r>
      <w:r>
        <w:rPr>
          <w:spacing w:val="-8"/>
        </w:rPr>
        <w:t> </w:t>
      </w:r>
      <w:r>
        <w:rPr/>
        <w:t>de</w:t>
      </w:r>
      <w:r>
        <w:rPr>
          <w:spacing w:val="-14"/>
        </w:rPr>
        <w:t> </w:t>
      </w:r>
      <w:r>
        <w:rPr/>
        <w:t>poderes,</w:t>
      </w:r>
      <w:r>
        <w:rPr>
          <w:spacing w:val="-14"/>
        </w:rPr>
        <w:t> </w:t>
      </w:r>
      <w:r>
        <w:rPr/>
        <w:t>por</w:t>
      </w:r>
      <w:r>
        <w:rPr>
          <w:spacing w:val="-15"/>
        </w:rPr>
        <w:t> </w:t>
      </w:r>
      <w:r>
        <w:rPr/>
        <w:t>lo</w:t>
      </w:r>
      <w:r>
        <w:rPr>
          <w:spacing w:val="-14"/>
        </w:rPr>
        <w:t> </w:t>
      </w:r>
      <w:r>
        <w:rPr/>
        <w:t>que</w:t>
      </w:r>
      <w:r>
        <w:rPr>
          <w:spacing w:val="-14"/>
        </w:rPr>
        <w:t> </w:t>
      </w:r>
      <w:r>
        <w:rPr/>
        <w:t>el</w:t>
      </w:r>
      <w:r>
        <w:rPr>
          <w:spacing w:val="-14"/>
        </w:rPr>
        <w:t> </w:t>
      </w:r>
      <w:r>
        <w:rPr/>
        <w:t>círculo política-Estado-rendición de cuentas requiere de la efectiva aplicación del principio de división de</w:t>
      </w:r>
      <w:r>
        <w:rPr>
          <w:spacing w:val="-9"/>
        </w:rPr>
        <w:t> </w:t>
      </w:r>
      <w:r>
        <w:rPr/>
        <w:t>poderes.</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8104;mso-wrap-distance-left:0;mso-wrap-distance-right:0" from="85.103996pt,17.332848pt" to="229.123996pt,17.332848pt" stroked="true" strokeweight=".71997pt" strokecolor="#000000">
            <w10:wrap type="topAndBottom"/>
          </v:line>
        </w:pict>
      </w:r>
    </w:p>
    <w:p>
      <w:pPr>
        <w:spacing w:line="256" w:lineRule="auto" w:before="62"/>
        <w:ind w:left="122" w:right="20" w:firstLine="0"/>
        <w:jc w:val="left"/>
        <w:rPr>
          <w:sz w:val="16"/>
        </w:rPr>
      </w:pPr>
      <w:r>
        <w:rPr>
          <w:rFonts w:ascii="Times New Roman" w:hAnsi="Times New Roman"/>
          <w:position w:val="7"/>
          <w:sz w:val="13"/>
        </w:rPr>
        <w:t>75</w:t>
      </w:r>
      <w:r>
        <w:rPr>
          <w:sz w:val="16"/>
        </w:rPr>
        <w:t>Un principio político resaltado por Hans Kelsen relativo a la clase política, es que el individuo que obra como órgano estatal, solamente puede hacer lo que el orden jurídico le autoriza a realizar.</w:t>
      </w:r>
    </w:p>
    <w:p>
      <w:pPr>
        <w:spacing w:after="0" w:line="256" w:lineRule="auto"/>
        <w:jc w:val="left"/>
        <w:rPr>
          <w:sz w:val="16"/>
        </w:rPr>
        <w:sectPr>
          <w:pgSz w:w="12240" w:h="15840"/>
          <w:pgMar w:header="0" w:footer="1003" w:top="1360" w:bottom="1200" w:left="1580" w:right="1580"/>
        </w:sectPr>
      </w:pPr>
    </w:p>
    <w:p>
      <w:pPr>
        <w:pStyle w:val="BodyText"/>
        <w:spacing w:line="360" w:lineRule="auto" w:before="54"/>
        <w:ind w:left="102" w:right="521" w:firstLine="427"/>
        <w:jc w:val="both"/>
      </w:pPr>
      <w:r>
        <w:rPr/>
        <w:t>En</w:t>
      </w:r>
      <w:r>
        <w:rPr>
          <w:spacing w:val="-19"/>
        </w:rPr>
        <w:t> </w:t>
      </w:r>
      <w:r>
        <w:rPr/>
        <w:t>el</w:t>
      </w:r>
      <w:r>
        <w:rPr>
          <w:spacing w:val="-18"/>
        </w:rPr>
        <w:t> </w:t>
      </w:r>
      <w:r>
        <w:rPr/>
        <w:t>siguiente</w:t>
      </w:r>
      <w:r>
        <w:rPr>
          <w:spacing w:val="-17"/>
        </w:rPr>
        <w:t> </w:t>
      </w:r>
      <w:r>
        <w:rPr/>
        <w:t>cuadro</w:t>
      </w:r>
      <w:r>
        <w:rPr>
          <w:spacing w:val="-22"/>
        </w:rPr>
        <w:t> </w:t>
      </w:r>
      <w:r>
        <w:rPr/>
        <w:t>se</w:t>
      </w:r>
      <w:r>
        <w:rPr>
          <w:spacing w:val="-17"/>
        </w:rPr>
        <w:t> </w:t>
      </w:r>
      <w:r>
        <w:rPr/>
        <w:t>presentan</w:t>
      </w:r>
      <w:r>
        <w:rPr>
          <w:spacing w:val="-19"/>
        </w:rPr>
        <w:t> </w:t>
      </w:r>
      <w:r>
        <w:rPr/>
        <w:t>los</w:t>
      </w:r>
      <w:r>
        <w:rPr>
          <w:spacing w:val="-17"/>
        </w:rPr>
        <w:t> </w:t>
      </w:r>
      <w:r>
        <w:rPr/>
        <w:t>sistemas</w:t>
      </w:r>
      <w:r>
        <w:rPr>
          <w:spacing w:val="-20"/>
        </w:rPr>
        <w:t> </w:t>
      </w:r>
      <w:r>
        <w:rPr/>
        <w:t>políticos</w:t>
      </w:r>
      <w:r>
        <w:rPr>
          <w:spacing w:val="-20"/>
        </w:rPr>
        <w:t> </w:t>
      </w:r>
      <w:r>
        <w:rPr/>
        <w:t>de</w:t>
      </w:r>
      <w:r>
        <w:rPr>
          <w:spacing w:val="-19"/>
        </w:rPr>
        <w:t> </w:t>
      </w:r>
      <w:r>
        <w:rPr/>
        <w:t>Alemania,</w:t>
      </w:r>
      <w:r>
        <w:rPr>
          <w:spacing w:val="-19"/>
        </w:rPr>
        <w:t> </w:t>
      </w:r>
      <w:r>
        <w:rPr/>
        <w:t>España, Estados Unidos, México y Reino Unido, en el que se describen en términos generales la división de poderes de su</w:t>
      </w:r>
      <w:r>
        <w:rPr>
          <w:spacing w:val="-17"/>
        </w:rPr>
        <w:t> </w:t>
      </w:r>
      <w:r>
        <w:rPr/>
        <w:t>Estado.</w:t>
      </w:r>
    </w:p>
    <w:p>
      <w:pPr>
        <w:pStyle w:val="BodyText"/>
        <w:spacing w:before="6"/>
        <w:rPr>
          <w:sz w:val="23"/>
        </w:rPr>
      </w:pPr>
    </w:p>
    <w:p>
      <w:pPr>
        <w:spacing w:line="448" w:lineRule="auto" w:before="0"/>
        <w:ind w:left="3486" w:right="1331" w:hanging="1919"/>
        <w:jc w:val="left"/>
        <w:rPr>
          <w:sz w:val="20"/>
        </w:rPr>
      </w:pPr>
      <w:bookmarkStart w:name="_bookmark57" w:id="76"/>
      <w:bookmarkEnd w:id="76"/>
      <w:r>
        <w:rPr/>
      </w:r>
      <w:r>
        <w:rPr>
          <w:sz w:val="20"/>
        </w:rPr>
        <w:t>Cuadro 3. 2. Marco político de los Estados americanos y europeos (Países seleccionados)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0"/>
        <w:gridCol w:w="1642"/>
        <w:gridCol w:w="1279"/>
        <w:gridCol w:w="1462"/>
        <w:gridCol w:w="1711"/>
        <w:gridCol w:w="2377"/>
      </w:tblGrid>
      <w:tr>
        <w:trPr>
          <w:trHeight w:val="1174" w:hRule="exact"/>
        </w:trPr>
        <w:tc>
          <w:tcPr>
            <w:tcW w:w="2353" w:type="dxa"/>
            <w:gridSpan w:val="2"/>
            <w:tcBorders>
              <w:top w:val="single" w:sz="12" w:space="0" w:color="BEBEBE"/>
              <w:left w:val="single" w:sz="12" w:space="0" w:color="BEBEBE"/>
              <w:bottom w:val="single" w:sz="17" w:space="0" w:color="D9D9D9"/>
              <w:right w:val="single" w:sz="17" w:space="0" w:color="D9D9D9"/>
            </w:tcBorders>
          </w:tcPr>
          <w:p>
            <w:pPr>
              <w:pStyle w:val="TableParagraph"/>
              <w:spacing w:before="2"/>
              <w:rPr>
                <w:sz w:val="14"/>
              </w:rPr>
            </w:pPr>
          </w:p>
          <w:p>
            <w:pPr>
              <w:pStyle w:val="TableParagraph"/>
              <w:ind w:left="866" w:right="154"/>
              <w:jc w:val="center"/>
              <w:rPr>
                <w:b/>
                <w:sz w:val="14"/>
              </w:rPr>
            </w:pPr>
            <w:r>
              <w:rPr>
                <w:b/>
                <w:sz w:val="14"/>
              </w:rPr>
              <w:t>Alemania</w:t>
            </w:r>
          </w:p>
          <w:p>
            <w:pPr>
              <w:pStyle w:val="TableParagraph"/>
              <w:spacing w:before="11"/>
              <w:rPr>
                <w:sz w:val="13"/>
              </w:rPr>
            </w:pPr>
          </w:p>
          <w:p>
            <w:pPr>
              <w:pStyle w:val="TableParagraph"/>
              <w:ind w:left="870" w:right="154"/>
              <w:jc w:val="center"/>
              <w:rPr>
                <w:b/>
                <w:sz w:val="14"/>
              </w:rPr>
            </w:pPr>
            <w:r>
              <w:rPr>
                <w:b/>
                <w:sz w:val="14"/>
              </w:rPr>
              <w:t>(República Federal Alemana)</w:t>
            </w:r>
          </w:p>
        </w:tc>
        <w:tc>
          <w:tcPr>
            <w:tcW w:w="1279" w:type="dxa"/>
            <w:tcBorders>
              <w:top w:val="single" w:sz="12" w:space="0" w:color="FFFFFF"/>
              <w:left w:val="single" w:sz="17" w:space="0" w:color="D9D9D9"/>
              <w:bottom w:val="single" w:sz="17" w:space="0" w:color="D9D9D9"/>
              <w:right w:val="single" w:sz="17" w:space="0" w:color="D9D9D9"/>
            </w:tcBorders>
          </w:tcPr>
          <w:p>
            <w:pPr>
              <w:pStyle w:val="TableParagraph"/>
              <w:rPr>
                <w:sz w:val="14"/>
              </w:rPr>
            </w:pPr>
          </w:p>
          <w:p>
            <w:pPr>
              <w:pStyle w:val="TableParagraph"/>
              <w:spacing w:before="1"/>
              <w:rPr>
                <w:sz w:val="14"/>
              </w:rPr>
            </w:pPr>
          </w:p>
          <w:p>
            <w:pPr>
              <w:pStyle w:val="TableParagraph"/>
              <w:ind w:left="367" w:right="-17"/>
              <w:rPr>
                <w:b/>
                <w:sz w:val="14"/>
              </w:rPr>
            </w:pPr>
            <w:r>
              <w:rPr>
                <w:b/>
                <w:sz w:val="14"/>
              </w:rPr>
              <w:t>España</w:t>
            </w:r>
          </w:p>
        </w:tc>
        <w:tc>
          <w:tcPr>
            <w:tcW w:w="1462" w:type="dxa"/>
            <w:tcBorders>
              <w:top w:val="single" w:sz="12" w:space="0" w:color="FFFFFF"/>
              <w:left w:val="single" w:sz="17" w:space="0" w:color="D9D9D9"/>
              <w:bottom w:val="single" w:sz="17" w:space="0" w:color="D9D9D9"/>
              <w:right w:val="single" w:sz="17" w:space="0" w:color="D9D9D9"/>
            </w:tcBorders>
          </w:tcPr>
          <w:p>
            <w:pPr>
              <w:pStyle w:val="TableParagraph"/>
              <w:rPr>
                <w:sz w:val="14"/>
              </w:rPr>
            </w:pPr>
          </w:p>
          <w:p>
            <w:pPr>
              <w:pStyle w:val="TableParagraph"/>
              <w:spacing w:before="1"/>
              <w:rPr>
                <w:sz w:val="14"/>
              </w:rPr>
            </w:pPr>
          </w:p>
          <w:p>
            <w:pPr>
              <w:pStyle w:val="TableParagraph"/>
              <w:ind w:left="331" w:right="161" w:hanging="152"/>
              <w:rPr>
                <w:b/>
                <w:sz w:val="14"/>
              </w:rPr>
            </w:pPr>
            <w:r>
              <w:rPr>
                <w:b/>
                <w:sz w:val="14"/>
              </w:rPr>
              <w:t>Estados Unidos de América</w:t>
            </w:r>
          </w:p>
        </w:tc>
        <w:tc>
          <w:tcPr>
            <w:tcW w:w="1711" w:type="dxa"/>
            <w:tcBorders>
              <w:top w:val="single" w:sz="12" w:space="0" w:color="FFFFFF"/>
              <w:left w:val="single" w:sz="17" w:space="0" w:color="D9D9D9"/>
              <w:bottom w:val="single" w:sz="17" w:space="0" w:color="D9D9D9"/>
              <w:right w:val="single" w:sz="17" w:space="0" w:color="D9D9D9"/>
            </w:tcBorders>
          </w:tcPr>
          <w:p>
            <w:pPr>
              <w:pStyle w:val="TableParagraph"/>
              <w:spacing w:line="320" w:lineRule="atLeast" w:before="3"/>
              <w:ind w:left="283" w:right="27" w:firstLine="312"/>
              <w:rPr>
                <w:b/>
                <w:sz w:val="14"/>
              </w:rPr>
            </w:pPr>
            <w:r>
              <w:rPr>
                <w:b/>
                <w:sz w:val="14"/>
              </w:rPr>
              <w:t>México (Estados Unidos</w:t>
            </w:r>
          </w:p>
          <w:p>
            <w:pPr>
              <w:pStyle w:val="TableParagraph"/>
              <w:ind w:left="451" w:right="27"/>
              <w:rPr>
                <w:b/>
                <w:sz w:val="14"/>
              </w:rPr>
            </w:pPr>
            <w:r>
              <w:rPr>
                <w:b/>
                <w:sz w:val="14"/>
              </w:rPr>
              <w:t>Mexicanos)</w:t>
            </w:r>
          </w:p>
        </w:tc>
        <w:tc>
          <w:tcPr>
            <w:tcW w:w="2377" w:type="dxa"/>
            <w:tcBorders>
              <w:top w:val="single" w:sz="12" w:space="0" w:color="FFFFFF"/>
              <w:left w:val="single" w:sz="17" w:space="0" w:color="D9D9D9"/>
              <w:bottom w:val="single" w:sz="17" w:space="0" w:color="D9D9D9"/>
              <w:right w:val="single" w:sz="17" w:space="0" w:color="D9D9D9"/>
            </w:tcBorders>
          </w:tcPr>
          <w:p>
            <w:pPr>
              <w:pStyle w:val="TableParagraph"/>
              <w:spacing w:before="1"/>
              <w:rPr>
                <w:sz w:val="14"/>
              </w:rPr>
            </w:pPr>
          </w:p>
          <w:p>
            <w:pPr>
              <w:pStyle w:val="TableParagraph"/>
              <w:ind w:left="88" w:right="89"/>
              <w:jc w:val="center"/>
              <w:rPr>
                <w:b/>
                <w:sz w:val="14"/>
              </w:rPr>
            </w:pPr>
            <w:r>
              <w:rPr>
                <w:b/>
                <w:sz w:val="14"/>
              </w:rPr>
              <w:t>Reino Unido</w:t>
            </w:r>
          </w:p>
          <w:p>
            <w:pPr>
              <w:pStyle w:val="TableParagraph"/>
              <w:spacing w:before="11"/>
              <w:rPr>
                <w:sz w:val="13"/>
              </w:rPr>
            </w:pPr>
          </w:p>
          <w:p>
            <w:pPr>
              <w:pStyle w:val="TableParagraph"/>
              <w:ind w:left="88" w:right="90"/>
              <w:jc w:val="center"/>
              <w:rPr>
                <w:b/>
                <w:sz w:val="14"/>
              </w:rPr>
            </w:pPr>
            <w:r>
              <w:rPr>
                <w:b/>
                <w:sz w:val="14"/>
              </w:rPr>
              <w:t>(Reino Unido de la Gran Bretaña e Irlanda del Norte)</w:t>
            </w:r>
          </w:p>
        </w:tc>
      </w:tr>
      <w:tr>
        <w:trPr>
          <w:trHeight w:val="997" w:hRule="exact"/>
        </w:trPr>
        <w:tc>
          <w:tcPr>
            <w:tcW w:w="710"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ind w:left="106" w:right="112"/>
              <w:jc w:val="center"/>
              <w:rPr>
                <w:b/>
                <w:sz w:val="14"/>
              </w:rPr>
            </w:pPr>
            <w:r>
              <w:rPr>
                <w:b/>
                <w:sz w:val="14"/>
              </w:rPr>
              <w:t>Régim en polític o</w:t>
            </w:r>
          </w:p>
        </w:tc>
        <w:tc>
          <w:tcPr>
            <w:tcW w:w="1642" w:type="dxa"/>
            <w:tcBorders>
              <w:top w:val="single" w:sz="17" w:space="0" w:color="D9D9D9"/>
              <w:left w:val="single" w:sz="12" w:space="0" w:color="BEBEBE"/>
            </w:tcBorders>
          </w:tcPr>
          <w:p>
            <w:pPr>
              <w:pStyle w:val="TableParagraph"/>
              <w:spacing w:line="157" w:lineRule="exact"/>
              <w:ind w:left="470" w:right="144" w:hanging="48"/>
              <w:rPr>
                <w:sz w:val="14"/>
              </w:rPr>
            </w:pPr>
            <w:r>
              <w:rPr>
                <w:sz w:val="14"/>
              </w:rPr>
              <w:t>Presidencial</w:t>
            </w:r>
          </w:p>
          <w:p>
            <w:pPr>
              <w:pStyle w:val="TableParagraph"/>
              <w:spacing w:before="11"/>
              <w:rPr>
                <w:sz w:val="13"/>
              </w:rPr>
            </w:pPr>
          </w:p>
          <w:p>
            <w:pPr>
              <w:pStyle w:val="TableParagraph"/>
              <w:ind w:left="151" w:right="144" w:firstLine="319"/>
              <w:rPr>
                <w:sz w:val="14"/>
              </w:rPr>
            </w:pPr>
            <w:r>
              <w:rPr>
                <w:sz w:val="14"/>
              </w:rPr>
              <w:t>(R</w:t>
            </w:r>
            <w:hyperlink r:id="rId147">
              <w:r>
                <w:rPr>
                  <w:sz w:val="14"/>
                </w:rPr>
                <w:t>epública</w:t>
              </w:r>
            </w:hyperlink>
            <w:r>
              <w:rPr>
                <w:sz w:val="14"/>
              </w:rPr>
              <w:t> </w:t>
            </w:r>
            <w:hyperlink r:id="rId147">
              <w:r>
                <w:rPr>
                  <w:sz w:val="14"/>
                </w:rPr>
                <w:t>federal,</w:t>
              </w:r>
            </w:hyperlink>
            <w:r>
              <w:rPr>
                <w:sz w:val="14"/>
              </w:rPr>
              <w:t> </w:t>
            </w:r>
            <w:hyperlink r:id="rId148">
              <w:r>
                <w:rPr>
                  <w:sz w:val="14"/>
                </w:rPr>
                <w:t>democrática,</w:t>
              </w:r>
            </w:hyperlink>
          </w:p>
          <w:p>
            <w:pPr>
              <w:pStyle w:val="TableParagraph"/>
              <w:spacing w:line="242" w:lineRule="auto"/>
              <w:ind w:right="10"/>
              <w:jc w:val="center"/>
              <w:rPr>
                <w:sz w:val="14"/>
              </w:rPr>
            </w:pPr>
            <w:hyperlink r:id="rId148">
              <w:r>
                <w:rPr>
                  <w:sz w:val="14"/>
                </w:rPr>
                <w:t>representativa</w:t>
              </w:r>
            </w:hyperlink>
            <w:r>
              <w:rPr>
                <w:sz w:val="14"/>
              </w:rPr>
              <w:t> y </w:t>
            </w:r>
            <w:hyperlink r:id="rId149">
              <w:r>
                <w:rPr>
                  <w:sz w:val="14"/>
                </w:rPr>
                <w:t>parlamentaria)</w:t>
              </w:r>
            </w:hyperlink>
          </w:p>
        </w:tc>
        <w:tc>
          <w:tcPr>
            <w:tcW w:w="1279" w:type="dxa"/>
            <w:tcBorders>
              <w:top w:val="single" w:sz="17" w:space="0" w:color="D9D9D9"/>
            </w:tcBorders>
          </w:tcPr>
          <w:p>
            <w:pPr>
              <w:pStyle w:val="TableParagraph"/>
              <w:spacing w:line="157" w:lineRule="exact"/>
              <w:ind w:left="276" w:right="103" w:hanging="77"/>
              <w:rPr>
                <w:sz w:val="14"/>
              </w:rPr>
            </w:pPr>
            <w:r>
              <w:rPr>
                <w:sz w:val="14"/>
              </w:rPr>
              <w:t>Parlamentario</w:t>
            </w:r>
          </w:p>
          <w:p>
            <w:pPr>
              <w:pStyle w:val="TableParagraph"/>
              <w:spacing w:before="11"/>
              <w:rPr>
                <w:sz w:val="13"/>
              </w:rPr>
            </w:pPr>
          </w:p>
          <w:p>
            <w:pPr>
              <w:pStyle w:val="TableParagraph"/>
              <w:ind w:left="182" w:right="103" w:firstLine="93"/>
              <w:rPr>
                <w:sz w:val="14"/>
              </w:rPr>
            </w:pPr>
            <w:r>
              <w:rPr>
                <w:sz w:val="14"/>
              </w:rPr>
              <w:t>(Monarquía </w:t>
            </w:r>
            <w:r>
              <w:rPr>
                <w:w w:val="95"/>
                <w:sz w:val="14"/>
              </w:rPr>
              <w:t>parlamentaria)</w:t>
            </w:r>
          </w:p>
        </w:tc>
        <w:tc>
          <w:tcPr>
            <w:tcW w:w="1462" w:type="dxa"/>
            <w:tcBorders>
              <w:top w:val="single" w:sz="17" w:space="0" w:color="D9D9D9"/>
            </w:tcBorders>
          </w:tcPr>
          <w:p>
            <w:pPr>
              <w:pStyle w:val="TableParagraph"/>
              <w:spacing w:line="157" w:lineRule="exact"/>
              <w:ind w:left="266" w:right="249" w:firstLine="76"/>
              <w:rPr>
                <w:sz w:val="14"/>
              </w:rPr>
            </w:pPr>
            <w:r>
              <w:rPr>
                <w:sz w:val="14"/>
              </w:rPr>
              <w:t>Presidencial</w:t>
            </w:r>
          </w:p>
          <w:p>
            <w:pPr>
              <w:pStyle w:val="TableParagraph"/>
              <w:spacing w:before="11"/>
              <w:rPr>
                <w:sz w:val="13"/>
              </w:rPr>
            </w:pPr>
          </w:p>
          <w:p>
            <w:pPr>
              <w:pStyle w:val="TableParagraph"/>
              <w:ind w:left="340" w:right="249" w:hanging="75"/>
              <w:rPr>
                <w:sz w:val="14"/>
              </w:rPr>
            </w:pPr>
            <w:r>
              <w:rPr>
                <w:sz w:val="14"/>
              </w:rPr>
              <w:t>(Presidencial y republicano)</w:t>
            </w:r>
          </w:p>
        </w:tc>
        <w:tc>
          <w:tcPr>
            <w:tcW w:w="1711" w:type="dxa"/>
            <w:tcBorders>
              <w:top w:val="single" w:sz="17" w:space="0" w:color="D9D9D9"/>
            </w:tcBorders>
          </w:tcPr>
          <w:p>
            <w:pPr>
              <w:pStyle w:val="TableParagraph"/>
              <w:spacing w:line="157" w:lineRule="exact"/>
              <w:ind w:left="155" w:right="158"/>
              <w:jc w:val="center"/>
              <w:rPr>
                <w:sz w:val="14"/>
              </w:rPr>
            </w:pPr>
            <w:r>
              <w:rPr>
                <w:sz w:val="14"/>
              </w:rPr>
              <w:t>Presidencial</w:t>
            </w:r>
          </w:p>
          <w:p>
            <w:pPr>
              <w:pStyle w:val="TableParagraph"/>
              <w:spacing w:before="11"/>
              <w:rPr>
                <w:sz w:val="13"/>
              </w:rPr>
            </w:pPr>
          </w:p>
          <w:p>
            <w:pPr>
              <w:pStyle w:val="TableParagraph"/>
              <w:ind w:left="158" w:right="158"/>
              <w:jc w:val="center"/>
              <w:rPr>
                <w:sz w:val="14"/>
              </w:rPr>
            </w:pPr>
            <w:r>
              <w:rPr>
                <w:sz w:val="14"/>
              </w:rPr>
              <w:t>(República representativa, democrática y federal)</w:t>
            </w:r>
          </w:p>
        </w:tc>
        <w:tc>
          <w:tcPr>
            <w:tcW w:w="2377" w:type="dxa"/>
            <w:tcBorders>
              <w:top w:val="single" w:sz="17" w:space="0" w:color="D9D9D9"/>
            </w:tcBorders>
          </w:tcPr>
          <w:p>
            <w:pPr>
              <w:pStyle w:val="TableParagraph"/>
              <w:spacing w:line="157" w:lineRule="exact"/>
              <w:ind w:left="746" w:right="307"/>
              <w:rPr>
                <w:sz w:val="14"/>
              </w:rPr>
            </w:pPr>
            <w:r>
              <w:rPr>
                <w:sz w:val="14"/>
              </w:rPr>
              <w:t>Parlamentario</w:t>
            </w:r>
          </w:p>
          <w:p>
            <w:pPr>
              <w:pStyle w:val="TableParagraph"/>
              <w:spacing w:before="11"/>
              <w:rPr>
                <w:sz w:val="13"/>
              </w:rPr>
            </w:pPr>
          </w:p>
          <w:p>
            <w:pPr>
              <w:pStyle w:val="TableParagraph"/>
              <w:ind w:left="713" w:right="307" w:hanging="385"/>
              <w:rPr>
                <w:sz w:val="14"/>
              </w:rPr>
            </w:pPr>
            <w:r>
              <w:rPr>
                <w:sz w:val="14"/>
              </w:rPr>
              <w:t>(Monarquía constitucional y parlamentaria).</w:t>
            </w:r>
          </w:p>
        </w:tc>
      </w:tr>
      <w:tr>
        <w:trPr>
          <w:trHeight w:val="6632" w:hRule="exact"/>
        </w:trPr>
        <w:tc>
          <w:tcPr>
            <w:tcW w:w="710"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4"/>
              </w:rPr>
            </w:pPr>
          </w:p>
          <w:p>
            <w:pPr>
              <w:pStyle w:val="TableParagraph"/>
              <w:ind w:left="105"/>
              <w:rPr>
                <w:b/>
                <w:sz w:val="14"/>
              </w:rPr>
            </w:pPr>
            <w:r>
              <w:rPr>
                <w:b/>
                <w:sz w:val="14"/>
              </w:rPr>
              <w:t>Estado</w:t>
            </w:r>
          </w:p>
        </w:tc>
        <w:tc>
          <w:tcPr>
            <w:tcW w:w="1642" w:type="dxa"/>
            <w:tcBorders>
              <w:left w:val="single" w:sz="12" w:space="0" w:color="BEBEBE"/>
            </w:tcBorders>
          </w:tcPr>
          <w:p>
            <w:pPr>
              <w:pStyle w:val="TableParagraph"/>
              <w:tabs>
                <w:tab w:pos="868" w:val="left" w:leader="none"/>
                <w:tab w:pos="1406" w:val="left" w:leader="none"/>
              </w:tabs>
              <w:spacing w:before="12"/>
              <w:ind w:left="91" w:right="104"/>
              <w:rPr>
                <w:sz w:val="14"/>
              </w:rPr>
            </w:pPr>
            <w:r>
              <w:rPr>
                <w:sz w:val="14"/>
              </w:rPr>
              <w:t>Regido</w:t>
              <w:tab/>
              <w:t>por</w:t>
              <w:tab/>
              <w:t>la Grundgesetz</w:t>
            </w:r>
          </w:p>
          <w:p>
            <w:pPr>
              <w:pStyle w:val="TableParagraph"/>
              <w:tabs>
                <w:tab w:pos="698" w:val="left" w:leader="none"/>
              </w:tabs>
              <w:ind w:left="91" w:right="105"/>
              <w:rPr>
                <w:sz w:val="14"/>
              </w:rPr>
            </w:pPr>
            <w:r>
              <w:rPr>
                <w:sz w:val="14"/>
              </w:rPr>
              <w:t>(Ley</w:t>
              <w:tab/>
              <w:t>Fundamental de</w:t>
            </w:r>
            <w:r>
              <w:rPr>
                <w:spacing w:val="-6"/>
                <w:sz w:val="14"/>
              </w:rPr>
              <w:t> </w:t>
            </w:r>
            <w:hyperlink r:id="rId150">
              <w:r>
                <w:rPr>
                  <w:sz w:val="14"/>
                  <w:u w:val="single"/>
                </w:rPr>
                <w:t>1949</w:t>
              </w:r>
              <w:r>
                <w:rPr>
                  <w:sz w:val="14"/>
                </w:rPr>
                <w:t>)</w:t>
              </w:r>
            </w:hyperlink>
          </w:p>
          <w:p>
            <w:pPr>
              <w:pStyle w:val="TableParagraph"/>
              <w:spacing w:before="2"/>
              <w:rPr>
                <w:sz w:val="14"/>
              </w:rPr>
            </w:pPr>
          </w:p>
          <w:p>
            <w:pPr>
              <w:pStyle w:val="TableParagraph"/>
              <w:tabs>
                <w:tab w:pos="1314" w:val="left" w:leader="none"/>
              </w:tabs>
              <w:ind w:left="91" w:right="103"/>
              <w:rPr>
                <w:sz w:val="14"/>
              </w:rPr>
            </w:pPr>
            <w:r>
              <w:rPr>
                <w:sz w:val="14"/>
              </w:rPr>
              <w:t>Jefe de Estado: Bundespräsident (Presidente Federal), elegido</w:t>
              <w:tab/>
              <w:t>por</w:t>
            </w:r>
          </w:p>
          <w:p>
            <w:pPr>
              <w:pStyle w:val="TableParagraph"/>
              <w:ind w:left="91" w:right="105"/>
              <w:rPr>
                <w:sz w:val="14"/>
              </w:rPr>
            </w:pPr>
            <w:r>
              <w:rPr>
                <w:sz w:val="14"/>
              </w:rPr>
              <w:t>la Bundesversammlun g</w:t>
            </w:r>
          </w:p>
          <w:p>
            <w:pPr>
              <w:pStyle w:val="TableParagraph"/>
              <w:tabs>
                <w:tab w:pos="1329" w:val="left" w:leader="none"/>
              </w:tabs>
              <w:ind w:left="91" w:right="104"/>
              <w:rPr>
                <w:sz w:val="14"/>
              </w:rPr>
            </w:pPr>
            <w:r>
              <w:rPr>
                <w:sz w:val="14"/>
              </w:rPr>
              <w:t>(Asamblea  Federal), El segundo funcionario más alto es el Bundestagspräsident (presidente</w:t>
              <w:tab/>
              <w:t>del Bundestag),</w:t>
            </w:r>
          </w:p>
          <w:p>
            <w:pPr>
              <w:pStyle w:val="TableParagraph"/>
              <w:ind w:left="91"/>
              <w:rPr>
                <w:sz w:val="14"/>
              </w:rPr>
            </w:pPr>
            <w:r>
              <w:rPr>
                <w:w w:val="99"/>
                <w:sz w:val="14"/>
              </w:rPr>
              <w:t>.</w:t>
            </w:r>
          </w:p>
          <w:p>
            <w:pPr>
              <w:pStyle w:val="TableParagraph"/>
              <w:tabs>
                <w:tab w:pos="1367" w:val="left" w:leader="none"/>
              </w:tabs>
              <w:spacing w:before="2"/>
              <w:ind w:left="91" w:right="103"/>
              <w:jc w:val="both"/>
              <w:rPr>
                <w:sz w:val="14"/>
              </w:rPr>
            </w:pPr>
            <w:r>
              <w:rPr>
                <w:sz w:val="14"/>
              </w:rPr>
              <w:t>El tercero, y más alto oficial de la Jefatura</w:t>
            </w:r>
            <w:r>
              <w:rPr>
                <w:spacing w:val="-20"/>
                <w:sz w:val="14"/>
              </w:rPr>
              <w:t> </w:t>
            </w:r>
            <w:r>
              <w:rPr>
                <w:sz w:val="14"/>
              </w:rPr>
              <w:t>de gobierno</w:t>
              <w:tab/>
              <w:t>es</w:t>
            </w:r>
          </w:p>
          <w:p>
            <w:pPr>
              <w:pStyle w:val="TableParagraph"/>
              <w:ind w:left="91" w:right="144"/>
              <w:rPr>
                <w:sz w:val="14"/>
              </w:rPr>
            </w:pPr>
            <w:r>
              <w:rPr>
                <w:sz w:val="14"/>
              </w:rPr>
              <w:t>el Canciller Federal,</w:t>
            </w:r>
          </w:p>
          <w:p>
            <w:pPr>
              <w:pStyle w:val="TableParagraph"/>
              <w:rPr>
                <w:sz w:val="14"/>
              </w:rPr>
            </w:pPr>
          </w:p>
          <w:p>
            <w:pPr>
              <w:pStyle w:val="TableParagraph"/>
              <w:spacing w:before="10"/>
              <w:rPr>
                <w:sz w:val="13"/>
              </w:rPr>
            </w:pPr>
          </w:p>
          <w:p>
            <w:pPr>
              <w:pStyle w:val="TableParagraph"/>
              <w:spacing w:before="1"/>
              <w:ind w:left="91" w:right="144"/>
              <w:rPr>
                <w:sz w:val="14"/>
              </w:rPr>
            </w:pPr>
            <w:r>
              <w:rPr>
                <w:sz w:val="14"/>
              </w:rPr>
              <w:t>Poder Ejecutivo: jefe de gobierno o Bundeskanzler (Canciller Federal).</w:t>
            </w:r>
          </w:p>
          <w:p>
            <w:pPr>
              <w:pStyle w:val="TableParagraph"/>
              <w:spacing w:before="11"/>
              <w:rPr>
                <w:sz w:val="13"/>
              </w:rPr>
            </w:pPr>
          </w:p>
          <w:p>
            <w:pPr>
              <w:pStyle w:val="TableParagraph"/>
              <w:ind w:left="91" w:right="103"/>
              <w:rPr>
                <w:sz w:val="14"/>
              </w:rPr>
            </w:pPr>
            <w:r>
              <w:rPr>
                <w:sz w:val="14"/>
              </w:rPr>
              <w:t>Poder Legislativo: La Cámara baja (Bundestag) y Cámara alta (Bundesrat).</w:t>
            </w:r>
          </w:p>
          <w:p>
            <w:pPr>
              <w:pStyle w:val="TableParagraph"/>
              <w:spacing w:before="11"/>
              <w:rPr>
                <w:sz w:val="13"/>
              </w:rPr>
            </w:pPr>
          </w:p>
          <w:p>
            <w:pPr>
              <w:pStyle w:val="TableParagraph"/>
              <w:ind w:left="91" w:right="593"/>
              <w:rPr>
                <w:sz w:val="14"/>
              </w:rPr>
            </w:pPr>
            <w:r>
              <w:rPr>
                <w:sz w:val="14"/>
              </w:rPr>
              <w:t>Poder Judicial: El Tribunal Constitucional Federal.</w:t>
            </w:r>
          </w:p>
          <w:p>
            <w:pPr>
              <w:pStyle w:val="TableParagraph"/>
              <w:tabs>
                <w:tab w:pos="1135" w:val="left" w:leader="none"/>
              </w:tabs>
              <w:ind w:left="91" w:right="104"/>
              <w:rPr>
                <w:sz w:val="14"/>
              </w:rPr>
            </w:pPr>
            <w:r>
              <w:rPr>
                <w:sz w:val="14"/>
              </w:rPr>
              <w:t>Bundes</w:t>
              <w:tab/>
              <w:t>verfas sungsgericht.</w:t>
            </w:r>
          </w:p>
        </w:tc>
        <w:tc>
          <w:tcPr>
            <w:tcW w:w="1279" w:type="dxa"/>
          </w:tcPr>
          <w:p>
            <w:pPr>
              <w:pStyle w:val="TableParagraph"/>
              <w:tabs>
                <w:tab w:pos="1010" w:val="left" w:leader="none"/>
              </w:tabs>
              <w:spacing w:before="12"/>
              <w:ind w:left="103" w:right="103"/>
              <w:rPr>
                <w:sz w:val="14"/>
              </w:rPr>
            </w:pPr>
            <w:r>
              <w:rPr>
                <w:sz w:val="14"/>
              </w:rPr>
              <w:t>Regido por la Constitución Española</w:t>
              <w:tab/>
            </w:r>
            <w:r>
              <w:rPr>
                <w:w w:val="95"/>
                <w:sz w:val="14"/>
              </w:rPr>
              <w:t>de </w:t>
            </w:r>
            <w:r>
              <w:rPr>
                <w:sz w:val="14"/>
              </w:rPr>
              <w:t>1978.</w:t>
            </w:r>
          </w:p>
          <w:p>
            <w:pPr>
              <w:pStyle w:val="TableParagraph"/>
              <w:spacing w:before="2"/>
              <w:rPr>
                <w:sz w:val="14"/>
              </w:rPr>
            </w:pPr>
          </w:p>
          <w:p>
            <w:pPr>
              <w:pStyle w:val="TableParagraph"/>
              <w:ind w:left="103" w:right="103"/>
              <w:rPr>
                <w:sz w:val="14"/>
              </w:rPr>
            </w:pPr>
            <w:r>
              <w:rPr>
                <w:sz w:val="14"/>
              </w:rPr>
              <w:t>Jefe de Estado: El Monarca Primer ministro: Canciller.</w:t>
            </w:r>
          </w:p>
          <w:p>
            <w:pPr>
              <w:pStyle w:val="TableParagraph"/>
              <w:rPr>
                <w:sz w:val="14"/>
              </w:rPr>
            </w:pPr>
          </w:p>
          <w:p>
            <w:pPr>
              <w:pStyle w:val="TableParagraph"/>
              <w:spacing w:before="10"/>
              <w:rPr>
                <w:sz w:val="13"/>
              </w:rPr>
            </w:pPr>
          </w:p>
          <w:p>
            <w:pPr>
              <w:pStyle w:val="TableParagraph"/>
              <w:spacing w:before="1"/>
              <w:ind w:left="103" w:right="88"/>
              <w:rPr>
                <w:sz w:val="14"/>
              </w:rPr>
            </w:pPr>
            <w:r>
              <w:rPr>
                <w:sz w:val="14"/>
              </w:rPr>
              <w:t>Poder Ejecutivo: El jefe de Estado y el Presidente del gobierno.</w:t>
            </w:r>
          </w:p>
          <w:p>
            <w:pPr>
              <w:pStyle w:val="TableParagraph"/>
              <w:rPr>
                <w:sz w:val="14"/>
              </w:rPr>
            </w:pPr>
          </w:p>
          <w:p>
            <w:pPr>
              <w:pStyle w:val="TableParagraph"/>
              <w:ind w:left="103" w:right="131"/>
              <w:rPr>
                <w:sz w:val="14"/>
              </w:rPr>
            </w:pPr>
            <w:r>
              <w:rPr>
                <w:sz w:val="14"/>
              </w:rPr>
              <w:t>Poder Legislativo: El Congreso, Senado y parlamentos autónomos.</w:t>
            </w:r>
          </w:p>
          <w:p>
            <w:pPr>
              <w:pStyle w:val="TableParagraph"/>
              <w:spacing w:before="11"/>
              <w:rPr>
                <w:sz w:val="13"/>
              </w:rPr>
            </w:pPr>
          </w:p>
          <w:p>
            <w:pPr>
              <w:pStyle w:val="TableParagraph"/>
              <w:ind w:left="103" w:right="131"/>
              <w:rPr>
                <w:sz w:val="14"/>
              </w:rPr>
            </w:pPr>
            <w:r>
              <w:rPr>
                <w:sz w:val="14"/>
              </w:rPr>
              <w:t>Poder Judicial: Integrado por el conjunto de Juzgados y Tribunales, integrado por Jueces y Magistrados, que tienen la potestad de administrar justicia en nombre del Rey.</w:t>
            </w:r>
          </w:p>
        </w:tc>
        <w:tc>
          <w:tcPr>
            <w:tcW w:w="1462" w:type="dxa"/>
          </w:tcPr>
          <w:p>
            <w:pPr>
              <w:pStyle w:val="TableParagraph"/>
              <w:spacing w:before="12"/>
              <w:ind w:left="103" w:right="103"/>
              <w:jc w:val="both"/>
              <w:rPr>
                <w:sz w:val="14"/>
              </w:rPr>
            </w:pPr>
            <w:r>
              <w:rPr>
                <w:sz w:val="14"/>
              </w:rPr>
              <w:t>Regido por la Constitución de los Estados Unidos de 1787.</w:t>
            </w:r>
          </w:p>
          <w:p>
            <w:pPr>
              <w:pStyle w:val="TableParagraph"/>
              <w:spacing w:before="2"/>
              <w:rPr>
                <w:sz w:val="14"/>
              </w:rPr>
            </w:pPr>
          </w:p>
          <w:p>
            <w:pPr>
              <w:pStyle w:val="TableParagraph"/>
              <w:ind w:left="103" w:right="102"/>
              <w:jc w:val="both"/>
              <w:rPr>
                <w:sz w:val="14"/>
              </w:rPr>
            </w:pPr>
            <w:r>
              <w:rPr>
                <w:sz w:val="14"/>
              </w:rPr>
              <w:t>Jefe de Estado y Jefe de Gobierno:  El</w:t>
            </w:r>
            <w:r>
              <w:rPr>
                <w:spacing w:val="-8"/>
                <w:sz w:val="14"/>
              </w:rPr>
              <w:t> </w:t>
            </w:r>
            <w:r>
              <w:rPr>
                <w:sz w:val="14"/>
              </w:rPr>
              <w:t>Presidente.</w:t>
            </w:r>
          </w:p>
          <w:p>
            <w:pPr>
              <w:pStyle w:val="TableParagraph"/>
              <w:spacing w:before="11"/>
              <w:rPr>
                <w:sz w:val="13"/>
              </w:rPr>
            </w:pPr>
          </w:p>
          <w:p>
            <w:pPr>
              <w:pStyle w:val="TableParagraph"/>
              <w:ind w:left="103" w:right="146"/>
              <w:rPr>
                <w:sz w:val="14"/>
              </w:rPr>
            </w:pPr>
            <w:r>
              <w:rPr>
                <w:sz w:val="14"/>
              </w:rPr>
              <w:t>El Poder Ejecutivo: El Presidente y el Vicepresidente</w:t>
            </w:r>
          </w:p>
          <w:p>
            <w:pPr>
              <w:pStyle w:val="TableParagraph"/>
              <w:rPr>
                <w:sz w:val="14"/>
              </w:rPr>
            </w:pPr>
          </w:p>
          <w:p>
            <w:pPr>
              <w:pStyle w:val="TableParagraph"/>
              <w:spacing w:before="117"/>
              <w:ind w:left="103" w:right="216"/>
              <w:rPr>
                <w:sz w:val="14"/>
              </w:rPr>
            </w:pPr>
            <w:r>
              <w:rPr>
                <w:sz w:val="14"/>
              </w:rPr>
              <w:t>Poder Legislativo: Compuesto por el Senado (Cámara alta) y por la Cámara de Representantes (Cámara baja).</w:t>
            </w:r>
          </w:p>
          <w:p>
            <w:pPr>
              <w:pStyle w:val="TableParagraph"/>
              <w:rPr>
                <w:sz w:val="14"/>
              </w:rPr>
            </w:pPr>
          </w:p>
          <w:p>
            <w:pPr>
              <w:pStyle w:val="TableParagraph"/>
              <w:spacing w:before="122"/>
              <w:ind w:left="103" w:right="103"/>
              <w:jc w:val="both"/>
              <w:rPr>
                <w:sz w:val="14"/>
              </w:rPr>
            </w:pPr>
            <w:r>
              <w:rPr>
                <w:sz w:val="14"/>
              </w:rPr>
              <w:t>Poder Judicial: Compuesto por la Suprema Corte de Justicia      y      por</w:t>
            </w:r>
          </w:p>
          <w:p>
            <w:pPr>
              <w:pStyle w:val="TableParagraph"/>
              <w:ind w:left="103" w:right="104"/>
              <w:jc w:val="both"/>
              <w:rPr>
                <w:sz w:val="14"/>
              </w:rPr>
            </w:pPr>
            <w:r>
              <w:rPr>
                <w:sz w:val="14"/>
              </w:rPr>
              <w:t>diversas cortes subsidiarias.</w:t>
            </w:r>
          </w:p>
        </w:tc>
        <w:tc>
          <w:tcPr>
            <w:tcW w:w="1711" w:type="dxa"/>
          </w:tcPr>
          <w:p>
            <w:pPr>
              <w:pStyle w:val="TableParagraph"/>
              <w:spacing w:before="12"/>
              <w:ind w:left="103" w:right="15"/>
              <w:rPr>
                <w:sz w:val="14"/>
              </w:rPr>
            </w:pPr>
            <w:r>
              <w:rPr>
                <w:sz w:val="14"/>
              </w:rPr>
              <w:t>Regido por la Constitución Política de los Estados Unidos Mexicanos de 1917</w:t>
            </w:r>
          </w:p>
          <w:p>
            <w:pPr>
              <w:pStyle w:val="TableParagraph"/>
              <w:spacing w:before="2"/>
              <w:rPr>
                <w:sz w:val="14"/>
              </w:rPr>
            </w:pPr>
          </w:p>
          <w:p>
            <w:pPr>
              <w:pStyle w:val="TableParagraph"/>
              <w:ind w:left="103" w:right="15"/>
              <w:rPr>
                <w:sz w:val="14"/>
              </w:rPr>
            </w:pPr>
            <w:r>
              <w:rPr>
                <w:sz w:val="14"/>
              </w:rPr>
              <w:t>Poder Ejecutivo: El Presidente.</w:t>
            </w:r>
          </w:p>
          <w:p>
            <w:pPr>
              <w:pStyle w:val="TableParagraph"/>
              <w:spacing w:before="11"/>
              <w:rPr>
                <w:sz w:val="13"/>
              </w:rPr>
            </w:pPr>
          </w:p>
          <w:p>
            <w:pPr>
              <w:pStyle w:val="TableParagraph"/>
              <w:ind w:left="103" w:right="107"/>
              <w:rPr>
                <w:sz w:val="14"/>
              </w:rPr>
            </w:pPr>
            <w:r>
              <w:rPr>
                <w:sz w:val="14"/>
              </w:rPr>
              <w:t>Poder Legislativo: El H. Congreso de la Unión, integrado por una Cámara de Diputados y la Cámara de Senadores.</w:t>
            </w:r>
          </w:p>
          <w:p>
            <w:pPr>
              <w:pStyle w:val="TableParagraph"/>
              <w:rPr>
                <w:sz w:val="14"/>
              </w:rPr>
            </w:pPr>
          </w:p>
          <w:p>
            <w:pPr>
              <w:pStyle w:val="TableParagraph"/>
              <w:ind w:left="103" w:right="147"/>
              <w:rPr>
                <w:sz w:val="14"/>
              </w:rPr>
            </w:pPr>
            <w:r>
              <w:rPr>
                <w:sz w:val="14"/>
              </w:rPr>
              <w:t>Poder Judicial: Suprema Corte de Justicia de la Nación (SCJN) y los tribunales superiores de justicia.</w:t>
            </w:r>
          </w:p>
        </w:tc>
        <w:tc>
          <w:tcPr>
            <w:tcW w:w="2377" w:type="dxa"/>
          </w:tcPr>
          <w:p>
            <w:pPr>
              <w:pStyle w:val="TableParagraph"/>
              <w:spacing w:before="12"/>
              <w:ind w:left="103" w:right="307"/>
              <w:rPr>
                <w:sz w:val="14"/>
              </w:rPr>
            </w:pPr>
            <w:r>
              <w:rPr>
                <w:sz w:val="14"/>
              </w:rPr>
              <w:t>Sin constitución.</w:t>
            </w:r>
          </w:p>
          <w:p>
            <w:pPr>
              <w:pStyle w:val="TableParagraph"/>
              <w:spacing w:before="11"/>
              <w:rPr>
                <w:sz w:val="13"/>
              </w:rPr>
            </w:pPr>
          </w:p>
          <w:p>
            <w:pPr>
              <w:pStyle w:val="TableParagraph"/>
              <w:ind w:left="103" w:right="173"/>
              <w:rPr>
                <w:sz w:val="14"/>
              </w:rPr>
            </w:pPr>
            <w:r>
              <w:rPr>
                <w:sz w:val="14"/>
              </w:rPr>
              <w:t>Regido por el derecho estatutario (Statute law) que comprende:</w:t>
            </w:r>
          </w:p>
          <w:p>
            <w:pPr>
              <w:pStyle w:val="TableParagraph"/>
              <w:ind w:left="103" w:right="89"/>
              <w:rPr>
                <w:sz w:val="14"/>
              </w:rPr>
            </w:pPr>
            <w:r>
              <w:rPr>
                <w:sz w:val="14"/>
              </w:rPr>
              <w:t>La Carta Magna de 1215, la "PetitionRights" de 1628, el "habeas Corpus Amendment Act" de 1679, el "Bill of Rights" de</w:t>
            </w:r>
            <w:hyperlink r:id="rId151">
              <w:r>
                <w:rPr>
                  <w:sz w:val="14"/>
                  <w:u w:val="single"/>
                </w:rPr>
                <w:t>1689</w:t>
              </w:r>
              <w:r>
                <w:rPr>
                  <w:sz w:val="14"/>
                </w:rPr>
                <w:t>,</w:t>
              </w:r>
            </w:hyperlink>
            <w:r>
              <w:rPr>
                <w:sz w:val="14"/>
              </w:rPr>
              <w:t> el "Axt of Settlement" de 1701, la "ReformAct" de </w:t>
            </w:r>
            <w:hyperlink r:id="rId152">
              <w:r>
                <w:rPr>
                  <w:sz w:val="14"/>
                  <w:u w:val="single"/>
                </w:rPr>
                <w:t>1832</w:t>
              </w:r>
              <w:r>
                <w:rPr>
                  <w:sz w:val="14"/>
                </w:rPr>
                <w:t>,</w:t>
              </w:r>
            </w:hyperlink>
            <w:r>
              <w:rPr>
                <w:sz w:val="14"/>
              </w:rPr>
              <w:t> el "Estatuto de Westminster" de </w:t>
            </w:r>
            <w:hyperlink r:id="rId153">
              <w:r>
                <w:rPr>
                  <w:sz w:val="14"/>
                  <w:u w:val="single"/>
                </w:rPr>
                <w:t>1931 </w:t>
              </w:r>
            </w:hyperlink>
            <w:r>
              <w:rPr>
                <w:sz w:val="14"/>
              </w:rPr>
              <w:t>y los "ParliamentActs" de </w:t>
            </w:r>
            <w:hyperlink r:id="rId154">
              <w:r>
                <w:rPr>
                  <w:sz w:val="14"/>
                  <w:u w:val="single"/>
                </w:rPr>
                <w:t>1911 </w:t>
              </w:r>
            </w:hyperlink>
            <w:r>
              <w:rPr>
                <w:sz w:val="14"/>
              </w:rPr>
              <w:t>y</w:t>
            </w:r>
            <w:hyperlink r:id="rId150">
              <w:r>
                <w:rPr>
                  <w:sz w:val="14"/>
                  <w:u w:val="single"/>
                </w:rPr>
                <w:t>1949</w:t>
              </w:r>
              <w:r>
                <w:rPr>
                  <w:sz w:val="14"/>
                </w:rPr>
                <w:t>.</w:t>
              </w:r>
            </w:hyperlink>
          </w:p>
          <w:p>
            <w:pPr>
              <w:pStyle w:val="TableParagraph"/>
              <w:rPr>
                <w:sz w:val="14"/>
              </w:rPr>
            </w:pPr>
          </w:p>
          <w:p>
            <w:pPr>
              <w:pStyle w:val="TableParagraph"/>
              <w:spacing w:before="10"/>
              <w:rPr>
                <w:sz w:val="13"/>
              </w:rPr>
            </w:pPr>
          </w:p>
          <w:p>
            <w:pPr>
              <w:pStyle w:val="TableParagraph"/>
              <w:spacing w:before="1"/>
              <w:ind w:left="103" w:right="307"/>
              <w:rPr>
                <w:sz w:val="14"/>
              </w:rPr>
            </w:pPr>
            <w:r>
              <w:rPr>
                <w:sz w:val="14"/>
              </w:rPr>
              <w:t>Jefe de Estado: rey o reina.</w:t>
            </w:r>
          </w:p>
          <w:p>
            <w:pPr>
              <w:pStyle w:val="TableParagraph"/>
              <w:rPr>
                <w:sz w:val="14"/>
              </w:rPr>
            </w:pPr>
          </w:p>
          <w:p>
            <w:pPr>
              <w:pStyle w:val="TableParagraph"/>
              <w:ind w:left="103" w:right="173"/>
              <w:rPr>
                <w:sz w:val="14"/>
              </w:rPr>
            </w:pPr>
            <w:r>
              <w:rPr>
                <w:sz w:val="14"/>
              </w:rPr>
              <w:t>Poder Ejecutivo: Primer ministro (Jefe de Gobierno)</w:t>
            </w:r>
          </w:p>
          <w:p>
            <w:pPr>
              <w:pStyle w:val="TableParagraph"/>
              <w:spacing w:before="2"/>
              <w:rPr>
                <w:sz w:val="14"/>
              </w:rPr>
            </w:pPr>
          </w:p>
          <w:p>
            <w:pPr>
              <w:pStyle w:val="TableParagraph"/>
              <w:ind w:left="103" w:right="173"/>
              <w:rPr>
                <w:sz w:val="14"/>
              </w:rPr>
            </w:pPr>
            <w:r>
              <w:rPr>
                <w:sz w:val="14"/>
              </w:rPr>
              <w:t>Poder Legislativo: El Parlamento integrado por la Cámara Alta (Lores) y la Cámara Baja (Comunes)</w:t>
            </w:r>
          </w:p>
          <w:p>
            <w:pPr>
              <w:pStyle w:val="TableParagraph"/>
              <w:spacing w:before="11"/>
              <w:rPr>
                <w:sz w:val="13"/>
              </w:rPr>
            </w:pPr>
          </w:p>
          <w:p>
            <w:pPr>
              <w:pStyle w:val="TableParagraph"/>
              <w:ind w:left="103" w:right="111"/>
              <w:rPr>
                <w:sz w:val="14"/>
              </w:rPr>
            </w:pPr>
            <w:r>
              <w:rPr>
                <w:sz w:val="14"/>
              </w:rPr>
              <w:t>Poder Judicial: Separado entre Inglaterra y Escocia. Está Integrado por la Corte de Apelaciones, la Suprema Corte de Justicia y el Tribunal Real.</w:t>
            </w:r>
          </w:p>
          <w:p>
            <w:pPr>
              <w:pStyle w:val="TableParagraph"/>
              <w:ind w:left="103" w:right="142"/>
              <w:rPr>
                <w:sz w:val="14"/>
              </w:rPr>
            </w:pPr>
            <w:r>
              <w:rPr>
                <w:sz w:val="14"/>
              </w:rPr>
              <w:t>Escocia basa su poder jurídico en el derecho romano.</w:t>
            </w:r>
          </w:p>
        </w:tc>
      </w:tr>
    </w:tbl>
    <w:p>
      <w:pPr>
        <w:spacing w:before="0"/>
        <w:ind w:left="529" w:right="1331" w:firstLine="0"/>
        <w:jc w:val="left"/>
        <w:rPr>
          <w:sz w:val="16"/>
        </w:rPr>
      </w:pPr>
      <w:r>
        <w:rPr>
          <w:sz w:val="16"/>
        </w:rPr>
        <w:t>FUENTE: Elaboración propia con base a (Espinoza, 2010).</w:t>
      </w:r>
    </w:p>
    <w:p>
      <w:pPr>
        <w:pStyle w:val="BodyText"/>
        <w:rPr>
          <w:sz w:val="16"/>
        </w:rPr>
      </w:pPr>
    </w:p>
    <w:p>
      <w:pPr>
        <w:pStyle w:val="BodyText"/>
        <w:spacing w:before="1"/>
        <w:rPr>
          <w:sz w:val="16"/>
        </w:rPr>
      </w:pPr>
    </w:p>
    <w:p>
      <w:pPr>
        <w:pStyle w:val="BodyText"/>
        <w:spacing w:line="360" w:lineRule="auto" w:before="1"/>
        <w:ind w:left="102" w:right="523" w:firstLine="427"/>
        <w:jc w:val="both"/>
      </w:pPr>
      <w:r>
        <w:rPr/>
        <w:t>Se considera que la eficacia en el desempeño de cualquier sistema político no depende</w:t>
      </w:r>
      <w:r>
        <w:rPr>
          <w:spacing w:val="-20"/>
        </w:rPr>
        <w:t> </w:t>
      </w:r>
      <w:r>
        <w:rPr/>
        <w:t>únicamente</w:t>
      </w:r>
      <w:r>
        <w:rPr>
          <w:spacing w:val="-19"/>
        </w:rPr>
        <w:t> </w:t>
      </w:r>
      <w:r>
        <w:rPr/>
        <w:t>de</w:t>
      </w:r>
      <w:r>
        <w:rPr>
          <w:spacing w:val="-18"/>
        </w:rPr>
        <w:t> </w:t>
      </w:r>
      <w:r>
        <w:rPr/>
        <w:t>la</w:t>
      </w:r>
      <w:r>
        <w:rPr>
          <w:spacing w:val="-20"/>
        </w:rPr>
        <w:t> </w:t>
      </w:r>
      <w:r>
        <w:rPr/>
        <w:t>división</w:t>
      </w:r>
      <w:r>
        <w:rPr>
          <w:spacing w:val="-18"/>
        </w:rPr>
        <w:t> </w:t>
      </w:r>
      <w:r>
        <w:rPr/>
        <w:t>de</w:t>
      </w:r>
      <w:r>
        <w:rPr>
          <w:spacing w:val="-18"/>
        </w:rPr>
        <w:t> </w:t>
      </w:r>
      <w:r>
        <w:rPr/>
        <w:t>poderes,</w:t>
      </w:r>
      <w:r>
        <w:rPr>
          <w:spacing w:val="-18"/>
        </w:rPr>
        <w:t> </w:t>
      </w:r>
      <w:r>
        <w:rPr/>
        <w:t>sino</w:t>
      </w:r>
      <w:r>
        <w:rPr>
          <w:spacing w:val="-19"/>
        </w:rPr>
        <w:t> </w:t>
      </w:r>
      <w:r>
        <w:rPr/>
        <w:t>también</w:t>
      </w:r>
      <w:r>
        <w:rPr>
          <w:spacing w:val="-19"/>
        </w:rPr>
        <w:t> </w:t>
      </w:r>
      <w:r>
        <w:rPr/>
        <w:t>del</w:t>
      </w:r>
      <w:r>
        <w:rPr>
          <w:spacing w:val="-20"/>
        </w:rPr>
        <w:t> </w:t>
      </w:r>
      <w:r>
        <w:rPr/>
        <w:t>diseño</w:t>
      </w:r>
      <w:r>
        <w:rPr>
          <w:spacing w:val="-18"/>
        </w:rPr>
        <w:t> </w:t>
      </w:r>
      <w:r>
        <w:rPr/>
        <w:t>institucional, de su historia y su cultura política (Espinoza,</w:t>
      </w:r>
      <w:r>
        <w:rPr>
          <w:spacing w:val="-20"/>
        </w:rPr>
        <w:t> </w:t>
      </w:r>
      <w:r>
        <w:rPr/>
        <w:t>2010).</w:t>
      </w:r>
    </w:p>
    <w:p>
      <w:pPr>
        <w:spacing w:after="0" w:line="360" w:lineRule="auto"/>
        <w:jc w:val="both"/>
        <w:sectPr>
          <w:pgSz w:w="12240" w:h="15840"/>
          <w:pgMar w:header="0" w:footer="1003" w:top="1360" w:bottom="1200" w:left="1600" w:right="1180"/>
        </w:sectPr>
      </w:pPr>
    </w:p>
    <w:p>
      <w:pPr>
        <w:pStyle w:val="BodyText"/>
        <w:spacing w:line="360" w:lineRule="auto" w:before="54"/>
        <w:ind w:left="122" w:right="120" w:firstLine="427"/>
        <w:jc w:val="both"/>
      </w:pPr>
      <w:r>
        <w:rPr/>
        <w:t>La democracia implica también el contrapeso ciudadano. La gobernanza, que refleja</w:t>
      </w:r>
      <w:r>
        <w:rPr>
          <w:spacing w:val="-14"/>
        </w:rPr>
        <w:t> </w:t>
      </w:r>
      <w:r>
        <w:rPr/>
        <w:t>el</w:t>
      </w:r>
      <w:r>
        <w:rPr>
          <w:spacing w:val="-15"/>
        </w:rPr>
        <w:t> </w:t>
      </w:r>
      <w:r>
        <w:rPr/>
        <w:t>tránsito</w:t>
      </w:r>
      <w:r>
        <w:rPr>
          <w:spacing w:val="-14"/>
        </w:rPr>
        <w:t> </w:t>
      </w:r>
      <w:r>
        <w:rPr/>
        <w:t>hacia</w:t>
      </w:r>
      <w:r>
        <w:rPr>
          <w:spacing w:val="-17"/>
        </w:rPr>
        <w:t> </w:t>
      </w:r>
      <w:r>
        <w:rPr/>
        <w:t>un</w:t>
      </w:r>
      <w:r>
        <w:rPr>
          <w:spacing w:val="-14"/>
        </w:rPr>
        <w:t> </w:t>
      </w:r>
      <w:r>
        <w:rPr/>
        <w:t>modelo</w:t>
      </w:r>
      <w:r>
        <w:rPr>
          <w:spacing w:val="-14"/>
        </w:rPr>
        <w:t> </w:t>
      </w:r>
      <w:r>
        <w:rPr/>
        <w:t>de</w:t>
      </w:r>
      <w:r>
        <w:rPr>
          <w:spacing w:val="-14"/>
        </w:rPr>
        <w:t> </w:t>
      </w:r>
      <w:r>
        <w:rPr/>
        <w:t>administración</w:t>
      </w:r>
      <w:r>
        <w:rPr>
          <w:spacing w:val="-14"/>
        </w:rPr>
        <w:t> </w:t>
      </w:r>
      <w:r>
        <w:rPr/>
        <w:t>pública</w:t>
      </w:r>
      <w:r>
        <w:rPr>
          <w:spacing w:val="-14"/>
        </w:rPr>
        <w:t> </w:t>
      </w:r>
      <w:r>
        <w:rPr/>
        <w:t>más</w:t>
      </w:r>
      <w:r>
        <w:rPr>
          <w:spacing w:val="-15"/>
        </w:rPr>
        <w:t> </w:t>
      </w:r>
      <w:r>
        <w:rPr/>
        <w:t>incluyente,</w:t>
      </w:r>
      <w:r>
        <w:rPr>
          <w:spacing w:val="-14"/>
        </w:rPr>
        <w:t> </w:t>
      </w:r>
      <w:r>
        <w:rPr/>
        <w:t>permite el</w:t>
      </w:r>
      <w:r>
        <w:rPr>
          <w:spacing w:val="-8"/>
        </w:rPr>
        <w:t> </w:t>
      </w:r>
      <w:r>
        <w:rPr/>
        <w:t>arreglo</w:t>
      </w:r>
      <w:r>
        <w:rPr>
          <w:spacing w:val="-7"/>
        </w:rPr>
        <w:t> </w:t>
      </w:r>
      <w:r>
        <w:rPr/>
        <w:t>de</w:t>
      </w:r>
      <w:r>
        <w:rPr>
          <w:spacing w:val="-7"/>
        </w:rPr>
        <w:t> </w:t>
      </w:r>
      <w:r>
        <w:rPr/>
        <w:t>redes</w:t>
      </w:r>
      <w:r>
        <w:rPr>
          <w:spacing w:val="-10"/>
        </w:rPr>
        <w:t> </w:t>
      </w:r>
      <w:r>
        <w:rPr/>
        <w:t>orientadas</w:t>
      </w:r>
      <w:r>
        <w:rPr>
          <w:spacing w:val="-8"/>
        </w:rPr>
        <w:t> </w:t>
      </w:r>
      <w:r>
        <w:rPr/>
        <w:t>hacia</w:t>
      </w:r>
      <w:r>
        <w:rPr>
          <w:spacing w:val="-7"/>
        </w:rPr>
        <w:t> </w:t>
      </w:r>
      <w:r>
        <w:rPr/>
        <w:t>el</w:t>
      </w:r>
      <w:r>
        <w:rPr>
          <w:spacing w:val="-8"/>
        </w:rPr>
        <w:t> </w:t>
      </w:r>
      <w:r>
        <w:rPr/>
        <w:t>logro</w:t>
      </w:r>
      <w:r>
        <w:rPr>
          <w:spacing w:val="-8"/>
        </w:rPr>
        <w:t> </w:t>
      </w:r>
      <w:r>
        <w:rPr/>
        <w:t>del</w:t>
      </w:r>
      <w:r>
        <w:rPr>
          <w:spacing w:val="-8"/>
        </w:rPr>
        <w:t> </w:t>
      </w:r>
      <w:r>
        <w:rPr/>
        <w:t>buen</w:t>
      </w:r>
      <w:r>
        <w:rPr>
          <w:spacing w:val="-7"/>
        </w:rPr>
        <w:t> </w:t>
      </w:r>
      <w:r>
        <w:rPr/>
        <w:t>gobierno</w:t>
      </w:r>
      <w:r>
        <w:rPr>
          <w:spacing w:val="-7"/>
        </w:rPr>
        <w:t> </w:t>
      </w:r>
      <w:r>
        <w:rPr/>
        <w:t>donde</w:t>
      </w:r>
      <w:r>
        <w:rPr>
          <w:spacing w:val="-7"/>
        </w:rPr>
        <w:t> </w:t>
      </w:r>
      <w:r>
        <w:rPr/>
        <w:t>la</w:t>
      </w:r>
      <w:r>
        <w:rPr>
          <w:spacing w:val="-7"/>
        </w:rPr>
        <w:t> </w:t>
      </w:r>
      <w:r>
        <w:rPr/>
        <w:t>ciudadanía y el sector privado son más</w:t>
      </w:r>
      <w:r>
        <w:rPr>
          <w:spacing w:val="-12"/>
        </w:rPr>
        <w:t> </w:t>
      </w:r>
      <w:r>
        <w:rPr/>
        <w:t>activos.</w:t>
      </w:r>
    </w:p>
    <w:p>
      <w:pPr>
        <w:pStyle w:val="BodyText"/>
        <w:spacing w:line="360" w:lineRule="auto" w:before="2"/>
        <w:ind w:left="122" w:right="122" w:firstLine="427"/>
        <w:jc w:val="both"/>
        <w:rPr>
          <w:sz w:val="16"/>
        </w:rPr>
      </w:pPr>
      <w:r>
        <w:rPr/>
        <w:t>Es importante considerar que los cambios en la política se concretan en el ámbito legal (escrito), mientras que el control político mediante la rendición de cuentas es práctico. Por esta practicidad, los tipos de controles que se realizan a las políticas públicas mediante las instituciones de rendición de cuentas siempre conllevan cierta incertidumbre sobre el método de auditoría empleado.</w:t>
      </w:r>
      <w:r>
        <w:rPr>
          <w:position w:val="8"/>
          <w:sz w:val="16"/>
        </w:rPr>
        <w:t>76</w:t>
      </w:r>
    </w:p>
    <w:p>
      <w:pPr>
        <w:pStyle w:val="BodyText"/>
        <w:spacing w:line="360" w:lineRule="auto" w:before="2"/>
        <w:ind w:left="122" w:right="126" w:firstLine="427"/>
        <w:jc w:val="both"/>
      </w:pPr>
      <w:r>
        <w:rPr/>
        <w:t>La evaluación que realizan las entidades de rendición de cuentas tiene varias modalidades, que pueden generalizarse en dos: de gestión y de desempeño.</w:t>
      </w:r>
    </w:p>
    <w:p>
      <w:pPr>
        <w:pStyle w:val="BodyText"/>
        <w:spacing w:line="360" w:lineRule="auto" w:before="5"/>
        <w:ind w:left="122" w:right="119" w:firstLine="427"/>
        <w:jc w:val="both"/>
      </w:pPr>
      <w:r>
        <w:rPr/>
        <w:t>El control de gestión se remite básicamente a la correcta aplicación de procedimientos administrativos para el cumplimiento de programas, mientas que la evaluación del desempeño está orientada hacia el impacto de las políticas</w:t>
      </w:r>
      <w:r>
        <w:rPr>
          <w:spacing w:val="-39"/>
        </w:rPr>
        <w:t> </w:t>
      </w:r>
      <w:r>
        <w:rPr/>
        <w:t>públicas en la población, tarea que en sí misma se dificulta en países con democracias incipientes, donde la política pública prioriza la supervivencia de la sociedad y en los países avanzados, el desarrollo económico y el bienestar</w:t>
      </w:r>
      <w:r>
        <w:rPr>
          <w:spacing w:val="-29"/>
        </w:rPr>
        <w:t> </w:t>
      </w:r>
      <w:r>
        <w:rPr/>
        <w:t>humano.</w:t>
      </w:r>
    </w:p>
    <w:p>
      <w:pPr>
        <w:pStyle w:val="BodyText"/>
      </w:pPr>
    </w:p>
    <w:p>
      <w:pPr>
        <w:pStyle w:val="Heading2"/>
        <w:numPr>
          <w:ilvl w:val="1"/>
          <w:numId w:val="48"/>
        </w:numPr>
        <w:tabs>
          <w:tab w:pos="554" w:val="left" w:leader="none"/>
        </w:tabs>
        <w:spacing w:line="240" w:lineRule="auto" w:before="143" w:after="0"/>
        <w:ind w:left="553" w:right="0" w:hanging="431"/>
        <w:jc w:val="both"/>
      </w:pPr>
      <w:bookmarkStart w:name="_bookmark58" w:id="77"/>
      <w:bookmarkEnd w:id="77"/>
      <w:r>
        <w:rPr>
          <w:b w:val="0"/>
        </w:rPr>
      </w:r>
      <w:bookmarkStart w:name="_bookmark58" w:id="78"/>
      <w:bookmarkEnd w:id="78"/>
      <w:r>
        <w:rPr/>
        <w:t>E</w:t>
      </w:r>
      <w:r>
        <w:rPr/>
        <w:t>l control político mediante la rendición de</w:t>
      </w:r>
      <w:r>
        <w:rPr>
          <w:spacing w:val="-19"/>
        </w:rPr>
        <w:t> </w:t>
      </w:r>
      <w:r>
        <w:rPr/>
        <w:t>cuentas</w:t>
      </w:r>
    </w:p>
    <w:p>
      <w:pPr>
        <w:pStyle w:val="BodyText"/>
        <w:spacing w:before="3"/>
        <w:rPr>
          <w:b/>
          <w:sz w:val="30"/>
        </w:rPr>
      </w:pPr>
    </w:p>
    <w:p>
      <w:pPr>
        <w:pStyle w:val="BodyText"/>
        <w:spacing w:line="357" w:lineRule="auto"/>
        <w:ind w:left="122" w:right="117"/>
        <w:jc w:val="both"/>
      </w:pPr>
      <w:r>
        <w:rPr/>
        <w:t>La vigilancia y el control entre los poderes públicos mediante las instituciones es una de las principales funciones del Estado. La obligación de rendir cuentas</w:t>
      </w:r>
      <w:r>
        <w:rPr>
          <w:position w:val="8"/>
          <w:sz w:val="16"/>
        </w:rPr>
        <w:t>77 </w:t>
      </w:r>
      <w:r>
        <w:rPr/>
        <w:t>(mediante la fiscalización) tiene en esencia dos vertientes:</w:t>
      </w:r>
    </w:p>
    <w:p>
      <w:pPr>
        <w:pStyle w:val="BodyText"/>
      </w:pPr>
    </w:p>
    <w:p>
      <w:pPr>
        <w:pStyle w:val="ListParagraph"/>
        <w:numPr>
          <w:ilvl w:val="2"/>
          <w:numId w:val="48"/>
        </w:numPr>
        <w:tabs>
          <w:tab w:pos="842" w:val="left" w:leader="none"/>
        </w:tabs>
        <w:spacing w:line="362" w:lineRule="auto" w:before="144" w:after="0"/>
        <w:ind w:left="842" w:right="126" w:hanging="360"/>
        <w:jc w:val="left"/>
        <w:rPr>
          <w:sz w:val="24"/>
        </w:rPr>
      </w:pPr>
      <w:r>
        <w:rPr>
          <w:sz w:val="24"/>
        </w:rPr>
        <w:t>Vertical: cuando se rinde cuentas a los ciudadanos y a la sociedad en general.</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8128;mso-wrap-distance-left:0;mso-wrap-distance-right:0" from="85.103996pt,14.901816pt" to="229.123996pt,14.901816pt" stroked="true" strokeweight=".71997pt" strokecolor="#000000">
            <w10:wrap type="topAndBottom"/>
          </v:line>
        </w:pict>
      </w:r>
    </w:p>
    <w:p>
      <w:pPr>
        <w:spacing w:before="66"/>
        <w:ind w:left="122" w:right="116" w:firstLine="0"/>
        <w:jc w:val="both"/>
        <w:rPr>
          <w:sz w:val="16"/>
        </w:rPr>
      </w:pPr>
      <w:r>
        <w:rPr>
          <w:position w:val="6"/>
          <w:sz w:val="10"/>
        </w:rPr>
        <w:t>76</w:t>
      </w:r>
      <w:r>
        <w:rPr>
          <w:spacing w:val="6"/>
          <w:position w:val="6"/>
          <w:sz w:val="10"/>
        </w:rPr>
        <w:t> </w:t>
      </w:r>
      <w:r>
        <w:rPr>
          <w:sz w:val="16"/>
        </w:rPr>
        <w:t>Para</w:t>
      </w:r>
      <w:r>
        <w:rPr>
          <w:spacing w:val="-13"/>
          <w:sz w:val="16"/>
        </w:rPr>
        <w:t> </w:t>
      </w:r>
      <w:r>
        <w:rPr>
          <w:sz w:val="16"/>
        </w:rPr>
        <w:t>términos</w:t>
      </w:r>
      <w:r>
        <w:rPr>
          <w:spacing w:val="-11"/>
          <w:sz w:val="16"/>
        </w:rPr>
        <w:t> </w:t>
      </w:r>
      <w:r>
        <w:rPr>
          <w:sz w:val="16"/>
        </w:rPr>
        <w:t>prácticos,</w:t>
      </w:r>
      <w:r>
        <w:rPr>
          <w:spacing w:val="-12"/>
          <w:sz w:val="16"/>
        </w:rPr>
        <w:t> </w:t>
      </w:r>
      <w:r>
        <w:rPr>
          <w:sz w:val="16"/>
        </w:rPr>
        <w:t>se</w:t>
      </w:r>
      <w:r>
        <w:rPr>
          <w:spacing w:val="-13"/>
          <w:sz w:val="16"/>
        </w:rPr>
        <w:t> </w:t>
      </w:r>
      <w:r>
        <w:rPr>
          <w:sz w:val="16"/>
        </w:rPr>
        <w:t>considera</w:t>
      </w:r>
      <w:r>
        <w:rPr>
          <w:spacing w:val="-10"/>
          <w:sz w:val="16"/>
        </w:rPr>
        <w:t> </w:t>
      </w:r>
      <w:r>
        <w:rPr>
          <w:sz w:val="16"/>
        </w:rPr>
        <w:t>a</w:t>
      </w:r>
      <w:r>
        <w:rPr>
          <w:spacing w:val="-11"/>
          <w:sz w:val="16"/>
        </w:rPr>
        <w:t> </w:t>
      </w:r>
      <w:r>
        <w:rPr>
          <w:sz w:val="16"/>
        </w:rPr>
        <w:t>la</w:t>
      </w:r>
      <w:r>
        <w:rPr>
          <w:spacing w:val="-10"/>
          <w:sz w:val="16"/>
        </w:rPr>
        <w:t> </w:t>
      </w:r>
      <w:r>
        <w:rPr>
          <w:sz w:val="16"/>
        </w:rPr>
        <w:t>actividad</w:t>
      </w:r>
      <w:r>
        <w:rPr>
          <w:spacing w:val="-10"/>
          <w:sz w:val="16"/>
        </w:rPr>
        <w:t> </w:t>
      </w:r>
      <w:r>
        <w:rPr>
          <w:sz w:val="16"/>
        </w:rPr>
        <w:t>de</w:t>
      </w:r>
      <w:r>
        <w:rPr>
          <w:spacing w:val="-12"/>
          <w:sz w:val="16"/>
        </w:rPr>
        <w:t> </w:t>
      </w:r>
      <w:r>
        <w:rPr>
          <w:sz w:val="16"/>
        </w:rPr>
        <w:t>auditoría</w:t>
      </w:r>
      <w:r>
        <w:rPr>
          <w:spacing w:val="-10"/>
          <w:sz w:val="16"/>
        </w:rPr>
        <w:t> </w:t>
      </w:r>
      <w:r>
        <w:rPr>
          <w:sz w:val="16"/>
        </w:rPr>
        <w:t>realizada</w:t>
      </w:r>
      <w:r>
        <w:rPr>
          <w:spacing w:val="-10"/>
          <w:sz w:val="16"/>
        </w:rPr>
        <w:t> </w:t>
      </w:r>
      <w:r>
        <w:rPr>
          <w:sz w:val="16"/>
        </w:rPr>
        <w:t>por</w:t>
      </w:r>
      <w:r>
        <w:rPr>
          <w:spacing w:val="-10"/>
          <w:sz w:val="16"/>
        </w:rPr>
        <w:t> </w:t>
      </w:r>
      <w:r>
        <w:rPr>
          <w:sz w:val="16"/>
        </w:rPr>
        <w:t>la</w:t>
      </w:r>
      <w:r>
        <w:rPr>
          <w:spacing w:val="-12"/>
          <w:sz w:val="16"/>
        </w:rPr>
        <w:t> </w:t>
      </w:r>
      <w:r>
        <w:rPr>
          <w:sz w:val="16"/>
        </w:rPr>
        <w:t>ASF</w:t>
      </w:r>
      <w:r>
        <w:rPr>
          <w:spacing w:val="-14"/>
          <w:sz w:val="16"/>
        </w:rPr>
        <w:t> </w:t>
      </w:r>
      <w:r>
        <w:rPr>
          <w:sz w:val="16"/>
        </w:rPr>
        <w:t>como</w:t>
      </w:r>
      <w:r>
        <w:rPr>
          <w:spacing w:val="-13"/>
          <w:sz w:val="16"/>
        </w:rPr>
        <w:t> </w:t>
      </w:r>
      <w:r>
        <w:rPr>
          <w:sz w:val="16"/>
        </w:rPr>
        <w:t>auditoría,</w:t>
      </w:r>
      <w:r>
        <w:rPr>
          <w:spacing w:val="-11"/>
          <w:sz w:val="16"/>
        </w:rPr>
        <w:t> </w:t>
      </w:r>
      <w:r>
        <w:rPr>
          <w:sz w:val="16"/>
        </w:rPr>
        <w:t>supervisión,</w:t>
      </w:r>
      <w:r>
        <w:rPr>
          <w:spacing w:val="-11"/>
          <w:sz w:val="16"/>
        </w:rPr>
        <w:t> </w:t>
      </w:r>
      <w:r>
        <w:rPr>
          <w:sz w:val="16"/>
        </w:rPr>
        <w:t>vigilancia, y fiscalización superior, como</w:t>
      </w:r>
      <w:r>
        <w:rPr>
          <w:spacing w:val="-16"/>
          <w:sz w:val="16"/>
        </w:rPr>
        <w:t> </w:t>
      </w:r>
      <w:r>
        <w:rPr>
          <w:sz w:val="16"/>
        </w:rPr>
        <w:t>sinónimos.</w:t>
      </w:r>
    </w:p>
    <w:p>
      <w:pPr>
        <w:spacing w:line="252" w:lineRule="auto" w:before="0"/>
        <w:ind w:left="122" w:right="117" w:firstLine="0"/>
        <w:jc w:val="both"/>
        <w:rPr>
          <w:sz w:val="16"/>
        </w:rPr>
      </w:pPr>
      <w:r>
        <w:rPr>
          <w:rFonts w:ascii="Calibri" w:hAnsi="Calibri"/>
          <w:position w:val="8"/>
          <w:sz w:val="14"/>
        </w:rPr>
        <w:t>77</w:t>
      </w:r>
      <w:r>
        <w:rPr>
          <w:rFonts w:ascii="Calibri" w:hAnsi="Calibri"/>
          <w:spacing w:val="8"/>
          <w:position w:val="8"/>
          <w:sz w:val="14"/>
        </w:rPr>
        <w:t> </w:t>
      </w:r>
      <w:r>
        <w:rPr>
          <w:sz w:val="16"/>
        </w:rPr>
        <w:t>De</w:t>
      </w:r>
      <w:r>
        <w:rPr>
          <w:spacing w:val="-4"/>
          <w:sz w:val="16"/>
        </w:rPr>
        <w:t> </w:t>
      </w:r>
      <w:r>
        <w:rPr>
          <w:sz w:val="16"/>
        </w:rPr>
        <w:t>acuerdo</w:t>
      </w:r>
      <w:r>
        <w:rPr>
          <w:spacing w:val="-4"/>
          <w:sz w:val="16"/>
        </w:rPr>
        <w:t> </w:t>
      </w:r>
      <w:r>
        <w:rPr>
          <w:sz w:val="16"/>
        </w:rPr>
        <w:t>con</w:t>
      </w:r>
      <w:r>
        <w:rPr>
          <w:spacing w:val="-6"/>
          <w:sz w:val="16"/>
        </w:rPr>
        <w:t> </w:t>
      </w:r>
      <w:r>
        <w:rPr>
          <w:sz w:val="16"/>
        </w:rPr>
        <w:t>Schedler</w:t>
      </w:r>
      <w:r>
        <w:rPr>
          <w:spacing w:val="-4"/>
          <w:sz w:val="16"/>
        </w:rPr>
        <w:t> </w:t>
      </w:r>
      <w:r>
        <w:rPr>
          <w:sz w:val="16"/>
        </w:rPr>
        <w:t>(2004),</w:t>
      </w:r>
      <w:r>
        <w:rPr>
          <w:spacing w:val="-5"/>
          <w:sz w:val="16"/>
        </w:rPr>
        <w:t> </w:t>
      </w:r>
      <w:r>
        <w:rPr>
          <w:sz w:val="16"/>
        </w:rPr>
        <w:t>el</w:t>
      </w:r>
      <w:r>
        <w:rPr>
          <w:spacing w:val="-3"/>
          <w:sz w:val="16"/>
        </w:rPr>
        <w:t> </w:t>
      </w:r>
      <w:r>
        <w:rPr>
          <w:sz w:val="16"/>
        </w:rPr>
        <w:t>concepto</w:t>
      </w:r>
      <w:r>
        <w:rPr>
          <w:spacing w:val="-7"/>
          <w:sz w:val="16"/>
        </w:rPr>
        <w:t> </w:t>
      </w:r>
      <w:r>
        <w:rPr>
          <w:sz w:val="16"/>
        </w:rPr>
        <w:t>clave</w:t>
      </w:r>
      <w:r>
        <w:rPr>
          <w:spacing w:val="-3"/>
          <w:sz w:val="16"/>
        </w:rPr>
        <w:t> </w:t>
      </w:r>
      <w:r>
        <w:rPr>
          <w:i/>
          <w:sz w:val="16"/>
        </w:rPr>
        <w:t>accountability</w:t>
      </w:r>
      <w:r>
        <w:rPr>
          <w:sz w:val="16"/>
        </w:rPr>
        <w:t>,</w:t>
      </w:r>
      <w:r>
        <w:rPr>
          <w:spacing w:val="-5"/>
          <w:sz w:val="16"/>
        </w:rPr>
        <w:t> </w:t>
      </w:r>
      <w:r>
        <w:rPr>
          <w:sz w:val="16"/>
        </w:rPr>
        <w:t>como</w:t>
      </w:r>
      <w:r>
        <w:rPr>
          <w:spacing w:val="-7"/>
          <w:sz w:val="16"/>
        </w:rPr>
        <w:t> </w:t>
      </w:r>
      <w:r>
        <w:rPr>
          <w:sz w:val="16"/>
        </w:rPr>
        <w:t>otros</w:t>
      </w:r>
      <w:r>
        <w:rPr>
          <w:spacing w:val="-5"/>
          <w:sz w:val="16"/>
        </w:rPr>
        <w:t> </w:t>
      </w:r>
      <w:r>
        <w:rPr>
          <w:sz w:val="16"/>
        </w:rPr>
        <w:t>conceptos</w:t>
      </w:r>
      <w:r>
        <w:rPr>
          <w:spacing w:val="-3"/>
          <w:sz w:val="16"/>
        </w:rPr>
        <w:t> </w:t>
      </w:r>
      <w:r>
        <w:rPr>
          <w:sz w:val="16"/>
        </w:rPr>
        <w:t>políticos</w:t>
      </w:r>
      <w:r>
        <w:rPr>
          <w:spacing w:val="-5"/>
          <w:sz w:val="16"/>
        </w:rPr>
        <w:t> </w:t>
      </w:r>
      <w:r>
        <w:rPr>
          <w:sz w:val="16"/>
        </w:rPr>
        <w:t>en</w:t>
      </w:r>
      <w:r>
        <w:rPr>
          <w:spacing w:val="-4"/>
          <w:sz w:val="16"/>
        </w:rPr>
        <w:t> </w:t>
      </w:r>
      <w:r>
        <w:rPr>
          <w:sz w:val="16"/>
        </w:rPr>
        <w:t>inglés,</w:t>
      </w:r>
      <w:r>
        <w:rPr>
          <w:spacing w:val="-5"/>
          <w:sz w:val="16"/>
        </w:rPr>
        <w:t> </w:t>
      </w:r>
      <w:r>
        <w:rPr>
          <w:sz w:val="16"/>
        </w:rPr>
        <w:t>se</w:t>
      </w:r>
      <w:r>
        <w:rPr>
          <w:spacing w:val="-7"/>
          <w:sz w:val="16"/>
        </w:rPr>
        <w:t> </w:t>
      </w:r>
      <w:r>
        <w:rPr>
          <w:sz w:val="16"/>
        </w:rPr>
        <w:t>trata</w:t>
      </w:r>
      <w:r>
        <w:rPr>
          <w:spacing w:val="-4"/>
          <w:sz w:val="16"/>
        </w:rPr>
        <w:t> </w:t>
      </w:r>
      <w:r>
        <w:rPr>
          <w:sz w:val="16"/>
        </w:rPr>
        <w:t>de</w:t>
      </w:r>
      <w:r>
        <w:rPr>
          <w:spacing w:val="-4"/>
          <w:sz w:val="16"/>
        </w:rPr>
        <w:t> </w:t>
      </w:r>
      <w:r>
        <w:rPr>
          <w:sz w:val="16"/>
        </w:rPr>
        <w:t>un término</w:t>
      </w:r>
      <w:r>
        <w:rPr>
          <w:spacing w:val="-8"/>
          <w:sz w:val="16"/>
        </w:rPr>
        <w:t> </w:t>
      </w:r>
      <w:r>
        <w:rPr>
          <w:sz w:val="16"/>
        </w:rPr>
        <w:t>que</w:t>
      </w:r>
      <w:r>
        <w:rPr>
          <w:spacing w:val="-8"/>
          <w:sz w:val="16"/>
        </w:rPr>
        <w:t> </w:t>
      </w:r>
      <w:r>
        <w:rPr>
          <w:sz w:val="16"/>
        </w:rPr>
        <w:t>no</w:t>
      </w:r>
      <w:r>
        <w:rPr>
          <w:spacing w:val="-9"/>
          <w:sz w:val="16"/>
        </w:rPr>
        <w:t> </w:t>
      </w:r>
      <w:r>
        <w:rPr>
          <w:sz w:val="16"/>
        </w:rPr>
        <w:t>tiene</w:t>
      </w:r>
      <w:r>
        <w:rPr>
          <w:spacing w:val="-9"/>
          <w:sz w:val="16"/>
        </w:rPr>
        <w:t> </w:t>
      </w:r>
      <w:r>
        <w:rPr>
          <w:sz w:val="16"/>
        </w:rPr>
        <w:t>un</w:t>
      </w:r>
      <w:r>
        <w:rPr>
          <w:spacing w:val="-8"/>
          <w:sz w:val="16"/>
        </w:rPr>
        <w:t> </w:t>
      </w:r>
      <w:r>
        <w:rPr>
          <w:sz w:val="16"/>
        </w:rPr>
        <w:t>equivalente</w:t>
      </w:r>
      <w:r>
        <w:rPr>
          <w:spacing w:val="-8"/>
          <w:sz w:val="16"/>
        </w:rPr>
        <w:t> </w:t>
      </w:r>
      <w:r>
        <w:rPr>
          <w:sz w:val="16"/>
        </w:rPr>
        <w:t>preciso</w:t>
      </w:r>
      <w:r>
        <w:rPr>
          <w:spacing w:val="-8"/>
          <w:sz w:val="16"/>
        </w:rPr>
        <w:t> </w:t>
      </w:r>
      <w:r>
        <w:rPr>
          <w:sz w:val="16"/>
        </w:rPr>
        <w:t>en</w:t>
      </w:r>
      <w:r>
        <w:rPr>
          <w:spacing w:val="-9"/>
          <w:sz w:val="16"/>
        </w:rPr>
        <w:t> </w:t>
      </w:r>
      <w:r>
        <w:rPr>
          <w:sz w:val="16"/>
        </w:rPr>
        <w:t>castellano.</w:t>
      </w:r>
      <w:r>
        <w:rPr>
          <w:spacing w:val="-8"/>
          <w:sz w:val="16"/>
        </w:rPr>
        <w:t> </w:t>
      </w:r>
      <w:r>
        <w:rPr>
          <w:sz w:val="16"/>
        </w:rPr>
        <w:t>A</w:t>
      </w:r>
      <w:r>
        <w:rPr>
          <w:spacing w:val="-6"/>
          <w:sz w:val="16"/>
        </w:rPr>
        <w:t> </w:t>
      </w:r>
      <w:r>
        <w:rPr>
          <w:sz w:val="16"/>
        </w:rPr>
        <w:t>veces</w:t>
      </w:r>
      <w:r>
        <w:rPr>
          <w:spacing w:val="-8"/>
          <w:sz w:val="16"/>
        </w:rPr>
        <w:t> </w:t>
      </w:r>
      <w:r>
        <w:rPr>
          <w:sz w:val="16"/>
        </w:rPr>
        <w:t>se</w:t>
      </w:r>
      <w:r>
        <w:rPr>
          <w:spacing w:val="-8"/>
          <w:sz w:val="16"/>
        </w:rPr>
        <w:t> </w:t>
      </w:r>
      <w:r>
        <w:rPr>
          <w:sz w:val="16"/>
        </w:rPr>
        <w:t>traduce</w:t>
      </w:r>
      <w:r>
        <w:rPr>
          <w:spacing w:val="-9"/>
          <w:sz w:val="16"/>
        </w:rPr>
        <w:t> </w:t>
      </w:r>
      <w:r>
        <w:rPr>
          <w:sz w:val="16"/>
        </w:rPr>
        <w:t>como</w:t>
      </w:r>
      <w:r>
        <w:rPr>
          <w:spacing w:val="-12"/>
          <w:sz w:val="16"/>
        </w:rPr>
        <w:t> </w:t>
      </w:r>
      <w:r>
        <w:rPr>
          <w:sz w:val="16"/>
        </w:rPr>
        <w:t>control,</w:t>
      </w:r>
      <w:r>
        <w:rPr>
          <w:spacing w:val="-8"/>
          <w:sz w:val="16"/>
        </w:rPr>
        <w:t> </w:t>
      </w:r>
      <w:r>
        <w:rPr>
          <w:sz w:val="16"/>
        </w:rPr>
        <w:t>a</w:t>
      </w:r>
      <w:r>
        <w:rPr>
          <w:spacing w:val="-8"/>
          <w:sz w:val="16"/>
        </w:rPr>
        <w:t> </w:t>
      </w:r>
      <w:r>
        <w:rPr>
          <w:sz w:val="16"/>
        </w:rPr>
        <w:t>veces</w:t>
      </w:r>
      <w:r>
        <w:rPr>
          <w:spacing w:val="-8"/>
          <w:sz w:val="16"/>
        </w:rPr>
        <w:t> </w:t>
      </w:r>
      <w:r>
        <w:rPr>
          <w:sz w:val="16"/>
        </w:rPr>
        <w:t>como</w:t>
      </w:r>
      <w:r>
        <w:rPr>
          <w:spacing w:val="-9"/>
          <w:sz w:val="16"/>
        </w:rPr>
        <w:t> </w:t>
      </w:r>
      <w:r>
        <w:rPr>
          <w:sz w:val="16"/>
        </w:rPr>
        <w:t>fiscalización,</w:t>
      </w:r>
      <w:r>
        <w:rPr>
          <w:spacing w:val="-6"/>
          <w:sz w:val="16"/>
        </w:rPr>
        <w:t> </w:t>
      </w:r>
      <w:r>
        <w:rPr>
          <w:sz w:val="16"/>
        </w:rPr>
        <w:t>otras como responsabilidad. La traducción más común y la más cercana es la rendición de cuentas. Los pilares de la rendición de cuentas</w:t>
      </w:r>
      <w:r>
        <w:rPr>
          <w:spacing w:val="-6"/>
          <w:sz w:val="16"/>
        </w:rPr>
        <w:t> </w:t>
      </w:r>
      <w:r>
        <w:rPr>
          <w:sz w:val="16"/>
        </w:rPr>
        <w:t>son</w:t>
      </w:r>
      <w:r>
        <w:rPr>
          <w:spacing w:val="-4"/>
          <w:sz w:val="16"/>
        </w:rPr>
        <w:t> </w:t>
      </w:r>
      <w:r>
        <w:rPr>
          <w:sz w:val="16"/>
        </w:rPr>
        <w:t>la</w:t>
      </w:r>
      <w:r>
        <w:rPr>
          <w:spacing w:val="-5"/>
          <w:sz w:val="16"/>
        </w:rPr>
        <w:t> </w:t>
      </w:r>
      <w:r>
        <w:rPr>
          <w:sz w:val="16"/>
        </w:rPr>
        <w:t>información</w:t>
      </w:r>
      <w:r>
        <w:rPr>
          <w:spacing w:val="-4"/>
          <w:sz w:val="16"/>
        </w:rPr>
        <w:t> </w:t>
      </w:r>
      <w:r>
        <w:rPr>
          <w:sz w:val="16"/>
        </w:rPr>
        <w:t>(</w:t>
      </w:r>
      <w:r>
        <w:rPr>
          <w:i/>
          <w:sz w:val="16"/>
        </w:rPr>
        <w:t>accountability</w:t>
      </w:r>
      <w:r>
        <w:rPr>
          <w:sz w:val="16"/>
        </w:rPr>
        <w:t>),</w:t>
      </w:r>
      <w:r>
        <w:rPr>
          <w:spacing w:val="-4"/>
          <w:sz w:val="16"/>
        </w:rPr>
        <w:t> </w:t>
      </w:r>
      <w:r>
        <w:rPr>
          <w:sz w:val="16"/>
        </w:rPr>
        <w:t>la</w:t>
      </w:r>
      <w:r>
        <w:rPr>
          <w:spacing w:val="-4"/>
          <w:sz w:val="16"/>
        </w:rPr>
        <w:t> </w:t>
      </w:r>
      <w:r>
        <w:rPr>
          <w:sz w:val="16"/>
        </w:rPr>
        <w:t>justificación</w:t>
      </w:r>
      <w:r>
        <w:rPr>
          <w:spacing w:val="-4"/>
          <w:sz w:val="16"/>
        </w:rPr>
        <w:t> </w:t>
      </w:r>
      <w:r>
        <w:rPr>
          <w:sz w:val="16"/>
        </w:rPr>
        <w:t>(</w:t>
      </w:r>
      <w:r>
        <w:rPr>
          <w:i/>
          <w:sz w:val="16"/>
        </w:rPr>
        <w:t>answerability</w:t>
      </w:r>
      <w:r>
        <w:rPr>
          <w:sz w:val="16"/>
        </w:rPr>
        <w:t>)</w:t>
      </w:r>
      <w:r>
        <w:rPr>
          <w:spacing w:val="-4"/>
          <w:sz w:val="16"/>
        </w:rPr>
        <w:t> </w:t>
      </w:r>
      <w:r>
        <w:rPr>
          <w:sz w:val="16"/>
        </w:rPr>
        <w:t>y</w:t>
      </w:r>
      <w:r>
        <w:rPr>
          <w:spacing w:val="-4"/>
          <w:sz w:val="16"/>
        </w:rPr>
        <w:t> </w:t>
      </w:r>
      <w:r>
        <w:rPr>
          <w:sz w:val="16"/>
        </w:rPr>
        <w:t>la</w:t>
      </w:r>
      <w:r>
        <w:rPr>
          <w:spacing w:val="-5"/>
          <w:sz w:val="16"/>
        </w:rPr>
        <w:t> </w:t>
      </w:r>
      <w:r>
        <w:rPr>
          <w:sz w:val="16"/>
        </w:rPr>
        <w:t>sanción</w:t>
      </w:r>
      <w:r>
        <w:rPr>
          <w:spacing w:val="-4"/>
          <w:sz w:val="16"/>
        </w:rPr>
        <w:t> </w:t>
      </w:r>
      <w:r>
        <w:rPr>
          <w:sz w:val="16"/>
        </w:rPr>
        <w:t>(</w:t>
      </w:r>
      <w:r>
        <w:rPr>
          <w:i/>
          <w:sz w:val="16"/>
        </w:rPr>
        <w:t>enforcement</w:t>
      </w:r>
      <w:r>
        <w:rPr>
          <w:sz w:val="16"/>
        </w:rPr>
        <w:t>).</w:t>
      </w:r>
    </w:p>
    <w:p>
      <w:pPr>
        <w:spacing w:line="173" w:lineRule="exact" w:before="0"/>
        <w:ind w:left="122" w:right="0" w:firstLine="0"/>
        <w:jc w:val="both"/>
        <w:rPr>
          <w:sz w:val="16"/>
        </w:rPr>
      </w:pPr>
      <w:r>
        <w:rPr>
          <w:sz w:val="16"/>
        </w:rPr>
        <w:t>El Banco Mundial considera la rendición de cuentas como una relación triangular entre la gente pobre, los proveedores   de</w:t>
      </w:r>
    </w:p>
    <w:p>
      <w:pPr>
        <w:spacing w:before="1"/>
        <w:ind w:left="122" w:right="0" w:firstLine="0"/>
        <w:jc w:val="both"/>
        <w:rPr>
          <w:sz w:val="16"/>
        </w:rPr>
      </w:pPr>
      <w:r>
        <w:rPr>
          <w:sz w:val="16"/>
        </w:rPr>
        <w:t>servicios de primera línea y los autores de las políticas. UNESCO/Instituto Internacional para la Planeación de la Educación.</w:t>
      </w:r>
    </w:p>
    <w:p>
      <w:pPr>
        <w:spacing w:after="0"/>
        <w:jc w:val="both"/>
        <w:rPr>
          <w:sz w:val="16"/>
        </w:rPr>
        <w:sectPr>
          <w:footerReference w:type="even" r:id="rId155"/>
          <w:footerReference w:type="default" r:id="rId156"/>
          <w:pgSz w:w="12240" w:h="15840"/>
          <w:pgMar w:footer="1003" w:header="0" w:top="1360" w:bottom="1200" w:left="1580" w:right="1580"/>
          <w:pgNumType w:start="100"/>
        </w:sectPr>
      </w:pPr>
    </w:p>
    <w:p>
      <w:pPr>
        <w:pStyle w:val="ListParagraph"/>
        <w:numPr>
          <w:ilvl w:val="2"/>
          <w:numId w:val="48"/>
        </w:numPr>
        <w:tabs>
          <w:tab w:pos="842" w:val="left" w:leader="none"/>
        </w:tabs>
        <w:spacing w:line="357" w:lineRule="auto" w:before="54" w:after="0"/>
        <w:ind w:left="842" w:right="124" w:hanging="360"/>
        <w:jc w:val="left"/>
        <w:rPr>
          <w:sz w:val="16"/>
        </w:rPr>
      </w:pPr>
      <w:r>
        <w:rPr>
          <w:sz w:val="24"/>
        </w:rPr>
        <w:t>Horizontal, cuando los gobernantes responden ante las instituciones del mismo</w:t>
      </w:r>
      <w:r>
        <w:rPr>
          <w:spacing w:val="-8"/>
          <w:sz w:val="24"/>
        </w:rPr>
        <w:t> </w:t>
      </w:r>
      <w:r>
        <w:rPr>
          <w:sz w:val="24"/>
        </w:rPr>
        <w:t>Estado.</w:t>
      </w:r>
      <w:r>
        <w:rPr>
          <w:position w:val="8"/>
          <w:sz w:val="16"/>
        </w:rPr>
        <w:t>78</w:t>
      </w:r>
    </w:p>
    <w:p>
      <w:pPr>
        <w:pStyle w:val="BodyText"/>
        <w:spacing w:before="2"/>
        <w:rPr>
          <w:sz w:val="36"/>
        </w:rPr>
      </w:pPr>
    </w:p>
    <w:p>
      <w:pPr>
        <w:pStyle w:val="BodyText"/>
        <w:spacing w:line="360" w:lineRule="auto" w:before="1"/>
        <w:ind w:left="122" w:right="123" w:firstLine="427"/>
        <w:jc w:val="both"/>
      </w:pPr>
      <w:r>
        <w:rPr/>
        <w:t>El</w:t>
      </w:r>
      <w:r>
        <w:rPr>
          <w:spacing w:val="-13"/>
        </w:rPr>
        <w:t> </w:t>
      </w:r>
      <w:r>
        <w:rPr/>
        <w:t>antecedente</w:t>
      </w:r>
      <w:r>
        <w:rPr>
          <w:spacing w:val="-14"/>
        </w:rPr>
        <w:t> </w:t>
      </w:r>
      <w:r>
        <w:rPr/>
        <w:t>de</w:t>
      </w:r>
      <w:r>
        <w:rPr>
          <w:spacing w:val="-14"/>
        </w:rPr>
        <w:t> </w:t>
      </w:r>
      <w:r>
        <w:rPr/>
        <w:t>la</w:t>
      </w:r>
      <w:r>
        <w:rPr>
          <w:spacing w:val="-12"/>
        </w:rPr>
        <w:t> </w:t>
      </w:r>
      <w:r>
        <w:rPr/>
        <w:t>rendición</w:t>
      </w:r>
      <w:r>
        <w:rPr>
          <w:spacing w:val="-14"/>
        </w:rPr>
        <w:t> </w:t>
      </w:r>
      <w:r>
        <w:rPr/>
        <w:t>horizontal</w:t>
      </w:r>
      <w:r>
        <w:rPr>
          <w:spacing w:val="-13"/>
        </w:rPr>
        <w:t> </w:t>
      </w:r>
      <w:r>
        <w:rPr/>
        <w:t>y</w:t>
      </w:r>
      <w:r>
        <w:rPr>
          <w:spacing w:val="-15"/>
        </w:rPr>
        <w:t> </w:t>
      </w:r>
      <w:r>
        <w:rPr/>
        <w:t>vertical</w:t>
      </w:r>
      <w:r>
        <w:rPr>
          <w:spacing w:val="-15"/>
        </w:rPr>
        <w:t> </w:t>
      </w:r>
      <w:r>
        <w:rPr/>
        <w:t>fue</w:t>
      </w:r>
      <w:r>
        <w:rPr>
          <w:spacing w:val="-12"/>
        </w:rPr>
        <w:t> </w:t>
      </w:r>
      <w:r>
        <w:rPr/>
        <w:t>presentado</w:t>
      </w:r>
      <w:r>
        <w:rPr>
          <w:spacing w:val="-14"/>
        </w:rPr>
        <w:t> </w:t>
      </w:r>
      <w:r>
        <w:rPr/>
        <w:t>por</w:t>
      </w:r>
      <w:r>
        <w:rPr>
          <w:spacing w:val="-13"/>
        </w:rPr>
        <w:t> </w:t>
      </w:r>
      <w:r>
        <w:rPr/>
        <w:t>Guillermo O´Donnell y Richard Sklar, quienes consideraron que éstas se refieren a la capacidad</w:t>
      </w:r>
      <w:r>
        <w:rPr>
          <w:spacing w:val="-6"/>
        </w:rPr>
        <w:t> </w:t>
      </w:r>
      <w:r>
        <w:rPr/>
        <w:t>de</w:t>
      </w:r>
      <w:r>
        <w:rPr>
          <w:spacing w:val="-6"/>
        </w:rPr>
        <w:t> </w:t>
      </w:r>
      <w:r>
        <w:rPr/>
        <w:t>las</w:t>
      </w:r>
      <w:r>
        <w:rPr>
          <w:spacing w:val="-4"/>
        </w:rPr>
        <w:t> </w:t>
      </w:r>
      <w:r>
        <w:rPr/>
        <w:t>instituciones</w:t>
      </w:r>
      <w:r>
        <w:rPr>
          <w:spacing w:val="-7"/>
        </w:rPr>
        <w:t> </w:t>
      </w:r>
      <w:r>
        <w:rPr/>
        <w:t>del</w:t>
      </w:r>
      <w:r>
        <w:rPr>
          <w:spacing w:val="-7"/>
        </w:rPr>
        <w:t> </w:t>
      </w:r>
      <w:r>
        <w:rPr/>
        <w:t>Estado</w:t>
      </w:r>
      <w:r>
        <w:rPr>
          <w:spacing w:val="-6"/>
        </w:rPr>
        <w:t> </w:t>
      </w:r>
      <w:r>
        <w:rPr/>
        <w:t>para</w:t>
      </w:r>
      <w:r>
        <w:rPr>
          <w:spacing w:val="-4"/>
        </w:rPr>
        <w:t> </w:t>
      </w:r>
      <w:r>
        <w:rPr/>
        <w:t>controlar</w:t>
      </w:r>
      <w:r>
        <w:rPr>
          <w:spacing w:val="-5"/>
        </w:rPr>
        <w:t> </w:t>
      </w:r>
      <w:r>
        <w:rPr/>
        <w:t>(tanto</w:t>
      </w:r>
      <w:r>
        <w:rPr>
          <w:spacing w:val="-5"/>
        </w:rPr>
        <w:t> </w:t>
      </w:r>
      <w:r>
        <w:rPr/>
        <w:t>por</w:t>
      </w:r>
      <w:r>
        <w:rPr>
          <w:spacing w:val="-7"/>
        </w:rPr>
        <w:t> </w:t>
      </w:r>
      <w:r>
        <w:rPr/>
        <w:t>el</w:t>
      </w:r>
      <w:r>
        <w:rPr>
          <w:spacing w:val="-5"/>
        </w:rPr>
        <w:t> </w:t>
      </w:r>
      <w:r>
        <w:rPr/>
        <w:t>mismo</w:t>
      </w:r>
      <w:r>
        <w:rPr>
          <w:spacing w:val="-4"/>
        </w:rPr>
        <w:t> </w:t>
      </w:r>
      <w:r>
        <w:rPr/>
        <w:t>Estado como por la ciudadanía) los abusos de otras entidades públicas y divisiones del gobierno.</w:t>
      </w:r>
    </w:p>
    <w:p>
      <w:pPr>
        <w:pStyle w:val="BodyText"/>
        <w:spacing w:line="360" w:lineRule="auto"/>
        <w:ind w:left="122" w:right="122" w:firstLine="427"/>
        <w:jc w:val="both"/>
      </w:pPr>
      <w:r>
        <w:rPr/>
        <w:t>La rendición de cuentas</w:t>
      </w:r>
      <w:r>
        <w:rPr>
          <w:position w:val="8"/>
          <w:sz w:val="16"/>
        </w:rPr>
        <w:t>79 </w:t>
      </w:r>
      <w:r>
        <w:rPr/>
        <w:t>horizontal complementa a la vertical y se refiere a la obligación de rendir cuentas a los ciudadanos, la prensa y las asociaciones civiles, que</w:t>
      </w:r>
      <w:r>
        <w:rPr>
          <w:spacing w:val="-17"/>
        </w:rPr>
        <w:t> </w:t>
      </w:r>
      <w:r>
        <w:rPr/>
        <w:t>buscan</w:t>
      </w:r>
      <w:r>
        <w:rPr>
          <w:spacing w:val="-17"/>
        </w:rPr>
        <w:t> </w:t>
      </w:r>
      <w:r>
        <w:rPr/>
        <w:t>hacer</w:t>
      </w:r>
      <w:r>
        <w:rPr>
          <w:spacing w:val="-18"/>
        </w:rPr>
        <w:t> </w:t>
      </w:r>
      <w:r>
        <w:rPr/>
        <w:t>cumplir</w:t>
      </w:r>
      <w:r>
        <w:rPr>
          <w:spacing w:val="-18"/>
        </w:rPr>
        <w:t> </w:t>
      </w:r>
      <w:r>
        <w:rPr/>
        <w:t>estándares</w:t>
      </w:r>
      <w:r>
        <w:rPr>
          <w:spacing w:val="-17"/>
        </w:rPr>
        <w:t> </w:t>
      </w:r>
      <w:r>
        <w:rPr/>
        <w:t>de</w:t>
      </w:r>
      <w:r>
        <w:rPr>
          <w:spacing w:val="-17"/>
        </w:rPr>
        <w:t> </w:t>
      </w:r>
      <w:r>
        <w:rPr/>
        <w:t>buena</w:t>
      </w:r>
      <w:r>
        <w:rPr>
          <w:spacing w:val="-17"/>
        </w:rPr>
        <w:t> </w:t>
      </w:r>
      <w:r>
        <w:rPr/>
        <w:t>conducta</w:t>
      </w:r>
      <w:r>
        <w:rPr>
          <w:spacing w:val="-16"/>
        </w:rPr>
        <w:t> </w:t>
      </w:r>
      <w:r>
        <w:rPr/>
        <w:t>a</w:t>
      </w:r>
      <w:r>
        <w:rPr>
          <w:spacing w:val="-17"/>
        </w:rPr>
        <w:t> </w:t>
      </w:r>
      <w:r>
        <w:rPr/>
        <w:t>los</w:t>
      </w:r>
      <w:r>
        <w:rPr>
          <w:spacing w:val="-20"/>
        </w:rPr>
        <w:t> </w:t>
      </w:r>
      <w:r>
        <w:rPr/>
        <w:t>funcionarios</w:t>
      </w:r>
      <w:r>
        <w:rPr>
          <w:spacing w:val="-17"/>
        </w:rPr>
        <w:t> </w:t>
      </w:r>
      <w:r>
        <w:rPr/>
        <w:t>públicos (Ugalde, 2002b:</w:t>
      </w:r>
      <w:r>
        <w:rPr>
          <w:spacing w:val="-11"/>
        </w:rPr>
        <w:t> </w:t>
      </w:r>
      <w:r>
        <w:rPr/>
        <w:t>27-33).</w:t>
      </w:r>
    </w:p>
    <w:p>
      <w:pPr>
        <w:pStyle w:val="BodyText"/>
      </w:pPr>
    </w:p>
    <w:p>
      <w:pPr>
        <w:pStyle w:val="BodyText"/>
        <w:spacing w:line="360" w:lineRule="auto" w:before="142"/>
        <w:ind w:left="122" w:right="117" w:firstLine="427"/>
        <w:jc w:val="both"/>
      </w:pPr>
      <w:r>
        <w:rPr/>
        <w:t>La</w:t>
      </w:r>
      <w:r>
        <w:rPr>
          <w:spacing w:val="-8"/>
        </w:rPr>
        <w:t> </w:t>
      </w:r>
      <w:r>
        <w:rPr/>
        <w:t>rendición</w:t>
      </w:r>
      <w:r>
        <w:rPr>
          <w:spacing w:val="-8"/>
        </w:rPr>
        <w:t> </w:t>
      </w:r>
      <w:r>
        <w:rPr/>
        <w:t>de</w:t>
      </w:r>
      <w:r>
        <w:rPr>
          <w:spacing w:val="-8"/>
        </w:rPr>
        <w:t> </w:t>
      </w:r>
      <w:r>
        <w:rPr/>
        <w:t>cuentas</w:t>
      </w:r>
      <w:r>
        <w:rPr>
          <w:spacing w:val="-9"/>
        </w:rPr>
        <w:t> </w:t>
      </w:r>
      <w:r>
        <w:rPr/>
        <w:t>se</w:t>
      </w:r>
      <w:r>
        <w:rPr>
          <w:spacing w:val="-9"/>
        </w:rPr>
        <w:t> </w:t>
      </w:r>
      <w:r>
        <w:rPr/>
        <w:t>basa</w:t>
      </w:r>
      <w:r>
        <w:rPr>
          <w:spacing w:val="-9"/>
        </w:rPr>
        <w:t> </w:t>
      </w:r>
      <w:r>
        <w:rPr/>
        <w:t>en</w:t>
      </w:r>
      <w:r>
        <w:rPr>
          <w:spacing w:val="-9"/>
        </w:rPr>
        <w:t> </w:t>
      </w:r>
      <w:r>
        <w:rPr/>
        <w:t>la</w:t>
      </w:r>
      <w:r>
        <w:rPr>
          <w:spacing w:val="-8"/>
        </w:rPr>
        <w:t> </w:t>
      </w:r>
      <w:r>
        <w:rPr/>
        <w:t>voluntad</w:t>
      </w:r>
      <w:r>
        <w:rPr>
          <w:spacing w:val="-8"/>
        </w:rPr>
        <w:t> </w:t>
      </w:r>
      <w:r>
        <w:rPr/>
        <w:t>política</w:t>
      </w:r>
      <w:r>
        <w:rPr>
          <w:spacing w:val="-8"/>
        </w:rPr>
        <w:t> </w:t>
      </w:r>
      <w:r>
        <w:rPr/>
        <w:t>del</w:t>
      </w:r>
      <w:r>
        <w:rPr>
          <w:spacing w:val="-11"/>
        </w:rPr>
        <w:t> </w:t>
      </w:r>
      <w:r>
        <w:rPr/>
        <w:t>Estado,</w:t>
      </w:r>
      <w:r>
        <w:rPr>
          <w:spacing w:val="-8"/>
        </w:rPr>
        <w:t> </w:t>
      </w:r>
      <w:r>
        <w:rPr/>
        <w:t>quien</w:t>
      </w:r>
      <w:r>
        <w:rPr>
          <w:spacing w:val="-9"/>
        </w:rPr>
        <w:t> </w:t>
      </w:r>
      <w:r>
        <w:rPr/>
        <w:t>define los límites y alcances de la fiscalización superior. Esta voluntad se traduce en ordenamientos constitucionales y normativos. La importancia del diseño jurídico de las instituciones</w:t>
      </w:r>
      <w:r>
        <w:rPr>
          <w:position w:val="8"/>
          <w:sz w:val="16"/>
        </w:rPr>
        <w:t>80 </w:t>
      </w:r>
      <w:r>
        <w:rPr/>
        <w:t>públicas (organización, funciones y límites) es relevante en el sistema de rendición de cuentas de cualquier Estado democrático que pretenda convertirse en un Estado de</w:t>
      </w:r>
      <w:r>
        <w:rPr>
          <w:spacing w:val="-11"/>
        </w:rPr>
        <w:t> </w:t>
      </w:r>
      <w:r>
        <w:rPr/>
        <w:t>Derecho.</w:t>
      </w:r>
    </w:p>
    <w:p>
      <w:pPr>
        <w:pStyle w:val="BodyText"/>
      </w:pPr>
    </w:p>
    <w:p>
      <w:pPr>
        <w:pStyle w:val="BodyText"/>
        <w:spacing w:line="360" w:lineRule="auto" w:before="142"/>
        <w:ind w:left="122" w:right="116" w:firstLine="427"/>
        <w:jc w:val="both"/>
      </w:pPr>
      <w:r>
        <w:rPr/>
        <w:t>El sistema de rendición de cuentas puede considerarse como el entramado político,</w:t>
      </w:r>
      <w:r>
        <w:rPr>
          <w:spacing w:val="-12"/>
        </w:rPr>
        <w:t> </w:t>
      </w:r>
      <w:r>
        <w:rPr/>
        <w:t>institucional</w:t>
      </w:r>
      <w:r>
        <w:rPr>
          <w:spacing w:val="-13"/>
        </w:rPr>
        <w:t> </w:t>
      </w:r>
      <w:r>
        <w:rPr/>
        <w:t>y</w:t>
      </w:r>
      <w:r>
        <w:rPr>
          <w:spacing w:val="-15"/>
        </w:rPr>
        <w:t> </w:t>
      </w:r>
      <w:r>
        <w:rPr/>
        <w:t>jurídico</w:t>
      </w:r>
      <w:r>
        <w:rPr>
          <w:spacing w:val="-12"/>
        </w:rPr>
        <w:t> </w:t>
      </w:r>
      <w:r>
        <w:rPr/>
        <w:t>del</w:t>
      </w:r>
      <w:r>
        <w:rPr>
          <w:spacing w:val="-15"/>
        </w:rPr>
        <w:t> </w:t>
      </w:r>
      <w:r>
        <w:rPr/>
        <w:t>Estado</w:t>
      </w:r>
      <w:r>
        <w:rPr>
          <w:spacing w:val="-14"/>
        </w:rPr>
        <w:t> </w:t>
      </w:r>
      <w:r>
        <w:rPr/>
        <w:t>para</w:t>
      </w:r>
      <w:r>
        <w:rPr>
          <w:spacing w:val="-15"/>
        </w:rPr>
        <w:t> </w:t>
      </w:r>
      <w:r>
        <w:rPr/>
        <w:t>obligar</w:t>
      </w:r>
      <w:r>
        <w:rPr>
          <w:spacing w:val="-13"/>
        </w:rPr>
        <w:t> </w:t>
      </w:r>
      <w:r>
        <w:rPr/>
        <w:t>a</w:t>
      </w:r>
      <w:r>
        <w:rPr>
          <w:spacing w:val="-14"/>
        </w:rPr>
        <w:t> </w:t>
      </w:r>
      <w:r>
        <w:rPr/>
        <w:t>los</w:t>
      </w:r>
      <w:r>
        <w:rPr>
          <w:spacing w:val="-14"/>
        </w:rPr>
        <w:t> </w:t>
      </w:r>
      <w:r>
        <w:rPr/>
        <w:t>gobernantes</w:t>
      </w:r>
      <w:r>
        <w:rPr>
          <w:spacing w:val="-15"/>
        </w:rPr>
        <w:t> </w:t>
      </w:r>
      <w:r>
        <w:rPr/>
        <w:t>a</w:t>
      </w:r>
      <w:r>
        <w:rPr>
          <w:spacing w:val="-14"/>
        </w:rPr>
        <w:t> </w:t>
      </w:r>
      <w:r>
        <w:rPr/>
        <w:t>presentar información, justificar sus actos y recibir sanciones por los actos indebidos u omisiones.</w:t>
      </w:r>
    </w:p>
    <w:p>
      <w:pPr>
        <w:pStyle w:val="BodyText"/>
        <w:spacing w:before="6"/>
        <w:rPr>
          <w:sz w:val="14"/>
        </w:rPr>
      </w:pPr>
      <w:r>
        <w:rPr/>
        <w:pict>
          <v:line style="position:absolute;mso-position-horizontal-relative:page;mso-position-vertical-relative:paragraph;z-index:8152;mso-wrap-distance-left:0;mso-wrap-distance-right:0" from="85.103996pt,10.673919pt" to="229.123996pt,10.673919pt" stroked="true" strokeweight=".71997pt" strokecolor="#000000">
            <w10:wrap type="topAndBottom"/>
          </v:line>
        </w:pict>
      </w:r>
    </w:p>
    <w:p>
      <w:pPr>
        <w:spacing w:line="256" w:lineRule="auto" w:before="63"/>
        <w:ind w:left="122" w:right="124" w:firstLine="0"/>
        <w:jc w:val="both"/>
        <w:rPr>
          <w:sz w:val="16"/>
        </w:rPr>
      </w:pPr>
      <w:r>
        <w:rPr>
          <w:rFonts w:ascii="Times New Roman" w:hAnsi="Times New Roman"/>
          <w:position w:val="7"/>
          <w:sz w:val="13"/>
        </w:rPr>
        <w:t>78</w:t>
      </w:r>
      <w:r>
        <w:rPr>
          <w:sz w:val="16"/>
        </w:rPr>
        <w:t>B. Guy Peters (1999: 453-462) mencionó que existe otro nivel de control político mediante las comisiones del congreso, autoridades ministeriales y la aprobación presupuestal, entre otros.</w:t>
      </w:r>
    </w:p>
    <w:p>
      <w:pPr>
        <w:spacing w:line="230" w:lineRule="exact" w:before="0"/>
        <w:ind w:left="122" w:right="0" w:firstLine="0"/>
        <w:jc w:val="both"/>
        <w:rPr>
          <w:sz w:val="16"/>
        </w:rPr>
      </w:pPr>
      <w:r>
        <w:rPr>
          <w:rFonts w:ascii="Calibri" w:hAnsi="Calibri"/>
          <w:position w:val="8"/>
          <w:sz w:val="14"/>
        </w:rPr>
        <w:t>79</w:t>
      </w:r>
      <w:r>
        <w:rPr>
          <w:sz w:val="16"/>
        </w:rPr>
        <w:t>La ASF considera que “uno de los instrumentos más valiosos de la democracia lo constituye la rendición de cuentas,</w:t>
      </w:r>
    </w:p>
    <w:p>
      <w:pPr>
        <w:spacing w:before="25"/>
        <w:ind w:left="122" w:right="122" w:firstLine="0"/>
        <w:jc w:val="both"/>
        <w:rPr>
          <w:sz w:val="16"/>
        </w:rPr>
      </w:pPr>
      <w:r>
        <w:rPr>
          <w:sz w:val="16"/>
        </w:rPr>
        <w:t>entendida como la obligación que tienen quienes ejercen el poder público de responsabilizarse del mandato conferido, de someterse a evaluaciones de su desempeño y de dar a conocer los resultados de las mismas a los ciudadanos. De esta manera se crean las condiciones propicias para cerrar el paso a la corrupción, la opacidad y la impunidad gubernamental, al hacer</w:t>
      </w:r>
      <w:r>
        <w:rPr>
          <w:spacing w:val="-13"/>
          <w:sz w:val="16"/>
        </w:rPr>
        <w:t> </w:t>
      </w:r>
      <w:r>
        <w:rPr>
          <w:sz w:val="16"/>
        </w:rPr>
        <w:t>posible</w:t>
      </w:r>
      <w:r>
        <w:rPr>
          <w:spacing w:val="-13"/>
          <w:sz w:val="16"/>
        </w:rPr>
        <w:t> </w:t>
      </w:r>
      <w:r>
        <w:rPr>
          <w:sz w:val="16"/>
        </w:rPr>
        <w:t>que:</w:t>
      </w:r>
      <w:r>
        <w:rPr>
          <w:spacing w:val="-10"/>
          <w:sz w:val="16"/>
        </w:rPr>
        <w:t> </w:t>
      </w:r>
      <w:r>
        <w:rPr>
          <w:sz w:val="16"/>
        </w:rPr>
        <w:t>Las</w:t>
      </w:r>
      <w:r>
        <w:rPr>
          <w:spacing w:val="-11"/>
          <w:sz w:val="16"/>
        </w:rPr>
        <w:t> </w:t>
      </w:r>
      <w:r>
        <w:rPr>
          <w:sz w:val="16"/>
        </w:rPr>
        <w:t>acciones</w:t>
      </w:r>
      <w:r>
        <w:rPr>
          <w:spacing w:val="-11"/>
          <w:sz w:val="16"/>
        </w:rPr>
        <w:t> </w:t>
      </w:r>
      <w:r>
        <w:rPr>
          <w:sz w:val="16"/>
        </w:rPr>
        <w:t>de</w:t>
      </w:r>
      <w:r>
        <w:rPr>
          <w:spacing w:val="-13"/>
          <w:sz w:val="16"/>
        </w:rPr>
        <w:t> </w:t>
      </w:r>
      <w:r>
        <w:rPr>
          <w:sz w:val="16"/>
        </w:rPr>
        <w:t>los</w:t>
      </w:r>
      <w:r>
        <w:rPr>
          <w:spacing w:val="-11"/>
          <w:sz w:val="16"/>
        </w:rPr>
        <w:t> </w:t>
      </w:r>
      <w:r>
        <w:rPr>
          <w:sz w:val="16"/>
        </w:rPr>
        <w:t>gobernantes</w:t>
      </w:r>
      <w:r>
        <w:rPr>
          <w:spacing w:val="-11"/>
          <w:sz w:val="16"/>
        </w:rPr>
        <w:t> </w:t>
      </w:r>
      <w:r>
        <w:rPr>
          <w:sz w:val="16"/>
        </w:rPr>
        <w:t>y</w:t>
      </w:r>
      <w:r>
        <w:rPr>
          <w:spacing w:val="-13"/>
          <w:sz w:val="16"/>
        </w:rPr>
        <w:t> </w:t>
      </w:r>
      <w:r>
        <w:rPr>
          <w:sz w:val="16"/>
        </w:rPr>
        <w:t>servidores</w:t>
      </w:r>
      <w:r>
        <w:rPr>
          <w:spacing w:val="-11"/>
          <w:sz w:val="16"/>
        </w:rPr>
        <w:t> </w:t>
      </w:r>
      <w:r>
        <w:rPr>
          <w:sz w:val="16"/>
        </w:rPr>
        <w:t>públicos</w:t>
      </w:r>
      <w:r>
        <w:rPr>
          <w:spacing w:val="-11"/>
          <w:sz w:val="16"/>
        </w:rPr>
        <w:t> </w:t>
      </w:r>
      <w:r>
        <w:rPr>
          <w:sz w:val="16"/>
        </w:rPr>
        <w:t>sean</w:t>
      </w:r>
      <w:r>
        <w:rPr>
          <w:spacing w:val="-15"/>
          <w:sz w:val="16"/>
        </w:rPr>
        <w:t> </w:t>
      </w:r>
      <w:r>
        <w:rPr>
          <w:sz w:val="16"/>
        </w:rPr>
        <w:t>controladas</w:t>
      </w:r>
      <w:r>
        <w:rPr>
          <w:spacing w:val="-11"/>
          <w:sz w:val="16"/>
        </w:rPr>
        <w:t> </w:t>
      </w:r>
      <w:r>
        <w:rPr>
          <w:sz w:val="16"/>
        </w:rPr>
        <w:t>al</w:t>
      </w:r>
      <w:r>
        <w:rPr>
          <w:spacing w:val="-12"/>
          <w:sz w:val="16"/>
        </w:rPr>
        <w:t> </w:t>
      </w:r>
      <w:r>
        <w:rPr>
          <w:sz w:val="16"/>
        </w:rPr>
        <w:t>someterlas</w:t>
      </w:r>
      <w:r>
        <w:rPr>
          <w:spacing w:val="-11"/>
          <w:sz w:val="16"/>
        </w:rPr>
        <w:t> </w:t>
      </w:r>
      <w:r>
        <w:rPr>
          <w:sz w:val="16"/>
        </w:rPr>
        <w:t>al</w:t>
      </w:r>
      <w:r>
        <w:rPr>
          <w:spacing w:val="-12"/>
          <w:sz w:val="16"/>
        </w:rPr>
        <w:t> </w:t>
      </w:r>
      <w:r>
        <w:rPr>
          <w:sz w:val="16"/>
        </w:rPr>
        <w:t>escrutinio</w:t>
      </w:r>
      <w:r>
        <w:rPr>
          <w:spacing w:val="-13"/>
          <w:sz w:val="16"/>
        </w:rPr>
        <w:t> </w:t>
      </w:r>
      <w:r>
        <w:rPr>
          <w:sz w:val="16"/>
        </w:rPr>
        <w:t>público; la sociedad evalúe el desempeño de sus gobernantes y decida, con su voto, la continuidad y la permanencia de un sistema de gobierno con determinadas características; y la rendición de cuentas de los gobernantes y, en su caso, su penalización o remoción,</w:t>
      </w:r>
      <w:r>
        <w:rPr>
          <w:spacing w:val="-3"/>
          <w:sz w:val="16"/>
        </w:rPr>
        <w:t> </w:t>
      </w:r>
      <w:r>
        <w:rPr>
          <w:sz w:val="16"/>
        </w:rPr>
        <w:t>se</w:t>
      </w:r>
      <w:r>
        <w:rPr>
          <w:spacing w:val="-4"/>
          <w:sz w:val="16"/>
        </w:rPr>
        <w:t> </w:t>
      </w:r>
      <w:r>
        <w:rPr>
          <w:sz w:val="16"/>
        </w:rPr>
        <w:t>realice</w:t>
      </w:r>
      <w:r>
        <w:rPr>
          <w:spacing w:val="-7"/>
          <w:sz w:val="16"/>
        </w:rPr>
        <w:t> </w:t>
      </w:r>
      <w:r>
        <w:rPr>
          <w:sz w:val="16"/>
        </w:rPr>
        <w:t>conforme</w:t>
      </w:r>
      <w:r>
        <w:rPr>
          <w:spacing w:val="-3"/>
          <w:sz w:val="16"/>
        </w:rPr>
        <w:t> </w:t>
      </w:r>
      <w:r>
        <w:rPr>
          <w:sz w:val="16"/>
        </w:rPr>
        <w:t>a</w:t>
      </w:r>
      <w:r>
        <w:rPr>
          <w:spacing w:val="-3"/>
          <w:sz w:val="16"/>
        </w:rPr>
        <w:t> </w:t>
      </w:r>
      <w:r>
        <w:rPr>
          <w:sz w:val="16"/>
        </w:rPr>
        <w:t>un</w:t>
      </w:r>
      <w:r>
        <w:rPr>
          <w:spacing w:val="-4"/>
          <w:sz w:val="16"/>
        </w:rPr>
        <w:t> </w:t>
      </w:r>
      <w:r>
        <w:rPr>
          <w:sz w:val="16"/>
        </w:rPr>
        <w:t>marco</w:t>
      </w:r>
      <w:r>
        <w:rPr>
          <w:spacing w:val="-4"/>
          <w:sz w:val="16"/>
        </w:rPr>
        <w:t> </w:t>
      </w:r>
      <w:r>
        <w:rPr>
          <w:sz w:val="16"/>
        </w:rPr>
        <w:t>jurídico</w:t>
      </w:r>
      <w:r>
        <w:rPr>
          <w:spacing w:val="-3"/>
          <w:sz w:val="16"/>
        </w:rPr>
        <w:t> </w:t>
      </w:r>
      <w:r>
        <w:rPr>
          <w:sz w:val="16"/>
        </w:rPr>
        <w:t>e</w:t>
      </w:r>
      <w:r>
        <w:rPr>
          <w:spacing w:val="-4"/>
          <w:sz w:val="16"/>
        </w:rPr>
        <w:t> </w:t>
      </w:r>
      <w:r>
        <w:rPr>
          <w:sz w:val="16"/>
        </w:rPr>
        <w:t>institucional</w:t>
      </w:r>
      <w:r>
        <w:rPr>
          <w:spacing w:val="-4"/>
          <w:sz w:val="16"/>
        </w:rPr>
        <w:t> </w:t>
      </w:r>
      <w:r>
        <w:rPr>
          <w:sz w:val="16"/>
        </w:rPr>
        <w:t>aceptado</w:t>
      </w:r>
      <w:r>
        <w:rPr>
          <w:spacing w:val="-3"/>
          <w:sz w:val="16"/>
        </w:rPr>
        <w:t> </w:t>
      </w:r>
      <w:r>
        <w:rPr>
          <w:sz w:val="16"/>
        </w:rPr>
        <w:t>por</w:t>
      </w:r>
      <w:r>
        <w:rPr>
          <w:spacing w:val="-3"/>
          <w:sz w:val="16"/>
        </w:rPr>
        <w:t> </w:t>
      </w:r>
      <w:r>
        <w:rPr>
          <w:sz w:val="16"/>
        </w:rPr>
        <w:t>todos</w:t>
      </w:r>
      <w:r>
        <w:rPr>
          <w:spacing w:val="-1"/>
          <w:sz w:val="16"/>
        </w:rPr>
        <w:t> </w:t>
      </w:r>
      <w:r>
        <w:rPr>
          <w:sz w:val="16"/>
        </w:rPr>
        <w:t>los</w:t>
      </w:r>
      <w:r>
        <w:rPr>
          <w:spacing w:val="-1"/>
          <w:sz w:val="16"/>
        </w:rPr>
        <w:t> </w:t>
      </w:r>
      <w:r>
        <w:rPr>
          <w:sz w:val="16"/>
        </w:rPr>
        <w:t>actores.</w:t>
      </w:r>
    </w:p>
    <w:p>
      <w:pPr>
        <w:spacing w:line="179" w:lineRule="exact" w:before="1"/>
        <w:ind w:left="122" w:right="0" w:firstLine="0"/>
        <w:jc w:val="both"/>
        <w:rPr>
          <w:sz w:val="16"/>
        </w:rPr>
      </w:pPr>
      <w:r>
        <w:rPr>
          <w:sz w:val="16"/>
        </w:rPr>
        <w:t>ASF/AED. </w:t>
      </w:r>
      <w:r>
        <w:rPr>
          <w:i/>
          <w:sz w:val="16"/>
        </w:rPr>
        <w:t>Marco operativo </w:t>
      </w:r>
      <w:r>
        <w:rPr>
          <w:sz w:val="16"/>
        </w:rPr>
        <w:t>(2009:51)</w:t>
      </w:r>
    </w:p>
    <w:p>
      <w:pPr>
        <w:spacing w:line="249" w:lineRule="auto" w:before="0"/>
        <w:ind w:left="122" w:right="119" w:firstLine="0"/>
        <w:jc w:val="both"/>
        <w:rPr>
          <w:sz w:val="16"/>
        </w:rPr>
      </w:pPr>
      <w:r>
        <w:rPr>
          <w:rFonts w:ascii="Times New Roman" w:hAnsi="Times New Roman"/>
          <w:position w:val="7"/>
          <w:sz w:val="13"/>
        </w:rPr>
        <w:t>80</w:t>
      </w:r>
      <w:r>
        <w:rPr>
          <w:sz w:val="16"/>
        </w:rPr>
        <w:t>Peters</w:t>
      </w:r>
      <w:r>
        <w:rPr>
          <w:spacing w:val="-5"/>
          <w:sz w:val="16"/>
        </w:rPr>
        <w:t> </w:t>
      </w:r>
      <w:r>
        <w:rPr>
          <w:sz w:val="16"/>
        </w:rPr>
        <w:t>(2003:</w:t>
      </w:r>
      <w:r>
        <w:rPr>
          <w:spacing w:val="-3"/>
          <w:sz w:val="16"/>
        </w:rPr>
        <w:t> </w:t>
      </w:r>
      <w:r>
        <w:rPr>
          <w:sz w:val="16"/>
        </w:rPr>
        <w:t>53)</w:t>
      </w:r>
      <w:r>
        <w:rPr>
          <w:spacing w:val="-7"/>
          <w:sz w:val="16"/>
        </w:rPr>
        <w:t> </w:t>
      </w:r>
      <w:r>
        <w:rPr>
          <w:sz w:val="16"/>
        </w:rPr>
        <w:t>consideró</w:t>
      </w:r>
      <w:r>
        <w:rPr>
          <w:spacing w:val="-3"/>
          <w:sz w:val="16"/>
        </w:rPr>
        <w:t> </w:t>
      </w:r>
      <w:r>
        <w:rPr>
          <w:sz w:val="16"/>
        </w:rPr>
        <w:t>que</w:t>
      </w:r>
      <w:r>
        <w:rPr>
          <w:spacing w:val="-7"/>
          <w:sz w:val="16"/>
        </w:rPr>
        <w:t> </w:t>
      </w:r>
      <w:r>
        <w:rPr>
          <w:sz w:val="16"/>
        </w:rPr>
        <w:t>una</w:t>
      </w:r>
      <w:r>
        <w:rPr>
          <w:spacing w:val="-4"/>
          <w:sz w:val="16"/>
        </w:rPr>
        <w:t> </w:t>
      </w:r>
      <w:r>
        <w:rPr>
          <w:sz w:val="16"/>
        </w:rPr>
        <w:t>institución</w:t>
      </w:r>
      <w:r>
        <w:rPr>
          <w:spacing w:val="-5"/>
          <w:sz w:val="16"/>
        </w:rPr>
        <w:t> </w:t>
      </w:r>
      <w:r>
        <w:rPr>
          <w:sz w:val="16"/>
        </w:rPr>
        <w:t>es</w:t>
      </w:r>
      <w:r>
        <w:rPr>
          <w:spacing w:val="-3"/>
          <w:sz w:val="16"/>
        </w:rPr>
        <w:t> </w:t>
      </w:r>
      <w:r>
        <w:rPr>
          <w:sz w:val="16"/>
        </w:rPr>
        <w:t>el</w:t>
      </w:r>
      <w:r>
        <w:rPr>
          <w:spacing w:val="-6"/>
          <w:sz w:val="16"/>
        </w:rPr>
        <w:t> </w:t>
      </w:r>
      <w:r>
        <w:rPr>
          <w:sz w:val="16"/>
        </w:rPr>
        <w:t>conjunto</w:t>
      </w:r>
      <w:r>
        <w:rPr>
          <w:spacing w:val="-4"/>
          <w:sz w:val="16"/>
        </w:rPr>
        <w:t> </w:t>
      </w:r>
      <w:r>
        <w:rPr>
          <w:sz w:val="16"/>
        </w:rPr>
        <w:t>de</w:t>
      </w:r>
      <w:r>
        <w:rPr>
          <w:spacing w:val="-4"/>
          <w:sz w:val="16"/>
        </w:rPr>
        <w:t> </w:t>
      </w:r>
      <w:r>
        <w:rPr>
          <w:sz w:val="16"/>
        </w:rPr>
        <w:t>reglas</w:t>
      </w:r>
      <w:r>
        <w:rPr>
          <w:spacing w:val="-3"/>
          <w:sz w:val="16"/>
        </w:rPr>
        <w:t> </w:t>
      </w:r>
      <w:r>
        <w:rPr>
          <w:sz w:val="16"/>
        </w:rPr>
        <w:t>y</w:t>
      </w:r>
      <w:r>
        <w:rPr>
          <w:spacing w:val="-5"/>
          <w:sz w:val="16"/>
        </w:rPr>
        <w:t> </w:t>
      </w:r>
      <w:r>
        <w:rPr>
          <w:sz w:val="16"/>
        </w:rPr>
        <w:t>valores</w:t>
      </w:r>
      <w:r>
        <w:rPr>
          <w:spacing w:val="-5"/>
          <w:sz w:val="16"/>
        </w:rPr>
        <w:t> </w:t>
      </w:r>
      <w:r>
        <w:rPr>
          <w:sz w:val="16"/>
        </w:rPr>
        <w:t>normativos</w:t>
      </w:r>
      <w:r>
        <w:rPr>
          <w:spacing w:val="-3"/>
          <w:sz w:val="16"/>
        </w:rPr>
        <w:t> </w:t>
      </w:r>
      <w:r>
        <w:rPr>
          <w:sz w:val="16"/>
        </w:rPr>
        <w:t>y</w:t>
      </w:r>
      <w:r>
        <w:rPr>
          <w:spacing w:val="-5"/>
          <w:sz w:val="16"/>
        </w:rPr>
        <w:t> </w:t>
      </w:r>
      <w:r>
        <w:rPr>
          <w:sz w:val="16"/>
        </w:rPr>
        <w:t>no</w:t>
      </w:r>
      <w:r>
        <w:rPr>
          <w:spacing w:val="-7"/>
          <w:sz w:val="16"/>
        </w:rPr>
        <w:t> </w:t>
      </w:r>
      <w:r>
        <w:rPr>
          <w:sz w:val="16"/>
        </w:rPr>
        <w:t>cognitivos</w:t>
      </w:r>
      <w:r>
        <w:rPr>
          <w:spacing w:val="-3"/>
          <w:sz w:val="16"/>
        </w:rPr>
        <w:t> </w:t>
      </w:r>
      <w:r>
        <w:rPr>
          <w:sz w:val="16"/>
        </w:rPr>
        <w:t>respecto</w:t>
      </w:r>
      <w:r>
        <w:rPr>
          <w:spacing w:val="-4"/>
          <w:sz w:val="16"/>
        </w:rPr>
        <w:t> </w:t>
      </w:r>
      <w:r>
        <w:rPr>
          <w:sz w:val="16"/>
        </w:rPr>
        <w:t>de</w:t>
      </w:r>
      <w:r>
        <w:rPr>
          <w:spacing w:val="-7"/>
          <w:sz w:val="16"/>
        </w:rPr>
        <w:t> </w:t>
      </w:r>
      <w:r>
        <w:rPr>
          <w:sz w:val="16"/>
        </w:rPr>
        <w:t>la manera en que influyen sobre los miembros institucionales, como también el conjunto de rutinas que se desarrollan para poner en ejecución e imponer esos</w:t>
      </w:r>
      <w:r>
        <w:rPr>
          <w:spacing w:val="-17"/>
          <w:sz w:val="16"/>
        </w:rPr>
        <w:t> </w:t>
      </w:r>
      <w:r>
        <w:rPr>
          <w:sz w:val="16"/>
        </w:rPr>
        <w:t>valores.</w:t>
      </w:r>
    </w:p>
    <w:p>
      <w:pPr>
        <w:spacing w:after="0" w:line="249" w:lineRule="auto"/>
        <w:jc w:val="both"/>
        <w:rPr>
          <w:sz w:val="16"/>
        </w:rPr>
        <w:sectPr>
          <w:pgSz w:w="12240" w:h="15840"/>
          <w:pgMar w:header="0" w:footer="1003" w:top="1360" w:bottom="1200" w:left="1580" w:right="1580"/>
        </w:sectPr>
      </w:pPr>
    </w:p>
    <w:p>
      <w:pPr>
        <w:pStyle w:val="BodyText"/>
        <w:spacing w:line="360" w:lineRule="auto" w:before="54"/>
        <w:ind w:left="102" w:right="116" w:firstLine="427"/>
        <w:jc w:val="both"/>
      </w:pPr>
      <w:r>
        <w:rPr/>
        <w:t>El sistema de rendición de cuentas responde a la disposición del Estado de control de prevenir y corregir abusos de poder. </w:t>
      </w:r>
      <w:r>
        <w:rPr>
          <w:spacing w:val="3"/>
        </w:rPr>
        <w:t>El </w:t>
      </w:r>
      <w:r>
        <w:rPr/>
        <w:t>principio de separar y dividir los poderes</w:t>
      </w:r>
      <w:r>
        <w:rPr>
          <w:spacing w:val="-14"/>
        </w:rPr>
        <w:t> </w:t>
      </w:r>
      <w:r>
        <w:rPr/>
        <w:t>puede</w:t>
      </w:r>
      <w:r>
        <w:rPr>
          <w:spacing w:val="-13"/>
        </w:rPr>
        <w:t> </w:t>
      </w:r>
      <w:r>
        <w:rPr/>
        <w:t>ser</w:t>
      </w:r>
      <w:r>
        <w:rPr>
          <w:spacing w:val="-15"/>
        </w:rPr>
        <w:t> </w:t>
      </w:r>
      <w:r>
        <w:rPr/>
        <w:t>asegurado</w:t>
      </w:r>
      <w:r>
        <w:rPr>
          <w:spacing w:val="-13"/>
        </w:rPr>
        <w:t> </w:t>
      </w:r>
      <w:r>
        <w:rPr/>
        <w:t>mediante</w:t>
      </w:r>
      <w:r>
        <w:rPr>
          <w:spacing w:val="-13"/>
        </w:rPr>
        <w:t> </w:t>
      </w:r>
      <w:r>
        <w:rPr/>
        <w:t>un</w:t>
      </w:r>
      <w:r>
        <w:rPr>
          <w:spacing w:val="-13"/>
        </w:rPr>
        <w:t> </w:t>
      </w:r>
      <w:r>
        <w:rPr/>
        <w:t>sistema</w:t>
      </w:r>
      <w:r>
        <w:rPr>
          <w:spacing w:val="-13"/>
        </w:rPr>
        <w:t> </w:t>
      </w:r>
      <w:r>
        <w:rPr/>
        <w:t>de</w:t>
      </w:r>
      <w:r>
        <w:rPr>
          <w:spacing w:val="-9"/>
        </w:rPr>
        <w:t> </w:t>
      </w:r>
      <w:r>
        <w:rPr/>
        <w:t>rendición</w:t>
      </w:r>
      <w:r>
        <w:rPr>
          <w:spacing w:val="-13"/>
        </w:rPr>
        <w:t> </w:t>
      </w:r>
      <w:r>
        <w:rPr/>
        <w:t>de</w:t>
      </w:r>
      <w:r>
        <w:rPr>
          <w:spacing w:val="-15"/>
        </w:rPr>
        <w:t> </w:t>
      </w:r>
      <w:r>
        <w:rPr/>
        <w:t>cuentas</w:t>
      </w:r>
      <w:r>
        <w:rPr>
          <w:spacing w:val="-14"/>
        </w:rPr>
        <w:t> </w:t>
      </w:r>
      <w:r>
        <w:rPr/>
        <w:t>basado en tres</w:t>
      </w:r>
      <w:r>
        <w:rPr>
          <w:spacing w:val="-4"/>
        </w:rPr>
        <w:t> </w:t>
      </w:r>
      <w:r>
        <w:rPr/>
        <w:t>pilares:</w:t>
      </w:r>
    </w:p>
    <w:p>
      <w:pPr>
        <w:pStyle w:val="BodyText"/>
      </w:pPr>
    </w:p>
    <w:p>
      <w:pPr>
        <w:pStyle w:val="ListParagraph"/>
        <w:numPr>
          <w:ilvl w:val="0"/>
          <w:numId w:val="49"/>
        </w:numPr>
        <w:tabs>
          <w:tab w:pos="822" w:val="left" w:leader="none"/>
        </w:tabs>
        <w:spacing w:line="360" w:lineRule="auto" w:before="139" w:after="0"/>
        <w:ind w:left="822" w:right="114" w:hanging="360"/>
        <w:jc w:val="both"/>
        <w:rPr>
          <w:sz w:val="24"/>
        </w:rPr>
      </w:pPr>
      <w:r>
        <w:rPr>
          <w:i/>
          <w:sz w:val="24"/>
        </w:rPr>
        <w:t>Accontability:</w:t>
      </w:r>
      <w:r>
        <w:rPr>
          <w:i/>
          <w:spacing w:val="-12"/>
          <w:sz w:val="24"/>
        </w:rPr>
        <w:t> </w:t>
      </w:r>
      <w:r>
        <w:rPr>
          <w:sz w:val="24"/>
        </w:rPr>
        <w:t>es</w:t>
      </w:r>
      <w:r>
        <w:rPr>
          <w:spacing w:val="-14"/>
          <w:sz w:val="24"/>
        </w:rPr>
        <w:t> </w:t>
      </w:r>
      <w:r>
        <w:rPr>
          <w:sz w:val="24"/>
        </w:rPr>
        <w:t>un</w:t>
      </w:r>
      <w:r>
        <w:rPr>
          <w:spacing w:val="-13"/>
          <w:sz w:val="24"/>
        </w:rPr>
        <w:t> </w:t>
      </w:r>
      <w:r>
        <w:rPr>
          <w:sz w:val="24"/>
        </w:rPr>
        <w:t>término</w:t>
      </w:r>
      <w:r>
        <w:rPr>
          <w:spacing w:val="-13"/>
          <w:sz w:val="24"/>
        </w:rPr>
        <w:t> </w:t>
      </w:r>
      <w:r>
        <w:rPr>
          <w:sz w:val="24"/>
        </w:rPr>
        <w:t>que</w:t>
      </w:r>
      <w:r>
        <w:rPr>
          <w:spacing w:val="-13"/>
          <w:sz w:val="24"/>
        </w:rPr>
        <w:t> </w:t>
      </w:r>
      <w:r>
        <w:rPr>
          <w:sz w:val="24"/>
        </w:rPr>
        <w:t>traduce</w:t>
      </w:r>
      <w:r>
        <w:rPr>
          <w:spacing w:val="-13"/>
          <w:sz w:val="24"/>
        </w:rPr>
        <w:t> </w:t>
      </w:r>
      <w:r>
        <w:rPr>
          <w:sz w:val="24"/>
        </w:rPr>
        <w:t>de</w:t>
      </w:r>
      <w:r>
        <w:rPr>
          <w:spacing w:val="-13"/>
          <w:sz w:val="24"/>
        </w:rPr>
        <w:t> </w:t>
      </w:r>
      <w:r>
        <w:rPr>
          <w:sz w:val="24"/>
        </w:rPr>
        <w:t>manera</w:t>
      </w:r>
      <w:r>
        <w:rPr>
          <w:spacing w:val="-14"/>
          <w:sz w:val="24"/>
        </w:rPr>
        <w:t> </w:t>
      </w:r>
      <w:r>
        <w:rPr>
          <w:sz w:val="24"/>
        </w:rPr>
        <w:t>limitada,</w:t>
      </w:r>
      <w:r>
        <w:rPr>
          <w:spacing w:val="-13"/>
          <w:sz w:val="24"/>
        </w:rPr>
        <w:t> </w:t>
      </w:r>
      <w:r>
        <w:rPr>
          <w:sz w:val="24"/>
        </w:rPr>
        <w:t>el</w:t>
      </w:r>
      <w:r>
        <w:rPr>
          <w:spacing w:val="-9"/>
          <w:sz w:val="24"/>
        </w:rPr>
        <w:t> </w:t>
      </w:r>
      <w:r>
        <w:rPr>
          <w:sz w:val="24"/>
        </w:rPr>
        <w:t>significado</w:t>
      </w:r>
      <w:r>
        <w:rPr>
          <w:spacing w:val="-13"/>
          <w:sz w:val="24"/>
        </w:rPr>
        <w:t> </w:t>
      </w:r>
      <w:r>
        <w:rPr>
          <w:sz w:val="24"/>
        </w:rPr>
        <w:t>de en</w:t>
      </w:r>
      <w:r>
        <w:rPr>
          <w:spacing w:val="-13"/>
          <w:sz w:val="24"/>
        </w:rPr>
        <w:t> </w:t>
      </w:r>
      <w:r>
        <w:rPr>
          <w:sz w:val="24"/>
        </w:rPr>
        <w:t>inglés</w:t>
      </w:r>
      <w:r>
        <w:rPr>
          <w:spacing w:val="-16"/>
          <w:sz w:val="24"/>
        </w:rPr>
        <w:t> </w:t>
      </w:r>
      <w:r>
        <w:rPr>
          <w:sz w:val="24"/>
        </w:rPr>
        <w:t>significa</w:t>
      </w:r>
      <w:r>
        <w:rPr>
          <w:spacing w:val="-16"/>
          <w:sz w:val="24"/>
        </w:rPr>
        <w:t> </w:t>
      </w:r>
      <w:r>
        <w:rPr>
          <w:sz w:val="24"/>
        </w:rPr>
        <w:t>“el</w:t>
      </w:r>
      <w:r>
        <w:rPr>
          <w:spacing w:val="-17"/>
          <w:sz w:val="24"/>
        </w:rPr>
        <w:t> </w:t>
      </w:r>
      <w:r>
        <w:rPr>
          <w:sz w:val="24"/>
        </w:rPr>
        <w:t>Estado</w:t>
      </w:r>
      <w:r>
        <w:rPr>
          <w:spacing w:val="-15"/>
          <w:sz w:val="24"/>
        </w:rPr>
        <w:t> </w:t>
      </w:r>
      <w:r>
        <w:rPr>
          <w:sz w:val="24"/>
        </w:rPr>
        <w:t>de</w:t>
      </w:r>
      <w:r>
        <w:rPr>
          <w:spacing w:val="-13"/>
          <w:sz w:val="24"/>
        </w:rPr>
        <w:t> </w:t>
      </w:r>
      <w:r>
        <w:rPr>
          <w:sz w:val="24"/>
        </w:rPr>
        <w:t>ser</w:t>
      </w:r>
      <w:r>
        <w:rPr>
          <w:spacing w:val="-15"/>
          <w:sz w:val="24"/>
        </w:rPr>
        <w:t> </w:t>
      </w:r>
      <w:r>
        <w:rPr>
          <w:sz w:val="24"/>
        </w:rPr>
        <w:t>sujeto</w:t>
      </w:r>
      <w:r>
        <w:rPr>
          <w:spacing w:val="-15"/>
          <w:sz w:val="24"/>
        </w:rPr>
        <w:t> </w:t>
      </w:r>
      <w:r>
        <w:rPr>
          <w:sz w:val="24"/>
        </w:rPr>
        <w:t>a</w:t>
      </w:r>
      <w:r>
        <w:rPr>
          <w:spacing w:val="-13"/>
          <w:sz w:val="24"/>
        </w:rPr>
        <w:t> </w:t>
      </w:r>
      <w:r>
        <w:rPr>
          <w:sz w:val="24"/>
        </w:rPr>
        <w:t>la</w:t>
      </w:r>
      <w:r>
        <w:rPr>
          <w:spacing w:val="-15"/>
          <w:sz w:val="24"/>
        </w:rPr>
        <w:t> </w:t>
      </w:r>
      <w:r>
        <w:rPr>
          <w:sz w:val="24"/>
        </w:rPr>
        <w:t>obligación</w:t>
      </w:r>
      <w:r>
        <w:rPr>
          <w:spacing w:val="-15"/>
          <w:sz w:val="24"/>
        </w:rPr>
        <w:t> </w:t>
      </w:r>
      <w:r>
        <w:rPr>
          <w:sz w:val="24"/>
        </w:rPr>
        <w:t>de</w:t>
      </w:r>
      <w:r>
        <w:rPr>
          <w:spacing w:val="-15"/>
          <w:sz w:val="24"/>
        </w:rPr>
        <w:t> </w:t>
      </w:r>
      <w:r>
        <w:rPr>
          <w:sz w:val="24"/>
        </w:rPr>
        <w:t>reportar,</w:t>
      </w:r>
      <w:r>
        <w:rPr>
          <w:spacing w:val="-17"/>
          <w:sz w:val="24"/>
        </w:rPr>
        <w:t> </w:t>
      </w:r>
      <w:r>
        <w:rPr>
          <w:sz w:val="24"/>
        </w:rPr>
        <w:t>explicar o justificar algo; […] ser responsable de algo (</w:t>
      </w:r>
      <w:r>
        <w:rPr>
          <w:i/>
          <w:sz w:val="24"/>
        </w:rPr>
        <w:t>liable</w:t>
      </w:r>
      <w:r>
        <w:rPr>
          <w:sz w:val="24"/>
        </w:rPr>
        <w:t>) […] ser sujeto y responsable para dar cuentas y responder a preguntas (</w:t>
      </w:r>
      <w:r>
        <w:rPr>
          <w:i/>
          <w:sz w:val="24"/>
        </w:rPr>
        <w:t>answerable</w:t>
      </w:r>
      <w:r>
        <w:rPr>
          <w:sz w:val="24"/>
        </w:rPr>
        <w:t>). </w:t>
      </w:r>
      <w:r>
        <w:rPr>
          <w:i/>
          <w:sz w:val="24"/>
        </w:rPr>
        <w:t>Accountability</w:t>
      </w:r>
      <w:r>
        <w:rPr>
          <w:i/>
          <w:spacing w:val="-11"/>
          <w:sz w:val="24"/>
        </w:rPr>
        <w:t> </w:t>
      </w:r>
      <w:r>
        <w:rPr>
          <w:sz w:val="24"/>
        </w:rPr>
        <w:t>se</w:t>
      </w:r>
      <w:r>
        <w:rPr>
          <w:spacing w:val="-13"/>
          <w:sz w:val="24"/>
        </w:rPr>
        <w:t> </w:t>
      </w:r>
      <w:r>
        <w:rPr>
          <w:sz w:val="24"/>
        </w:rPr>
        <w:t>deriva</w:t>
      </w:r>
      <w:r>
        <w:rPr>
          <w:spacing w:val="-12"/>
          <w:sz w:val="24"/>
        </w:rPr>
        <w:t> </w:t>
      </w:r>
      <w:r>
        <w:rPr>
          <w:sz w:val="24"/>
        </w:rPr>
        <w:t>de</w:t>
      </w:r>
      <w:r>
        <w:rPr>
          <w:spacing w:val="-12"/>
          <w:sz w:val="24"/>
        </w:rPr>
        <w:t> </w:t>
      </w:r>
      <w:r>
        <w:rPr>
          <w:i/>
          <w:sz w:val="24"/>
        </w:rPr>
        <w:t>account</w:t>
      </w:r>
      <w:r>
        <w:rPr>
          <w:i/>
          <w:spacing w:val="-11"/>
          <w:sz w:val="24"/>
        </w:rPr>
        <w:t> </w:t>
      </w:r>
      <w:r>
        <w:rPr>
          <w:sz w:val="24"/>
        </w:rPr>
        <w:t>que</w:t>
      </w:r>
      <w:r>
        <w:rPr>
          <w:spacing w:val="-12"/>
          <w:sz w:val="24"/>
        </w:rPr>
        <w:t> </w:t>
      </w:r>
      <w:r>
        <w:rPr>
          <w:sz w:val="24"/>
        </w:rPr>
        <w:t>significa</w:t>
      </w:r>
      <w:r>
        <w:rPr>
          <w:spacing w:val="-12"/>
          <w:sz w:val="24"/>
        </w:rPr>
        <w:t> </w:t>
      </w:r>
      <w:r>
        <w:rPr>
          <w:sz w:val="24"/>
        </w:rPr>
        <w:t>descripción</w:t>
      </w:r>
      <w:r>
        <w:rPr>
          <w:spacing w:val="-13"/>
          <w:sz w:val="24"/>
        </w:rPr>
        <w:t> </w:t>
      </w:r>
      <w:r>
        <w:rPr>
          <w:sz w:val="24"/>
        </w:rPr>
        <w:t>oral</w:t>
      </w:r>
      <w:r>
        <w:rPr>
          <w:spacing w:val="-12"/>
          <w:sz w:val="24"/>
        </w:rPr>
        <w:t> </w:t>
      </w:r>
      <w:r>
        <w:rPr>
          <w:sz w:val="24"/>
        </w:rPr>
        <w:t>o</w:t>
      </w:r>
      <w:r>
        <w:rPr>
          <w:spacing w:val="-12"/>
          <w:sz w:val="24"/>
        </w:rPr>
        <w:t> </w:t>
      </w:r>
      <w:r>
        <w:rPr>
          <w:sz w:val="24"/>
        </w:rPr>
        <w:t>escrita</w:t>
      </w:r>
      <w:r>
        <w:rPr>
          <w:spacing w:val="-11"/>
          <w:sz w:val="24"/>
        </w:rPr>
        <w:t> </w:t>
      </w:r>
      <w:r>
        <w:rPr>
          <w:sz w:val="24"/>
        </w:rPr>
        <w:t>de eventos o situaciones particulares […] explicación de una conducta a un superior […] razones, sustentos, […] balance de ingresos y gastos […] registros financieros […]”. (Ugalde, 2002:</w:t>
      </w:r>
      <w:r>
        <w:rPr>
          <w:spacing w:val="-13"/>
          <w:sz w:val="24"/>
        </w:rPr>
        <w:t> </w:t>
      </w:r>
      <w:r>
        <w:rPr>
          <w:sz w:val="24"/>
        </w:rPr>
        <w:t>11):</w:t>
      </w:r>
    </w:p>
    <w:p>
      <w:pPr>
        <w:pStyle w:val="BodyText"/>
        <w:spacing w:line="360" w:lineRule="auto" w:before="2"/>
        <w:ind w:left="821" w:right="122"/>
        <w:jc w:val="both"/>
      </w:pPr>
      <w:r>
        <w:rPr>
          <w:i/>
        </w:rPr>
        <w:t>Accountability </w:t>
      </w:r>
      <w:r>
        <w:rPr/>
        <w:t>conlleva un sentido de obligación, la noción de rendición de cuentas sugiere un acto voluntario como concesión generosa del soberano que rinde cuentas. A</w:t>
      </w:r>
      <w:r>
        <w:rPr>
          <w:i/>
        </w:rPr>
        <w:t>ccountability </w:t>
      </w:r>
      <w:r>
        <w:rPr/>
        <w:t>es la rendición obligatoria de cuentas, mediante la puesta a disposición del público, de la información sobre la actividad del Estado.</w:t>
      </w:r>
    </w:p>
    <w:p>
      <w:pPr>
        <w:pStyle w:val="ListParagraph"/>
        <w:numPr>
          <w:ilvl w:val="0"/>
          <w:numId w:val="49"/>
        </w:numPr>
        <w:tabs>
          <w:tab w:pos="822" w:val="left" w:leader="none"/>
        </w:tabs>
        <w:spacing w:line="360" w:lineRule="auto" w:before="0" w:after="0"/>
        <w:ind w:left="822" w:right="118" w:hanging="360"/>
        <w:jc w:val="both"/>
        <w:rPr>
          <w:sz w:val="24"/>
        </w:rPr>
      </w:pPr>
      <w:r>
        <w:rPr>
          <w:i/>
          <w:sz w:val="24"/>
        </w:rPr>
        <w:t>Información</w:t>
      </w:r>
      <w:r>
        <w:rPr>
          <w:i/>
          <w:spacing w:val="-8"/>
          <w:sz w:val="24"/>
        </w:rPr>
        <w:t> </w:t>
      </w:r>
      <w:r>
        <w:rPr>
          <w:i/>
          <w:sz w:val="24"/>
        </w:rPr>
        <w:t>y</w:t>
      </w:r>
      <w:r>
        <w:rPr>
          <w:i/>
          <w:spacing w:val="-9"/>
          <w:sz w:val="24"/>
        </w:rPr>
        <w:t> </w:t>
      </w:r>
      <w:r>
        <w:rPr>
          <w:i/>
          <w:sz w:val="24"/>
        </w:rPr>
        <w:t>justificación</w:t>
      </w:r>
      <w:r>
        <w:rPr>
          <w:i/>
          <w:spacing w:val="-8"/>
          <w:sz w:val="24"/>
        </w:rPr>
        <w:t> </w:t>
      </w:r>
      <w:r>
        <w:rPr>
          <w:i/>
          <w:sz w:val="24"/>
        </w:rPr>
        <w:t>(Answerability):</w:t>
      </w:r>
      <w:r>
        <w:rPr>
          <w:i/>
          <w:spacing w:val="-6"/>
          <w:sz w:val="24"/>
        </w:rPr>
        <w:t> </w:t>
      </w:r>
      <w:r>
        <w:rPr>
          <w:sz w:val="24"/>
        </w:rPr>
        <w:t>La</w:t>
      </w:r>
      <w:r>
        <w:rPr>
          <w:spacing w:val="-11"/>
          <w:sz w:val="24"/>
        </w:rPr>
        <w:t> </w:t>
      </w:r>
      <w:r>
        <w:rPr>
          <w:sz w:val="24"/>
        </w:rPr>
        <w:t>noción</w:t>
      </w:r>
      <w:r>
        <w:rPr>
          <w:spacing w:val="-10"/>
          <w:sz w:val="24"/>
        </w:rPr>
        <w:t> </w:t>
      </w:r>
      <w:r>
        <w:rPr>
          <w:sz w:val="24"/>
        </w:rPr>
        <w:t>de</w:t>
      </w:r>
      <w:r>
        <w:rPr>
          <w:spacing w:val="-8"/>
          <w:sz w:val="24"/>
        </w:rPr>
        <w:t> </w:t>
      </w:r>
      <w:r>
        <w:rPr>
          <w:sz w:val="24"/>
        </w:rPr>
        <w:t>rendición</w:t>
      </w:r>
      <w:r>
        <w:rPr>
          <w:spacing w:val="-11"/>
          <w:sz w:val="24"/>
        </w:rPr>
        <w:t> </w:t>
      </w:r>
      <w:r>
        <w:rPr>
          <w:sz w:val="24"/>
        </w:rPr>
        <w:t>de</w:t>
      </w:r>
      <w:r>
        <w:rPr>
          <w:spacing w:val="-11"/>
          <w:sz w:val="24"/>
        </w:rPr>
        <w:t> </w:t>
      </w:r>
      <w:r>
        <w:rPr>
          <w:sz w:val="24"/>
        </w:rPr>
        <w:t>cuentas la integran dos conceptos, por un lado, la obligación de políticos y gobernantes o funcionarios de informar sobre </w:t>
      </w:r>
      <w:r>
        <w:rPr>
          <w:spacing w:val="2"/>
          <w:sz w:val="24"/>
        </w:rPr>
        <w:t>sus </w:t>
      </w:r>
      <w:r>
        <w:rPr>
          <w:sz w:val="24"/>
        </w:rPr>
        <w:t>decisiones, y de justificarlas en público</w:t>
      </w:r>
      <w:r>
        <w:rPr>
          <w:i/>
          <w:sz w:val="24"/>
        </w:rPr>
        <w:t>. </w:t>
      </w:r>
      <w:r>
        <w:rPr>
          <w:sz w:val="24"/>
        </w:rPr>
        <w:t>Se considera también que es la capacidad de asegurar que los funcionarios públicos respondan por sus</w:t>
      </w:r>
      <w:r>
        <w:rPr>
          <w:spacing w:val="-29"/>
          <w:sz w:val="24"/>
        </w:rPr>
        <w:t> </w:t>
      </w:r>
      <w:r>
        <w:rPr>
          <w:sz w:val="24"/>
        </w:rPr>
        <w:t>acciones.</w:t>
      </w:r>
    </w:p>
    <w:p>
      <w:pPr>
        <w:pStyle w:val="ListParagraph"/>
        <w:numPr>
          <w:ilvl w:val="0"/>
          <w:numId w:val="49"/>
        </w:numPr>
        <w:tabs>
          <w:tab w:pos="822" w:val="left" w:leader="none"/>
        </w:tabs>
        <w:spacing w:line="360" w:lineRule="auto" w:before="2" w:after="0"/>
        <w:ind w:left="822" w:right="121" w:hanging="360"/>
        <w:jc w:val="both"/>
        <w:rPr>
          <w:sz w:val="24"/>
        </w:rPr>
      </w:pPr>
      <w:r>
        <w:rPr>
          <w:i/>
          <w:sz w:val="24"/>
        </w:rPr>
        <w:t>Enforcement:</w:t>
      </w:r>
      <w:r>
        <w:rPr>
          <w:i/>
          <w:spacing w:val="-17"/>
          <w:sz w:val="24"/>
        </w:rPr>
        <w:t> </w:t>
      </w:r>
      <w:r>
        <w:rPr>
          <w:sz w:val="24"/>
        </w:rPr>
        <w:t>se</w:t>
      </w:r>
      <w:r>
        <w:rPr>
          <w:spacing w:val="-19"/>
          <w:sz w:val="24"/>
        </w:rPr>
        <w:t> </w:t>
      </w:r>
      <w:r>
        <w:rPr>
          <w:sz w:val="24"/>
        </w:rPr>
        <w:t>orienta</w:t>
      </w:r>
      <w:r>
        <w:rPr>
          <w:spacing w:val="-19"/>
          <w:sz w:val="24"/>
        </w:rPr>
        <w:t> </w:t>
      </w:r>
      <w:r>
        <w:rPr>
          <w:sz w:val="24"/>
        </w:rPr>
        <w:t>a</w:t>
      </w:r>
      <w:r>
        <w:rPr>
          <w:spacing w:val="-19"/>
          <w:sz w:val="24"/>
        </w:rPr>
        <w:t> </w:t>
      </w:r>
      <w:r>
        <w:rPr>
          <w:sz w:val="24"/>
        </w:rPr>
        <w:t>la</w:t>
      </w:r>
      <w:r>
        <w:rPr>
          <w:spacing w:val="-19"/>
          <w:sz w:val="24"/>
        </w:rPr>
        <w:t> </w:t>
      </w:r>
      <w:r>
        <w:rPr>
          <w:sz w:val="24"/>
        </w:rPr>
        <w:t>capacidad</w:t>
      </w:r>
      <w:r>
        <w:rPr>
          <w:spacing w:val="-21"/>
          <w:sz w:val="24"/>
        </w:rPr>
        <w:t> </w:t>
      </w:r>
      <w:r>
        <w:rPr>
          <w:sz w:val="24"/>
        </w:rPr>
        <w:t>de</w:t>
      </w:r>
      <w:r>
        <w:rPr>
          <w:spacing w:val="-19"/>
          <w:sz w:val="24"/>
        </w:rPr>
        <w:t> </w:t>
      </w:r>
      <w:r>
        <w:rPr>
          <w:sz w:val="24"/>
        </w:rPr>
        <w:t>sancionar</w:t>
      </w:r>
      <w:r>
        <w:rPr>
          <w:spacing w:val="-20"/>
          <w:sz w:val="24"/>
        </w:rPr>
        <w:t> </w:t>
      </w:r>
      <w:r>
        <w:rPr>
          <w:sz w:val="24"/>
        </w:rPr>
        <w:t>a</w:t>
      </w:r>
      <w:r>
        <w:rPr>
          <w:spacing w:val="-19"/>
          <w:sz w:val="24"/>
        </w:rPr>
        <w:t> </w:t>
      </w:r>
      <w:r>
        <w:rPr>
          <w:sz w:val="24"/>
        </w:rPr>
        <w:t>políticos</w:t>
      </w:r>
      <w:r>
        <w:rPr>
          <w:spacing w:val="-20"/>
          <w:sz w:val="24"/>
        </w:rPr>
        <w:t> </w:t>
      </w:r>
      <w:r>
        <w:rPr>
          <w:sz w:val="24"/>
        </w:rPr>
        <w:t>y</w:t>
      </w:r>
      <w:r>
        <w:rPr>
          <w:spacing w:val="-22"/>
          <w:sz w:val="24"/>
        </w:rPr>
        <w:t> </w:t>
      </w:r>
      <w:r>
        <w:rPr>
          <w:sz w:val="24"/>
        </w:rPr>
        <w:t>funcionarios en caso de que hayan violado u omitido sus deberes públicos. El término carece</w:t>
      </w:r>
      <w:r>
        <w:rPr>
          <w:spacing w:val="-18"/>
          <w:sz w:val="24"/>
        </w:rPr>
        <w:t> </w:t>
      </w:r>
      <w:r>
        <w:rPr>
          <w:sz w:val="24"/>
        </w:rPr>
        <w:t>de</w:t>
      </w:r>
      <w:r>
        <w:rPr>
          <w:spacing w:val="-18"/>
          <w:sz w:val="24"/>
        </w:rPr>
        <w:t> </w:t>
      </w:r>
      <w:r>
        <w:rPr>
          <w:sz w:val="24"/>
        </w:rPr>
        <w:t>un</w:t>
      </w:r>
      <w:r>
        <w:rPr>
          <w:spacing w:val="-20"/>
          <w:sz w:val="24"/>
        </w:rPr>
        <w:t> </w:t>
      </w:r>
      <w:r>
        <w:rPr>
          <w:sz w:val="24"/>
        </w:rPr>
        <w:t>equivalente</w:t>
      </w:r>
      <w:r>
        <w:rPr>
          <w:spacing w:val="-18"/>
          <w:sz w:val="24"/>
        </w:rPr>
        <w:t> </w:t>
      </w:r>
      <w:r>
        <w:rPr>
          <w:sz w:val="24"/>
        </w:rPr>
        <w:t>preciso</w:t>
      </w:r>
      <w:r>
        <w:rPr>
          <w:spacing w:val="-18"/>
          <w:sz w:val="24"/>
        </w:rPr>
        <w:t> </w:t>
      </w:r>
      <w:r>
        <w:rPr>
          <w:sz w:val="24"/>
        </w:rPr>
        <w:t>en</w:t>
      </w:r>
      <w:r>
        <w:rPr>
          <w:spacing w:val="-18"/>
          <w:sz w:val="24"/>
        </w:rPr>
        <w:t> </w:t>
      </w:r>
      <w:r>
        <w:rPr>
          <w:sz w:val="24"/>
        </w:rPr>
        <w:t>castellano,</w:t>
      </w:r>
      <w:r>
        <w:rPr>
          <w:spacing w:val="-18"/>
          <w:sz w:val="24"/>
        </w:rPr>
        <w:t> </w:t>
      </w:r>
      <w:r>
        <w:rPr>
          <w:sz w:val="24"/>
        </w:rPr>
        <w:t>y</w:t>
      </w:r>
      <w:r>
        <w:rPr>
          <w:spacing w:val="-21"/>
          <w:sz w:val="24"/>
        </w:rPr>
        <w:t> </w:t>
      </w:r>
      <w:r>
        <w:rPr>
          <w:sz w:val="24"/>
        </w:rPr>
        <w:t>en</w:t>
      </w:r>
      <w:r>
        <w:rPr>
          <w:spacing w:val="-18"/>
          <w:sz w:val="24"/>
        </w:rPr>
        <w:t> </w:t>
      </w:r>
      <w:r>
        <w:rPr>
          <w:sz w:val="24"/>
        </w:rPr>
        <w:t>su</w:t>
      </w:r>
      <w:r>
        <w:rPr>
          <w:spacing w:val="-18"/>
          <w:sz w:val="24"/>
        </w:rPr>
        <w:t> </w:t>
      </w:r>
      <w:r>
        <w:rPr>
          <w:sz w:val="24"/>
        </w:rPr>
        <w:t>idioma</w:t>
      </w:r>
      <w:r>
        <w:rPr>
          <w:spacing w:val="-18"/>
          <w:sz w:val="24"/>
        </w:rPr>
        <w:t> </w:t>
      </w:r>
      <w:r>
        <w:rPr>
          <w:sz w:val="24"/>
        </w:rPr>
        <w:t>describe</w:t>
      </w:r>
      <w:r>
        <w:rPr>
          <w:spacing w:val="-18"/>
          <w:sz w:val="24"/>
        </w:rPr>
        <w:t> </w:t>
      </w:r>
      <w:r>
        <w:rPr>
          <w:sz w:val="24"/>
        </w:rPr>
        <w:t>como un conjunto de actividades orientadas hacia la observancia de la</w:t>
      </w:r>
      <w:r>
        <w:rPr>
          <w:spacing w:val="-29"/>
          <w:sz w:val="24"/>
        </w:rPr>
        <w:t> </w:t>
      </w:r>
      <w:r>
        <w:rPr>
          <w:sz w:val="24"/>
        </w:rPr>
        <w:t>ley.</w:t>
      </w:r>
    </w:p>
    <w:p>
      <w:pPr>
        <w:pStyle w:val="BodyText"/>
      </w:pPr>
    </w:p>
    <w:p>
      <w:pPr>
        <w:pStyle w:val="BodyText"/>
        <w:spacing w:line="360" w:lineRule="auto" w:before="142"/>
        <w:ind w:left="102" w:right="116" w:firstLine="427"/>
        <w:jc w:val="both"/>
      </w:pPr>
      <w:r>
        <w:rPr/>
        <w:t>Las contralorías, entidades superiores de fiscalización, tribunales de cuentas y órganos</w:t>
      </w:r>
      <w:r>
        <w:rPr>
          <w:spacing w:val="-16"/>
        </w:rPr>
        <w:t> </w:t>
      </w:r>
      <w:r>
        <w:rPr/>
        <w:t>de</w:t>
      </w:r>
      <w:r>
        <w:rPr>
          <w:spacing w:val="-16"/>
        </w:rPr>
        <w:t> </w:t>
      </w:r>
      <w:r>
        <w:rPr/>
        <w:t>control</w:t>
      </w:r>
      <w:r>
        <w:rPr>
          <w:spacing w:val="-17"/>
        </w:rPr>
        <w:t> </w:t>
      </w:r>
      <w:r>
        <w:rPr/>
        <w:t>representan</w:t>
      </w:r>
      <w:r>
        <w:rPr>
          <w:spacing w:val="-16"/>
        </w:rPr>
        <w:t> </w:t>
      </w:r>
      <w:r>
        <w:rPr/>
        <w:t>la</w:t>
      </w:r>
      <w:r>
        <w:rPr>
          <w:spacing w:val="-18"/>
        </w:rPr>
        <w:t> </w:t>
      </w:r>
      <w:r>
        <w:rPr/>
        <w:t>disposición</w:t>
      </w:r>
      <w:r>
        <w:rPr>
          <w:spacing w:val="-18"/>
        </w:rPr>
        <w:t> </w:t>
      </w:r>
      <w:r>
        <w:rPr/>
        <w:t>del</w:t>
      </w:r>
      <w:r>
        <w:rPr>
          <w:spacing w:val="-12"/>
        </w:rPr>
        <w:t> </w:t>
      </w:r>
      <w:r>
        <w:rPr/>
        <w:t>Estado</w:t>
      </w:r>
      <w:r>
        <w:rPr>
          <w:spacing w:val="-18"/>
        </w:rPr>
        <w:t> </w:t>
      </w:r>
      <w:r>
        <w:rPr/>
        <w:t>para</w:t>
      </w:r>
      <w:r>
        <w:rPr>
          <w:spacing w:val="-16"/>
        </w:rPr>
        <w:t> </w:t>
      </w:r>
      <w:r>
        <w:rPr/>
        <w:t>rendir</w:t>
      </w:r>
      <w:r>
        <w:rPr>
          <w:spacing w:val="-18"/>
        </w:rPr>
        <w:t> </w:t>
      </w:r>
      <w:r>
        <w:rPr/>
        <w:t>cuentas,</w:t>
      </w:r>
      <w:r>
        <w:rPr>
          <w:spacing w:val="-16"/>
        </w:rPr>
        <w:t> </w:t>
      </w:r>
      <w:r>
        <w:rPr/>
        <w:t>lo</w:t>
      </w:r>
      <w:r>
        <w:rPr>
          <w:spacing w:val="-16"/>
        </w:rPr>
        <w:t> </w:t>
      </w:r>
      <w:r>
        <w:rPr/>
        <w:t>cual coadyuva al equilibrio de poderes y la</w:t>
      </w:r>
      <w:r>
        <w:rPr>
          <w:spacing w:val="-18"/>
        </w:rPr>
        <w:t> </w:t>
      </w:r>
      <w:r>
        <w:rPr/>
        <w:t>legitimación.</w:t>
      </w:r>
    </w:p>
    <w:p>
      <w:pPr>
        <w:spacing w:after="0" w:line="360" w:lineRule="auto"/>
        <w:jc w:val="both"/>
        <w:sectPr>
          <w:pgSz w:w="12240" w:h="15840"/>
          <w:pgMar w:header="0" w:footer="1003" w:top="1360" w:bottom="1200" w:left="1600" w:right="1580"/>
        </w:sectPr>
      </w:pPr>
    </w:p>
    <w:p>
      <w:pPr>
        <w:pStyle w:val="BodyText"/>
        <w:spacing w:line="360" w:lineRule="auto" w:before="54"/>
        <w:ind w:left="122" w:right="122" w:firstLine="427"/>
        <w:jc w:val="both"/>
      </w:pPr>
      <w:r>
        <w:rPr/>
        <w:t>La rendición de cuentas debe estar supeditada a la ley (normativa) y a la razón (pública). De esta forma, la rendición de cuentas se constituirá en la antítesis del poder</w:t>
      </w:r>
      <w:r>
        <w:rPr>
          <w:spacing w:val="-6"/>
        </w:rPr>
        <w:t> </w:t>
      </w:r>
      <w:r>
        <w:rPr/>
        <w:t>monopólico</w:t>
      </w:r>
      <w:r>
        <w:rPr>
          <w:spacing w:val="-5"/>
        </w:rPr>
        <w:t> </w:t>
      </w:r>
      <w:r>
        <w:rPr/>
        <w:t>del</w:t>
      </w:r>
      <w:r>
        <w:rPr>
          <w:spacing w:val="-8"/>
        </w:rPr>
        <w:t> </w:t>
      </w:r>
      <w:r>
        <w:rPr/>
        <w:t>Estado,</w:t>
      </w:r>
      <w:r>
        <w:rPr>
          <w:spacing w:val="-5"/>
        </w:rPr>
        <w:t> </w:t>
      </w:r>
      <w:r>
        <w:rPr/>
        <w:t>donde</w:t>
      </w:r>
      <w:r>
        <w:rPr>
          <w:spacing w:val="-5"/>
        </w:rPr>
        <w:t> </w:t>
      </w:r>
      <w:r>
        <w:rPr/>
        <w:t>el</w:t>
      </w:r>
      <w:r>
        <w:rPr>
          <w:spacing w:val="-6"/>
        </w:rPr>
        <w:t> </w:t>
      </w:r>
      <w:r>
        <w:rPr/>
        <w:t>Estado</w:t>
      </w:r>
      <w:r>
        <w:rPr>
          <w:spacing w:val="-5"/>
        </w:rPr>
        <w:t> </w:t>
      </w:r>
      <w:r>
        <w:rPr/>
        <w:t>se</w:t>
      </w:r>
      <w:r>
        <w:rPr>
          <w:spacing w:val="-5"/>
        </w:rPr>
        <w:t> </w:t>
      </w:r>
      <w:r>
        <w:rPr/>
        <w:t>encuentre</w:t>
      </w:r>
      <w:r>
        <w:rPr>
          <w:spacing w:val="-7"/>
        </w:rPr>
        <w:t> </w:t>
      </w:r>
      <w:r>
        <w:rPr/>
        <w:t>obligado</w:t>
      </w:r>
      <w:r>
        <w:rPr>
          <w:spacing w:val="-5"/>
        </w:rPr>
        <w:t> </w:t>
      </w:r>
      <w:r>
        <w:rPr/>
        <w:t>a</w:t>
      </w:r>
      <w:r>
        <w:rPr>
          <w:spacing w:val="-5"/>
        </w:rPr>
        <w:t> </w:t>
      </w:r>
      <w:r>
        <w:rPr/>
        <w:t>dialogar</w:t>
      </w:r>
      <w:r>
        <w:rPr>
          <w:spacing w:val="-6"/>
        </w:rPr>
        <w:t> </w:t>
      </w:r>
      <w:r>
        <w:rPr/>
        <w:t>en un debate público, entre los actores que rinden y los que exigen, controlando así al poder.</w:t>
      </w:r>
      <w:r>
        <w:rPr>
          <w:position w:val="8"/>
          <w:sz w:val="16"/>
        </w:rPr>
        <w:t>81 </w:t>
      </w:r>
      <w:r>
        <w:rPr/>
        <w:t>La exigencia de la información por parte de los ciudadanos debe ser atendida por el Estado con información precisa y confiable, por lo que la rendición de cuentas no es solo una opción ciudadana de petición de información, sino un derecho a la crítica y al</w:t>
      </w:r>
      <w:r>
        <w:rPr>
          <w:spacing w:val="-11"/>
        </w:rPr>
        <w:t> </w:t>
      </w:r>
      <w:r>
        <w:rPr/>
        <w:t>diálogo.</w:t>
      </w:r>
    </w:p>
    <w:p>
      <w:pPr>
        <w:pStyle w:val="BodyText"/>
        <w:spacing w:line="360" w:lineRule="auto" w:before="2"/>
        <w:ind w:left="122" w:right="122" w:firstLine="427"/>
        <w:jc w:val="both"/>
      </w:pPr>
      <w:r>
        <w:rPr/>
        <w:t>Aquellos ejercicios de rendición de cuentas en los que se exponen conductas inapropiadas ante los congresos o parlamentos, sin imponer las sanciones necesarias, se considera como una rendición de cuentas laxa, donde la impunidad y la corrupción hacen que la rendición de cuentas parezca más un acto de simulación, que una restricción y vigilancia del equilibrio de poderes.</w:t>
      </w:r>
    </w:p>
    <w:p>
      <w:pPr>
        <w:pStyle w:val="BodyText"/>
        <w:spacing w:line="360" w:lineRule="auto" w:before="5"/>
        <w:ind w:left="122" w:right="118" w:firstLine="427"/>
        <w:jc w:val="both"/>
      </w:pPr>
      <w:r>
        <w:rPr/>
        <w:t>La</w:t>
      </w:r>
      <w:r>
        <w:rPr>
          <w:spacing w:val="-6"/>
        </w:rPr>
        <w:t> </w:t>
      </w:r>
      <w:r>
        <w:rPr/>
        <w:t>sanción</w:t>
      </w:r>
      <w:r>
        <w:rPr>
          <w:spacing w:val="-8"/>
        </w:rPr>
        <w:t> </w:t>
      </w:r>
      <w:r>
        <w:rPr/>
        <w:t>es</w:t>
      </w:r>
      <w:r>
        <w:rPr>
          <w:spacing w:val="-9"/>
        </w:rPr>
        <w:t> </w:t>
      </w:r>
      <w:r>
        <w:rPr/>
        <w:t>una</w:t>
      </w:r>
      <w:r>
        <w:rPr>
          <w:spacing w:val="-8"/>
        </w:rPr>
        <w:t> </w:t>
      </w:r>
      <w:r>
        <w:rPr/>
        <w:t>forma</w:t>
      </w:r>
      <w:r>
        <w:rPr>
          <w:spacing w:val="-8"/>
        </w:rPr>
        <w:t> </w:t>
      </w:r>
      <w:r>
        <w:rPr/>
        <w:t>de</w:t>
      </w:r>
      <w:r>
        <w:rPr>
          <w:spacing w:val="-6"/>
        </w:rPr>
        <w:t> </w:t>
      </w:r>
      <w:r>
        <w:rPr/>
        <w:t>combatir</w:t>
      </w:r>
      <w:r>
        <w:rPr>
          <w:spacing w:val="-7"/>
        </w:rPr>
        <w:t> </w:t>
      </w:r>
      <w:r>
        <w:rPr/>
        <w:t>la</w:t>
      </w:r>
      <w:r>
        <w:rPr>
          <w:spacing w:val="-6"/>
        </w:rPr>
        <w:t> </w:t>
      </w:r>
      <w:r>
        <w:rPr/>
        <w:t>corrupción.</w:t>
      </w:r>
      <w:r>
        <w:rPr>
          <w:spacing w:val="-6"/>
        </w:rPr>
        <w:t> </w:t>
      </w:r>
      <w:r>
        <w:rPr/>
        <w:t>El</w:t>
      </w:r>
      <w:r>
        <w:rPr>
          <w:spacing w:val="-7"/>
        </w:rPr>
        <w:t> </w:t>
      </w:r>
      <w:r>
        <w:rPr/>
        <w:t>pago</w:t>
      </w:r>
      <w:r>
        <w:rPr>
          <w:spacing w:val="-6"/>
        </w:rPr>
        <w:t> </w:t>
      </w:r>
      <w:r>
        <w:rPr/>
        <w:t>de</w:t>
      </w:r>
      <w:r>
        <w:rPr>
          <w:spacing w:val="-6"/>
        </w:rPr>
        <w:t> </w:t>
      </w:r>
      <w:r>
        <w:rPr/>
        <w:t>multas</w:t>
      </w:r>
      <w:r>
        <w:rPr>
          <w:spacing w:val="-7"/>
        </w:rPr>
        <w:t> </w:t>
      </w:r>
      <w:r>
        <w:rPr/>
        <w:t>o</w:t>
      </w:r>
      <w:r>
        <w:rPr>
          <w:spacing w:val="-8"/>
        </w:rPr>
        <w:t> </w:t>
      </w:r>
      <w:r>
        <w:rPr/>
        <w:t>pisar</w:t>
      </w:r>
      <w:r>
        <w:rPr>
          <w:spacing w:val="-7"/>
        </w:rPr>
        <w:t> </w:t>
      </w:r>
      <w:r>
        <w:rPr/>
        <w:t>la cárcel son representaciones comunes de castigo; también el despido, donde la reputación</w:t>
      </w:r>
      <w:r>
        <w:rPr>
          <w:spacing w:val="-15"/>
        </w:rPr>
        <w:t> </w:t>
      </w:r>
      <w:r>
        <w:rPr/>
        <w:t>del</w:t>
      </w:r>
      <w:r>
        <w:rPr>
          <w:spacing w:val="-19"/>
        </w:rPr>
        <w:t> </w:t>
      </w:r>
      <w:r>
        <w:rPr/>
        <w:t>funcionario</w:t>
      </w:r>
      <w:r>
        <w:rPr>
          <w:spacing w:val="-14"/>
        </w:rPr>
        <w:t> </w:t>
      </w:r>
      <w:r>
        <w:rPr/>
        <w:t>puede</w:t>
      </w:r>
      <w:r>
        <w:rPr>
          <w:spacing w:val="-15"/>
        </w:rPr>
        <w:t> </w:t>
      </w:r>
      <w:r>
        <w:rPr/>
        <w:t>terminar</w:t>
      </w:r>
      <w:r>
        <w:rPr>
          <w:spacing w:val="-17"/>
        </w:rPr>
        <w:t> </w:t>
      </w:r>
      <w:r>
        <w:rPr/>
        <w:t>con</w:t>
      </w:r>
      <w:r>
        <w:rPr>
          <w:spacing w:val="-18"/>
        </w:rPr>
        <w:t> </w:t>
      </w:r>
      <w:r>
        <w:rPr/>
        <w:t>su</w:t>
      </w:r>
      <w:r>
        <w:rPr>
          <w:spacing w:val="-14"/>
        </w:rPr>
        <w:t> </w:t>
      </w:r>
      <w:r>
        <w:rPr/>
        <w:t>carrera</w:t>
      </w:r>
      <w:r>
        <w:rPr>
          <w:spacing w:val="-16"/>
        </w:rPr>
        <w:t> </w:t>
      </w:r>
      <w:r>
        <w:rPr/>
        <w:t>pública.</w:t>
      </w:r>
      <w:r>
        <w:rPr>
          <w:spacing w:val="-16"/>
        </w:rPr>
        <w:t> </w:t>
      </w:r>
      <w:r>
        <w:rPr/>
        <w:t>La</w:t>
      </w:r>
      <w:r>
        <w:rPr>
          <w:spacing w:val="-15"/>
        </w:rPr>
        <w:t> </w:t>
      </w:r>
      <w:r>
        <w:rPr/>
        <w:t>sanción</w:t>
      </w:r>
      <w:r>
        <w:rPr>
          <w:spacing w:val="-15"/>
        </w:rPr>
        <w:t> </w:t>
      </w:r>
      <w:r>
        <w:rPr/>
        <w:t>pública implica</w:t>
      </w:r>
      <w:r>
        <w:rPr>
          <w:spacing w:val="-17"/>
        </w:rPr>
        <w:t> </w:t>
      </w:r>
      <w:r>
        <w:rPr/>
        <w:t>también</w:t>
      </w:r>
      <w:r>
        <w:rPr>
          <w:spacing w:val="-18"/>
        </w:rPr>
        <w:t> </w:t>
      </w:r>
      <w:r>
        <w:rPr/>
        <w:t>una</w:t>
      </w:r>
      <w:r>
        <w:rPr>
          <w:spacing w:val="-19"/>
        </w:rPr>
        <w:t> </w:t>
      </w:r>
      <w:r>
        <w:rPr/>
        <w:t>sanción</w:t>
      </w:r>
      <w:r>
        <w:rPr>
          <w:spacing w:val="-19"/>
        </w:rPr>
        <w:t> </w:t>
      </w:r>
      <w:r>
        <w:rPr/>
        <w:t>moral,</w:t>
      </w:r>
      <w:r>
        <w:rPr>
          <w:spacing w:val="-17"/>
        </w:rPr>
        <w:t> </w:t>
      </w:r>
      <w:r>
        <w:rPr/>
        <w:t>por</w:t>
      </w:r>
      <w:r>
        <w:rPr>
          <w:spacing w:val="-18"/>
        </w:rPr>
        <w:t> </w:t>
      </w:r>
      <w:r>
        <w:rPr/>
        <w:t>lo</w:t>
      </w:r>
      <w:r>
        <w:rPr>
          <w:spacing w:val="-19"/>
        </w:rPr>
        <w:t> </w:t>
      </w:r>
      <w:r>
        <w:rPr/>
        <w:t>que</w:t>
      </w:r>
      <w:r>
        <w:rPr>
          <w:spacing w:val="-19"/>
        </w:rPr>
        <w:t> </w:t>
      </w:r>
      <w:r>
        <w:rPr/>
        <w:t>el</w:t>
      </w:r>
      <w:r>
        <w:rPr>
          <w:spacing w:val="-13"/>
        </w:rPr>
        <w:t> </w:t>
      </w:r>
      <w:r>
        <w:rPr>
          <w:i/>
        </w:rPr>
        <w:t>enforcement</w:t>
      </w:r>
      <w:r>
        <w:rPr>
          <w:i/>
          <w:spacing w:val="-18"/>
        </w:rPr>
        <w:t> </w:t>
      </w:r>
      <w:r>
        <w:rPr/>
        <w:t>es</w:t>
      </w:r>
      <w:r>
        <w:rPr>
          <w:spacing w:val="-17"/>
        </w:rPr>
        <w:t> </w:t>
      </w:r>
      <w:r>
        <w:rPr/>
        <w:t>imprescindible</w:t>
      </w:r>
      <w:r>
        <w:rPr>
          <w:spacing w:val="-19"/>
        </w:rPr>
        <w:t> </w:t>
      </w:r>
      <w:r>
        <w:rPr/>
        <w:t>para lograr la legitimidad del</w:t>
      </w:r>
      <w:r>
        <w:rPr>
          <w:spacing w:val="-6"/>
        </w:rPr>
        <w:t> </w:t>
      </w:r>
      <w:r>
        <w:rPr/>
        <w:t>Estado.</w:t>
      </w:r>
    </w:p>
    <w:p>
      <w:pPr>
        <w:pStyle w:val="BodyText"/>
        <w:spacing w:line="360" w:lineRule="auto" w:before="2"/>
        <w:ind w:left="122" w:right="119" w:firstLine="427"/>
        <w:jc w:val="both"/>
        <w:rPr>
          <w:sz w:val="16"/>
        </w:rPr>
      </w:pPr>
      <w:r>
        <w:rPr/>
        <w:t>Las instituciones fiscalizadoras que no cuentan autoridad para sancionar o no la ejercen, limitan el ejercicio pleno de la rendición de cuentas y parecen más bien instancias de </w:t>
      </w:r>
      <w:r>
        <w:rPr>
          <w:i/>
        </w:rPr>
        <w:t>accountability light</w:t>
      </w:r>
      <w:r>
        <w:rPr/>
        <w:t>, considerada una forma blanda de rendición de cuentas, lo que convierte a éstas instituciones únicamente en actos publicitarios.</w:t>
      </w:r>
      <w:r>
        <w:rPr>
          <w:position w:val="8"/>
          <w:sz w:val="16"/>
        </w:rPr>
        <w:t>82</w:t>
      </w:r>
    </w:p>
    <w:p>
      <w:pPr>
        <w:pStyle w:val="BodyText"/>
        <w:spacing w:line="360" w:lineRule="auto"/>
        <w:ind w:left="122" w:right="117" w:firstLine="427"/>
        <w:jc w:val="both"/>
      </w:pPr>
      <w:r>
        <w:rPr/>
        <w:t>Si bien un Estado debe orientar sus acciones hacia la prevención de actos de corrupción, más que castigar actos indebidos, la sofisticación de la corrupción rebasa por mucho a la norma, la ética y la voluntad de la clase política. Lo anterior sugiere una revisión de los principios de la rendición de cuentas. La rendición de cuentas contempla el principio de publicidad</w:t>
      </w:r>
      <w:r>
        <w:rPr>
          <w:position w:val="8"/>
          <w:sz w:val="16"/>
        </w:rPr>
        <w:t>83  </w:t>
      </w:r>
      <w:r>
        <w:rPr/>
        <w:t>el cual no solo se orienta a dar a</w:t>
      </w:r>
    </w:p>
    <w:p>
      <w:pPr>
        <w:pStyle w:val="BodyText"/>
        <w:rPr>
          <w:sz w:val="20"/>
        </w:rPr>
      </w:pPr>
    </w:p>
    <w:p>
      <w:pPr>
        <w:pStyle w:val="BodyText"/>
        <w:spacing w:before="6"/>
        <w:rPr>
          <w:sz w:val="17"/>
        </w:rPr>
      </w:pPr>
      <w:r>
        <w:rPr/>
        <w:pict>
          <v:line style="position:absolute;mso-position-horizontal-relative:page;mso-position-vertical-relative:paragraph;z-index:8176;mso-wrap-distance-left:0;mso-wrap-distance-right:0" from="85.103996pt,12.42542pt" to="229.123996pt,12.42542pt" stroked="true" strokeweight=".72003pt" strokecolor="#000000">
            <w10:wrap type="topAndBottom"/>
          </v:line>
        </w:pict>
      </w:r>
    </w:p>
    <w:p>
      <w:pPr>
        <w:spacing w:before="62"/>
        <w:ind w:left="122" w:right="0" w:firstLine="0"/>
        <w:jc w:val="both"/>
        <w:rPr>
          <w:sz w:val="16"/>
        </w:rPr>
      </w:pPr>
      <w:r>
        <w:rPr>
          <w:rFonts w:ascii="Times New Roman" w:hAnsi="Times New Roman"/>
          <w:position w:val="7"/>
          <w:sz w:val="13"/>
        </w:rPr>
        <w:t>81</w:t>
      </w:r>
      <w:r>
        <w:rPr>
          <w:sz w:val="16"/>
        </w:rPr>
        <w:t>La rendición de cuentas requiere de un marco legal y criterios políticos basados en la ética pública.</w:t>
      </w:r>
    </w:p>
    <w:p>
      <w:pPr>
        <w:spacing w:line="244" w:lineRule="auto" w:before="5"/>
        <w:ind w:left="122" w:right="115" w:firstLine="0"/>
        <w:jc w:val="both"/>
        <w:rPr>
          <w:sz w:val="16"/>
        </w:rPr>
      </w:pPr>
      <w:r>
        <w:rPr>
          <w:rFonts w:ascii="Times New Roman" w:hAnsi="Times New Roman"/>
          <w:position w:val="7"/>
          <w:sz w:val="13"/>
        </w:rPr>
        <w:t>82</w:t>
      </w:r>
      <w:r>
        <w:rPr>
          <w:sz w:val="16"/>
        </w:rPr>
        <w:t>José Ayala Espino (2000: 91) comentó que el problema de la rendición de cuentas surge como consecuencia de que los agentes gubernamentales tienen más información sobre la empresa que los funcionarios públicos (información asimétrica) y sus objetivos divergen: el gobierno desea maximizar su utilidad social, en tanto que el agente desea maximizar su utilidad individual y los administradores pueden eludir la vigilancia gubernamental.</w:t>
      </w:r>
    </w:p>
    <w:p>
      <w:pPr>
        <w:spacing w:line="215" w:lineRule="exact" w:before="0"/>
        <w:ind w:left="122" w:right="0" w:firstLine="0"/>
        <w:jc w:val="both"/>
        <w:rPr>
          <w:sz w:val="16"/>
        </w:rPr>
      </w:pPr>
      <w:r>
        <w:rPr>
          <w:rFonts w:ascii="Times New Roman" w:hAnsi="Times New Roman"/>
          <w:position w:val="7"/>
          <w:sz w:val="13"/>
        </w:rPr>
        <w:t>83</w:t>
      </w:r>
      <w:r>
        <w:rPr>
          <w:sz w:val="16"/>
        </w:rPr>
        <w:t>Condición o carácter de público que se da a un suceso para que sea conocido por toda la sociedad.</w:t>
      </w:r>
    </w:p>
    <w:p>
      <w:pPr>
        <w:spacing w:after="0" w:line="215" w:lineRule="exact"/>
        <w:jc w:val="both"/>
        <w:rPr>
          <w:sz w:val="16"/>
        </w:rPr>
        <w:sectPr>
          <w:pgSz w:w="12240" w:h="15840"/>
          <w:pgMar w:header="0" w:footer="1003" w:top="1360" w:bottom="1200" w:left="1580" w:right="1580"/>
        </w:sectPr>
      </w:pPr>
    </w:p>
    <w:p>
      <w:pPr>
        <w:pStyle w:val="BodyText"/>
        <w:spacing w:line="362" w:lineRule="auto" w:before="54"/>
        <w:ind w:left="122" w:right="88"/>
      </w:pPr>
      <w:r>
        <w:rPr/>
        <w:t>conocer</w:t>
      </w:r>
      <w:r>
        <w:rPr>
          <w:spacing w:val="-19"/>
        </w:rPr>
        <w:t> </w:t>
      </w:r>
      <w:r>
        <w:rPr/>
        <w:t>a</w:t>
      </w:r>
      <w:r>
        <w:rPr>
          <w:spacing w:val="-18"/>
        </w:rPr>
        <w:t> </w:t>
      </w:r>
      <w:r>
        <w:rPr/>
        <w:t>la</w:t>
      </w:r>
      <w:r>
        <w:rPr>
          <w:spacing w:val="-18"/>
        </w:rPr>
        <w:t> </w:t>
      </w:r>
      <w:r>
        <w:rPr/>
        <w:t>sociedad</w:t>
      </w:r>
      <w:r>
        <w:rPr>
          <w:spacing w:val="-20"/>
        </w:rPr>
        <w:t> </w:t>
      </w:r>
      <w:r>
        <w:rPr/>
        <w:t>sobre</w:t>
      </w:r>
      <w:r>
        <w:rPr>
          <w:spacing w:val="-19"/>
        </w:rPr>
        <w:t> </w:t>
      </w:r>
      <w:r>
        <w:rPr/>
        <w:t>los</w:t>
      </w:r>
      <w:r>
        <w:rPr>
          <w:spacing w:val="-18"/>
        </w:rPr>
        <w:t> </w:t>
      </w:r>
      <w:r>
        <w:rPr/>
        <w:t>resultados</w:t>
      </w:r>
      <w:r>
        <w:rPr>
          <w:spacing w:val="-20"/>
        </w:rPr>
        <w:t> </w:t>
      </w:r>
      <w:r>
        <w:rPr/>
        <w:t>de</w:t>
      </w:r>
      <w:r>
        <w:rPr>
          <w:spacing w:val="-20"/>
        </w:rPr>
        <w:t> </w:t>
      </w:r>
      <w:r>
        <w:rPr/>
        <w:t>esa</w:t>
      </w:r>
      <w:r>
        <w:rPr>
          <w:spacing w:val="-18"/>
        </w:rPr>
        <w:t> </w:t>
      </w:r>
      <w:r>
        <w:rPr/>
        <w:t>actividad</w:t>
      </w:r>
      <w:r>
        <w:rPr>
          <w:spacing w:val="-18"/>
        </w:rPr>
        <w:t> </w:t>
      </w:r>
      <w:r>
        <w:rPr/>
        <w:t>del</w:t>
      </w:r>
      <w:r>
        <w:rPr>
          <w:spacing w:val="-19"/>
        </w:rPr>
        <w:t> </w:t>
      </w:r>
      <w:r>
        <w:rPr/>
        <w:t>Estado,</w:t>
      </w:r>
      <w:r>
        <w:rPr>
          <w:spacing w:val="-18"/>
        </w:rPr>
        <w:t> </w:t>
      </w:r>
      <w:r>
        <w:rPr/>
        <w:t>sino</w:t>
      </w:r>
      <w:r>
        <w:rPr>
          <w:spacing w:val="-18"/>
        </w:rPr>
        <w:t> </w:t>
      </w:r>
      <w:r>
        <w:rPr/>
        <w:t>también la sanción de actos indebidos u</w:t>
      </w:r>
      <w:r>
        <w:rPr>
          <w:spacing w:val="-13"/>
        </w:rPr>
        <w:t> </w:t>
      </w:r>
      <w:r>
        <w:rPr/>
        <w:t>omisiones.</w:t>
      </w:r>
    </w:p>
    <w:p>
      <w:pPr>
        <w:pStyle w:val="BodyText"/>
        <w:spacing w:line="360" w:lineRule="auto"/>
        <w:ind w:left="122" w:right="222" w:firstLine="427"/>
        <w:jc w:val="both"/>
      </w:pPr>
      <w:r>
        <w:rPr/>
        <w:t>Un ejercicio confidencial de rendición de cuentas no tiene credibilidad; sin publicidad, el poder coercitivo del Estado queda en duda. En México, por ejemplo, las declaraciones patrimoniales que exige la Ley Federal de Responsabilidades Administrativas de los Servidores Públicos otorgan la opción de proteger los datos de los servidores públicos (confidencialidad).</w:t>
      </w:r>
    </w:p>
    <w:p>
      <w:pPr>
        <w:pStyle w:val="BodyText"/>
        <w:spacing w:line="360" w:lineRule="auto" w:before="5"/>
        <w:ind w:left="122" w:right="214" w:firstLine="427"/>
        <w:jc w:val="both"/>
      </w:pPr>
      <w:r>
        <w:rPr/>
        <w:t>Cabe</w:t>
      </w:r>
      <w:r>
        <w:rPr>
          <w:spacing w:val="-17"/>
        </w:rPr>
        <w:t> </w:t>
      </w:r>
      <w:r>
        <w:rPr/>
        <w:t>señalar</w:t>
      </w:r>
      <w:r>
        <w:rPr>
          <w:spacing w:val="-18"/>
        </w:rPr>
        <w:t> </w:t>
      </w:r>
      <w:r>
        <w:rPr/>
        <w:t>que</w:t>
      </w:r>
      <w:r>
        <w:rPr>
          <w:spacing w:val="-19"/>
        </w:rPr>
        <w:t> </w:t>
      </w:r>
      <w:r>
        <w:rPr/>
        <w:t>el</w:t>
      </w:r>
      <w:r>
        <w:rPr>
          <w:spacing w:val="-18"/>
        </w:rPr>
        <w:t> </w:t>
      </w:r>
      <w:r>
        <w:rPr/>
        <w:t>control</w:t>
      </w:r>
      <w:r>
        <w:rPr>
          <w:spacing w:val="-18"/>
        </w:rPr>
        <w:t> </w:t>
      </w:r>
      <w:r>
        <w:rPr/>
        <w:t>político</w:t>
      </w:r>
      <w:r>
        <w:rPr>
          <w:spacing w:val="-17"/>
        </w:rPr>
        <w:t> </w:t>
      </w:r>
      <w:r>
        <w:rPr/>
        <w:t>mediante</w:t>
      </w:r>
      <w:r>
        <w:rPr>
          <w:spacing w:val="-18"/>
        </w:rPr>
        <w:t> </w:t>
      </w:r>
      <w:r>
        <w:rPr/>
        <w:t>la</w:t>
      </w:r>
      <w:r>
        <w:rPr>
          <w:spacing w:val="-17"/>
        </w:rPr>
        <w:t> </w:t>
      </w:r>
      <w:r>
        <w:rPr/>
        <w:t>rendición</w:t>
      </w:r>
      <w:r>
        <w:rPr>
          <w:spacing w:val="-19"/>
        </w:rPr>
        <w:t> </w:t>
      </w:r>
      <w:r>
        <w:rPr/>
        <w:t>de</w:t>
      </w:r>
      <w:r>
        <w:rPr>
          <w:spacing w:val="-19"/>
        </w:rPr>
        <w:t> </w:t>
      </w:r>
      <w:r>
        <w:rPr/>
        <w:t>cuentas</w:t>
      </w:r>
      <w:r>
        <w:rPr>
          <w:spacing w:val="-21"/>
        </w:rPr>
        <w:t> </w:t>
      </w:r>
      <w:r>
        <w:rPr/>
        <w:t>se</w:t>
      </w:r>
      <w:r>
        <w:rPr>
          <w:spacing w:val="-17"/>
        </w:rPr>
        <w:t> </w:t>
      </w:r>
      <w:r>
        <w:rPr/>
        <w:t>clasifica en interno y externo</w:t>
      </w:r>
      <w:r>
        <w:rPr>
          <w:position w:val="8"/>
          <w:sz w:val="16"/>
        </w:rPr>
        <w:t>84 </w:t>
      </w:r>
      <w:r>
        <w:rPr/>
        <w:t>por tratarse de una función eminentemente técnica, se encomienda a las instituciones de rendición de cuentas (Solares, 2004:177)</w:t>
      </w:r>
      <w:r>
        <w:rPr>
          <w:i/>
        </w:rPr>
        <w:t>. </w:t>
      </w:r>
      <w:r>
        <w:rPr/>
        <w:t>El siguiente cuadro muestra los principales criterios normativos de la rendición de cuentas, los aspectos evaluados y a quién se</w:t>
      </w:r>
      <w:r>
        <w:rPr>
          <w:spacing w:val="-16"/>
        </w:rPr>
        <w:t> </w:t>
      </w:r>
      <w:r>
        <w:rPr/>
        <w:t>juzga.</w:t>
      </w:r>
    </w:p>
    <w:p>
      <w:pPr>
        <w:pStyle w:val="BodyText"/>
      </w:pPr>
    </w:p>
    <w:p>
      <w:pPr>
        <w:spacing w:before="158"/>
        <w:ind w:left="1876" w:right="88" w:firstLine="0"/>
        <w:jc w:val="left"/>
        <w:rPr>
          <w:sz w:val="20"/>
        </w:rPr>
      </w:pPr>
      <w:bookmarkStart w:name="_bookmark59" w:id="79"/>
      <w:bookmarkEnd w:id="79"/>
      <w:r>
        <w:rPr/>
      </w:r>
      <w:r>
        <w:rPr>
          <w:sz w:val="20"/>
        </w:rPr>
        <w:t>Cuadro 3. 3. Criterios normativos de la rendición de cuentas</w:t>
      </w:r>
    </w:p>
    <w:p>
      <w:pPr>
        <w:pStyle w:val="BodyText"/>
        <w:spacing w:before="6" w:after="1"/>
        <w:rPr>
          <w:sz w:val="17"/>
        </w:rPr>
      </w:pP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3687"/>
        <w:gridCol w:w="3118"/>
      </w:tblGrid>
      <w:tr>
        <w:trPr>
          <w:trHeight w:val="350" w:hRule="exact"/>
        </w:trPr>
        <w:tc>
          <w:tcPr>
            <w:tcW w:w="1985" w:type="dxa"/>
            <w:tcBorders>
              <w:top w:val="single" w:sz="12" w:space="0" w:color="C0C0C0"/>
              <w:left w:val="single" w:sz="12" w:space="0" w:color="C0C0C0"/>
              <w:bottom w:val="single" w:sz="12" w:space="0" w:color="C0C0C0"/>
              <w:right w:val="single" w:sz="12" w:space="0" w:color="C0C0C0"/>
            </w:tcBorders>
          </w:tcPr>
          <w:p>
            <w:pPr>
              <w:pStyle w:val="TableParagraph"/>
              <w:ind w:left="592" w:firstLine="98"/>
              <w:rPr>
                <w:b/>
                <w:sz w:val="14"/>
              </w:rPr>
            </w:pPr>
            <w:r>
              <w:rPr>
                <w:b/>
                <w:sz w:val="14"/>
              </w:rPr>
              <w:t>Criterios </w:t>
            </w:r>
            <w:r>
              <w:rPr>
                <w:b/>
                <w:w w:val="95"/>
                <w:sz w:val="14"/>
              </w:rPr>
              <w:t>Normativos</w:t>
            </w:r>
          </w:p>
        </w:tc>
        <w:tc>
          <w:tcPr>
            <w:tcW w:w="3687" w:type="dxa"/>
            <w:tcBorders>
              <w:top w:val="single" w:sz="12" w:space="0" w:color="C0C0C0"/>
              <w:left w:val="single" w:sz="12" w:space="0" w:color="C0C0C0"/>
              <w:bottom w:val="single" w:sz="12" w:space="0" w:color="C0C0C0"/>
              <w:right w:val="single" w:sz="12" w:space="0" w:color="C0C0C0"/>
            </w:tcBorders>
          </w:tcPr>
          <w:p>
            <w:pPr>
              <w:pStyle w:val="TableParagraph"/>
              <w:spacing w:before="77"/>
              <w:ind w:left="1131"/>
              <w:rPr>
                <w:b/>
                <w:sz w:val="14"/>
              </w:rPr>
            </w:pPr>
            <w:r>
              <w:rPr>
                <w:b/>
                <w:sz w:val="14"/>
              </w:rPr>
              <w:t>Aspectos que evalúa</w:t>
            </w:r>
          </w:p>
        </w:tc>
        <w:tc>
          <w:tcPr>
            <w:tcW w:w="3118" w:type="dxa"/>
            <w:tcBorders>
              <w:top w:val="single" w:sz="12" w:space="0" w:color="C0C0C0"/>
              <w:left w:val="single" w:sz="12" w:space="0" w:color="C0C0C0"/>
              <w:bottom w:val="single" w:sz="12" w:space="0" w:color="C0C0C0"/>
              <w:right w:val="single" w:sz="12" w:space="0" w:color="C0C0C0"/>
            </w:tcBorders>
          </w:tcPr>
          <w:p>
            <w:pPr>
              <w:pStyle w:val="TableParagraph"/>
              <w:spacing w:before="77"/>
              <w:ind w:left="1041" w:right="1044"/>
              <w:jc w:val="center"/>
              <w:rPr>
                <w:b/>
                <w:sz w:val="14"/>
              </w:rPr>
            </w:pPr>
            <w:r>
              <w:rPr>
                <w:b/>
                <w:sz w:val="14"/>
              </w:rPr>
              <w:t>¿Quién juzga?</w:t>
            </w:r>
          </w:p>
        </w:tc>
      </w:tr>
      <w:tr>
        <w:trPr>
          <w:trHeight w:val="826" w:hRule="exact"/>
        </w:trPr>
        <w:tc>
          <w:tcPr>
            <w:tcW w:w="1985" w:type="dxa"/>
            <w:tcBorders>
              <w:top w:val="single" w:sz="12" w:space="0" w:color="C0C0C0"/>
            </w:tcBorders>
          </w:tcPr>
          <w:p>
            <w:pPr>
              <w:pStyle w:val="TableParagraph"/>
              <w:rPr>
                <w:sz w:val="14"/>
              </w:rPr>
            </w:pPr>
          </w:p>
          <w:p>
            <w:pPr>
              <w:pStyle w:val="TableParagraph"/>
              <w:rPr>
                <w:sz w:val="14"/>
              </w:rPr>
            </w:pPr>
          </w:p>
          <w:p>
            <w:pPr>
              <w:pStyle w:val="TableParagraph"/>
              <w:ind w:left="103" w:right="146"/>
              <w:rPr>
                <w:sz w:val="14"/>
              </w:rPr>
            </w:pPr>
            <w:r>
              <w:rPr>
                <w:sz w:val="14"/>
              </w:rPr>
              <w:t>a) Políticos.</w:t>
            </w:r>
          </w:p>
        </w:tc>
        <w:tc>
          <w:tcPr>
            <w:tcW w:w="3687" w:type="dxa"/>
            <w:tcBorders>
              <w:top w:val="single" w:sz="12" w:space="0" w:color="C0C0C0"/>
            </w:tcBorders>
          </w:tcPr>
          <w:p>
            <w:pPr>
              <w:pStyle w:val="TableParagraph"/>
              <w:numPr>
                <w:ilvl w:val="0"/>
                <w:numId w:val="50"/>
              </w:numPr>
              <w:tabs>
                <w:tab w:pos="563" w:val="left" w:leader="none"/>
              </w:tabs>
              <w:spacing w:line="240" w:lineRule="auto" w:before="0" w:after="0"/>
              <w:ind w:left="562" w:right="0" w:hanging="283"/>
              <w:jc w:val="left"/>
              <w:rPr>
                <w:sz w:val="14"/>
              </w:rPr>
            </w:pPr>
            <w:r>
              <w:rPr>
                <w:sz w:val="14"/>
              </w:rPr>
              <w:t>Toma de</w:t>
            </w:r>
            <w:r>
              <w:rPr>
                <w:spacing w:val="-8"/>
                <w:sz w:val="14"/>
              </w:rPr>
              <w:t> </w:t>
            </w:r>
            <w:r>
              <w:rPr>
                <w:sz w:val="14"/>
              </w:rPr>
              <w:t>decisiones.</w:t>
            </w:r>
          </w:p>
          <w:p>
            <w:pPr>
              <w:pStyle w:val="TableParagraph"/>
              <w:numPr>
                <w:ilvl w:val="0"/>
                <w:numId w:val="50"/>
              </w:numPr>
              <w:tabs>
                <w:tab w:pos="563" w:val="left" w:leader="none"/>
              </w:tabs>
              <w:spacing w:line="240" w:lineRule="auto" w:before="0" w:after="0"/>
              <w:ind w:left="562" w:right="0" w:hanging="283"/>
              <w:jc w:val="left"/>
              <w:rPr>
                <w:sz w:val="14"/>
              </w:rPr>
            </w:pPr>
            <w:r>
              <w:rPr>
                <w:sz w:val="14"/>
              </w:rPr>
              <w:t>Resultados sustantivos de las políticas</w:t>
            </w:r>
            <w:r>
              <w:rPr>
                <w:spacing w:val="-18"/>
                <w:sz w:val="14"/>
              </w:rPr>
              <w:t> </w:t>
            </w:r>
            <w:r>
              <w:rPr>
                <w:sz w:val="14"/>
              </w:rPr>
              <w:t>públicas.</w:t>
            </w:r>
          </w:p>
          <w:p>
            <w:pPr>
              <w:pStyle w:val="TableParagraph"/>
              <w:numPr>
                <w:ilvl w:val="0"/>
                <w:numId w:val="50"/>
              </w:numPr>
              <w:tabs>
                <w:tab w:pos="563" w:val="left" w:leader="none"/>
              </w:tabs>
              <w:spacing w:line="240" w:lineRule="auto" w:before="0" w:after="0"/>
              <w:ind w:left="562" w:right="107" w:hanging="283"/>
              <w:jc w:val="left"/>
              <w:rPr>
                <w:sz w:val="14"/>
              </w:rPr>
            </w:pPr>
            <w:r>
              <w:rPr>
                <w:sz w:val="14"/>
              </w:rPr>
              <w:t>Calidades</w:t>
            </w:r>
            <w:r>
              <w:rPr>
                <w:spacing w:val="-5"/>
                <w:sz w:val="14"/>
              </w:rPr>
              <w:t> </w:t>
            </w:r>
            <w:r>
              <w:rPr>
                <w:sz w:val="14"/>
              </w:rPr>
              <w:t>y</w:t>
            </w:r>
            <w:r>
              <w:rPr>
                <w:spacing w:val="-10"/>
                <w:sz w:val="14"/>
              </w:rPr>
              <w:t> </w:t>
            </w:r>
            <w:r>
              <w:rPr>
                <w:sz w:val="14"/>
              </w:rPr>
              <w:t>capacidades</w:t>
            </w:r>
            <w:r>
              <w:rPr>
                <w:spacing w:val="-7"/>
                <w:sz w:val="14"/>
              </w:rPr>
              <w:t> </w:t>
            </w:r>
            <w:r>
              <w:rPr>
                <w:sz w:val="14"/>
              </w:rPr>
              <w:t>personales</w:t>
            </w:r>
            <w:r>
              <w:rPr>
                <w:spacing w:val="-7"/>
                <w:sz w:val="14"/>
              </w:rPr>
              <w:t> </w:t>
            </w:r>
            <w:r>
              <w:rPr>
                <w:sz w:val="14"/>
              </w:rPr>
              <w:t>de</w:t>
            </w:r>
            <w:r>
              <w:rPr>
                <w:spacing w:val="-8"/>
                <w:sz w:val="14"/>
              </w:rPr>
              <w:t> </w:t>
            </w:r>
            <w:r>
              <w:rPr>
                <w:sz w:val="14"/>
              </w:rPr>
              <w:t>políticos y</w:t>
            </w:r>
            <w:r>
              <w:rPr>
                <w:spacing w:val="-7"/>
                <w:sz w:val="14"/>
              </w:rPr>
              <w:t> </w:t>
            </w:r>
            <w:r>
              <w:rPr>
                <w:sz w:val="14"/>
              </w:rPr>
              <w:t>funcionarios.</w:t>
            </w:r>
          </w:p>
          <w:p>
            <w:pPr>
              <w:pStyle w:val="TableParagraph"/>
              <w:numPr>
                <w:ilvl w:val="0"/>
                <w:numId w:val="50"/>
              </w:numPr>
              <w:tabs>
                <w:tab w:pos="563" w:val="left" w:leader="none"/>
              </w:tabs>
              <w:spacing w:line="240" w:lineRule="auto" w:before="0" w:after="0"/>
              <w:ind w:left="562" w:right="0" w:hanging="283"/>
              <w:jc w:val="left"/>
              <w:rPr>
                <w:sz w:val="14"/>
              </w:rPr>
            </w:pPr>
            <w:r>
              <w:rPr>
                <w:sz w:val="14"/>
              </w:rPr>
              <w:t>Responsabilidad legal y</w:t>
            </w:r>
            <w:r>
              <w:rPr>
                <w:spacing w:val="-13"/>
                <w:sz w:val="14"/>
              </w:rPr>
              <w:t> </w:t>
            </w:r>
            <w:r>
              <w:rPr>
                <w:sz w:val="14"/>
              </w:rPr>
              <w:t>política.</w:t>
            </w:r>
          </w:p>
        </w:tc>
        <w:tc>
          <w:tcPr>
            <w:tcW w:w="3118" w:type="dxa"/>
            <w:tcBorders>
              <w:top w:val="single" w:sz="12" w:space="0" w:color="C0C0C0"/>
            </w:tcBorders>
          </w:tcPr>
          <w:p>
            <w:pPr>
              <w:pStyle w:val="TableParagraph"/>
              <w:numPr>
                <w:ilvl w:val="0"/>
                <w:numId w:val="51"/>
              </w:numPr>
              <w:tabs>
                <w:tab w:pos="504" w:val="left" w:leader="none"/>
              </w:tabs>
              <w:spacing w:line="240" w:lineRule="auto" w:before="0" w:after="0"/>
              <w:ind w:left="504" w:right="0" w:hanging="284"/>
              <w:jc w:val="left"/>
              <w:rPr>
                <w:sz w:val="14"/>
              </w:rPr>
            </w:pPr>
            <w:r>
              <w:rPr>
                <w:sz w:val="14"/>
              </w:rPr>
              <w:t>Sociedad.</w:t>
            </w:r>
          </w:p>
          <w:p>
            <w:pPr>
              <w:pStyle w:val="TableParagraph"/>
              <w:numPr>
                <w:ilvl w:val="0"/>
                <w:numId w:val="51"/>
              </w:numPr>
              <w:tabs>
                <w:tab w:pos="504" w:val="left" w:leader="none"/>
              </w:tabs>
              <w:spacing w:line="240" w:lineRule="auto" w:before="0" w:after="0"/>
              <w:ind w:left="504" w:right="0" w:hanging="284"/>
              <w:jc w:val="left"/>
              <w:rPr>
                <w:sz w:val="14"/>
              </w:rPr>
            </w:pPr>
            <w:r>
              <w:rPr>
                <w:sz w:val="14"/>
              </w:rPr>
              <w:t>Entidades de</w:t>
            </w:r>
            <w:r>
              <w:rPr>
                <w:spacing w:val="-13"/>
                <w:sz w:val="14"/>
              </w:rPr>
              <w:t> </w:t>
            </w:r>
            <w:r>
              <w:rPr>
                <w:sz w:val="14"/>
              </w:rPr>
              <w:t>fiscalización.</w:t>
            </w:r>
          </w:p>
          <w:p>
            <w:pPr>
              <w:pStyle w:val="TableParagraph"/>
              <w:numPr>
                <w:ilvl w:val="0"/>
                <w:numId w:val="51"/>
              </w:numPr>
              <w:tabs>
                <w:tab w:pos="504" w:val="left" w:leader="none"/>
              </w:tabs>
              <w:spacing w:line="240" w:lineRule="auto" w:before="0" w:after="0"/>
              <w:ind w:left="504" w:right="0" w:hanging="284"/>
              <w:jc w:val="left"/>
              <w:rPr>
                <w:sz w:val="14"/>
              </w:rPr>
            </w:pPr>
            <w:r>
              <w:rPr>
                <w:sz w:val="14"/>
              </w:rPr>
              <w:t>Medios de</w:t>
            </w:r>
            <w:r>
              <w:rPr>
                <w:spacing w:val="-11"/>
                <w:sz w:val="14"/>
              </w:rPr>
              <w:t> </w:t>
            </w:r>
            <w:r>
              <w:rPr>
                <w:sz w:val="14"/>
              </w:rPr>
              <w:t>comunicación.</w:t>
            </w:r>
          </w:p>
        </w:tc>
      </w:tr>
      <w:tr>
        <w:trPr>
          <w:trHeight w:val="655" w:hRule="exact"/>
        </w:trPr>
        <w:tc>
          <w:tcPr>
            <w:tcW w:w="1985" w:type="dxa"/>
          </w:tcPr>
          <w:p>
            <w:pPr>
              <w:pStyle w:val="TableParagraph"/>
              <w:spacing w:before="10"/>
              <w:rPr>
                <w:sz w:val="20"/>
              </w:rPr>
            </w:pPr>
          </w:p>
          <w:p>
            <w:pPr>
              <w:pStyle w:val="TableParagraph"/>
              <w:ind w:left="103" w:right="146"/>
              <w:rPr>
                <w:sz w:val="14"/>
              </w:rPr>
            </w:pPr>
            <w:r>
              <w:rPr>
                <w:sz w:val="14"/>
              </w:rPr>
              <w:t>b) Administrativos.</w:t>
            </w:r>
          </w:p>
        </w:tc>
        <w:tc>
          <w:tcPr>
            <w:tcW w:w="3687" w:type="dxa"/>
          </w:tcPr>
          <w:p>
            <w:pPr>
              <w:pStyle w:val="TableParagraph"/>
              <w:numPr>
                <w:ilvl w:val="0"/>
                <w:numId w:val="52"/>
              </w:numPr>
              <w:tabs>
                <w:tab w:pos="563" w:val="left" w:leader="none"/>
              </w:tabs>
              <w:spacing w:line="240" w:lineRule="auto" w:before="0" w:after="0"/>
              <w:ind w:left="562" w:right="105" w:hanging="283"/>
              <w:jc w:val="left"/>
              <w:rPr>
                <w:sz w:val="14"/>
              </w:rPr>
            </w:pPr>
            <w:r>
              <w:rPr>
                <w:sz w:val="14"/>
              </w:rPr>
              <w:t>Actos burocráticos si cumplen con los procedimientos</w:t>
            </w:r>
            <w:r>
              <w:rPr>
                <w:spacing w:val="-12"/>
                <w:sz w:val="14"/>
              </w:rPr>
              <w:t> </w:t>
            </w:r>
            <w:r>
              <w:rPr>
                <w:sz w:val="14"/>
              </w:rPr>
              <w:t>establecidos.</w:t>
            </w:r>
          </w:p>
          <w:p>
            <w:pPr>
              <w:pStyle w:val="TableParagraph"/>
              <w:numPr>
                <w:ilvl w:val="0"/>
                <w:numId w:val="52"/>
              </w:numPr>
              <w:tabs>
                <w:tab w:pos="563" w:val="left" w:leader="none"/>
              </w:tabs>
              <w:spacing w:line="242" w:lineRule="auto" w:before="0" w:after="0"/>
              <w:ind w:left="562" w:right="107" w:hanging="283"/>
              <w:jc w:val="left"/>
              <w:rPr>
                <w:sz w:val="14"/>
              </w:rPr>
            </w:pPr>
            <w:r>
              <w:rPr>
                <w:sz w:val="14"/>
              </w:rPr>
              <w:t>Que los actos se realicen con eficacia,</w:t>
            </w:r>
            <w:r>
              <w:rPr>
                <w:spacing w:val="-17"/>
                <w:sz w:val="14"/>
              </w:rPr>
              <w:t> </w:t>
            </w:r>
            <w:r>
              <w:rPr>
                <w:sz w:val="14"/>
              </w:rPr>
              <w:t>eficiencia y</w:t>
            </w:r>
            <w:r>
              <w:rPr>
                <w:spacing w:val="-6"/>
                <w:sz w:val="14"/>
              </w:rPr>
              <w:t> </w:t>
            </w:r>
            <w:r>
              <w:rPr>
                <w:sz w:val="14"/>
              </w:rPr>
              <w:t>economía.</w:t>
            </w:r>
          </w:p>
        </w:tc>
        <w:tc>
          <w:tcPr>
            <w:tcW w:w="3118" w:type="dxa"/>
          </w:tcPr>
          <w:p>
            <w:pPr>
              <w:pStyle w:val="TableParagraph"/>
              <w:numPr>
                <w:ilvl w:val="0"/>
                <w:numId w:val="53"/>
              </w:numPr>
              <w:tabs>
                <w:tab w:pos="504" w:val="left" w:leader="none"/>
              </w:tabs>
              <w:spacing w:line="159" w:lineRule="exact" w:before="0" w:after="0"/>
              <w:ind w:left="504" w:right="0" w:hanging="284"/>
              <w:jc w:val="left"/>
              <w:rPr>
                <w:sz w:val="14"/>
              </w:rPr>
            </w:pPr>
            <w:r>
              <w:rPr>
                <w:sz w:val="14"/>
              </w:rPr>
              <w:t>Agencias públicas</w:t>
            </w:r>
            <w:r>
              <w:rPr>
                <w:spacing w:val="-16"/>
                <w:sz w:val="14"/>
              </w:rPr>
              <w:t> </w:t>
            </w:r>
            <w:r>
              <w:rPr>
                <w:sz w:val="14"/>
              </w:rPr>
              <w:t>especializada.</w:t>
            </w:r>
          </w:p>
          <w:p>
            <w:pPr>
              <w:pStyle w:val="TableParagraph"/>
              <w:numPr>
                <w:ilvl w:val="0"/>
                <w:numId w:val="53"/>
              </w:numPr>
              <w:tabs>
                <w:tab w:pos="504" w:val="left" w:leader="none"/>
              </w:tabs>
              <w:spacing w:line="240" w:lineRule="auto" w:before="0" w:after="0"/>
              <w:ind w:left="504" w:right="0" w:hanging="284"/>
              <w:jc w:val="left"/>
              <w:rPr>
                <w:sz w:val="14"/>
              </w:rPr>
            </w:pPr>
            <w:r>
              <w:rPr>
                <w:sz w:val="14"/>
              </w:rPr>
              <w:t>Órganos internos de</w:t>
            </w:r>
            <w:r>
              <w:rPr>
                <w:spacing w:val="-14"/>
                <w:sz w:val="14"/>
              </w:rPr>
              <w:t> </w:t>
            </w:r>
            <w:r>
              <w:rPr>
                <w:sz w:val="14"/>
              </w:rPr>
              <w:t>control.</w:t>
            </w:r>
          </w:p>
          <w:p>
            <w:pPr>
              <w:pStyle w:val="TableParagraph"/>
              <w:numPr>
                <w:ilvl w:val="0"/>
                <w:numId w:val="53"/>
              </w:numPr>
              <w:tabs>
                <w:tab w:pos="504" w:val="left" w:leader="none"/>
              </w:tabs>
              <w:spacing w:line="242" w:lineRule="auto" w:before="0" w:after="0"/>
              <w:ind w:left="504" w:right="103" w:hanging="284"/>
              <w:jc w:val="left"/>
              <w:rPr>
                <w:sz w:val="14"/>
              </w:rPr>
            </w:pPr>
            <w:r>
              <w:rPr>
                <w:sz w:val="14"/>
              </w:rPr>
              <w:t>Entidades de fiscalización internas y externas. Auditorías exante y</w:t>
            </w:r>
            <w:r>
              <w:rPr>
                <w:spacing w:val="-13"/>
                <w:sz w:val="14"/>
              </w:rPr>
              <w:t> </w:t>
            </w:r>
            <w:r>
              <w:rPr>
                <w:sz w:val="14"/>
              </w:rPr>
              <w:t>expost.</w:t>
            </w:r>
          </w:p>
        </w:tc>
      </w:tr>
      <w:tr>
        <w:trPr>
          <w:trHeight w:val="492" w:hRule="exact"/>
        </w:trPr>
        <w:tc>
          <w:tcPr>
            <w:tcW w:w="1985" w:type="dxa"/>
          </w:tcPr>
          <w:p>
            <w:pPr>
              <w:pStyle w:val="TableParagraph"/>
              <w:spacing w:before="9"/>
              <w:rPr>
                <w:sz w:val="13"/>
              </w:rPr>
            </w:pPr>
          </w:p>
          <w:p>
            <w:pPr>
              <w:pStyle w:val="TableParagraph"/>
              <w:ind w:left="103" w:right="146"/>
              <w:rPr>
                <w:sz w:val="14"/>
              </w:rPr>
            </w:pPr>
            <w:r>
              <w:rPr>
                <w:sz w:val="14"/>
              </w:rPr>
              <w:t>c) Profesionales.</w:t>
            </w:r>
          </w:p>
        </w:tc>
        <w:tc>
          <w:tcPr>
            <w:tcW w:w="3687" w:type="dxa"/>
          </w:tcPr>
          <w:p>
            <w:pPr>
              <w:pStyle w:val="TableParagraph"/>
              <w:tabs>
                <w:tab w:pos="1171" w:val="left" w:leader="none"/>
                <w:tab w:pos="1502" w:val="left" w:leader="none"/>
                <w:tab w:pos="2347" w:val="left" w:leader="none"/>
                <w:tab w:pos="2726" w:val="left" w:leader="none"/>
                <w:tab w:pos="3414" w:val="left" w:leader="none"/>
              </w:tabs>
              <w:ind w:left="562" w:right="104" w:hanging="284"/>
              <w:rPr>
                <w:sz w:val="14"/>
              </w:rPr>
            </w:pPr>
            <w:r>
              <w:rPr>
                <w:sz w:val="14"/>
              </w:rPr>
              <w:t>1.   </w:t>
            </w:r>
            <w:r>
              <w:rPr>
                <w:spacing w:val="9"/>
                <w:sz w:val="14"/>
              </w:rPr>
              <w:t> </w:t>
            </w:r>
            <w:r>
              <w:rPr>
                <w:sz w:val="14"/>
              </w:rPr>
              <w:t>Vigilar</w:t>
              <w:tab/>
              <w:t>la</w:t>
              <w:tab/>
              <w:t>aplicación</w:t>
              <w:tab/>
              <w:t>de</w:t>
              <w:tab/>
              <w:t>normas</w:t>
              <w:tab/>
              <w:t>de profesionalismo.</w:t>
            </w:r>
          </w:p>
        </w:tc>
        <w:tc>
          <w:tcPr>
            <w:tcW w:w="3118" w:type="dxa"/>
          </w:tcPr>
          <w:p>
            <w:pPr>
              <w:pStyle w:val="TableParagraph"/>
              <w:numPr>
                <w:ilvl w:val="0"/>
                <w:numId w:val="54"/>
              </w:numPr>
              <w:tabs>
                <w:tab w:pos="504" w:val="left" w:leader="none"/>
              </w:tabs>
              <w:spacing w:line="159" w:lineRule="exact" w:before="0" w:after="0"/>
              <w:ind w:left="504" w:right="0" w:hanging="284"/>
              <w:jc w:val="left"/>
              <w:rPr>
                <w:sz w:val="14"/>
              </w:rPr>
            </w:pPr>
            <w:r>
              <w:rPr>
                <w:sz w:val="14"/>
              </w:rPr>
              <w:t>Entidades</w:t>
            </w:r>
            <w:r>
              <w:rPr>
                <w:spacing w:val="-8"/>
                <w:sz w:val="14"/>
              </w:rPr>
              <w:t> </w:t>
            </w:r>
            <w:r>
              <w:rPr>
                <w:sz w:val="14"/>
              </w:rPr>
              <w:t>públicas.</w:t>
            </w:r>
          </w:p>
          <w:p>
            <w:pPr>
              <w:pStyle w:val="TableParagraph"/>
              <w:numPr>
                <w:ilvl w:val="0"/>
                <w:numId w:val="54"/>
              </w:numPr>
              <w:tabs>
                <w:tab w:pos="504" w:val="left" w:leader="none"/>
              </w:tabs>
              <w:spacing w:line="240" w:lineRule="auto" w:before="0" w:after="0"/>
              <w:ind w:left="504" w:right="0" w:hanging="284"/>
              <w:jc w:val="left"/>
              <w:rPr>
                <w:sz w:val="14"/>
              </w:rPr>
            </w:pPr>
            <w:r>
              <w:rPr>
                <w:sz w:val="14"/>
              </w:rPr>
              <w:t>Medios de</w:t>
            </w:r>
            <w:r>
              <w:rPr>
                <w:spacing w:val="-11"/>
                <w:sz w:val="14"/>
              </w:rPr>
              <w:t> </w:t>
            </w:r>
            <w:r>
              <w:rPr>
                <w:sz w:val="14"/>
              </w:rPr>
              <w:t>comunicación.</w:t>
            </w:r>
          </w:p>
          <w:p>
            <w:pPr>
              <w:pStyle w:val="TableParagraph"/>
              <w:numPr>
                <w:ilvl w:val="0"/>
                <w:numId w:val="54"/>
              </w:numPr>
              <w:tabs>
                <w:tab w:pos="504" w:val="left" w:leader="none"/>
              </w:tabs>
              <w:spacing w:line="240" w:lineRule="auto" w:before="0" w:after="0"/>
              <w:ind w:left="504" w:right="0" w:hanging="284"/>
              <w:jc w:val="left"/>
              <w:rPr>
                <w:sz w:val="14"/>
              </w:rPr>
            </w:pPr>
            <w:r>
              <w:rPr>
                <w:sz w:val="14"/>
              </w:rPr>
              <w:t>Entidades de</w:t>
            </w:r>
            <w:r>
              <w:rPr>
                <w:spacing w:val="-13"/>
                <w:sz w:val="14"/>
              </w:rPr>
              <w:t> </w:t>
            </w:r>
            <w:r>
              <w:rPr>
                <w:sz w:val="14"/>
              </w:rPr>
              <w:t>fiscalización.</w:t>
            </w:r>
          </w:p>
        </w:tc>
      </w:tr>
      <w:tr>
        <w:trPr>
          <w:trHeight w:val="492" w:hRule="exact"/>
        </w:trPr>
        <w:tc>
          <w:tcPr>
            <w:tcW w:w="1985" w:type="dxa"/>
          </w:tcPr>
          <w:p>
            <w:pPr>
              <w:pStyle w:val="TableParagraph"/>
              <w:spacing w:before="80"/>
              <w:ind w:left="103" w:right="146"/>
              <w:rPr>
                <w:sz w:val="14"/>
              </w:rPr>
            </w:pPr>
            <w:r>
              <w:rPr>
                <w:sz w:val="14"/>
              </w:rPr>
              <w:t>d) Legales y </w:t>
            </w:r>
            <w:r>
              <w:rPr>
                <w:w w:val="95"/>
                <w:sz w:val="14"/>
              </w:rPr>
              <w:t>constitucionales.</w:t>
            </w:r>
          </w:p>
        </w:tc>
        <w:tc>
          <w:tcPr>
            <w:tcW w:w="3687" w:type="dxa"/>
          </w:tcPr>
          <w:p>
            <w:pPr>
              <w:pStyle w:val="TableParagraph"/>
              <w:numPr>
                <w:ilvl w:val="0"/>
                <w:numId w:val="55"/>
              </w:numPr>
              <w:tabs>
                <w:tab w:pos="563" w:val="left" w:leader="none"/>
              </w:tabs>
              <w:spacing w:line="159" w:lineRule="exact" w:before="0" w:after="0"/>
              <w:ind w:left="562" w:right="0" w:hanging="283"/>
              <w:jc w:val="left"/>
              <w:rPr>
                <w:sz w:val="14"/>
              </w:rPr>
            </w:pPr>
            <w:r>
              <w:rPr>
                <w:sz w:val="14"/>
              </w:rPr>
              <w:t>Cumplimiento de las</w:t>
            </w:r>
            <w:r>
              <w:rPr>
                <w:spacing w:val="-11"/>
                <w:sz w:val="14"/>
              </w:rPr>
              <w:t> </w:t>
            </w:r>
            <w:r>
              <w:rPr>
                <w:sz w:val="14"/>
              </w:rPr>
              <w:t>leyes.</w:t>
            </w:r>
          </w:p>
          <w:p>
            <w:pPr>
              <w:pStyle w:val="TableParagraph"/>
              <w:numPr>
                <w:ilvl w:val="0"/>
                <w:numId w:val="55"/>
              </w:numPr>
              <w:tabs>
                <w:tab w:pos="563" w:val="left" w:leader="none"/>
              </w:tabs>
              <w:spacing w:line="240" w:lineRule="auto" w:before="0" w:after="0"/>
              <w:ind w:left="562" w:right="109" w:hanging="283"/>
              <w:jc w:val="left"/>
              <w:rPr>
                <w:sz w:val="14"/>
              </w:rPr>
            </w:pPr>
            <w:r>
              <w:rPr>
                <w:sz w:val="14"/>
              </w:rPr>
              <w:t>Que los actos legislativos sean acordes con las constituciones.</w:t>
            </w:r>
          </w:p>
        </w:tc>
        <w:tc>
          <w:tcPr>
            <w:tcW w:w="3118" w:type="dxa"/>
          </w:tcPr>
          <w:p>
            <w:pPr>
              <w:pStyle w:val="TableParagraph"/>
              <w:numPr>
                <w:ilvl w:val="0"/>
                <w:numId w:val="56"/>
              </w:numPr>
              <w:tabs>
                <w:tab w:pos="504" w:val="left" w:leader="none"/>
              </w:tabs>
              <w:spacing w:line="159" w:lineRule="exact" w:before="0" w:after="0"/>
              <w:ind w:left="504" w:right="0" w:hanging="284"/>
              <w:jc w:val="left"/>
              <w:rPr>
                <w:sz w:val="14"/>
              </w:rPr>
            </w:pPr>
            <w:r>
              <w:rPr>
                <w:sz w:val="14"/>
              </w:rPr>
              <w:t>Cortes</w:t>
            </w:r>
            <w:r>
              <w:rPr>
                <w:spacing w:val="-10"/>
                <w:sz w:val="14"/>
              </w:rPr>
              <w:t> </w:t>
            </w:r>
            <w:r>
              <w:rPr>
                <w:sz w:val="14"/>
              </w:rPr>
              <w:t>judiciales.</w:t>
            </w:r>
          </w:p>
          <w:p>
            <w:pPr>
              <w:pStyle w:val="TableParagraph"/>
              <w:numPr>
                <w:ilvl w:val="0"/>
                <w:numId w:val="56"/>
              </w:numPr>
              <w:tabs>
                <w:tab w:pos="504" w:val="left" w:leader="none"/>
              </w:tabs>
              <w:spacing w:line="240" w:lineRule="auto" w:before="0" w:after="0"/>
              <w:ind w:left="504" w:right="0" w:hanging="284"/>
              <w:jc w:val="left"/>
              <w:rPr>
                <w:sz w:val="14"/>
              </w:rPr>
            </w:pPr>
            <w:r>
              <w:rPr>
                <w:sz w:val="14"/>
              </w:rPr>
              <w:t>Entidades de</w:t>
            </w:r>
            <w:r>
              <w:rPr>
                <w:spacing w:val="-11"/>
                <w:sz w:val="14"/>
              </w:rPr>
              <w:t> </w:t>
            </w:r>
            <w:r>
              <w:rPr>
                <w:sz w:val="14"/>
              </w:rPr>
              <w:t>Fiscalización.</w:t>
            </w:r>
          </w:p>
        </w:tc>
      </w:tr>
      <w:tr>
        <w:trPr>
          <w:trHeight w:val="655" w:hRule="exact"/>
        </w:trPr>
        <w:tc>
          <w:tcPr>
            <w:tcW w:w="1985" w:type="dxa"/>
          </w:tcPr>
          <w:p>
            <w:pPr>
              <w:pStyle w:val="TableParagraph"/>
              <w:spacing w:before="10"/>
              <w:rPr>
                <w:sz w:val="20"/>
              </w:rPr>
            </w:pPr>
          </w:p>
          <w:p>
            <w:pPr>
              <w:pStyle w:val="TableParagraph"/>
              <w:ind w:left="103" w:right="146"/>
              <w:rPr>
                <w:sz w:val="14"/>
              </w:rPr>
            </w:pPr>
            <w:r>
              <w:rPr>
                <w:sz w:val="14"/>
              </w:rPr>
              <w:t>e) Financieros.</w:t>
            </w:r>
          </w:p>
        </w:tc>
        <w:tc>
          <w:tcPr>
            <w:tcW w:w="3687" w:type="dxa"/>
          </w:tcPr>
          <w:p>
            <w:pPr>
              <w:pStyle w:val="TableParagraph"/>
              <w:numPr>
                <w:ilvl w:val="0"/>
                <w:numId w:val="57"/>
              </w:numPr>
              <w:tabs>
                <w:tab w:pos="563" w:val="left" w:leader="none"/>
              </w:tabs>
              <w:spacing w:line="240" w:lineRule="auto" w:before="0" w:after="0"/>
              <w:ind w:left="562" w:right="0" w:hanging="283"/>
              <w:jc w:val="left"/>
              <w:rPr>
                <w:sz w:val="14"/>
              </w:rPr>
            </w:pPr>
            <w:r>
              <w:rPr>
                <w:sz w:val="14"/>
              </w:rPr>
              <w:t>Legalidad</w:t>
            </w:r>
            <w:r>
              <w:rPr>
                <w:spacing w:val="-8"/>
                <w:sz w:val="14"/>
              </w:rPr>
              <w:t> </w:t>
            </w:r>
            <w:r>
              <w:rPr>
                <w:sz w:val="14"/>
              </w:rPr>
              <w:t>vigente.</w:t>
            </w:r>
          </w:p>
          <w:p>
            <w:pPr>
              <w:pStyle w:val="TableParagraph"/>
              <w:numPr>
                <w:ilvl w:val="0"/>
                <w:numId w:val="57"/>
              </w:numPr>
              <w:tabs>
                <w:tab w:pos="563" w:val="left" w:leader="none"/>
              </w:tabs>
              <w:spacing w:line="240" w:lineRule="auto" w:before="0" w:after="0"/>
              <w:ind w:left="562" w:right="0" w:hanging="283"/>
              <w:jc w:val="left"/>
              <w:rPr>
                <w:sz w:val="14"/>
              </w:rPr>
            </w:pPr>
            <w:r>
              <w:rPr>
                <w:sz w:val="14"/>
              </w:rPr>
              <w:t>Transparencia.</w:t>
            </w:r>
          </w:p>
          <w:p>
            <w:pPr>
              <w:pStyle w:val="TableParagraph"/>
              <w:numPr>
                <w:ilvl w:val="0"/>
                <w:numId w:val="57"/>
              </w:numPr>
              <w:tabs>
                <w:tab w:pos="563" w:val="left" w:leader="none"/>
              </w:tabs>
              <w:spacing w:line="240" w:lineRule="auto" w:before="0" w:after="0"/>
              <w:ind w:left="562" w:right="0" w:hanging="283"/>
              <w:jc w:val="left"/>
              <w:rPr>
                <w:sz w:val="14"/>
              </w:rPr>
            </w:pPr>
            <w:r>
              <w:rPr>
                <w:sz w:val="14"/>
              </w:rPr>
              <w:t>Austeridad.</w:t>
            </w:r>
          </w:p>
          <w:p>
            <w:pPr>
              <w:pStyle w:val="TableParagraph"/>
              <w:numPr>
                <w:ilvl w:val="0"/>
                <w:numId w:val="57"/>
              </w:numPr>
              <w:tabs>
                <w:tab w:pos="563" w:val="left" w:leader="none"/>
              </w:tabs>
              <w:spacing w:line="240" w:lineRule="auto" w:before="0" w:after="0"/>
              <w:ind w:left="562" w:right="0" w:hanging="283"/>
              <w:jc w:val="left"/>
              <w:rPr>
                <w:sz w:val="14"/>
              </w:rPr>
            </w:pPr>
            <w:r>
              <w:rPr>
                <w:sz w:val="14"/>
              </w:rPr>
              <w:t>Eficiencia</w:t>
            </w:r>
            <w:r>
              <w:rPr>
                <w:spacing w:val="-9"/>
                <w:sz w:val="14"/>
              </w:rPr>
              <w:t> </w:t>
            </w:r>
            <w:r>
              <w:rPr>
                <w:sz w:val="14"/>
              </w:rPr>
              <w:t>razonable.</w:t>
            </w:r>
          </w:p>
        </w:tc>
        <w:tc>
          <w:tcPr>
            <w:tcW w:w="3118" w:type="dxa"/>
          </w:tcPr>
          <w:p>
            <w:pPr>
              <w:pStyle w:val="TableParagraph"/>
              <w:numPr>
                <w:ilvl w:val="0"/>
                <w:numId w:val="58"/>
              </w:numPr>
              <w:tabs>
                <w:tab w:pos="504" w:val="left" w:leader="none"/>
              </w:tabs>
              <w:spacing w:line="240" w:lineRule="auto" w:before="0" w:after="0"/>
              <w:ind w:left="504" w:right="0" w:hanging="284"/>
              <w:jc w:val="left"/>
              <w:rPr>
                <w:sz w:val="14"/>
              </w:rPr>
            </w:pPr>
            <w:r>
              <w:rPr>
                <w:sz w:val="14"/>
              </w:rPr>
              <w:t>Entidades</w:t>
            </w:r>
            <w:r>
              <w:rPr>
                <w:spacing w:val="-8"/>
                <w:sz w:val="14"/>
              </w:rPr>
              <w:t> </w:t>
            </w:r>
            <w:r>
              <w:rPr>
                <w:sz w:val="14"/>
              </w:rPr>
              <w:t>públicas.</w:t>
            </w:r>
          </w:p>
          <w:p>
            <w:pPr>
              <w:pStyle w:val="TableParagraph"/>
              <w:numPr>
                <w:ilvl w:val="0"/>
                <w:numId w:val="58"/>
              </w:numPr>
              <w:tabs>
                <w:tab w:pos="504" w:val="left" w:leader="none"/>
              </w:tabs>
              <w:spacing w:line="240" w:lineRule="auto" w:before="0" w:after="0"/>
              <w:ind w:left="504" w:right="0" w:hanging="284"/>
              <w:jc w:val="left"/>
              <w:rPr>
                <w:sz w:val="14"/>
              </w:rPr>
            </w:pPr>
            <w:r>
              <w:rPr>
                <w:sz w:val="14"/>
              </w:rPr>
              <w:t>Medios de</w:t>
            </w:r>
            <w:r>
              <w:rPr>
                <w:spacing w:val="-11"/>
                <w:sz w:val="14"/>
              </w:rPr>
              <w:t> </w:t>
            </w:r>
            <w:r>
              <w:rPr>
                <w:sz w:val="14"/>
              </w:rPr>
              <w:t>comunicación.</w:t>
            </w:r>
          </w:p>
          <w:p>
            <w:pPr>
              <w:pStyle w:val="TableParagraph"/>
              <w:numPr>
                <w:ilvl w:val="0"/>
                <w:numId w:val="58"/>
              </w:numPr>
              <w:tabs>
                <w:tab w:pos="504" w:val="left" w:leader="none"/>
              </w:tabs>
              <w:spacing w:line="240" w:lineRule="auto" w:before="0" w:after="0"/>
              <w:ind w:left="504" w:right="0" w:hanging="284"/>
              <w:jc w:val="left"/>
              <w:rPr>
                <w:sz w:val="14"/>
              </w:rPr>
            </w:pPr>
            <w:r>
              <w:rPr>
                <w:sz w:val="14"/>
              </w:rPr>
              <w:t>Entidades de</w:t>
            </w:r>
            <w:r>
              <w:rPr>
                <w:spacing w:val="-13"/>
                <w:sz w:val="14"/>
              </w:rPr>
              <w:t> </w:t>
            </w:r>
            <w:r>
              <w:rPr>
                <w:sz w:val="14"/>
              </w:rPr>
              <w:t>fiscalización.</w:t>
            </w:r>
          </w:p>
        </w:tc>
      </w:tr>
      <w:tr>
        <w:trPr>
          <w:trHeight w:val="653" w:hRule="exact"/>
        </w:trPr>
        <w:tc>
          <w:tcPr>
            <w:tcW w:w="1985" w:type="dxa"/>
          </w:tcPr>
          <w:p>
            <w:pPr>
              <w:pStyle w:val="TableParagraph"/>
              <w:spacing w:before="10"/>
              <w:rPr>
                <w:sz w:val="20"/>
              </w:rPr>
            </w:pPr>
          </w:p>
          <w:p>
            <w:pPr>
              <w:pStyle w:val="TableParagraph"/>
              <w:ind w:left="103" w:right="146"/>
              <w:rPr>
                <w:sz w:val="14"/>
              </w:rPr>
            </w:pPr>
            <w:r>
              <w:rPr>
                <w:sz w:val="14"/>
              </w:rPr>
              <w:t>f) Éticos-morales.</w:t>
            </w:r>
          </w:p>
        </w:tc>
        <w:tc>
          <w:tcPr>
            <w:tcW w:w="3687" w:type="dxa"/>
          </w:tcPr>
          <w:p>
            <w:pPr>
              <w:pStyle w:val="TableParagraph"/>
              <w:numPr>
                <w:ilvl w:val="0"/>
                <w:numId w:val="59"/>
              </w:numPr>
              <w:tabs>
                <w:tab w:pos="563" w:val="left" w:leader="none"/>
              </w:tabs>
              <w:spacing w:line="240" w:lineRule="auto" w:before="0" w:after="0"/>
              <w:ind w:left="562" w:right="207" w:hanging="283"/>
              <w:jc w:val="left"/>
              <w:rPr>
                <w:sz w:val="14"/>
              </w:rPr>
            </w:pPr>
            <w:r>
              <w:rPr>
                <w:sz w:val="14"/>
              </w:rPr>
              <w:t>Que la actuación sea de acuerdo con las normas sociales prevalecientes,</w:t>
            </w:r>
            <w:r>
              <w:rPr>
                <w:spacing w:val="-17"/>
                <w:sz w:val="14"/>
              </w:rPr>
              <w:t> </w:t>
            </w:r>
            <w:r>
              <w:rPr>
                <w:sz w:val="14"/>
              </w:rPr>
              <w:t>independiente de las normas</w:t>
            </w:r>
            <w:r>
              <w:rPr>
                <w:spacing w:val="-9"/>
                <w:sz w:val="14"/>
              </w:rPr>
              <w:t> </w:t>
            </w:r>
            <w:r>
              <w:rPr>
                <w:sz w:val="14"/>
              </w:rPr>
              <w:t>legales.</w:t>
            </w:r>
          </w:p>
          <w:p>
            <w:pPr>
              <w:pStyle w:val="TableParagraph"/>
              <w:numPr>
                <w:ilvl w:val="0"/>
                <w:numId w:val="59"/>
              </w:numPr>
              <w:tabs>
                <w:tab w:pos="563" w:val="left" w:leader="none"/>
              </w:tabs>
              <w:spacing w:line="240" w:lineRule="auto" w:before="0" w:after="0"/>
              <w:ind w:left="562" w:right="0" w:hanging="283"/>
              <w:jc w:val="left"/>
              <w:rPr>
                <w:sz w:val="14"/>
              </w:rPr>
            </w:pPr>
            <w:r>
              <w:rPr>
                <w:sz w:val="14"/>
              </w:rPr>
              <w:t>Códigos de ética para los servidores</w:t>
            </w:r>
            <w:r>
              <w:rPr>
                <w:spacing w:val="-16"/>
                <w:sz w:val="14"/>
              </w:rPr>
              <w:t> </w:t>
            </w:r>
            <w:r>
              <w:rPr>
                <w:sz w:val="14"/>
              </w:rPr>
              <w:t>públicos.</w:t>
            </w:r>
          </w:p>
        </w:tc>
        <w:tc>
          <w:tcPr>
            <w:tcW w:w="3118" w:type="dxa"/>
          </w:tcPr>
          <w:p>
            <w:pPr>
              <w:pStyle w:val="TableParagraph"/>
              <w:numPr>
                <w:ilvl w:val="0"/>
                <w:numId w:val="60"/>
              </w:numPr>
              <w:tabs>
                <w:tab w:pos="504" w:val="left" w:leader="none"/>
              </w:tabs>
              <w:spacing w:line="159" w:lineRule="exact" w:before="0" w:after="0"/>
              <w:ind w:left="504" w:right="0" w:hanging="284"/>
              <w:jc w:val="left"/>
              <w:rPr>
                <w:sz w:val="14"/>
              </w:rPr>
            </w:pPr>
            <w:r>
              <w:rPr>
                <w:sz w:val="14"/>
              </w:rPr>
              <w:t>Sociedad.</w:t>
            </w:r>
          </w:p>
          <w:p>
            <w:pPr>
              <w:pStyle w:val="TableParagraph"/>
              <w:numPr>
                <w:ilvl w:val="0"/>
                <w:numId w:val="60"/>
              </w:numPr>
              <w:tabs>
                <w:tab w:pos="504" w:val="left" w:leader="none"/>
              </w:tabs>
              <w:spacing w:line="240" w:lineRule="auto" w:before="0" w:after="0"/>
              <w:ind w:left="504" w:right="0" w:hanging="284"/>
              <w:jc w:val="left"/>
              <w:rPr>
                <w:sz w:val="14"/>
              </w:rPr>
            </w:pPr>
            <w:r>
              <w:rPr>
                <w:sz w:val="14"/>
              </w:rPr>
              <w:t>Medios de</w:t>
            </w:r>
            <w:r>
              <w:rPr>
                <w:spacing w:val="-11"/>
                <w:sz w:val="14"/>
              </w:rPr>
              <w:t> </w:t>
            </w:r>
            <w:r>
              <w:rPr>
                <w:sz w:val="14"/>
              </w:rPr>
              <w:t>comunicación.</w:t>
            </w:r>
          </w:p>
        </w:tc>
      </w:tr>
    </w:tbl>
    <w:p>
      <w:pPr>
        <w:pStyle w:val="BodyText"/>
        <w:spacing w:before="10"/>
        <w:rPr>
          <w:sz w:val="6"/>
        </w:rPr>
      </w:pPr>
    </w:p>
    <w:p>
      <w:pPr>
        <w:spacing w:before="80"/>
        <w:ind w:left="122" w:right="88" w:firstLine="0"/>
        <w:jc w:val="left"/>
        <w:rPr>
          <w:sz w:val="16"/>
        </w:rPr>
      </w:pPr>
      <w:r>
        <w:rPr>
          <w:sz w:val="16"/>
        </w:rPr>
        <w:t>FUENTE: Schedler (2005).</w:t>
      </w:r>
    </w:p>
    <w:p>
      <w:pPr>
        <w:pStyle w:val="BodyText"/>
        <w:rPr>
          <w:sz w:val="16"/>
        </w:rPr>
      </w:pPr>
    </w:p>
    <w:p>
      <w:pPr>
        <w:pStyle w:val="BodyText"/>
        <w:spacing w:line="355" w:lineRule="auto" w:before="107"/>
        <w:ind w:left="122" w:right="88" w:firstLine="427"/>
        <w:rPr>
          <w:sz w:val="16"/>
        </w:rPr>
      </w:pPr>
      <w:r>
        <w:rPr/>
        <w:t>Precisando</w:t>
      </w:r>
      <w:r>
        <w:rPr>
          <w:spacing w:val="-12"/>
        </w:rPr>
        <w:t> </w:t>
      </w:r>
      <w:r>
        <w:rPr/>
        <w:t>el</w:t>
      </w:r>
      <w:r>
        <w:rPr>
          <w:spacing w:val="-13"/>
        </w:rPr>
        <w:t> </w:t>
      </w:r>
      <w:r>
        <w:rPr/>
        <w:t>contenido</w:t>
      </w:r>
      <w:r>
        <w:rPr>
          <w:spacing w:val="-12"/>
        </w:rPr>
        <w:t> </w:t>
      </w:r>
      <w:r>
        <w:rPr/>
        <w:t>de</w:t>
      </w:r>
      <w:r>
        <w:rPr>
          <w:spacing w:val="-12"/>
        </w:rPr>
        <w:t> </w:t>
      </w:r>
      <w:r>
        <w:rPr/>
        <w:t>la</w:t>
      </w:r>
      <w:r>
        <w:rPr>
          <w:spacing w:val="-12"/>
        </w:rPr>
        <w:t> </w:t>
      </w:r>
      <w:r>
        <w:rPr/>
        <w:t>rendición</w:t>
      </w:r>
      <w:r>
        <w:rPr>
          <w:spacing w:val="-12"/>
        </w:rPr>
        <w:t> </w:t>
      </w:r>
      <w:r>
        <w:rPr/>
        <w:t>de</w:t>
      </w:r>
      <w:r>
        <w:rPr>
          <w:spacing w:val="-12"/>
        </w:rPr>
        <w:t> </w:t>
      </w:r>
      <w:r>
        <w:rPr/>
        <w:t>cuentas,</w:t>
      </w:r>
      <w:r>
        <w:rPr>
          <w:spacing w:val="-12"/>
        </w:rPr>
        <w:t> </w:t>
      </w:r>
      <w:r>
        <w:rPr/>
        <w:t>enseguida</w:t>
      </w:r>
      <w:r>
        <w:rPr>
          <w:spacing w:val="-11"/>
        </w:rPr>
        <w:t> </w:t>
      </w:r>
      <w:r>
        <w:rPr/>
        <w:t>se</w:t>
      </w:r>
      <w:r>
        <w:rPr>
          <w:spacing w:val="-14"/>
        </w:rPr>
        <w:t> </w:t>
      </w:r>
      <w:r>
        <w:rPr/>
        <w:t>enlistan</w:t>
      </w:r>
      <w:r>
        <w:rPr>
          <w:spacing w:val="-12"/>
        </w:rPr>
        <w:t> </w:t>
      </w:r>
      <w:r>
        <w:rPr/>
        <w:t>cinco características del mismo:</w:t>
      </w:r>
      <w:r>
        <w:rPr>
          <w:spacing w:val="-10"/>
        </w:rPr>
        <w:t> </w:t>
      </w:r>
      <w:r>
        <w:rPr>
          <w:position w:val="8"/>
          <w:sz w:val="16"/>
        </w:rPr>
        <w:t>85</w:t>
      </w:r>
    </w:p>
    <w:p>
      <w:pPr>
        <w:pStyle w:val="BodyText"/>
        <w:rPr>
          <w:sz w:val="20"/>
        </w:rPr>
      </w:pPr>
    </w:p>
    <w:p>
      <w:pPr>
        <w:pStyle w:val="BodyText"/>
        <w:spacing w:before="8"/>
        <w:rPr>
          <w:sz w:val="15"/>
        </w:rPr>
      </w:pPr>
      <w:r>
        <w:rPr/>
        <w:pict>
          <v:line style="position:absolute;mso-position-horizontal-relative:page;mso-position-vertical-relative:paragraph;z-index:8200;mso-wrap-distance-left:0;mso-wrap-distance-right:0" from="85.103996pt,11.381112pt" to="229.123996pt,11.381112pt" stroked="true" strokeweight=".72003pt" strokecolor="#000000">
            <w10:wrap type="topAndBottom"/>
          </v:line>
        </w:pict>
      </w:r>
    </w:p>
    <w:p>
      <w:pPr>
        <w:spacing w:line="247" w:lineRule="auto" w:before="62"/>
        <w:ind w:left="122" w:right="216" w:firstLine="0"/>
        <w:jc w:val="both"/>
        <w:rPr>
          <w:sz w:val="16"/>
        </w:rPr>
      </w:pPr>
      <w:r>
        <w:rPr>
          <w:rFonts w:ascii="Times New Roman" w:hAnsi="Times New Roman"/>
          <w:position w:val="7"/>
          <w:sz w:val="13"/>
        </w:rPr>
        <w:t>84</w:t>
      </w:r>
      <w:r>
        <w:rPr>
          <w:sz w:val="16"/>
        </w:rPr>
        <w:t>El control externo de la administración pública es aquella fiscalización que realizan instituciones independientes del Poder Ejecutivo (por lo general pertenecen al Poder Legislativo o son órganos constitucionalmente autónomos); mientras que el control interno está a cargo de los órganos internos de control pertenecientes al Poder Ejecutivo.</w:t>
      </w:r>
    </w:p>
    <w:p>
      <w:pPr>
        <w:spacing w:line="196" w:lineRule="exact" w:before="22"/>
        <w:ind w:left="122" w:right="88" w:firstLine="0"/>
        <w:jc w:val="left"/>
        <w:rPr>
          <w:sz w:val="16"/>
        </w:rPr>
      </w:pPr>
      <w:r>
        <w:rPr>
          <w:rFonts w:ascii="Times New Roman"/>
          <w:position w:val="7"/>
          <w:sz w:val="13"/>
        </w:rPr>
        <w:t>85</w:t>
      </w:r>
      <w:r>
        <w:rPr>
          <w:sz w:val="16"/>
        </w:rPr>
        <w:t>Disponible en: </w:t>
      </w:r>
      <w:hyperlink r:id="rId157">
        <w:r>
          <w:rPr>
            <w:color w:val="0000FF"/>
            <w:sz w:val="16"/>
            <w:u w:val="single" w:color="0000FF"/>
          </w:rPr>
          <w:t>http://www.eumed.net/tesis/2008/mash/RENDICION%20DE%20CUENTAS%20Y%20DEMOCRACIA.htm</w:t>
        </w:r>
      </w:hyperlink>
      <w:r>
        <w:rPr>
          <w:color w:val="0000FF"/>
          <w:sz w:val="16"/>
          <w:u w:val="single" w:color="0000FF"/>
        </w:rPr>
        <w:t> </w:t>
      </w:r>
      <w:r>
        <w:rPr>
          <w:sz w:val="16"/>
        </w:rPr>
        <w:t>[Fecha de consulta: 26 de agosto, 2015]</w:t>
      </w:r>
    </w:p>
    <w:p>
      <w:pPr>
        <w:spacing w:after="0" w:line="196" w:lineRule="exact"/>
        <w:jc w:val="left"/>
        <w:rPr>
          <w:sz w:val="16"/>
        </w:rPr>
        <w:sectPr>
          <w:pgSz w:w="12240" w:h="15840"/>
          <w:pgMar w:header="0" w:footer="1003" w:top="1360" w:bottom="1200" w:left="1580" w:right="1480"/>
        </w:sectPr>
      </w:pPr>
    </w:p>
    <w:p>
      <w:pPr>
        <w:pStyle w:val="ListParagraph"/>
        <w:numPr>
          <w:ilvl w:val="0"/>
          <w:numId w:val="61"/>
        </w:numPr>
        <w:tabs>
          <w:tab w:pos="702" w:val="left" w:leader="none"/>
        </w:tabs>
        <w:spacing w:line="360" w:lineRule="auto" w:before="54" w:after="0"/>
        <w:ind w:left="702" w:right="122" w:hanging="360"/>
        <w:jc w:val="both"/>
        <w:rPr>
          <w:sz w:val="24"/>
        </w:rPr>
      </w:pPr>
      <w:r>
        <w:rPr>
          <w:sz w:val="24"/>
        </w:rPr>
        <w:t>Delegación: La rendición de cuentas implica delegación de autoridad y responsabilidad de un sujeto “A”, llamado “mandante o principal”, a otro sujeto “B”, llamado “mandatario o</w:t>
      </w:r>
      <w:r>
        <w:rPr>
          <w:spacing w:val="-15"/>
          <w:sz w:val="24"/>
        </w:rPr>
        <w:t> </w:t>
      </w:r>
      <w:r>
        <w:rPr>
          <w:sz w:val="24"/>
        </w:rPr>
        <w:t>agente”.</w:t>
      </w:r>
    </w:p>
    <w:p>
      <w:pPr>
        <w:pStyle w:val="BodyText"/>
      </w:pPr>
    </w:p>
    <w:p>
      <w:pPr>
        <w:pStyle w:val="ListParagraph"/>
        <w:numPr>
          <w:ilvl w:val="0"/>
          <w:numId w:val="61"/>
        </w:numPr>
        <w:tabs>
          <w:tab w:pos="702" w:val="left" w:leader="none"/>
        </w:tabs>
        <w:spacing w:line="360" w:lineRule="auto" w:before="142" w:after="0"/>
        <w:ind w:left="702" w:right="125" w:hanging="360"/>
        <w:jc w:val="both"/>
        <w:rPr>
          <w:sz w:val="24"/>
        </w:rPr>
      </w:pPr>
      <w:r>
        <w:rPr>
          <w:sz w:val="24"/>
        </w:rPr>
        <w:t>Representación: La delegación de autoridad significa que el agente (sujeto B), representa al principal (sujeto A) y actúa en su nombre, por lo que debe rendirle cuentas a todo lo que decide y hace en su</w:t>
      </w:r>
      <w:r>
        <w:rPr>
          <w:spacing w:val="-24"/>
          <w:sz w:val="24"/>
        </w:rPr>
        <w:t> </w:t>
      </w:r>
      <w:r>
        <w:rPr>
          <w:sz w:val="24"/>
        </w:rPr>
        <w:t>nombre.</w:t>
      </w:r>
    </w:p>
    <w:p>
      <w:pPr>
        <w:pStyle w:val="BodyText"/>
      </w:pPr>
    </w:p>
    <w:p>
      <w:pPr>
        <w:pStyle w:val="BodyText"/>
      </w:pPr>
    </w:p>
    <w:p>
      <w:pPr>
        <w:pStyle w:val="ListParagraph"/>
        <w:numPr>
          <w:ilvl w:val="0"/>
          <w:numId w:val="61"/>
        </w:numPr>
        <w:tabs>
          <w:tab w:pos="702" w:val="left" w:leader="none"/>
        </w:tabs>
        <w:spacing w:line="360" w:lineRule="auto" w:before="142" w:after="0"/>
        <w:ind w:left="702" w:right="118" w:hanging="360"/>
        <w:jc w:val="both"/>
        <w:rPr>
          <w:sz w:val="24"/>
        </w:rPr>
      </w:pPr>
      <w:r>
        <w:rPr>
          <w:sz w:val="24"/>
        </w:rPr>
        <w:t>Responsabilidad</w:t>
      </w:r>
      <w:r>
        <w:rPr>
          <w:spacing w:val="-18"/>
          <w:sz w:val="24"/>
        </w:rPr>
        <w:t> </w:t>
      </w:r>
      <w:r>
        <w:rPr>
          <w:sz w:val="24"/>
        </w:rPr>
        <w:t>mutua:</w:t>
      </w:r>
      <w:r>
        <w:rPr>
          <w:spacing w:val="-15"/>
          <w:sz w:val="24"/>
        </w:rPr>
        <w:t> </w:t>
      </w:r>
      <w:r>
        <w:rPr>
          <w:sz w:val="24"/>
        </w:rPr>
        <w:t>La</w:t>
      </w:r>
      <w:r>
        <w:rPr>
          <w:spacing w:val="-15"/>
          <w:sz w:val="24"/>
        </w:rPr>
        <w:t> </w:t>
      </w:r>
      <w:r>
        <w:rPr>
          <w:sz w:val="24"/>
        </w:rPr>
        <w:t>rendición</w:t>
      </w:r>
      <w:r>
        <w:rPr>
          <w:spacing w:val="-17"/>
          <w:sz w:val="24"/>
        </w:rPr>
        <w:t> </w:t>
      </w:r>
      <w:r>
        <w:rPr>
          <w:sz w:val="24"/>
        </w:rPr>
        <w:t>de</w:t>
      </w:r>
      <w:r>
        <w:rPr>
          <w:spacing w:val="-15"/>
          <w:sz w:val="24"/>
        </w:rPr>
        <w:t> </w:t>
      </w:r>
      <w:r>
        <w:rPr>
          <w:sz w:val="24"/>
        </w:rPr>
        <w:t>cuentas</w:t>
      </w:r>
      <w:r>
        <w:rPr>
          <w:spacing w:val="-16"/>
          <w:sz w:val="24"/>
        </w:rPr>
        <w:t> </w:t>
      </w:r>
      <w:r>
        <w:rPr>
          <w:sz w:val="24"/>
        </w:rPr>
        <w:t>implica</w:t>
      </w:r>
      <w:r>
        <w:rPr>
          <w:spacing w:val="-18"/>
          <w:sz w:val="24"/>
        </w:rPr>
        <w:t> </w:t>
      </w:r>
      <w:r>
        <w:rPr>
          <w:sz w:val="24"/>
        </w:rPr>
        <w:t>una</w:t>
      </w:r>
      <w:r>
        <w:rPr>
          <w:spacing w:val="-17"/>
          <w:sz w:val="24"/>
        </w:rPr>
        <w:t> </w:t>
      </w:r>
      <w:r>
        <w:rPr>
          <w:sz w:val="24"/>
        </w:rPr>
        <w:t>responsabilidad dual. Por un lado, la obligación permanente del agente (B) para ofrecer información detallada de sus actos a su principal (A); y, por lo tanto, la capacidad y derecho del principal para monitorear las acciones del agente y detectar el posible incumplimiento y su</w:t>
      </w:r>
      <w:r>
        <w:rPr>
          <w:spacing w:val="-13"/>
          <w:sz w:val="24"/>
        </w:rPr>
        <w:t> </w:t>
      </w:r>
      <w:r>
        <w:rPr>
          <w:sz w:val="24"/>
        </w:rPr>
        <w:t>sanción.</w:t>
      </w:r>
    </w:p>
    <w:p>
      <w:pPr>
        <w:pStyle w:val="BodyText"/>
      </w:pPr>
    </w:p>
    <w:p>
      <w:pPr>
        <w:pStyle w:val="ListParagraph"/>
        <w:numPr>
          <w:ilvl w:val="0"/>
          <w:numId w:val="61"/>
        </w:numPr>
        <w:tabs>
          <w:tab w:pos="702" w:val="left" w:leader="none"/>
        </w:tabs>
        <w:spacing w:line="360" w:lineRule="auto" w:before="142" w:after="0"/>
        <w:ind w:left="702" w:right="117" w:hanging="360"/>
        <w:jc w:val="both"/>
        <w:rPr>
          <w:sz w:val="24"/>
        </w:rPr>
      </w:pPr>
      <w:r>
        <w:rPr>
          <w:sz w:val="24"/>
        </w:rPr>
        <w:t>Contrato: La delegación de autoridad implica un tipo de contrato, ya sea formal o informal. En el caso formal las sanciones son la cárcel, desafuero, sanciones penales, económicas o administrativas, principalmente, mientras que en el informal implica sanciones como el rechazo social, la desacreditación pública, el descrédito y exilio social. En el ámbito público la mayoría de los contratos son formales y escritos (leyes, reglamentos, estatutos) y cuando hay incumplimiento, establecen sanciones formales de tipo administrativo, civil, penal o</w:t>
      </w:r>
      <w:r>
        <w:rPr>
          <w:spacing w:val="-15"/>
          <w:sz w:val="24"/>
        </w:rPr>
        <w:t> </w:t>
      </w:r>
      <w:r>
        <w:rPr>
          <w:sz w:val="24"/>
        </w:rPr>
        <w:t>político.</w:t>
      </w:r>
    </w:p>
    <w:p>
      <w:pPr>
        <w:pStyle w:val="BodyText"/>
      </w:pPr>
    </w:p>
    <w:p>
      <w:pPr>
        <w:pStyle w:val="BodyText"/>
      </w:pPr>
    </w:p>
    <w:p>
      <w:pPr>
        <w:pStyle w:val="ListParagraph"/>
        <w:numPr>
          <w:ilvl w:val="0"/>
          <w:numId w:val="61"/>
        </w:numPr>
        <w:tabs>
          <w:tab w:pos="702" w:val="left" w:leader="none"/>
        </w:tabs>
        <w:spacing w:line="360" w:lineRule="auto" w:before="142" w:after="0"/>
        <w:ind w:left="702" w:right="119" w:hanging="360"/>
        <w:jc w:val="both"/>
        <w:rPr>
          <w:sz w:val="24"/>
        </w:rPr>
      </w:pPr>
      <w:r>
        <w:rPr>
          <w:sz w:val="24"/>
        </w:rPr>
        <w:t>Sanciones: Cuando la rendición de cuentas muestra que el agente (B) incumplió sus responsabilidades, el principal (A) tiene mecanismos para imponerle castigos y sanciones al agente</w:t>
      </w:r>
      <w:r>
        <w:rPr>
          <w:spacing w:val="-16"/>
          <w:sz w:val="24"/>
        </w:rPr>
        <w:t> </w:t>
      </w:r>
      <w:r>
        <w:rPr>
          <w:sz w:val="24"/>
        </w:rPr>
        <w:t>(B).</w:t>
      </w:r>
    </w:p>
    <w:p>
      <w:pPr>
        <w:spacing w:after="0" w:line="360" w:lineRule="auto"/>
        <w:jc w:val="both"/>
        <w:rPr>
          <w:sz w:val="24"/>
        </w:rPr>
        <w:sectPr>
          <w:pgSz w:w="12240" w:h="15840"/>
          <w:pgMar w:header="0" w:footer="1003" w:top="1360" w:bottom="1200" w:left="1720" w:right="1580"/>
        </w:sectPr>
      </w:pPr>
    </w:p>
    <w:p>
      <w:pPr>
        <w:pStyle w:val="Heading3"/>
        <w:numPr>
          <w:ilvl w:val="2"/>
          <w:numId w:val="62"/>
        </w:numPr>
        <w:tabs>
          <w:tab w:pos="724" w:val="left" w:leader="none"/>
        </w:tabs>
        <w:spacing w:line="240" w:lineRule="auto" w:before="54" w:after="0"/>
        <w:ind w:left="182" w:right="0" w:hanging="60"/>
        <w:jc w:val="both"/>
      </w:pPr>
      <w:bookmarkStart w:name="_bookmark60" w:id="80"/>
      <w:bookmarkEnd w:id="80"/>
      <w:r>
        <w:rPr>
          <w:b w:val="0"/>
        </w:rPr>
      </w:r>
      <w:bookmarkStart w:name="_bookmark60" w:id="81"/>
      <w:bookmarkEnd w:id="81"/>
      <w:r>
        <w:rPr/>
        <w:t>Mo</w:t>
      </w:r>
      <w:r>
        <w:rPr/>
        <w:t>delos institucionales de rendición de cuentas en el</w:t>
      </w:r>
      <w:r>
        <w:rPr>
          <w:spacing w:val="-13"/>
        </w:rPr>
        <w:t> </w:t>
      </w:r>
      <w:r>
        <w:rPr/>
        <w:t>mundo</w:t>
      </w:r>
    </w:p>
    <w:p>
      <w:pPr>
        <w:pStyle w:val="BodyText"/>
        <w:rPr>
          <w:b/>
        </w:rPr>
      </w:pPr>
    </w:p>
    <w:p>
      <w:pPr>
        <w:pStyle w:val="BodyText"/>
        <w:spacing w:before="4"/>
        <w:rPr>
          <w:b/>
          <w:sz w:val="32"/>
        </w:rPr>
      </w:pPr>
    </w:p>
    <w:p>
      <w:pPr>
        <w:pStyle w:val="BodyText"/>
        <w:spacing w:line="360" w:lineRule="auto"/>
        <w:ind w:left="122" w:right="116"/>
        <w:jc w:val="both"/>
      </w:pPr>
      <w:r>
        <w:rPr/>
        <w:t>En</w:t>
      </w:r>
      <w:r>
        <w:rPr>
          <w:spacing w:val="-9"/>
        </w:rPr>
        <w:t> </w:t>
      </w:r>
      <w:r>
        <w:rPr/>
        <w:t>el</w:t>
      </w:r>
      <w:r>
        <w:rPr>
          <w:spacing w:val="-11"/>
        </w:rPr>
        <w:t> </w:t>
      </w:r>
      <w:r>
        <w:rPr/>
        <w:t>mundo</w:t>
      </w:r>
      <w:r>
        <w:rPr>
          <w:spacing w:val="-9"/>
        </w:rPr>
        <w:t> </w:t>
      </w:r>
      <w:r>
        <w:rPr/>
        <w:t>existen</w:t>
      </w:r>
      <w:r>
        <w:rPr>
          <w:spacing w:val="-9"/>
        </w:rPr>
        <w:t> </w:t>
      </w:r>
      <w:r>
        <w:rPr/>
        <w:t>entidades</w:t>
      </w:r>
      <w:r>
        <w:rPr>
          <w:spacing w:val="-10"/>
        </w:rPr>
        <w:t> </w:t>
      </w:r>
      <w:r>
        <w:rPr/>
        <w:t>responsables</w:t>
      </w:r>
      <w:r>
        <w:rPr>
          <w:spacing w:val="-12"/>
        </w:rPr>
        <w:t> </w:t>
      </w:r>
      <w:r>
        <w:rPr/>
        <w:t>de</w:t>
      </w:r>
      <w:r>
        <w:rPr>
          <w:spacing w:val="-9"/>
        </w:rPr>
        <w:t> </w:t>
      </w:r>
      <w:r>
        <w:rPr/>
        <w:t>la</w:t>
      </w:r>
      <w:r>
        <w:rPr>
          <w:spacing w:val="-10"/>
        </w:rPr>
        <w:t> </w:t>
      </w:r>
      <w:r>
        <w:rPr/>
        <w:t>rendición</w:t>
      </w:r>
      <w:r>
        <w:rPr>
          <w:spacing w:val="-9"/>
        </w:rPr>
        <w:t> </w:t>
      </w:r>
      <w:r>
        <w:rPr/>
        <w:t>de</w:t>
      </w:r>
      <w:r>
        <w:rPr>
          <w:spacing w:val="-9"/>
        </w:rPr>
        <w:t> </w:t>
      </w:r>
      <w:r>
        <w:rPr/>
        <w:t>cuentas,</w:t>
      </w:r>
      <w:r>
        <w:rPr>
          <w:spacing w:val="-10"/>
        </w:rPr>
        <w:t> </w:t>
      </w:r>
      <w:r>
        <w:rPr/>
        <w:t>que</w:t>
      </w:r>
      <w:r>
        <w:rPr>
          <w:spacing w:val="-9"/>
        </w:rPr>
        <w:t> </w:t>
      </w:r>
      <w:r>
        <w:rPr/>
        <w:t>varían de</w:t>
      </w:r>
      <w:r>
        <w:rPr>
          <w:spacing w:val="-11"/>
        </w:rPr>
        <w:t> </w:t>
      </w:r>
      <w:r>
        <w:rPr/>
        <w:t>acuerdo</w:t>
      </w:r>
      <w:r>
        <w:rPr>
          <w:spacing w:val="-11"/>
        </w:rPr>
        <w:t> </w:t>
      </w:r>
      <w:r>
        <w:rPr/>
        <w:t>con</w:t>
      </w:r>
      <w:r>
        <w:rPr>
          <w:spacing w:val="-11"/>
        </w:rPr>
        <w:t> </w:t>
      </w:r>
      <w:r>
        <w:rPr/>
        <w:t>el</w:t>
      </w:r>
      <w:r>
        <w:rPr>
          <w:spacing w:val="-12"/>
        </w:rPr>
        <w:t> </w:t>
      </w:r>
      <w:r>
        <w:rPr/>
        <w:t>diseño</w:t>
      </w:r>
      <w:r>
        <w:rPr>
          <w:spacing w:val="-11"/>
        </w:rPr>
        <w:t> </w:t>
      </w:r>
      <w:r>
        <w:rPr/>
        <w:t>institucional</w:t>
      </w:r>
      <w:r>
        <w:rPr>
          <w:spacing w:val="-12"/>
        </w:rPr>
        <w:t> </w:t>
      </w:r>
      <w:r>
        <w:rPr/>
        <w:t>establecido</w:t>
      </w:r>
      <w:r>
        <w:rPr>
          <w:spacing w:val="-10"/>
        </w:rPr>
        <w:t> </w:t>
      </w:r>
      <w:r>
        <w:rPr/>
        <w:t>por</w:t>
      </w:r>
      <w:r>
        <w:rPr>
          <w:spacing w:val="-12"/>
        </w:rPr>
        <w:t> </w:t>
      </w:r>
      <w:r>
        <w:rPr/>
        <w:t>su</w:t>
      </w:r>
      <w:r>
        <w:rPr>
          <w:spacing w:val="-11"/>
        </w:rPr>
        <w:t> </w:t>
      </w:r>
      <w:r>
        <w:rPr/>
        <w:t>Estado,</w:t>
      </w:r>
      <w:r>
        <w:rPr>
          <w:spacing w:val="-11"/>
        </w:rPr>
        <w:t> </w:t>
      </w:r>
      <w:r>
        <w:rPr/>
        <w:t>con</w:t>
      </w:r>
      <w:r>
        <w:rPr>
          <w:spacing w:val="-11"/>
        </w:rPr>
        <w:t> </w:t>
      </w:r>
      <w:r>
        <w:rPr/>
        <w:t>la</w:t>
      </w:r>
      <w:r>
        <w:rPr>
          <w:spacing w:val="-11"/>
        </w:rPr>
        <w:t> </w:t>
      </w:r>
      <w:r>
        <w:rPr/>
        <w:t>oportunidad de la revisión (previo al ejercicio fiscal, </w:t>
      </w:r>
      <w:r>
        <w:rPr>
          <w:i/>
        </w:rPr>
        <w:t>ex ante </w:t>
      </w:r>
      <w:r>
        <w:rPr/>
        <w:t>o posterior al mismo, </w:t>
      </w:r>
      <w:r>
        <w:rPr>
          <w:i/>
        </w:rPr>
        <w:t>ex post</w:t>
      </w:r>
      <w:r>
        <w:rPr/>
        <w:t>) y con las modalidades para informar los resultados de auditoría entre países (revisión entre pares). Entre los aspectos que en lo general están presentes destacan: la denominación</w:t>
      </w:r>
      <w:r>
        <w:rPr>
          <w:spacing w:val="-15"/>
        </w:rPr>
        <w:t> </w:t>
      </w:r>
      <w:r>
        <w:rPr/>
        <w:t>de</w:t>
      </w:r>
      <w:r>
        <w:rPr>
          <w:spacing w:val="-13"/>
        </w:rPr>
        <w:t> </w:t>
      </w:r>
      <w:r>
        <w:rPr/>
        <w:t>la</w:t>
      </w:r>
      <w:r>
        <w:rPr>
          <w:spacing w:val="-16"/>
        </w:rPr>
        <w:t> </w:t>
      </w:r>
      <w:r>
        <w:rPr/>
        <w:t>entidad</w:t>
      </w:r>
      <w:r>
        <w:rPr>
          <w:spacing w:val="-15"/>
        </w:rPr>
        <w:t> </w:t>
      </w:r>
      <w:r>
        <w:rPr/>
        <w:t>de</w:t>
      </w:r>
      <w:r>
        <w:rPr>
          <w:spacing w:val="-18"/>
        </w:rPr>
        <w:t> </w:t>
      </w:r>
      <w:r>
        <w:rPr/>
        <w:t>fiscalización,</w:t>
      </w:r>
      <w:r>
        <w:rPr>
          <w:spacing w:val="-13"/>
        </w:rPr>
        <w:t> </w:t>
      </w:r>
      <w:r>
        <w:rPr/>
        <w:t>la</w:t>
      </w:r>
      <w:r>
        <w:rPr>
          <w:spacing w:val="-15"/>
        </w:rPr>
        <w:t> </w:t>
      </w:r>
      <w:r>
        <w:rPr/>
        <w:t>designación,</w:t>
      </w:r>
      <w:r>
        <w:rPr>
          <w:spacing w:val="-16"/>
        </w:rPr>
        <w:t> </w:t>
      </w:r>
      <w:r>
        <w:rPr/>
        <w:t>la</w:t>
      </w:r>
      <w:r>
        <w:rPr>
          <w:spacing w:val="-16"/>
        </w:rPr>
        <w:t> </w:t>
      </w:r>
      <w:r>
        <w:rPr/>
        <w:t>duración</w:t>
      </w:r>
      <w:r>
        <w:rPr>
          <w:spacing w:val="-16"/>
        </w:rPr>
        <w:t> </w:t>
      </w:r>
      <w:r>
        <w:rPr/>
        <w:t>en</w:t>
      </w:r>
      <w:r>
        <w:rPr>
          <w:spacing w:val="-15"/>
        </w:rPr>
        <w:t> </w:t>
      </w:r>
      <w:r>
        <w:rPr/>
        <w:t>su</w:t>
      </w:r>
      <w:r>
        <w:rPr>
          <w:spacing w:val="-15"/>
        </w:rPr>
        <w:t> </w:t>
      </w:r>
      <w:r>
        <w:rPr/>
        <w:t>cargo, la</w:t>
      </w:r>
      <w:r>
        <w:rPr>
          <w:spacing w:val="-9"/>
        </w:rPr>
        <w:t> </w:t>
      </w:r>
      <w:r>
        <w:rPr/>
        <w:t>autonomía</w:t>
      </w:r>
      <w:r>
        <w:rPr>
          <w:spacing w:val="-8"/>
        </w:rPr>
        <w:t> </w:t>
      </w:r>
      <w:r>
        <w:rPr/>
        <w:t>para</w:t>
      </w:r>
      <w:r>
        <w:rPr>
          <w:spacing w:val="-9"/>
        </w:rPr>
        <w:t> </w:t>
      </w:r>
      <w:r>
        <w:rPr/>
        <w:t>determinar</w:t>
      </w:r>
      <w:r>
        <w:rPr>
          <w:spacing w:val="-10"/>
        </w:rPr>
        <w:t> </w:t>
      </w:r>
      <w:r>
        <w:rPr/>
        <w:t>sus</w:t>
      </w:r>
      <w:r>
        <w:rPr>
          <w:spacing w:val="-9"/>
        </w:rPr>
        <w:t> </w:t>
      </w:r>
      <w:r>
        <w:rPr/>
        <w:t>programas,</w:t>
      </w:r>
      <w:r>
        <w:rPr>
          <w:spacing w:val="-11"/>
        </w:rPr>
        <w:t> </w:t>
      </w:r>
      <w:r>
        <w:rPr/>
        <w:t>la</w:t>
      </w:r>
      <w:r>
        <w:rPr>
          <w:spacing w:val="-9"/>
        </w:rPr>
        <w:t> </w:t>
      </w:r>
      <w:r>
        <w:rPr/>
        <w:t>profundidad</w:t>
      </w:r>
      <w:r>
        <w:rPr>
          <w:spacing w:val="-8"/>
        </w:rPr>
        <w:t> </w:t>
      </w:r>
      <w:r>
        <w:rPr/>
        <w:t>de</w:t>
      </w:r>
      <w:r>
        <w:rPr>
          <w:spacing w:val="-8"/>
        </w:rPr>
        <w:t> </w:t>
      </w:r>
      <w:r>
        <w:rPr/>
        <w:t>la</w:t>
      </w:r>
      <w:r>
        <w:rPr>
          <w:spacing w:val="-11"/>
        </w:rPr>
        <w:t> </w:t>
      </w:r>
      <w:r>
        <w:rPr/>
        <w:t>fiscalización</w:t>
      </w:r>
      <w:r>
        <w:rPr>
          <w:spacing w:val="-8"/>
        </w:rPr>
        <w:t> </w:t>
      </w:r>
      <w:r>
        <w:rPr/>
        <w:t>y</w:t>
      </w:r>
      <w:r>
        <w:rPr>
          <w:spacing w:val="-9"/>
        </w:rPr>
        <w:t> </w:t>
      </w:r>
      <w:r>
        <w:rPr/>
        <w:t>su dependencia del Poder</w:t>
      </w:r>
      <w:r>
        <w:rPr>
          <w:spacing w:val="-19"/>
        </w:rPr>
        <w:t> </w:t>
      </w:r>
      <w:r>
        <w:rPr/>
        <w:t>Legislativo.</w:t>
      </w:r>
    </w:p>
    <w:p>
      <w:pPr>
        <w:pStyle w:val="BodyText"/>
      </w:pPr>
    </w:p>
    <w:p>
      <w:pPr>
        <w:pStyle w:val="BodyText"/>
        <w:spacing w:line="360" w:lineRule="auto" w:before="142"/>
        <w:ind w:left="122" w:right="118" w:firstLine="427"/>
        <w:jc w:val="both"/>
        <w:rPr>
          <w:sz w:val="16"/>
        </w:rPr>
      </w:pPr>
      <w:r>
        <w:rPr/>
        <w:t>En</w:t>
      </w:r>
      <w:r>
        <w:rPr>
          <w:spacing w:val="-17"/>
        </w:rPr>
        <w:t> </w:t>
      </w:r>
      <w:r>
        <w:rPr/>
        <w:t>algunos</w:t>
      </w:r>
      <w:r>
        <w:rPr>
          <w:spacing w:val="-17"/>
        </w:rPr>
        <w:t> </w:t>
      </w:r>
      <w:r>
        <w:rPr/>
        <w:t>países</w:t>
      </w:r>
      <w:r>
        <w:rPr>
          <w:spacing w:val="-17"/>
        </w:rPr>
        <w:t> </w:t>
      </w:r>
      <w:r>
        <w:rPr/>
        <w:t>a</w:t>
      </w:r>
      <w:r>
        <w:rPr>
          <w:spacing w:val="-14"/>
        </w:rPr>
        <w:t> </w:t>
      </w:r>
      <w:r>
        <w:rPr/>
        <w:t>las</w:t>
      </w:r>
      <w:r>
        <w:rPr>
          <w:spacing w:val="-15"/>
        </w:rPr>
        <w:t> </w:t>
      </w:r>
      <w:r>
        <w:rPr/>
        <w:t>Entidades</w:t>
      </w:r>
      <w:r>
        <w:rPr>
          <w:spacing w:val="-17"/>
        </w:rPr>
        <w:t> </w:t>
      </w:r>
      <w:r>
        <w:rPr/>
        <w:t>de</w:t>
      </w:r>
      <w:r>
        <w:rPr>
          <w:spacing w:val="-14"/>
        </w:rPr>
        <w:t> </w:t>
      </w:r>
      <w:r>
        <w:rPr/>
        <w:t>Fiscalización</w:t>
      </w:r>
      <w:r>
        <w:rPr>
          <w:spacing w:val="-16"/>
        </w:rPr>
        <w:t> </w:t>
      </w:r>
      <w:r>
        <w:rPr/>
        <w:t>Superior</w:t>
      </w:r>
      <w:r>
        <w:rPr>
          <w:spacing w:val="-16"/>
        </w:rPr>
        <w:t> </w:t>
      </w:r>
      <w:r>
        <w:rPr/>
        <w:t>(EFS)</w:t>
      </w:r>
      <w:r>
        <w:rPr>
          <w:spacing w:val="-15"/>
        </w:rPr>
        <w:t> </w:t>
      </w:r>
      <w:r>
        <w:rPr/>
        <w:t>se</w:t>
      </w:r>
      <w:r>
        <w:rPr>
          <w:spacing w:val="-14"/>
        </w:rPr>
        <w:t> </w:t>
      </w:r>
      <w:r>
        <w:rPr/>
        <w:t>les</w:t>
      </w:r>
      <w:r>
        <w:rPr>
          <w:spacing w:val="-17"/>
        </w:rPr>
        <w:t> </w:t>
      </w:r>
      <w:r>
        <w:rPr/>
        <w:t>otorga la categoría de </w:t>
      </w:r>
      <w:r>
        <w:rPr>
          <w:i/>
        </w:rPr>
        <w:t>superiores </w:t>
      </w:r>
      <w:r>
        <w:rPr/>
        <w:t>en razón de que son la máxima instancia de revisión o fiscalización</w:t>
      </w:r>
      <w:r>
        <w:rPr>
          <w:spacing w:val="-7"/>
        </w:rPr>
        <w:t> </w:t>
      </w:r>
      <w:r>
        <w:rPr/>
        <w:t>de</w:t>
      </w:r>
      <w:r>
        <w:rPr>
          <w:spacing w:val="-7"/>
        </w:rPr>
        <w:t> </w:t>
      </w:r>
      <w:r>
        <w:rPr/>
        <w:t>las</w:t>
      </w:r>
      <w:r>
        <w:rPr>
          <w:spacing w:val="-7"/>
        </w:rPr>
        <w:t> </w:t>
      </w:r>
      <w:r>
        <w:rPr/>
        <w:t>cuentas</w:t>
      </w:r>
      <w:r>
        <w:rPr>
          <w:spacing w:val="-8"/>
        </w:rPr>
        <w:t> </w:t>
      </w:r>
      <w:r>
        <w:rPr/>
        <w:t>públicas</w:t>
      </w:r>
      <w:r>
        <w:rPr>
          <w:spacing w:val="-8"/>
        </w:rPr>
        <w:t> </w:t>
      </w:r>
      <w:r>
        <w:rPr/>
        <w:t>en</w:t>
      </w:r>
      <w:r>
        <w:rPr>
          <w:spacing w:val="-7"/>
        </w:rPr>
        <w:t> </w:t>
      </w:r>
      <w:r>
        <w:rPr/>
        <w:t>su</w:t>
      </w:r>
      <w:r>
        <w:rPr>
          <w:spacing w:val="-9"/>
        </w:rPr>
        <w:t> </w:t>
      </w:r>
      <w:r>
        <w:rPr/>
        <w:t>país</w:t>
      </w:r>
      <w:r>
        <w:rPr>
          <w:spacing w:val="-8"/>
        </w:rPr>
        <w:t> </w:t>
      </w:r>
      <w:r>
        <w:rPr/>
        <w:t>de</w:t>
      </w:r>
      <w:r>
        <w:rPr>
          <w:spacing w:val="-7"/>
        </w:rPr>
        <w:t> </w:t>
      </w:r>
      <w:r>
        <w:rPr/>
        <w:t>origen,</w:t>
      </w:r>
      <w:r>
        <w:rPr>
          <w:spacing w:val="-7"/>
        </w:rPr>
        <w:t> </w:t>
      </w:r>
      <w:r>
        <w:rPr/>
        <w:t>de</w:t>
      </w:r>
      <w:r>
        <w:rPr>
          <w:spacing w:val="-7"/>
        </w:rPr>
        <w:t> </w:t>
      </w:r>
      <w:r>
        <w:rPr/>
        <w:t>ahí</w:t>
      </w:r>
      <w:r>
        <w:rPr>
          <w:spacing w:val="-10"/>
        </w:rPr>
        <w:t> </w:t>
      </w:r>
      <w:r>
        <w:rPr/>
        <w:t>que</w:t>
      </w:r>
      <w:r>
        <w:rPr>
          <w:spacing w:val="-7"/>
        </w:rPr>
        <w:t> </w:t>
      </w:r>
      <w:r>
        <w:rPr/>
        <w:t>existan</w:t>
      </w:r>
      <w:r>
        <w:rPr>
          <w:spacing w:val="-7"/>
        </w:rPr>
        <w:t> </w:t>
      </w:r>
      <w:r>
        <w:rPr/>
        <w:t>varias categorías o tipos de entidades de fiscalización</w:t>
      </w:r>
      <w:r>
        <w:rPr>
          <w:spacing w:val="-16"/>
        </w:rPr>
        <w:t> </w:t>
      </w:r>
      <w:r>
        <w:rPr/>
        <w:t>superior.</w:t>
      </w:r>
      <w:r>
        <w:rPr>
          <w:position w:val="8"/>
          <w:sz w:val="16"/>
        </w:rPr>
        <w:t>86</w:t>
      </w:r>
    </w:p>
    <w:p>
      <w:pPr>
        <w:pStyle w:val="BodyText"/>
        <w:rPr>
          <w:sz w:val="36"/>
        </w:rPr>
      </w:pPr>
    </w:p>
    <w:p>
      <w:pPr>
        <w:pStyle w:val="BodyText"/>
        <w:spacing w:line="360" w:lineRule="auto"/>
        <w:ind w:left="122" w:right="124" w:firstLine="427"/>
        <w:jc w:val="both"/>
      </w:pPr>
      <w:r>
        <w:rPr/>
        <w:t>Existen básicamente tres modelos de rendición de cuentas con características propias, de acuerdo con el diseño institucional establecido por cada Estado. Las principales características de los modelos y los sistemas de rendición de cuentas adoptados por los países estudiados se presentan en los siguientes cuadros: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8224;mso-wrap-distance-left:0;mso-wrap-distance-right:0" from="85.103996pt,14.858562pt" to="229.123996pt,14.858562pt" stroked="true" strokeweight=".71997pt" strokecolor="#000000">
            <w10:wrap type="topAndBottom"/>
          </v:line>
        </w:pict>
      </w:r>
    </w:p>
    <w:p>
      <w:pPr>
        <w:spacing w:line="244" w:lineRule="auto" w:before="62"/>
        <w:ind w:left="122" w:right="116" w:firstLine="0"/>
        <w:jc w:val="both"/>
        <w:rPr>
          <w:sz w:val="16"/>
        </w:rPr>
      </w:pPr>
      <w:r>
        <w:rPr>
          <w:rFonts w:ascii="Times New Roman" w:hAnsi="Times New Roman"/>
          <w:position w:val="7"/>
          <w:sz w:val="13"/>
        </w:rPr>
        <w:t>86</w:t>
      </w:r>
      <w:r>
        <w:rPr>
          <w:sz w:val="16"/>
        </w:rPr>
        <w:t>Ackerman (2006: 25) consideró que existen dos tipos diferentes de organismos: los unipersonales (Auditorías Generales o Contralorías Generales) que dependen del Poder Legislativo, quienes se limitan a emitir recomendaciones técnicas al Congreso;</w:t>
      </w:r>
      <w:r>
        <w:rPr>
          <w:spacing w:val="-2"/>
          <w:sz w:val="16"/>
        </w:rPr>
        <w:t> </w:t>
      </w:r>
      <w:r>
        <w:rPr>
          <w:sz w:val="16"/>
        </w:rPr>
        <w:t>y</w:t>
      </w:r>
      <w:r>
        <w:rPr>
          <w:spacing w:val="-5"/>
          <w:sz w:val="16"/>
        </w:rPr>
        <w:t> </w:t>
      </w:r>
      <w:r>
        <w:rPr>
          <w:sz w:val="16"/>
        </w:rPr>
        <w:t>los</w:t>
      </w:r>
      <w:r>
        <w:rPr>
          <w:spacing w:val="-5"/>
          <w:sz w:val="16"/>
        </w:rPr>
        <w:t> </w:t>
      </w:r>
      <w:r>
        <w:rPr>
          <w:sz w:val="16"/>
        </w:rPr>
        <w:t>colegiados</w:t>
      </w:r>
      <w:r>
        <w:rPr>
          <w:spacing w:val="-3"/>
          <w:sz w:val="16"/>
        </w:rPr>
        <w:t> </w:t>
      </w:r>
      <w:r>
        <w:rPr>
          <w:sz w:val="16"/>
        </w:rPr>
        <w:t>(Tribunales</w:t>
      </w:r>
      <w:r>
        <w:rPr>
          <w:spacing w:val="-3"/>
          <w:sz w:val="16"/>
        </w:rPr>
        <w:t> </w:t>
      </w:r>
      <w:r>
        <w:rPr>
          <w:sz w:val="16"/>
        </w:rPr>
        <w:t>de</w:t>
      </w:r>
      <w:r>
        <w:rPr>
          <w:spacing w:val="-4"/>
          <w:sz w:val="16"/>
        </w:rPr>
        <w:t> </w:t>
      </w:r>
      <w:r>
        <w:rPr>
          <w:sz w:val="16"/>
        </w:rPr>
        <w:t>Cuentas</w:t>
      </w:r>
      <w:r>
        <w:rPr>
          <w:spacing w:val="-3"/>
          <w:sz w:val="16"/>
        </w:rPr>
        <w:t> </w:t>
      </w:r>
      <w:r>
        <w:rPr>
          <w:sz w:val="16"/>
        </w:rPr>
        <w:t>o</w:t>
      </w:r>
      <w:r>
        <w:rPr>
          <w:spacing w:val="-4"/>
          <w:sz w:val="16"/>
        </w:rPr>
        <w:t> </w:t>
      </w:r>
      <w:r>
        <w:rPr>
          <w:sz w:val="16"/>
        </w:rPr>
        <w:t>Consejos</w:t>
      </w:r>
      <w:r>
        <w:rPr>
          <w:spacing w:val="-3"/>
          <w:sz w:val="16"/>
        </w:rPr>
        <w:t> </w:t>
      </w:r>
      <w:r>
        <w:rPr>
          <w:sz w:val="16"/>
        </w:rPr>
        <w:t>de</w:t>
      </w:r>
      <w:r>
        <w:rPr>
          <w:spacing w:val="-7"/>
          <w:sz w:val="16"/>
        </w:rPr>
        <w:t> </w:t>
      </w:r>
      <w:r>
        <w:rPr>
          <w:sz w:val="16"/>
        </w:rPr>
        <w:t>Auditoría),</w:t>
      </w:r>
      <w:r>
        <w:rPr>
          <w:spacing w:val="-3"/>
          <w:sz w:val="16"/>
        </w:rPr>
        <w:t> </w:t>
      </w:r>
      <w:r>
        <w:rPr>
          <w:sz w:val="16"/>
        </w:rPr>
        <w:t>los</w:t>
      </w:r>
      <w:r>
        <w:rPr>
          <w:spacing w:val="-3"/>
          <w:sz w:val="16"/>
        </w:rPr>
        <w:t> </w:t>
      </w:r>
      <w:r>
        <w:rPr>
          <w:sz w:val="16"/>
        </w:rPr>
        <w:t>cuales</w:t>
      </w:r>
      <w:r>
        <w:rPr>
          <w:spacing w:val="-5"/>
          <w:sz w:val="16"/>
        </w:rPr>
        <w:t> </w:t>
      </w:r>
      <w:r>
        <w:rPr>
          <w:sz w:val="16"/>
        </w:rPr>
        <w:t>comúnmente</w:t>
      </w:r>
      <w:r>
        <w:rPr>
          <w:spacing w:val="-7"/>
          <w:sz w:val="16"/>
        </w:rPr>
        <w:t> </w:t>
      </w:r>
      <w:r>
        <w:rPr>
          <w:sz w:val="16"/>
        </w:rPr>
        <w:t>son</w:t>
      </w:r>
      <w:r>
        <w:rPr>
          <w:spacing w:val="-4"/>
          <w:sz w:val="16"/>
        </w:rPr>
        <w:t> </w:t>
      </w:r>
      <w:r>
        <w:rPr>
          <w:sz w:val="16"/>
        </w:rPr>
        <w:t>independientes</w:t>
      </w:r>
      <w:r>
        <w:rPr>
          <w:spacing w:val="-3"/>
          <w:sz w:val="16"/>
        </w:rPr>
        <w:t> </w:t>
      </w:r>
      <w:r>
        <w:rPr>
          <w:sz w:val="16"/>
        </w:rPr>
        <w:t>de los tres poderes y tienen generalmente capacidades vinculatorias de sanción</w:t>
      </w:r>
      <w:r>
        <w:rPr>
          <w:spacing w:val="-27"/>
          <w:sz w:val="16"/>
        </w:rPr>
        <w:t> </w:t>
      </w:r>
      <w:r>
        <w:rPr>
          <w:sz w:val="16"/>
        </w:rPr>
        <w:t>directa.</w:t>
      </w:r>
    </w:p>
    <w:p>
      <w:pPr>
        <w:spacing w:after="0" w:line="244" w:lineRule="auto"/>
        <w:jc w:val="both"/>
        <w:rPr>
          <w:sz w:val="16"/>
        </w:rPr>
        <w:sectPr>
          <w:pgSz w:w="12240" w:h="15840"/>
          <w:pgMar w:header="0" w:footer="1003" w:top="1360" w:bottom="1200" w:left="1580" w:right="1580"/>
        </w:sectPr>
      </w:pPr>
    </w:p>
    <w:p>
      <w:pPr>
        <w:spacing w:before="57"/>
        <w:ind w:left="1133" w:right="228" w:firstLine="0"/>
        <w:jc w:val="left"/>
        <w:rPr>
          <w:sz w:val="20"/>
        </w:rPr>
      </w:pPr>
      <w:bookmarkStart w:name="_bookmark62" w:id="82"/>
      <w:bookmarkEnd w:id="82"/>
      <w:r>
        <w:rPr/>
      </w:r>
      <w:bookmarkStart w:name="_bookmark61" w:id="83"/>
      <w:bookmarkEnd w:id="83"/>
      <w:r>
        <w:rPr/>
      </w:r>
      <w:r>
        <w:rPr>
          <w:sz w:val="20"/>
        </w:rPr>
        <w:t>Cuadro 3. 4. Modelos institucionales de rendición de cuentas en el mundo</w:t>
      </w:r>
    </w:p>
    <w:p>
      <w:pPr>
        <w:pStyle w:val="BodyText"/>
        <w:spacing w:before="7"/>
        <w:rPr>
          <w:sz w:val="17"/>
        </w:rPr>
      </w:pPr>
    </w:p>
    <w:tbl>
      <w:tblPr>
        <w:tblW w:w="0" w:type="auto"/>
        <w:jc w:val="left"/>
        <w:tblInd w:w="10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81"/>
        <w:gridCol w:w="2535"/>
        <w:gridCol w:w="2530"/>
        <w:gridCol w:w="1246"/>
      </w:tblGrid>
      <w:tr>
        <w:trPr>
          <w:trHeight w:val="583" w:hRule="exact"/>
        </w:trPr>
        <w:tc>
          <w:tcPr>
            <w:tcW w:w="8591" w:type="dxa"/>
            <w:gridSpan w:val="4"/>
          </w:tcPr>
          <w:p>
            <w:pPr>
              <w:pStyle w:val="TableParagraph"/>
              <w:spacing w:before="8"/>
              <w:rPr>
                <w:sz w:val="15"/>
              </w:rPr>
            </w:pPr>
          </w:p>
          <w:p>
            <w:pPr>
              <w:pStyle w:val="TableParagraph"/>
              <w:ind w:left="3008" w:right="3009"/>
              <w:jc w:val="center"/>
              <w:rPr>
                <w:b/>
                <w:sz w:val="14"/>
              </w:rPr>
            </w:pPr>
            <w:r>
              <w:rPr>
                <w:b/>
                <w:sz w:val="14"/>
              </w:rPr>
              <w:t>Instituciones de rendición de cuentas</w:t>
            </w:r>
          </w:p>
        </w:tc>
      </w:tr>
      <w:tr>
        <w:trPr>
          <w:trHeight w:val="391" w:hRule="exact"/>
        </w:trPr>
        <w:tc>
          <w:tcPr>
            <w:tcW w:w="2281" w:type="dxa"/>
            <w:tcBorders>
              <w:left w:val="single" w:sz="4" w:space="0" w:color="000000"/>
              <w:bottom w:val="single" w:sz="4" w:space="0" w:color="000000"/>
              <w:right w:val="single" w:sz="4" w:space="0" w:color="000000"/>
            </w:tcBorders>
          </w:tcPr>
          <w:p>
            <w:pPr>
              <w:pStyle w:val="TableParagraph"/>
              <w:spacing w:line="276" w:lineRule="auto"/>
              <w:ind w:left="479" w:right="464" w:firstLine="4"/>
              <w:rPr>
                <w:b/>
                <w:sz w:val="14"/>
              </w:rPr>
            </w:pPr>
            <w:r>
              <w:rPr>
                <w:b/>
                <w:sz w:val="14"/>
              </w:rPr>
              <w:t>Auditoría General o Contraloría General</w:t>
            </w:r>
          </w:p>
        </w:tc>
        <w:tc>
          <w:tcPr>
            <w:tcW w:w="2535" w:type="dxa"/>
            <w:tcBorders>
              <w:left w:val="single" w:sz="4" w:space="0" w:color="000000"/>
              <w:bottom w:val="single" w:sz="4" w:space="0" w:color="000000"/>
              <w:right w:val="single" w:sz="4" w:space="0" w:color="000000"/>
            </w:tcBorders>
          </w:tcPr>
          <w:p>
            <w:pPr>
              <w:pStyle w:val="TableParagraph"/>
              <w:spacing w:line="276" w:lineRule="auto"/>
              <w:ind w:left="862" w:right="867"/>
              <w:jc w:val="center"/>
              <w:rPr>
                <w:b/>
                <w:sz w:val="14"/>
              </w:rPr>
            </w:pPr>
            <w:r>
              <w:rPr>
                <w:b/>
                <w:sz w:val="14"/>
              </w:rPr>
              <w:t>Tribunal de Cuentas</w:t>
            </w:r>
          </w:p>
        </w:tc>
        <w:tc>
          <w:tcPr>
            <w:tcW w:w="2530" w:type="dxa"/>
            <w:tcBorders>
              <w:left w:val="single" w:sz="4" w:space="0" w:color="000000"/>
              <w:bottom w:val="single" w:sz="4" w:space="0" w:color="000000"/>
              <w:right w:val="single" w:sz="4" w:space="0" w:color="000000"/>
            </w:tcBorders>
          </w:tcPr>
          <w:p>
            <w:pPr>
              <w:pStyle w:val="TableParagraph"/>
              <w:spacing w:line="276" w:lineRule="auto"/>
              <w:ind w:left="880" w:right="886"/>
              <w:jc w:val="center"/>
              <w:rPr>
                <w:b/>
                <w:sz w:val="14"/>
              </w:rPr>
            </w:pPr>
            <w:r>
              <w:rPr>
                <w:b/>
                <w:sz w:val="14"/>
              </w:rPr>
              <w:t>Consejo de Auditoría</w:t>
            </w:r>
          </w:p>
        </w:tc>
        <w:tc>
          <w:tcPr>
            <w:tcW w:w="1246" w:type="dxa"/>
            <w:tcBorders>
              <w:left w:val="single" w:sz="4" w:space="0" w:color="000000"/>
              <w:bottom w:val="single" w:sz="4" w:space="0" w:color="000000"/>
              <w:right w:val="single" w:sz="4" w:space="0" w:color="000000"/>
            </w:tcBorders>
          </w:tcPr>
          <w:p>
            <w:pPr>
              <w:pStyle w:val="TableParagraph"/>
              <w:spacing w:line="159" w:lineRule="exact"/>
              <w:ind w:left="110" w:right="-17"/>
              <w:rPr>
                <w:b/>
                <w:sz w:val="14"/>
              </w:rPr>
            </w:pPr>
            <w:r>
              <w:rPr>
                <w:b/>
                <w:sz w:val="14"/>
              </w:rPr>
              <w:t>Otros sistemas</w:t>
            </w:r>
          </w:p>
        </w:tc>
      </w:tr>
      <w:tr>
        <w:trPr>
          <w:trHeight w:val="2270" w:hRule="exact"/>
        </w:trPr>
        <w:tc>
          <w:tcPr>
            <w:tcW w:w="2281" w:type="dxa"/>
            <w:tcBorders>
              <w:top w:val="single" w:sz="4" w:space="0" w:color="000000"/>
              <w:left w:val="single" w:sz="4" w:space="0" w:color="000000"/>
              <w:bottom w:val="single" w:sz="4" w:space="0" w:color="000000"/>
              <w:right w:val="single" w:sz="4" w:space="0" w:color="000000"/>
            </w:tcBorders>
          </w:tcPr>
          <w:p>
            <w:pPr>
              <w:pStyle w:val="TableParagraph"/>
              <w:ind w:left="103" w:right="108"/>
              <w:rPr>
                <w:sz w:val="14"/>
              </w:rPr>
            </w:pPr>
            <w:r>
              <w:rPr>
                <w:sz w:val="14"/>
              </w:rPr>
              <w:t>Las decisiones recaen en un titular, la mayoría depende del Poder Legislativo y en menor medida, del Ejecutivo; sin embargo, conservan su autonomía técnica y de gestión.</w:t>
            </w:r>
          </w:p>
          <w:p>
            <w:pPr>
              <w:pStyle w:val="TableParagraph"/>
              <w:spacing w:before="11"/>
              <w:rPr>
                <w:sz w:val="13"/>
              </w:rPr>
            </w:pPr>
          </w:p>
          <w:p>
            <w:pPr>
              <w:pStyle w:val="TableParagraph"/>
              <w:ind w:left="103" w:right="108"/>
              <w:rPr>
                <w:sz w:val="14"/>
              </w:rPr>
            </w:pPr>
            <w:r>
              <w:rPr>
                <w:sz w:val="14"/>
              </w:rPr>
              <w:t>Los titulares son nombrados por el Legislativo, a partir de un cuidadoso proceso de selección de candidatos, el titular es inamovible por periodos de 1 a 15 años, dependiendo del marco legal del país.</w:t>
            </w:r>
          </w:p>
        </w:tc>
        <w:tc>
          <w:tcPr>
            <w:tcW w:w="2535" w:type="dxa"/>
            <w:tcBorders>
              <w:top w:val="single" w:sz="4" w:space="0" w:color="000000"/>
              <w:left w:val="single" w:sz="4" w:space="0" w:color="000000"/>
              <w:bottom w:val="single" w:sz="4" w:space="0" w:color="000000"/>
              <w:right w:val="single" w:sz="4" w:space="0" w:color="000000"/>
            </w:tcBorders>
          </w:tcPr>
          <w:p>
            <w:pPr>
              <w:pStyle w:val="TableParagraph"/>
              <w:ind w:left="175" w:right="121"/>
              <w:rPr>
                <w:sz w:val="14"/>
              </w:rPr>
            </w:pPr>
            <w:r>
              <w:rPr>
                <w:sz w:val="14"/>
              </w:rPr>
              <w:t>La titularidad es de tipo colegiado, compuesto por magistrados, quienes toman las decisiones en el seno del grupo, sus cargos son inamovibles (vitalicio o conforme a la edad de retiro).</w:t>
            </w:r>
          </w:p>
          <w:p>
            <w:pPr>
              <w:pStyle w:val="TableParagraph"/>
              <w:spacing w:before="11"/>
              <w:rPr>
                <w:sz w:val="13"/>
              </w:rPr>
            </w:pPr>
          </w:p>
          <w:p>
            <w:pPr>
              <w:pStyle w:val="TableParagraph"/>
              <w:ind w:left="175" w:right="248"/>
              <w:jc w:val="both"/>
              <w:rPr>
                <w:sz w:val="14"/>
              </w:rPr>
            </w:pPr>
            <w:r>
              <w:rPr>
                <w:sz w:val="14"/>
              </w:rPr>
              <w:t>Los tribunales están directamente relacionados con los congresos o cámaras bajas.</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Pr>
                <w:sz w:val="14"/>
              </w:rPr>
            </w:pPr>
            <w:r>
              <w:rPr>
                <w:sz w:val="14"/>
              </w:rPr>
              <w:t>Es característico de algunos países orientales.</w:t>
            </w:r>
          </w:p>
          <w:p>
            <w:pPr>
              <w:pStyle w:val="TableParagraph"/>
              <w:spacing w:before="9"/>
              <w:rPr>
                <w:sz w:val="13"/>
              </w:rPr>
            </w:pPr>
          </w:p>
          <w:p>
            <w:pPr>
              <w:pStyle w:val="TableParagraph"/>
              <w:ind w:left="100" w:right="252"/>
              <w:rPr>
                <w:sz w:val="14"/>
              </w:rPr>
            </w:pPr>
            <w:r>
              <w:rPr>
                <w:sz w:val="14"/>
              </w:rPr>
              <w:t>La titularidad de la institución es colegiada, son órganos que se constituyen en formas de gobierno no ejecutivas y reportan directamente al Presidente de la República.</w:t>
            </w:r>
          </w:p>
        </w:tc>
        <w:tc>
          <w:tcPr>
            <w:tcW w:w="1246" w:type="dxa"/>
            <w:tcBorders>
              <w:top w:val="single" w:sz="4" w:space="0" w:color="000000"/>
              <w:left w:val="single" w:sz="4" w:space="0" w:color="000000"/>
              <w:bottom w:val="single" w:sz="4" w:space="0" w:color="000000"/>
              <w:right w:val="single" w:sz="4" w:space="0" w:color="000000"/>
            </w:tcBorders>
          </w:tcPr>
          <w:p>
            <w:pPr>
              <w:pStyle w:val="TableParagraph"/>
              <w:ind w:left="103" w:right="149"/>
              <w:rPr>
                <w:sz w:val="14"/>
              </w:rPr>
            </w:pPr>
            <w:r>
              <w:rPr>
                <w:sz w:val="14"/>
              </w:rPr>
              <w:t>En algunos países como Suecia (</w:t>
            </w:r>
            <w:r>
              <w:rPr>
                <w:i/>
                <w:sz w:val="14"/>
              </w:rPr>
              <w:t>Swedish </w:t>
            </w:r>
            <w:r>
              <w:rPr>
                <w:i/>
                <w:sz w:val="14"/>
              </w:rPr>
              <w:t>National Audit Office</w:t>
            </w:r>
            <w:r>
              <w:rPr>
                <w:sz w:val="14"/>
              </w:rPr>
              <w:t>), la entidad de fiscalización es un órgano más del gobierno.</w:t>
            </w:r>
          </w:p>
        </w:tc>
      </w:tr>
      <w:tr>
        <w:trPr>
          <w:trHeight w:val="548" w:hRule="exact"/>
        </w:trPr>
        <w:tc>
          <w:tcPr>
            <w:tcW w:w="8591" w:type="dxa"/>
            <w:gridSpan w:val="4"/>
            <w:tcBorders>
              <w:top w:val="single" w:sz="4" w:space="0" w:color="000000"/>
              <w:left w:val="single" w:sz="4" w:space="0" w:color="000000"/>
              <w:bottom w:val="single" w:sz="4" w:space="0" w:color="000000"/>
              <w:right w:val="single" w:sz="4" w:space="0" w:color="000000"/>
            </w:tcBorders>
          </w:tcPr>
          <w:p>
            <w:pPr>
              <w:pStyle w:val="TableParagraph"/>
              <w:spacing w:before="7"/>
              <w:rPr>
                <w:sz w:val="13"/>
              </w:rPr>
            </w:pPr>
          </w:p>
          <w:p>
            <w:pPr>
              <w:pStyle w:val="TableParagraph"/>
              <w:ind w:left="3379" w:right="3380"/>
              <w:jc w:val="center"/>
              <w:rPr>
                <w:b/>
                <w:sz w:val="14"/>
              </w:rPr>
            </w:pPr>
            <w:r>
              <w:rPr>
                <w:b/>
                <w:sz w:val="14"/>
              </w:rPr>
              <w:t>Características principales</w:t>
            </w:r>
          </w:p>
        </w:tc>
      </w:tr>
      <w:tr>
        <w:trPr>
          <w:trHeight w:val="3699" w:hRule="exact"/>
        </w:trPr>
        <w:tc>
          <w:tcPr>
            <w:tcW w:w="2281" w:type="dxa"/>
            <w:tcBorders>
              <w:top w:val="single" w:sz="4" w:space="0" w:color="000000"/>
              <w:left w:val="single" w:sz="4" w:space="0" w:color="000000"/>
              <w:bottom w:val="single" w:sz="4" w:space="0" w:color="000000"/>
              <w:right w:val="single" w:sz="4" w:space="0" w:color="000000"/>
            </w:tcBorders>
          </w:tcPr>
          <w:p>
            <w:pPr>
              <w:pStyle w:val="TableParagraph"/>
              <w:numPr>
                <w:ilvl w:val="0"/>
                <w:numId w:val="63"/>
              </w:numPr>
              <w:tabs>
                <w:tab w:pos="419" w:val="left" w:leader="none"/>
                <w:tab w:pos="420" w:val="left" w:leader="none"/>
              </w:tabs>
              <w:spacing w:line="159" w:lineRule="exact" w:before="0" w:after="0"/>
              <w:ind w:left="419" w:right="0" w:hanging="316"/>
              <w:jc w:val="left"/>
              <w:rPr>
                <w:sz w:val="14"/>
              </w:rPr>
            </w:pPr>
            <w:r>
              <w:rPr>
                <w:sz w:val="14"/>
              </w:rPr>
              <w:t>Reporta al</w:t>
            </w:r>
            <w:r>
              <w:rPr>
                <w:spacing w:val="-8"/>
                <w:sz w:val="14"/>
              </w:rPr>
              <w:t> </w:t>
            </w:r>
            <w:r>
              <w:rPr>
                <w:sz w:val="14"/>
              </w:rPr>
              <w:t>congreso.</w:t>
            </w:r>
          </w:p>
          <w:p>
            <w:pPr>
              <w:pStyle w:val="TableParagraph"/>
              <w:numPr>
                <w:ilvl w:val="0"/>
                <w:numId w:val="63"/>
              </w:numPr>
              <w:tabs>
                <w:tab w:pos="419" w:val="left" w:leader="none"/>
                <w:tab w:pos="420" w:val="left" w:leader="none"/>
              </w:tabs>
              <w:spacing w:line="240" w:lineRule="auto" w:before="0" w:after="0"/>
              <w:ind w:left="419" w:right="0" w:hanging="316"/>
              <w:jc w:val="left"/>
              <w:rPr>
                <w:sz w:val="14"/>
              </w:rPr>
            </w:pPr>
            <w:r>
              <w:rPr>
                <w:sz w:val="14"/>
              </w:rPr>
              <w:t>Cuenta con un</w:t>
            </w:r>
            <w:r>
              <w:rPr>
                <w:spacing w:val="-8"/>
                <w:sz w:val="14"/>
              </w:rPr>
              <w:t> </w:t>
            </w:r>
            <w:r>
              <w:rPr>
                <w:sz w:val="14"/>
              </w:rPr>
              <w:t>titular.</w:t>
            </w:r>
          </w:p>
          <w:p>
            <w:pPr>
              <w:pStyle w:val="TableParagraph"/>
              <w:numPr>
                <w:ilvl w:val="0"/>
                <w:numId w:val="63"/>
              </w:numPr>
              <w:tabs>
                <w:tab w:pos="419" w:val="left" w:leader="none"/>
                <w:tab w:pos="420" w:val="left" w:leader="none"/>
              </w:tabs>
              <w:spacing w:line="240" w:lineRule="auto" w:before="0" w:after="0"/>
              <w:ind w:left="419" w:right="193" w:hanging="316"/>
              <w:jc w:val="left"/>
              <w:rPr>
                <w:sz w:val="14"/>
              </w:rPr>
            </w:pPr>
            <w:r>
              <w:rPr>
                <w:sz w:val="14"/>
              </w:rPr>
              <w:t>Inamovible por un</w:t>
            </w:r>
            <w:r>
              <w:rPr>
                <w:spacing w:val="-10"/>
                <w:sz w:val="14"/>
              </w:rPr>
              <w:t> </w:t>
            </w:r>
            <w:r>
              <w:rPr>
                <w:sz w:val="14"/>
              </w:rPr>
              <w:t>periodo. Autonomía técnica y de gestión, y en algunos casos, autonomía constitucional.</w:t>
            </w:r>
          </w:p>
          <w:p>
            <w:pPr>
              <w:pStyle w:val="TableParagraph"/>
              <w:numPr>
                <w:ilvl w:val="0"/>
                <w:numId w:val="63"/>
              </w:numPr>
              <w:tabs>
                <w:tab w:pos="419" w:val="left" w:leader="none"/>
                <w:tab w:pos="420" w:val="left" w:leader="none"/>
              </w:tabs>
              <w:spacing w:line="240" w:lineRule="auto" w:before="0" w:after="0"/>
              <w:ind w:left="419" w:right="644" w:hanging="316"/>
              <w:jc w:val="left"/>
              <w:rPr>
                <w:sz w:val="14"/>
              </w:rPr>
            </w:pPr>
            <w:r>
              <w:rPr>
                <w:sz w:val="14"/>
              </w:rPr>
              <w:t>Depende del</w:t>
            </w:r>
            <w:r>
              <w:rPr>
                <w:spacing w:val="-8"/>
                <w:sz w:val="14"/>
              </w:rPr>
              <w:t> </w:t>
            </w:r>
            <w:r>
              <w:rPr>
                <w:sz w:val="14"/>
              </w:rPr>
              <w:t>Poder Legislativo.</w:t>
            </w:r>
          </w:p>
          <w:p>
            <w:pPr>
              <w:pStyle w:val="TableParagraph"/>
              <w:numPr>
                <w:ilvl w:val="0"/>
                <w:numId w:val="63"/>
              </w:numPr>
              <w:tabs>
                <w:tab w:pos="419" w:val="left" w:leader="none"/>
                <w:tab w:pos="420" w:val="left" w:leader="none"/>
              </w:tabs>
              <w:spacing w:line="240" w:lineRule="auto" w:before="0" w:after="0"/>
              <w:ind w:left="419" w:right="512" w:hanging="316"/>
              <w:jc w:val="left"/>
              <w:rPr>
                <w:sz w:val="14"/>
              </w:rPr>
            </w:pPr>
            <w:r>
              <w:rPr>
                <w:sz w:val="14"/>
              </w:rPr>
              <w:t>Acceso irrestricto a</w:t>
            </w:r>
            <w:r>
              <w:rPr>
                <w:spacing w:val="-7"/>
                <w:sz w:val="14"/>
              </w:rPr>
              <w:t> </w:t>
            </w:r>
            <w:r>
              <w:rPr>
                <w:sz w:val="14"/>
              </w:rPr>
              <w:t>la información.</w:t>
            </w:r>
          </w:p>
          <w:p>
            <w:pPr>
              <w:pStyle w:val="TableParagraph"/>
              <w:numPr>
                <w:ilvl w:val="0"/>
                <w:numId w:val="63"/>
              </w:numPr>
              <w:tabs>
                <w:tab w:pos="419" w:val="left" w:leader="none"/>
                <w:tab w:pos="420" w:val="left" w:leader="none"/>
              </w:tabs>
              <w:spacing w:line="240" w:lineRule="auto" w:before="0" w:after="0"/>
              <w:ind w:left="419" w:right="513" w:hanging="316"/>
              <w:jc w:val="left"/>
              <w:rPr>
                <w:sz w:val="14"/>
              </w:rPr>
            </w:pPr>
            <w:r>
              <w:rPr>
                <w:sz w:val="14"/>
              </w:rPr>
              <w:t>Realizan inversión</w:t>
            </w:r>
            <w:r>
              <w:rPr>
                <w:spacing w:val="-7"/>
                <w:sz w:val="14"/>
              </w:rPr>
              <w:t> </w:t>
            </w:r>
            <w:r>
              <w:rPr>
                <w:sz w:val="14"/>
              </w:rPr>
              <w:t>en capital</w:t>
            </w:r>
            <w:r>
              <w:rPr>
                <w:spacing w:val="-8"/>
                <w:sz w:val="14"/>
              </w:rPr>
              <w:t> </w:t>
            </w:r>
            <w:r>
              <w:rPr>
                <w:sz w:val="14"/>
              </w:rPr>
              <w:t>humano.</w:t>
            </w:r>
          </w:p>
          <w:p>
            <w:pPr>
              <w:pStyle w:val="TableParagraph"/>
              <w:numPr>
                <w:ilvl w:val="0"/>
                <w:numId w:val="63"/>
              </w:numPr>
              <w:tabs>
                <w:tab w:pos="419" w:val="left" w:leader="none"/>
                <w:tab w:pos="420" w:val="left" w:leader="none"/>
              </w:tabs>
              <w:spacing w:line="240" w:lineRule="auto" w:before="0" w:after="0"/>
              <w:ind w:left="419" w:right="116" w:hanging="316"/>
              <w:jc w:val="left"/>
              <w:rPr>
                <w:sz w:val="14"/>
              </w:rPr>
            </w:pPr>
            <w:r>
              <w:rPr>
                <w:sz w:val="14"/>
              </w:rPr>
              <w:t>Otorgan énfasis a la</w:t>
            </w:r>
            <w:r>
              <w:rPr>
                <w:spacing w:val="-12"/>
                <w:sz w:val="14"/>
              </w:rPr>
              <w:t> </w:t>
            </w:r>
            <w:r>
              <w:rPr>
                <w:sz w:val="14"/>
              </w:rPr>
              <w:t>calidad del</w:t>
            </w:r>
            <w:r>
              <w:rPr>
                <w:spacing w:val="-6"/>
                <w:sz w:val="14"/>
              </w:rPr>
              <w:t> </w:t>
            </w:r>
            <w:r>
              <w:rPr>
                <w:sz w:val="14"/>
              </w:rPr>
              <w:t>gasto.</w:t>
            </w:r>
          </w:p>
          <w:p>
            <w:pPr>
              <w:pStyle w:val="TableParagraph"/>
              <w:numPr>
                <w:ilvl w:val="0"/>
                <w:numId w:val="63"/>
              </w:numPr>
              <w:tabs>
                <w:tab w:pos="419" w:val="left" w:leader="none"/>
                <w:tab w:pos="420" w:val="left" w:leader="none"/>
              </w:tabs>
              <w:spacing w:line="240" w:lineRule="auto" w:before="0" w:after="0"/>
              <w:ind w:left="419" w:right="349" w:hanging="316"/>
              <w:jc w:val="left"/>
              <w:rPr>
                <w:sz w:val="14"/>
              </w:rPr>
            </w:pPr>
            <w:r>
              <w:rPr>
                <w:sz w:val="14"/>
              </w:rPr>
              <w:t>Tienen un enfoque a</w:t>
            </w:r>
            <w:r>
              <w:rPr>
                <w:spacing w:val="-9"/>
                <w:sz w:val="14"/>
              </w:rPr>
              <w:t> </w:t>
            </w:r>
            <w:r>
              <w:rPr>
                <w:sz w:val="14"/>
              </w:rPr>
              <w:t>las revisiones</w:t>
            </w:r>
            <w:r>
              <w:rPr>
                <w:spacing w:val="-10"/>
                <w:sz w:val="14"/>
              </w:rPr>
              <w:t> </w:t>
            </w:r>
            <w:r>
              <w:rPr>
                <w:sz w:val="14"/>
              </w:rPr>
              <w:t>financieras.</w:t>
            </w:r>
          </w:p>
        </w:tc>
        <w:tc>
          <w:tcPr>
            <w:tcW w:w="2535" w:type="dxa"/>
            <w:tcBorders>
              <w:top w:val="single" w:sz="4" w:space="0" w:color="000000"/>
              <w:left w:val="single" w:sz="4" w:space="0" w:color="000000"/>
              <w:bottom w:val="single" w:sz="4" w:space="0" w:color="000000"/>
              <w:right w:val="single" w:sz="4" w:space="0" w:color="000000"/>
            </w:tcBorders>
          </w:tcPr>
          <w:p>
            <w:pPr>
              <w:pStyle w:val="TableParagraph"/>
              <w:numPr>
                <w:ilvl w:val="0"/>
                <w:numId w:val="64"/>
              </w:numPr>
              <w:tabs>
                <w:tab w:pos="420" w:val="left" w:leader="none"/>
              </w:tabs>
              <w:spacing w:line="240" w:lineRule="auto" w:before="0" w:after="0"/>
              <w:ind w:left="420" w:right="745" w:hanging="284"/>
              <w:jc w:val="left"/>
              <w:rPr>
                <w:sz w:val="14"/>
              </w:rPr>
            </w:pPr>
            <w:r>
              <w:rPr>
                <w:sz w:val="14"/>
              </w:rPr>
              <w:t>Es libre de informar</w:t>
            </w:r>
            <w:r>
              <w:rPr>
                <w:spacing w:val="-10"/>
                <w:sz w:val="14"/>
              </w:rPr>
              <w:t> </w:t>
            </w:r>
            <w:r>
              <w:rPr>
                <w:sz w:val="14"/>
              </w:rPr>
              <w:t>al congreso.</w:t>
            </w:r>
          </w:p>
          <w:p>
            <w:pPr>
              <w:pStyle w:val="TableParagraph"/>
              <w:numPr>
                <w:ilvl w:val="0"/>
                <w:numId w:val="64"/>
              </w:numPr>
              <w:tabs>
                <w:tab w:pos="420" w:val="left" w:leader="none"/>
              </w:tabs>
              <w:spacing w:line="240" w:lineRule="auto" w:before="0" w:after="0"/>
              <w:ind w:left="420" w:right="0" w:hanging="284"/>
              <w:jc w:val="left"/>
              <w:rPr>
                <w:sz w:val="14"/>
              </w:rPr>
            </w:pPr>
            <w:r>
              <w:rPr>
                <w:sz w:val="14"/>
              </w:rPr>
              <w:t>Autoridad</w:t>
            </w:r>
            <w:r>
              <w:rPr>
                <w:spacing w:val="-10"/>
                <w:sz w:val="14"/>
              </w:rPr>
              <w:t> </w:t>
            </w:r>
            <w:r>
              <w:rPr>
                <w:sz w:val="14"/>
              </w:rPr>
              <w:t>colegiada.</w:t>
            </w:r>
          </w:p>
          <w:p>
            <w:pPr>
              <w:pStyle w:val="TableParagraph"/>
              <w:numPr>
                <w:ilvl w:val="0"/>
                <w:numId w:val="64"/>
              </w:numPr>
              <w:tabs>
                <w:tab w:pos="420" w:val="left" w:leader="none"/>
              </w:tabs>
              <w:spacing w:line="240" w:lineRule="auto" w:before="0" w:after="0"/>
              <w:ind w:left="420" w:right="0" w:hanging="284"/>
              <w:jc w:val="left"/>
              <w:rPr>
                <w:sz w:val="14"/>
              </w:rPr>
            </w:pPr>
            <w:r>
              <w:rPr>
                <w:sz w:val="14"/>
              </w:rPr>
              <w:t>Magistrados</w:t>
            </w:r>
            <w:r>
              <w:rPr>
                <w:spacing w:val="-11"/>
                <w:sz w:val="14"/>
              </w:rPr>
              <w:t> </w:t>
            </w:r>
            <w:r>
              <w:rPr>
                <w:sz w:val="14"/>
              </w:rPr>
              <w:t>inamovibles.</w:t>
            </w:r>
          </w:p>
          <w:p>
            <w:pPr>
              <w:pStyle w:val="TableParagraph"/>
              <w:numPr>
                <w:ilvl w:val="0"/>
                <w:numId w:val="64"/>
              </w:numPr>
              <w:tabs>
                <w:tab w:pos="420" w:val="left" w:leader="none"/>
              </w:tabs>
              <w:spacing w:line="240" w:lineRule="auto" w:before="2" w:after="0"/>
              <w:ind w:left="420" w:right="914" w:hanging="284"/>
              <w:jc w:val="left"/>
              <w:rPr>
                <w:sz w:val="14"/>
              </w:rPr>
            </w:pPr>
            <w:r>
              <w:rPr>
                <w:sz w:val="14"/>
              </w:rPr>
              <w:t>Finca</w:t>
            </w:r>
            <w:r>
              <w:rPr>
                <w:spacing w:val="-7"/>
                <w:sz w:val="14"/>
              </w:rPr>
              <w:t> </w:t>
            </w:r>
            <w:r>
              <w:rPr>
                <w:sz w:val="14"/>
              </w:rPr>
              <w:t>directamente responsabilidades.</w:t>
            </w:r>
          </w:p>
          <w:p>
            <w:pPr>
              <w:pStyle w:val="TableParagraph"/>
              <w:numPr>
                <w:ilvl w:val="0"/>
                <w:numId w:val="64"/>
              </w:numPr>
              <w:tabs>
                <w:tab w:pos="420" w:val="left" w:leader="none"/>
              </w:tabs>
              <w:spacing w:line="240" w:lineRule="auto" w:before="0" w:after="0"/>
              <w:ind w:left="420" w:right="197" w:hanging="284"/>
              <w:jc w:val="left"/>
              <w:rPr>
                <w:sz w:val="14"/>
              </w:rPr>
            </w:pPr>
            <w:r>
              <w:rPr>
                <w:sz w:val="14"/>
              </w:rPr>
              <w:t>Depende del Poder</w:t>
            </w:r>
            <w:r>
              <w:rPr>
                <w:spacing w:val="-10"/>
                <w:sz w:val="14"/>
              </w:rPr>
              <w:t> </w:t>
            </w:r>
            <w:r>
              <w:rPr>
                <w:sz w:val="14"/>
              </w:rPr>
              <w:t>Legislativo (excepto en casos como Alemania y</w:t>
            </w:r>
            <w:r>
              <w:rPr>
                <w:spacing w:val="-10"/>
                <w:sz w:val="14"/>
              </w:rPr>
              <w:t> </w:t>
            </w:r>
            <w:r>
              <w:rPr>
                <w:sz w:val="14"/>
              </w:rPr>
              <w:t>Francia).</w:t>
            </w:r>
          </w:p>
          <w:p>
            <w:pPr>
              <w:pStyle w:val="TableParagraph"/>
              <w:numPr>
                <w:ilvl w:val="0"/>
                <w:numId w:val="64"/>
              </w:numPr>
              <w:tabs>
                <w:tab w:pos="420" w:val="left" w:leader="none"/>
              </w:tabs>
              <w:spacing w:line="240" w:lineRule="auto" w:before="0" w:after="0"/>
              <w:ind w:left="420" w:right="0" w:hanging="284"/>
              <w:jc w:val="left"/>
              <w:rPr>
                <w:sz w:val="14"/>
              </w:rPr>
            </w:pPr>
            <w:r>
              <w:rPr>
                <w:sz w:val="14"/>
              </w:rPr>
              <w:t>Favorece el carácter</w:t>
            </w:r>
            <w:r>
              <w:rPr>
                <w:spacing w:val="-13"/>
                <w:sz w:val="14"/>
              </w:rPr>
              <w:t> </w:t>
            </w:r>
            <w:r>
              <w:rPr>
                <w:sz w:val="14"/>
              </w:rPr>
              <w:t>preventivo.</w:t>
            </w:r>
          </w:p>
          <w:p>
            <w:pPr>
              <w:pStyle w:val="TableParagraph"/>
              <w:numPr>
                <w:ilvl w:val="0"/>
                <w:numId w:val="64"/>
              </w:numPr>
              <w:tabs>
                <w:tab w:pos="420" w:val="left" w:leader="none"/>
              </w:tabs>
              <w:spacing w:line="240" w:lineRule="auto" w:before="0" w:after="0"/>
              <w:ind w:left="420" w:right="620" w:hanging="284"/>
              <w:jc w:val="left"/>
              <w:rPr>
                <w:sz w:val="14"/>
              </w:rPr>
            </w:pPr>
            <w:r>
              <w:rPr>
                <w:sz w:val="14"/>
              </w:rPr>
              <w:t>Interés en revisiones</w:t>
            </w:r>
            <w:r>
              <w:rPr>
                <w:spacing w:val="-9"/>
                <w:sz w:val="14"/>
              </w:rPr>
              <w:t> </w:t>
            </w:r>
            <w:r>
              <w:rPr>
                <w:sz w:val="14"/>
              </w:rPr>
              <w:t>de legalidad.</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numPr>
                <w:ilvl w:val="0"/>
                <w:numId w:val="65"/>
              </w:numPr>
              <w:tabs>
                <w:tab w:pos="418" w:val="left" w:leader="none"/>
              </w:tabs>
              <w:spacing w:line="159" w:lineRule="exact" w:before="0" w:after="0"/>
              <w:ind w:left="417" w:right="0" w:hanging="283"/>
              <w:jc w:val="left"/>
              <w:rPr>
                <w:sz w:val="14"/>
              </w:rPr>
            </w:pPr>
            <w:r>
              <w:rPr>
                <w:sz w:val="14"/>
              </w:rPr>
              <w:t>Reporta al</w:t>
            </w:r>
            <w:r>
              <w:rPr>
                <w:spacing w:val="-8"/>
                <w:sz w:val="14"/>
              </w:rPr>
              <w:t> </w:t>
            </w:r>
            <w:r>
              <w:rPr>
                <w:sz w:val="14"/>
              </w:rPr>
              <w:t>congreso.</w:t>
            </w:r>
          </w:p>
          <w:p>
            <w:pPr>
              <w:pStyle w:val="TableParagraph"/>
              <w:numPr>
                <w:ilvl w:val="0"/>
                <w:numId w:val="65"/>
              </w:numPr>
              <w:tabs>
                <w:tab w:pos="418" w:val="left" w:leader="none"/>
              </w:tabs>
              <w:spacing w:line="240" w:lineRule="auto" w:before="0" w:after="0"/>
              <w:ind w:left="417" w:right="740" w:hanging="283"/>
              <w:jc w:val="left"/>
              <w:rPr>
                <w:sz w:val="14"/>
              </w:rPr>
            </w:pPr>
            <w:r>
              <w:rPr>
                <w:sz w:val="14"/>
              </w:rPr>
              <w:t>Existe un consejo</w:t>
            </w:r>
            <w:r>
              <w:rPr>
                <w:spacing w:val="-7"/>
                <w:sz w:val="14"/>
              </w:rPr>
              <w:t> </w:t>
            </w:r>
            <w:r>
              <w:rPr>
                <w:sz w:val="14"/>
              </w:rPr>
              <w:t>con presidencia</w:t>
            </w:r>
            <w:r>
              <w:rPr>
                <w:spacing w:val="-10"/>
                <w:sz w:val="14"/>
              </w:rPr>
              <w:t> </w:t>
            </w:r>
            <w:r>
              <w:rPr>
                <w:sz w:val="14"/>
              </w:rPr>
              <w:t>rotativa.</w:t>
            </w:r>
          </w:p>
          <w:p>
            <w:pPr>
              <w:pStyle w:val="TableParagraph"/>
              <w:numPr>
                <w:ilvl w:val="0"/>
                <w:numId w:val="65"/>
              </w:numPr>
              <w:tabs>
                <w:tab w:pos="418" w:val="left" w:leader="none"/>
              </w:tabs>
              <w:spacing w:line="240" w:lineRule="auto" w:before="0" w:after="0"/>
              <w:ind w:left="417" w:right="0" w:hanging="283"/>
              <w:jc w:val="left"/>
              <w:rPr>
                <w:sz w:val="14"/>
              </w:rPr>
            </w:pPr>
            <w:r>
              <w:rPr>
                <w:sz w:val="14"/>
              </w:rPr>
              <w:t>Actuación</w:t>
            </w:r>
            <w:r>
              <w:rPr>
                <w:spacing w:val="-10"/>
                <w:sz w:val="14"/>
              </w:rPr>
              <w:t> </w:t>
            </w:r>
            <w:r>
              <w:rPr>
                <w:sz w:val="14"/>
              </w:rPr>
              <w:t>colegiada.</w:t>
            </w:r>
          </w:p>
          <w:p>
            <w:pPr>
              <w:pStyle w:val="TableParagraph"/>
              <w:numPr>
                <w:ilvl w:val="0"/>
                <w:numId w:val="65"/>
              </w:numPr>
              <w:tabs>
                <w:tab w:pos="418" w:val="left" w:leader="none"/>
              </w:tabs>
              <w:spacing w:line="240" w:lineRule="auto" w:before="2" w:after="0"/>
              <w:ind w:left="417" w:right="346" w:hanging="283"/>
              <w:jc w:val="left"/>
              <w:rPr>
                <w:sz w:val="14"/>
              </w:rPr>
            </w:pPr>
            <w:r>
              <w:rPr>
                <w:sz w:val="14"/>
              </w:rPr>
              <w:t>Orientación hacia</w:t>
            </w:r>
            <w:r>
              <w:rPr>
                <w:spacing w:val="-10"/>
                <w:sz w:val="14"/>
              </w:rPr>
              <w:t> </w:t>
            </w:r>
            <w:r>
              <w:rPr>
                <w:sz w:val="14"/>
              </w:rPr>
              <w:t>sanciones pecuniarias.</w:t>
            </w:r>
          </w:p>
          <w:p>
            <w:pPr>
              <w:pStyle w:val="TableParagraph"/>
              <w:numPr>
                <w:ilvl w:val="0"/>
                <w:numId w:val="65"/>
              </w:numPr>
              <w:tabs>
                <w:tab w:pos="418" w:val="left" w:leader="none"/>
              </w:tabs>
              <w:spacing w:line="240" w:lineRule="auto" w:before="0" w:after="0"/>
              <w:ind w:left="417" w:right="0" w:hanging="283"/>
              <w:jc w:val="left"/>
              <w:rPr>
                <w:sz w:val="14"/>
              </w:rPr>
            </w:pPr>
            <w:r>
              <w:rPr>
                <w:sz w:val="14"/>
              </w:rPr>
              <w:t>Depende del Poder</w:t>
            </w:r>
            <w:r>
              <w:rPr>
                <w:spacing w:val="-12"/>
                <w:sz w:val="14"/>
              </w:rPr>
              <w:t> </w:t>
            </w:r>
            <w:r>
              <w:rPr>
                <w:sz w:val="14"/>
              </w:rPr>
              <w:t>Ejecutivo.</w:t>
            </w:r>
          </w:p>
          <w:p>
            <w:pPr>
              <w:pStyle w:val="TableParagraph"/>
              <w:numPr>
                <w:ilvl w:val="0"/>
                <w:numId w:val="65"/>
              </w:numPr>
              <w:tabs>
                <w:tab w:pos="418" w:val="left" w:leader="none"/>
              </w:tabs>
              <w:spacing w:line="240" w:lineRule="auto" w:before="0" w:after="0"/>
              <w:ind w:left="417" w:right="181" w:hanging="283"/>
              <w:jc w:val="left"/>
              <w:rPr>
                <w:sz w:val="14"/>
              </w:rPr>
            </w:pPr>
            <w:r>
              <w:rPr>
                <w:sz w:val="14"/>
              </w:rPr>
              <w:t>Facultad interpretativa sobre</w:t>
            </w:r>
            <w:r>
              <w:rPr>
                <w:spacing w:val="-10"/>
                <w:sz w:val="14"/>
              </w:rPr>
              <w:t> </w:t>
            </w:r>
            <w:r>
              <w:rPr>
                <w:sz w:val="14"/>
              </w:rPr>
              <w:t>la normativa</w:t>
            </w:r>
            <w:r>
              <w:rPr>
                <w:spacing w:val="-9"/>
                <w:sz w:val="14"/>
              </w:rPr>
              <w:t> </w:t>
            </w:r>
            <w:r>
              <w:rPr>
                <w:sz w:val="14"/>
              </w:rPr>
              <w:t>secundaria.</w:t>
            </w:r>
          </w:p>
          <w:p>
            <w:pPr>
              <w:pStyle w:val="TableParagraph"/>
              <w:numPr>
                <w:ilvl w:val="0"/>
                <w:numId w:val="65"/>
              </w:numPr>
              <w:tabs>
                <w:tab w:pos="418" w:val="left" w:leader="none"/>
              </w:tabs>
              <w:spacing w:line="240" w:lineRule="auto" w:before="0" w:after="0"/>
              <w:ind w:left="417" w:right="461" w:hanging="283"/>
              <w:jc w:val="left"/>
              <w:rPr>
                <w:sz w:val="14"/>
              </w:rPr>
            </w:pPr>
            <w:r>
              <w:rPr>
                <w:sz w:val="14"/>
              </w:rPr>
              <w:t>Énfasis en el combate a</w:t>
            </w:r>
            <w:r>
              <w:rPr>
                <w:spacing w:val="-10"/>
                <w:sz w:val="14"/>
              </w:rPr>
              <w:t> </w:t>
            </w:r>
            <w:r>
              <w:rPr>
                <w:sz w:val="14"/>
              </w:rPr>
              <w:t>la corrupción.</w:t>
            </w:r>
          </w:p>
          <w:p>
            <w:pPr>
              <w:pStyle w:val="TableParagraph"/>
              <w:numPr>
                <w:ilvl w:val="0"/>
                <w:numId w:val="65"/>
              </w:numPr>
              <w:tabs>
                <w:tab w:pos="418" w:val="left" w:leader="none"/>
              </w:tabs>
              <w:spacing w:line="240" w:lineRule="auto" w:before="0" w:after="0"/>
              <w:ind w:left="417" w:right="180" w:hanging="283"/>
              <w:jc w:val="left"/>
              <w:rPr>
                <w:sz w:val="14"/>
              </w:rPr>
            </w:pPr>
            <w:r>
              <w:rPr>
                <w:sz w:val="14"/>
              </w:rPr>
              <w:t>Gran variedad de enfoques debido a que la colegialidad</w:t>
            </w:r>
            <w:r>
              <w:rPr>
                <w:spacing w:val="-11"/>
                <w:sz w:val="14"/>
              </w:rPr>
              <w:t> </w:t>
            </w:r>
            <w:r>
              <w:rPr>
                <w:sz w:val="14"/>
              </w:rPr>
              <w:t>se extiende a</w:t>
            </w:r>
            <w:r>
              <w:rPr>
                <w:spacing w:val="-9"/>
                <w:sz w:val="14"/>
              </w:rPr>
              <w:t> </w:t>
            </w:r>
            <w:r>
              <w:rPr>
                <w:sz w:val="14"/>
              </w:rPr>
              <w:t>subcomités.</w:t>
            </w:r>
          </w:p>
        </w:tc>
        <w:tc>
          <w:tcPr>
            <w:tcW w:w="1246" w:type="dxa"/>
            <w:tcBorders>
              <w:top w:val="single" w:sz="4" w:space="0" w:color="000000"/>
              <w:left w:val="single" w:sz="4" w:space="0" w:color="000000"/>
              <w:bottom w:val="single" w:sz="4" w:space="0" w:color="000000"/>
              <w:right w:val="single" w:sz="4" w:space="0" w:color="000000"/>
            </w:tcBorders>
          </w:tcPr>
          <w:p>
            <w:pPr>
              <w:pStyle w:val="TableParagraph"/>
              <w:ind w:left="103" w:right="124"/>
              <w:rPr>
                <w:sz w:val="14"/>
              </w:rPr>
            </w:pPr>
            <w:r>
              <w:rPr>
                <w:sz w:val="14"/>
              </w:rPr>
              <w:t>Cuenta con el grado de autonomía necesaria para realizar su función revisora de forma externa e independiente.</w:t>
            </w:r>
          </w:p>
        </w:tc>
      </w:tr>
    </w:tbl>
    <w:p>
      <w:pPr>
        <w:pStyle w:val="BodyText"/>
        <w:spacing w:before="8"/>
        <w:rPr>
          <w:sz w:val="8"/>
        </w:rPr>
      </w:pPr>
    </w:p>
    <w:p>
      <w:pPr>
        <w:spacing w:before="81"/>
        <w:ind w:left="162" w:right="228" w:firstLine="0"/>
        <w:jc w:val="left"/>
        <w:rPr>
          <w:sz w:val="16"/>
        </w:rPr>
      </w:pPr>
      <w:r>
        <w:rPr>
          <w:sz w:val="16"/>
        </w:rPr>
        <w:t>FUENTE: Figueroa (2007); Reino Unido: </w:t>
      </w:r>
      <w:hyperlink r:id="rId160">
        <w:r>
          <w:rPr>
            <w:sz w:val="16"/>
          </w:rPr>
          <w:t>http://www.nao.org.uk/publications/1012/wga_2009-10.aspx;</w:t>
        </w:r>
      </w:hyperlink>
      <w:r>
        <w:rPr>
          <w:sz w:val="16"/>
        </w:rPr>
        <w:t> Estados Unidos: http://www.gao.gov/browse/topic/Tax_Policy_and_Administration</w:t>
      </w:r>
      <w:hyperlink r:id="rId161">
        <w:r>
          <w:rPr>
            <w:sz w:val="16"/>
          </w:rPr>
          <w:t>http://www.ife.org.mx/documentos/DECEYEC/eua.htm</w:t>
        </w:r>
      </w:hyperlink>
    </w:p>
    <w:p>
      <w:pPr>
        <w:spacing w:before="1"/>
        <w:ind w:left="162" w:right="191" w:firstLine="0"/>
        <w:jc w:val="left"/>
        <w:rPr>
          <w:sz w:val="16"/>
        </w:rPr>
      </w:pPr>
      <w:r>
        <w:rPr>
          <w:sz w:val="16"/>
        </w:rPr>
        <w:t>#sistpol; México: </w:t>
      </w:r>
      <w:hyperlink r:id="rId162">
        <w:r>
          <w:rPr>
            <w:sz w:val="16"/>
          </w:rPr>
          <w:t>http://mexicity.blogspot.mx/2008/08/sistema-electoral-de-mexico.html</w:t>
        </w:r>
      </w:hyperlink>
      <w:r>
        <w:rPr>
          <w:sz w:val="16"/>
        </w:rPr>
        <w:t> y http://asf.gob.mx; Alemania: </w:t>
      </w:r>
      <w:hyperlink r:id="rId163">
        <w:r>
          <w:rPr>
            <w:sz w:val="16"/>
          </w:rPr>
          <w:t>http://www.juridicas.unam.mx/navjus/gob/de.htm</w:t>
        </w:r>
      </w:hyperlink>
      <w:r>
        <w:rPr>
          <w:sz w:val="16"/>
        </w:rPr>
        <w:t> y España: </w:t>
      </w:r>
      <w:hyperlink r:id="rId164">
        <w:r>
          <w:rPr>
            <w:sz w:val="16"/>
          </w:rPr>
          <w:t>http://www.ife.org.mx/documentos/DECEYEC/espana.htm#sistpol;</w:t>
        </w:r>
      </w:hyperlink>
      <w:r>
        <w:rPr>
          <w:sz w:val="16"/>
        </w:rPr>
        <w:t> </w:t>
      </w:r>
      <w:hyperlink r:id="rId165">
        <w:r>
          <w:rPr>
            <w:color w:val="0000FF"/>
            <w:sz w:val="16"/>
            <w:u w:val="single" w:color="0000FF"/>
          </w:rPr>
          <w:t>http://www.asturiasliberal.org/colaboraciones/piensa_en_liberal/espanna_alemania_poder_judicial_poder_ejecutivo_y_r</w:t>
        </w:r>
      </w:hyperlink>
      <w:r>
        <w:rPr>
          <w:color w:val="0000FF"/>
          <w:sz w:val="16"/>
          <w:u w:val="single" w:color="0000FF"/>
        </w:rPr>
        <w:t> </w:t>
      </w:r>
      <w:hyperlink r:id="rId165">
        <w:r>
          <w:rPr>
            <w:color w:val="0000FF"/>
            <w:sz w:val="16"/>
            <w:u w:val="single" w:color="0000FF"/>
          </w:rPr>
          <w:t>eferen_2.php</w:t>
        </w:r>
      </w:hyperlink>
    </w:p>
    <w:p>
      <w:pPr>
        <w:spacing w:after="0"/>
        <w:jc w:val="left"/>
        <w:rPr>
          <w:sz w:val="16"/>
        </w:rPr>
        <w:sectPr>
          <w:footerReference w:type="default" r:id="rId158"/>
          <w:footerReference w:type="even" r:id="rId159"/>
          <w:pgSz w:w="11910" w:h="16840"/>
          <w:pgMar w:footer="1003" w:header="0" w:top="1340" w:bottom="1200" w:left="1540" w:right="1520"/>
          <w:pgNumType w:start="107"/>
        </w:sectPr>
      </w:pPr>
    </w:p>
    <w:p>
      <w:pPr>
        <w:pStyle w:val="BodyText"/>
        <w:spacing w:before="11"/>
        <w:rPr>
          <w:sz w:val="21"/>
        </w:rPr>
      </w:pPr>
    </w:p>
    <w:p>
      <w:pPr>
        <w:spacing w:before="74"/>
        <w:ind w:left="2165" w:right="1008" w:firstLine="0"/>
        <w:jc w:val="left"/>
        <w:rPr>
          <w:sz w:val="20"/>
        </w:rPr>
      </w:pPr>
      <w:r>
        <w:rPr>
          <w:sz w:val="20"/>
        </w:rPr>
        <w:t>Cuadro 3. 5. Modelos de rendición de cuentas en América y Europa</w:t>
      </w:r>
    </w:p>
    <w:p>
      <w:pPr>
        <w:pStyle w:val="BodyText"/>
        <w:spacing w:before="6"/>
        <w:rPr>
          <w:sz w:val="17"/>
        </w:rPr>
      </w:pPr>
    </w:p>
    <w:p>
      <w:pPr>
        <w:spacing w:before="0" w:after="24"/>
        <w:ind w:left="4473" w:right="3809" w:firstLine="0"/>
        <w:jc w:val="center"/>
        <w:rPr>
          <w:sz w:val="20"/>
        </w:rPr>
      </w:pPr>
      <w:r>
        <w:rPr>
          <w:sz w:val="20"/>
        </w:rPr>
        <w:t>(Países seleccionados)</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4"/>
        <w:gridCol w:w="1838"/>
        <w:gridCol w:w="1779"/>
        <w:gridCol w:w="1942"/>
        <w:gridCol w:w="1700"/>
        <w:gridCol w:w="2107"/>
      </w:tblGrid>
      <w:tr>
        <w:trPr>
          <w:trHeight w:val="461" w:hRule="exact"/>
        </w:trPr>
        <w:tc>
          <w:tcPr>
            <w:tcW w:w="744" w:type="dxa"/>
            <w:tcBorders>
              <w:top w:val="single" w:sz="12" w:space="0" w:color="BEBEBE"/>
              <w:left w:val="single" w:sz="12" w:space="0" w:color="BEBEBE"/>
              <w:bottom w:val="single" w:sz="12" w:space="0" w:color="BEBEBE"/>
              <w:right w:val="single" w:sz="12" w:space="0" w:color="BEBEBE"/>
            </w:tcBorders>
          </w:tcPr>
          <w:p>
            <w:pPr/>
          </w:p>
        </w:tc>
        <w:tc>
          <w:tcPr>
            <w:tcW w:w="1838" w:type="dxa"/>
            <w:tcBorders>
              <w:left w:val="single" w:sz="12" w:space="0" w:color="BEBEBE"/>
              <w:bottom w:val="single" w:sz="17" w:space="0" w:color="D9D9D9"/>
              <w:right w:val="single" w:sz="17" w:space="0" w:color="D9D9D9"/>
            </w:tcBorders>
          </w:tcPr>
          <w:p>
            <w:pPr>
              <w:pStyle w:val="TableParagraph"/>
              <w:spacing w:before="4"/>
              <w:rPr>
                <w:sz w:val="13"/>
              </w:rPr>
            </w:pPr>
          </w:p>
          <w:p>
            <w:pPr>
              <w:pStyle w:val="TableParagraph"/>
              <w:ind w:left="617" w:right="611"/>
              <w:jc w:val="center"/>
              <w:rPr>
                <w:b/>
                <w:sz w:val="12"/>
              </w:rPr>
            </w:pPr>
            <w:r>
              <w:rPr>
                <w:b/>
                <w:sz w:val="12"/>
              </w:rPr>
              <w:t>Alemania</w:t>
            </w:r>
          </w:p>
        </w:tc>
        <w:tc>
          <w:tcPr>
            <w:tcW w:w="1779" w:type="dxa"/>
            <w:tcBorders>
              <w:top w:val="single" w:sz="12" w:space="0" w:color="FFFFFF"/>
              <w:left w:val="single" w:sz="17" w:space="0" w:color="D9D9D9"/>
              <w:bottom w:val="single" w:sz="17" w:space="0" w:color="D9D9D9"/>
              <w:right w:val="single" w:sz="17" w:space="0" w:color="D9D9D9"/>
            </w:tcBorders>
          </w:tcPr>
          <w:p>
            <w:pPr>
              <w:pStyle w:val="TableParagraph"/>
              <w:spacing w:before="5"/>
              <w:rPr>
                <w:sz w:val="12"/>
              </w:rPr>
            </w:pPr>
          </w:p>
          <w:p>
            <w:pPr>
              <w:pStyle w:val="TableParagraph"/>
              <w:ind w:left="634" w:right="634"/>
              <w:jc w:val="center"/>
              <w:rPr>
                <w:b/>
                <w:sz w:val="12"/>
              </w:rPr>
            </w:pPr>
            <w:r>
              <w:rPr>
                <w:b/>
                <w:sz w:val="12"/>
              </w:rPr>
              <w:t>España</w:t>
            </w:r>
          </w:p>
        </w:tc>
        <w:tc>
          <w:tcPr>
            <w:tcW w:w="1942" w:type="dxa"/>
            <w:tcBorders>
              <w:top w:val="single" w:sz="12" w:space="0" w:color="FFFFFF"/>
              <w:left w:val="single" w:sz="17" w:space="0" w:color="D9D9D9"/>
              <w:bottom w:val="single" w:sz="17" w:space="0" w:color="D9D9D9"/>
              <w:right w:val="single" w:sz="17" w:space="0" w:color="D9D9D9"/>
            </w:tcBorders>
          </w:tcPr>
          <w:p>
            <w:pPr>
              <w:pStyle w:val="TableParagraph"/>
              <w:spacing w:before="5"/>
              <w:rPr>
                <w:sz w:val="12"/>
              </w:rPr>
            </w:pPr>
          </w:p>
          <w:p>
            <w:pPr>
              <w:pStyle w:val="TableParagraph"/>
              <w:ind w:left="494"/>
              <w:rPr>
                <w:b/>
                <w:sz w:val="12"/>
              </w:rPr>
            </w:pPr>
            <w:r>
              <w:rPr>
                <w:b/>
                <w:sz w:val="12"/>
              </w:rPr>
              <w:t>Estados Unidos</w:t>
            </w:r>
          </w:p>
        </w:tc>
        <w:tc>
          <w:tcPr>
            <w:tcW w:w="1700" w:type="dxa"/>
            <w:tcBorders>
              <w:top w:val="single" w:sz="12" w:space="0" w:color="FFFFFF"/>
              <w:left w:val="single" w:sz="17" w:space="0" w:color="D9D9D9"/>
              <w:bottom w:val="single" w:sz="17" w:space="0" w:color="D9D9D9"/>
              <w:right w:val="single" w:sz="17" w:space="0" w:color="D9D9D9"/>
            </w:tcBorders>
          </w:tcPr>
          <w:p>
            <w:pPr>
              <w:pStyle w:val="TableParagraph"/>
              <w:spacing w:before="5"/>
              <w:rPr>
                <w:sz w:val="12"/>
              </w:rPr>
            </w:pPr>
          </w:p>
          <w:p>
            <w:pPr>
              <w:pStyle w:val="TableParagraph"/>
              <w:ind w:left="604" w:right="604"/>
              <w:jc w:val="center"/>
              <w:rPr>
                <w:b/>
                <w:sz w:val="12"/>
              </w:rPr>
            </w:pPr>
            <w:r>
              <w:rPr>
                <w:b/>
                <w:sz w:val="12"/>
              </w:rPr>
              <w:t>México</w:t>
            </w:r>
          </w:p>
        </w:tc>
        <w:tc>
          <w:tcPr>
            <w:tcW w:w="2107" w:type="dxa"/>
            <w:tcBorders>
              <w:top w:val="single" w:sz="12" w:space="0" w:color="FFFFFF"/>
              <w:left w:val="single" w:sz="17" w:space="0" w:color="D9D9D9"/>
              <w:bottom w:val="single" w:sz="17" w:space="0" w:color="D9D9D9"/>
              <w:right w:val="single" w:sz="17" w:space="0" w:color="D9D9D9"/>
            </w:tcBorders>
          </w:tcPr>
          <w:p>
            <w:pPr>
              <w:pStyle w:val="TableParagraph"/>
              <w:spacing w:before="5"/>
              <w:rPr>
                <w:sz w:val="12"/>
              </w:rPr>
            </w:pPr>
          </w:p>
          <w:p>
            <w:pPr>
              <w:pStyle w:val="TableParagraph"/>
              <w:ind w:left="679"/>
              <w:rPr>
                <w:b/>
                <w:sz w:val="12"/>
              </w:rPr>
            </w:pPr>
            <w:r>
              <w:rPr>
                <w:b/>
                <w:sz w:val="12"/>
              </w:rPr>
              <w:t>Reino Unido</w:t>
            </w:r>
          </w:p>
        </w:tc>
      </w:tr>
      <w:tr>
        <w:trPr>
          <w:trHeight w:val="7206" w:hRule="exact"/>
        </w:trPr>
        <w:tc>
          <w:tcPr>
            <w:tcW w:w="744" w:type="dxa"/>
            <w:tcBorders>
              <w:top w:val="single" w:sz="12" w:space="0" w:color="BEBEBE"/>
              <w:left w:val="single" w:sz="12" w:space="0" w:color="BEBEBE"/>
              <w:bottom w:val="single" w:sz="12" w:space="0" w:color="BEBEBE"/>
              <w:right w:val="single" w:sz="12" w:space="0" w:color="BEBEBE"/>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4"/>
              <w:rPr>
                <w:sz w:val="12"/>
              </w:rPr>
            </w:pPr>
          </w:p>
          <w:p>
            <w:pPr>
              <w:pStyle w:val="TableParagraph"/>
              <w:ind w:left="112" w:right="115"/>
              <w:jc w:val="center"/>
              <w:rPr>
                <w:b/>
                <w:sz w:val="12"/>
              </w:rPr>
            </w:pPr>
            <w:r>
              <w:rPr>
                <w:b/>
                <w:sz w:val="12"/>
              </w:rPr>
              <w:t>Estructu ra de la rendició n</w:t>
            </w:r>
          </w:p>
          <w:p>
            <w:pPr>
              <w:pStyle w:val="TableParagraph"/>
              <w:spacing w:before="1"/>
              <w:ind w:left="112" w:right="114"/>
              <w:jc w:val="center"/>
              <w:rPr>
                <w:b/>
                <w:sz w:val="12"/>
              </w:rPr>
            </w:pPr>
            <w:r>
              <w:rPr>
                <w:b/>
                <w:sz w:val="12"/>
              </w:rPr>
              <w:t>de cuentas</w:t>
            </w:r>
          </w:p>
        </w:tc>
        <w:tc>
          <w:tcPr>
            <w:tcW w:w="1838" w:type="dxa"/>
            <w:tcBorders>
              <w:top w:val="single" w:sz="17" w:space="0" w:color="D9D9D9"/>
              <w:left w:val="single" w:sz="12" w:space="0" w:color="BEBEBE"/>
            </w:tcBorders>
          </w:tcPr>
          <w:p>
            <w:pPr>
              <w:pStyle w:val="TableParagraph"/>
              <w:ind w:left="283" w:right="295"/>
              <w:jc w:val="center"/>
              <w:rPr>
                <w:b/>
                <w:sz w:val="12"/>
              </w:rPr>
            </w:pPr>
            <w:r>
              <w:rPr>
                <w:b/>
                <w:sz w:val="12"/>
              </w:rPr>
              <w:t>Bundesrechnungshof (Tribunal Federal de Cuentas)</w:t>
            </w:r>
          </w:p>
          <w:p>
            <w:pPr>
              <w:pStyle w:val="TableParagraph"/>
              <w:rPr>
                <w:sz w:val="12"/>
              </w:rPr>
            </w:pPr>
          </w:p>
          <w:p>
            <w:pPr>
              <w:pStyle w:val="TableParagraph"/>
              <w:spacing w:before="1"/>
              <w:rPr>
                <w:sz w:val="12"/>
              </w:rPr>
            </w:pPr>
          </w:p>
          <w:p>
            <w:pPr>
              <w:pStyle w:val="TableParagraph"/>
              <w:ind w:left="93"/>
              <w:jc w:val="both"/>
              <w:rPr>
                <w:sz w:val="12"/>
              </w:rPr>
            </w:pPr>
            <w:r>
              <w:rPr>
                <w:sz w:val="12"/>
              </w:rPr>
              <w:t>Grupo colegiado.</w:t>
            </w:r>
          </w:p>
          <w:p>
            <w:pPr>
              <w:pStyle w:val="TableParagraph"/>
              <w:rPr>
                <w:sz w:val="12"/>
              </w:rPr>
            </w:pPr>
          </w:p>
          <w:p>
            <w:pPr>
              <w:pStyle w:val="TableParagraph"/>
              <w:ind w:left="93" w:right="385"/>
              <w:rPr>
                <w:sz w:val="12"/>
              </w:rPr>
            </w:pPr>
            <w:r>
              <w:rPr>
                <w:sz w:val="12"/>
              </w:rPr>
              <w:t>Denominación del titular: Presidente del Tribunal.</w:t>
            </w:r>
          </w:p>
          <w:p>
            <w:pPr>
              <w:pStyle w:val="TableParagraph"/>
              <w:rPr>
                <w:sz w:val="12"/>
              </w:rPr>
            </w:pPr>
          </w:p>
          <w:p>
            <w:pPr>
              <w:pStyle w:val="TableParagraph"/>
              <w:ind w:left="93" w:right="398"/>
              <w:rPr>
                <w:sz w:val="12"/>
              </w:rPr>
            </w:pPr>
            <w:r>
              <w:rPr>
                <w:sz w:val="12"/>
              </w:rPr>
              <w:t>Duración en el cargo: 12 años.</w:t>
            </w:r>
          </w:p>
          <w:p>
            <w:pPr>
              <w:pStyle w:val="TableParagraph"/>
              <w:rPr>
                <w:sz w:val="12"/>
              </w:rPr>
            </w:pPr>
          </w:p>
          <w:p>
            <w:pPr>
              <w:pStyle w:val="TableParagraph"/>
              <w:ind w:left="93" w:right="99"/>
              <w:jc w:val="both"/>
              <w:rPr>
                <w:sz w:val="12"/>
              </w:rPr>
            </w:pPr>
            <w:r>
              <w:rPr>
                <w:sz w:val="12"/>
                <w:u w:val="single"/>
              </w:rPr>
              <w:t>Antecedente histórico</w:t>
            </w:r>
            <w:r>
              <w:rPr>
                <w:sz w:val="12"/>
              </w:rPr>
              <w:t>: 1714 (antes de la Revolución Francesa).</w:t>
            </w:r>
          </w:p>
          <w:p>
            <w:pPr>
              <w:pStyle w:val="TableParagraph"/>
              <w:ind w:left="93" w:right="100"/>
              <w:jc w:val="both"/>
              <w:rPr>
                <w:sz w:val="12"/>
              </w:rPr>
            </w:pPr>
            <w:r>
              <w:rPr>
                <w:sz w:val="12"/>
                <w:u w:val="single"/>
              </w:rPr>
              <w:t>Designación del titular</w:t>
            </w:r>
            <w:r>
              <w:rPr>
                <w:sz w:val="12"/>
              </w:rPr>
              <w:t>: El gobierno federal propone al presidente y vicepresidente y el Parlamento y el Senado los ratifican.</w:t>
            </w:r>
          </w:p>
          <w:p>
            <w:pPr>
              <w:pStyle w:val="TableParagraph"/>
              <w:spacing w:before="1"/>
              <w:ind w:left="93" w:right="101"/>
              <w:jc w:val="both"/>
              <w:rPr>
                <w:sz w:val="12"/>
              </w:rPr>
            </w:pPr>
            <w:r>
              <w:rPr>
                <w:sz w:val="12"/>
                <w:u w:val="single"/>
              </w:rPr>
              <w:t>Base jurídica</w:t>
            </w:r>
            <w:r>
              <w:rPr>
                <w:sz w:val="12"/>
              </w:rPr>
              <w:t>: Ley del Tribunal Federal de Cuentas, art. 114, párrafo 2.</w:t>
            </w:r>
          </w:p>
          <w:p>
            <w:pPr>
              <w:pStyle w:val="TableParagraph"/>
              <w:ind w:left="93" w:right="99"/>
              <w:jc w:val="both"/>
              <w:rPr>
                <w:sz w:val="12"/>
              </w:rPr>
            </w:pPr>
            <w:r>
              <w:rPr>
                <w:sz w:val="12"/>
                <w:u w:val="single"/>
              </w:rPr>
              <w:t>Tipo de autonomía</w:t>
            </w:r>
            <w:r>
              <w:rPr>
                <w:sz w:val="12"/>
              </w:rPr>
              <w:t>: Técnica, de gestión y financiera.</w:t>
            </w:r>
          </w:p>
          <w:p>
            <w:pPr>
              <w:pStyle w:val="TableParagraph"/>
              <w:ind w:left="93" w:right="99"/>
              <w:jc w:val="both"/>
              <w:rPr>
                <w:sz w:val="12"/>
              </w:rPr>
            </w:pPr>
            <w:r>
              <w:rPr>
                <w:sz w:val="12"/>
                <w:u w:val="single"/>
              </w:rPr>
              <w:t>Relación entre poderes</w:t>
            </w:r>
            <w:r>
              <w:rPr>
                <w:sz w:val="12"/>
              </w:rPr>
              <w:t>: Tiene un representante permanente en la Comisión de Presupuesto.</w:t>
            </w:r>
          </w:p>
          <w:p>
            <w:pPr>
              <w:pStyle w:val="TableParagraph"/>
              <w:tabs>
                <w:tab w:pos="1103" w:val="left" w:leader="none"/>
              </w:tabs>
              <w:ind w:left="93" w:right="99"/>
              <w:jc w:val="both"/>
              <w:rPr>
                <w:sz w:val="12"/>
              </w:rPr>
            </w:pPr>
            <w:r>
              <w:rPr>
                <w:sz w:val="12"/>
                <w:u w:val="single"/>
              </w:rPr>
              <w:t>Ámbito de actuación</w:t>
            </w:r>
            <w:r>
              <w:rPr>
                <w:sz w:val="12"/>
              </w:rPr>
              <w:t>: ingreso, gasto,</w:t>
              <w:tab/>
              <w:t>económico, administrativo.</w:t>
            </w:r>
          </w:p>
          <w:p>
            <w:pPr>
              <w:pStyle w:val="TableParagraph"/>
              <w:spacing w:before="1"/>
              <w:ind w:left="93" w:right="131"/>
              <w:rPr>
                <w:sz w:val="12"/>
              </w:rPr>
            </w:pPr>
            <w:r>
              <w:rPr>
                <w:sz w:val="12"/>
                <w:u w:val="single"/>
              </w:rPr>
              <w:t>Informes principales</w:t>
            </w:r>
            <w:r>
              <w:rPr>
                <w:sz w:val="12"/>
              </w:rPr>
              <w:t>: Informe Anual del Tribunal Federal de Cuentas e Informe de seguimiento del Tribunal Federal de Cuentas.</w:t>
            </w:r>
          </w:p>
          <w:p>
            <w:pPr>
              <w:pStyle w:val="TableParagraph"/>
              <w:ind w:left="93" w:right="101"/>
              <w:jc w:val="both"/>
              <w:rPr>
                <w:sz w:val="12"/>
              </w:rPr>
            </w:pPr>
            <w:r>
              <w:rPr>
                <w:sz w:val="12"/>
                <w:u w:val="single"/>
              </w:rPr>
              <w:t>Tipo de Rendición de cuentas</w:t>
            </w:r>
            <w:r>
              <w:rPr>
                <w:sz w:val="12"/>
              </w:rPr>
              <w:t>: Horizontal: al Parlamento y Senado</w:t>
            </w:r>
          </w:p>
          <w:p>
            <w:pPr>
              <w:pStyle w:val="TableParagraph"/>
              <w:spacing w:before="1"/>
              <w:ind w:left="93" w:right="101"/>
              <w:jc w:val="both"/>
              <w:rPr>
                <w:sz w:val="12"/>
              </w:rPr>
            </w:pPr>
            <w:r>
              <w:rPr>
                <w:sz w:val="12"/>
              </w:rPr>
              <w:t>Vertical: Información a la sociedad.</w:t>
            </w:r>
          </w:p>
          <w:p>
            <w:pPr>
              <w:pStyle w:val="TableParagraph"/>
              <w:spacing w:line="137" w:lineRule="exact" w:before="1"/>
              <w:ind w:left="93"/>
              <w:jc w:val="both"/>
              <w:rPr>
                <w:sz w:val="12"/>
              </w:rPr>
            </w:pPr>
            <w:r>
              <w:rPr>
                <w:sz w:val="12"/>
              </w:rPr>
              <w:t>Ex ante y expost.</w:t>
            </w:r>
          </w:p>
          <w:p>
            <w:pPr>
              <w:pStyle w:val="TableParagraph"/>
              <w:ind w:left="93" w:right="100"/>
              <w:jc w:val="both"/>
              <w:rPr>
                <w:sz w:val="12"/>
              </w:rPr>
            </w:pPr>
            <w:r>
              <w:rPr>
                <w:sz w:val="12"/>
                <w:u w:val="single"/>
              </w:rPr>
              <w:t>Red</w:t>
            </w:r>
            <w:r>
              <w:rPr>
                <w:sz w:val="12"/>
              </w:rPr>
              <w:t>: Asociación de Contribuyentes (ONG) y publican anualmente el Libro Negro-El derroche público.</w:t>
            </w:r>
          </w:p>
          <w:p>
            <w:pPr>
              <w:pStyle w:val="TableParagraph"/>
              <w:rPr>
                <w:sz w:val="12"/>
              </w:rPr>
            </w:pPr>
          </w:p>
          <w:p>
            <w:pPr>
              <w:pStyle w:val="TableParagraph"/>
              <w:ind w:left="93" w:right="99"/>
              <w:jc w:val="both"/>
              <w:rPr>
                <w:sz w:val="12"/>
              </w:rPr>
            </w:pPr>
            <w:r>
              <w:rPr>
                <w:sz w:val="12"/>
              </w:rPr>
              <w:t>La rendición de cuentas solo está supeditada al Estado de Derecho.</w:t>
            </w:r>
          </w:p>
        </w:tc>
        <w:tc>
          <w:tcPr>
            <w:tcW w:w="1779" w:type="dxa"/>
            <w:tcBorders>
              <w:top w:val="single" w:sz="17" w:space="0" w:color="D9D9D9"/>
            </w:tcBorders>
          </w:tcPr>
          <w:p>
            <w:pPr>
              <w:pStyle w:val="TableParagraph"/>
              <w:spacing w:line="136" w:lineRule="exact"/>
              <w:ind w:left="307" w:right="245"/>
              <w:rPr>
                <w:b/>
                <w:sz w:val="12"/>
              </w:rPr>
            </w:pPr>
            <w:r>
              <w:rPr>
                <w:b/>
                <w:sz w:val="12"/>
              </w:rPr>
              <w:t>Tribunal de Cuentas</w:t>
            </w:r>
          </w:p>
          <w:p>
            <w:pPr>
              <w:pStyle w:val="TableParagraph"/>
              <w:rPr>
                <w:sz w:val="12"/>
              </w:rPr>
            </w:pPr>
          </w:p>
          <w:p>
            <w:pPr>
              <w:pStyle w:val="TableParagraph"/>
              <w:rPr>
                <w:sz w:val="12"/>
              </w:rPr>
            </w:pPr>
          </w:p>
          <w:p>
            <w:pPr>
              <w:pStyle w:val="TableParagraph"/>
              <w:spacing w:before="2"/>
              <w:rPr>
                <w:sz w:val="12"/>
              </w:rPr>
            </w:pPr>
          </w:p>
          <w:p>
            <w:pPr>
              <w:pStyle w:val="TableParagraph"/>
              <w:ind w:left="103" w:right="245"/>
              <w:rPr>
                <w:sz w:val="12"/>
              </w:rPr>
            </w:pPr>
            <w:r>
              <w:rPr>
                <w:sz w:val="12"/>
              </w:rPr>
              <w:t>Grupo colegiado.</w:t>
            </w:r>
          </w:p>
          <w:p>
            <w:pPr>
              <w:pStyle w:val="TableParagraph"/>
              <w:spacing w:before="9"/>
              <w:rPr>
                <w:sz w:val="11"/>
              </w:rPr>
            </w:pPr>
          </w:p>
          <w:p>
            <w:pPr>
              <w:pStyle w:val="TableParagraph"/>
              <w:ind w:left="103" w:right="245"/>
              <w:rPr>
                <w:sz w:val="12"/>
              </w:rPr>
            </w:pPr>
            <w:r>
              <w:rPr>
                <w:sz w:val="12"/>
              </w:rPr>
              <w:t>Denominación del titular: Presidente del Tribunal de Cuentas.</w:t>
            </w:r>
          </w:p>
          <w:p>
            <w:pPr>
              <w:pStyle w:val="TableParagraph"/>
              <w:rPr>
                <w:sz w:val="12"/>
              </w:rPr>
            </w:pPr>
          </w:p>
          <w:p>
            <w:pPr>
              <w:pStyle w:val="TableParagraph"/>
              <w:ind w:left="103" w:right="405"/>
              <w:rPr>
                <w:sz w:val="12"/>
              </w:rPr>
            </w:pPr>
            <w:r>
              <w:rPr>
                <w:sz w:val="12"/>
              </w:rPr>
              <w:t>Duración en el cargo: 3 años.</w:t>
            </w:r>
          </w:p>
          <w:p>
            <w:pPr>
              <w:pStyle w:val="TableParagraph"/>
              <w:rPr>
                <w:sz w:val="12"/>
              </w:rPr>
            </w:pPr>
          </w:p>
          <w:p>
            <w:pPr>
              <w:pStyle w:val="TableParagraph"/>
              <w:ind w:left="103"/>
              <w:rPr>
                <w:sz w:val="12"/>
              </w:rPr>
            </w:pPr>
            <w:r>
              <w:rPr>
                <w:sz w:val="12"/>
                <w:u w:val="single"/>
              </w:rPr>
              <w:t>Antecedente histórico</w:t>
            </w:r>
            <w:r>
              <w:rPr>
                <w:sz w:val="12"/>
              </w:rPr>
              <w:t>: 1388.</w:t>
            </w:r>
          </w:p>
          <w:p>
            <w:pPr>
              <w:pStyle w:val="TableParagraph"/>
              <w:rPr>
                <w:sz w:val="12"/>
              </w:rPr>
            </w:pPr>
          </w:p>
          <w:p>
            <w:pPr>
              <w:pStyle w:val="TableParagraph"/>
              <w:ind w:left="103" w:right="105"/>
              <w:rPr>
                <w:sz w:val="12"/>
              </w:rPr>
            </w:pPr>
            <w:r>
              <w:rPr>
                <w:sz w:val="12"/>
                <w:u w:val="single"/>
              </w:rPr>
              <w:t>Designación del titular</w:t>
            </w:r>
            <w:r>
              <w:rPr>
                <w:sz w:val="12"/>
              </w:rPr>
              <w:t>: Los consejeros de cuentas son designados por las Cortes Generales, seis por el Congreso de los Diputados y seis por el Senado, por un período de nueve años.</w:t>
            </w:r>
          </w:p>
          <w:p>
            <w:pPr>
              <w:pStyle w:val="TableParagraph"/>
              <w:rPr>
                <w:sz w:val="12"/>
              </w:rPr>
            </w:pPr>
          </w:p>
          <w:p>
            <w:pPr>
              <w:pStyle w:val="TableParagraph"/>
              <w:ind w:left="103" w:right="105"/>
              <w:rPr>
                <w:sz w:val="12"/>
              </w:rPr>
            </w:pPr>
            <w:r>
              <w:rPr>
                <w:sz w:val="12"/>
                <w:u w:val="single"/>
              </w:rPr>
              <w:t>Base jurídica</w:t>
            </w:r>
            <w:r>
              <w:rPr>
                <w:sz w:val="12"/>
              </w:rPr>
              <w:t>: Constitución, artículo 108 y artículo 1 de la Ley Orgánica del Tribunal de Cuentas.</w:t>
            </w:r>
          </w:p>
          <w:p>
            <w:pPr>
              <w:pStyle w:val="TableParagraph"/>
              <w:spacing w:before="1"/>
              <w:ind w:left="103" w:right="158"/>
              <w:rPr>
                <w:sz w:val="12"/>
              </w:rPr>
            </w:pPr>
            <w:r>
              <w:rPr>
                <w:sz w:val="12"/>
                <w:u w:val="single"/>
              </w:rPr>
              <w:t>Tipo de autonomía</w:t>
            </w:r>
            <w:r>
              <w:rPr>
                <w:sz w:val="12"/>
              </w:rPr>
              <w:t>: Técnica y de gestión.</w:t>
            </w:r>
          </w:p>
          <w:p>
            <w:pPr>
              <w:pStyle w:val="TableParagraph"/>
              <w:spacing w:before="1"/>
              <w:ind w:left="103" w:right="372"/>
              <w:rPr>
                <w:sz w:val="12"/>
              </w:rPr>
            </w:pPr>
            <w:r>
              <w:rPr>
                <w:sz w:val="12"/>
                <w:u w:val="single"/>
              </w:rPr>
              <w:t>Relación entre poderes</w:t>
            </w:r>
            <w:r>
              <w:rPr>
                <w:sz w:val="12"/>
              </w:rPr>
              <w:t>: Con el Parlamento.</w:t>
            </w:r>
          </w:p>
          <w:p>
            <w:pPr>
              <w:pStyle w:val="TableParagraph"/>
              <w:rPr>
                <w:sz w:val="12"/>
              </w:rPr>
            </w:pPr>
          </w:p>
          <w:p>
            <w:pPr>
              <w:pStyle w:val="TableParagraph"/>
              <w:spacing w:before="1"/>
              <w:rPr>
                <w:sz w:val="12"/>
              </w:rPr>
            </w:pPr>
          </w:p>
          <w:p>
            <w:pPr>
              <w:pStyle w:val="TableParagraph"/>
              <w:ind w:left="103" w:right="125"/>
              <w:rPr>
                <w:sz w:val="12"/>
              </w:rPr>
            </w:pPr>
            <w:r>
              <w:rPr>
                <w:sz w:val="12"/>
                <w:u w:val="single"/>
              </w:rPr>
              <w:t>Ámbito de actuación</w:t>
            </w:r>
            <w:r>
              <w:rPr>
                <w:sz w:val="12"/>
              </w:rPr>
              <w:t>: Actividad económico financiera del sector público. </w:t>
            </w:r>
            <w:r>
              <w:rPr>
                <w:sz w:val="12"/>
                <w:u w:val="single"/>
              </w:rPr>
              <w:t>Informes principales</w:t>
            </w:r>
            <w:r>
              <w:rPr>
                <w:sz w:val="12"/>
              </w:rPr>
              <w:t>: Informes de fiscalización.</w:t>
            </w:r>
          </w:p>
          <w:p>
            <w:pPr>
              <w:pStyle w:val="TableParagraph"/>
              <w:rPr>
                <w:sz w:val="12"/>
              </w:rPr>
            </w:pPr>
          </w:p>
          <w:p>
            <w:pPr>
              <w:pStyle w:val="TableParagraph"/>
              <w:ind w:left="103" w:right="112"/>
              <w:rPr>
                <w:sz w:val="12"/>
              </w:rPr>
            </w:pPr>
            <w:r>
              <w:rPr>
                <w:sz w:val="12"/>
              </w:rPr>
              <w:t>Característica: el Tribunal tiene la atribución de enjuiciar de manera contable</w:t>
            </w:r>
          </w:p>
        </w:tc>
        <w:tc>
          <w:tcPr>
            <w:tcW w:w="1942" w:type="dxa"/>
            <w:tcBorders>
              <w:top w:val="single" w:sz="17" w:space="0" w:color="D9D9D9"/>
            </w:tcBorders>
          </w:tcPr>
          <w:p>
            <w:pPr>
              <w:pStyle w:val="TableParagraph"/>
              <w:ind w:left="124" w:right="125"/>
              <w:jc w:val="center"/>
              <w:rPr>
                <w:b/>
                <w:sz w:val="12"/>
              </w:rPr>
            </w:pPr>
            <w:r>
              <w:rPr>
                <w:b/>
                <w:sz w:val="12"/>
              </w:rPr>
              <w:t>General Accountability Office (Oficina de Rendición de Cuentas)</w:t>
            </w:r>
          </w:p>
          <w:p>
            <w:pPr>
              <w:pStyle w:val="TableParagraph"/>
              <w:spacing w:line="270" w:lineRule="atLeast" w:before="8"/>
              <w:ind w:left="103" w:right="488"/>
              <w:rPr>
                <w:sz w:val="12"/>
              </w:rPr>
            </w:pPr>
            <w:r>
              <w:rPr>
                <w:sz w:val="12"/>
              </w:rPr>
              <w:t>Titular único. Denominación del titular:</w:t>
            </w:r>
          </w:p>
          <w:p>
            <w:pPr>
              <w:pStyle w:val="TableParagraph"/>
              <w:spacing w:before="1"/>
              <w:ind w:left="103" w:right="221"/>
              <w:rPr>
                <w:sz w:val="12"/>
              </w:rPr>
            </w:pPr>
            <w:r>
              <w:rPr>
                <w:sz w:val="12"/>
              </w:rPr>
              <w:t>Contralor General de Estados Unidos.</w:t>
            </w:r>
          </w:p>
          <w:p>
            <w:pPr>
              <w:pStyle w:val="TableParagraph"/>
              <w:rPr>
                <w:sz w:val="12"/>
              </w:rPr>
            </w:pPr>
          </w:p>
          <w:p>
            <w:pPr>
              <w:pStyle w:val="TableParagraph"/>
              <w:spacing w:line="480" w:lineRule="auto"/>
              <w:ind w:left="103" w:right="175"/>
              <w:rPr>
                <w:sz w:val="12"/>
              </w:rPr>
            </w:pPr>
            <w:r>
              <w:rPr>
                <w:sz w:val="12"/>
              </w:rPr>
              <w:t>Duración en el cargo: 15 años. </w:t>
            </w:r>
            <w:r>
              <w:rPr>
                <w:sz w:val="12"/>
                <w:u w:val="single"/>
              </w:rPr>
              <w:t>Antecedente histórico</w:t>
            </w:r>
            <w:r>
              <w:rPr>
                <w:sz w:val="12"/>
              </w:rPr>
              <w:t>: 1789.</w:t>
            </w:r>
          </w:p>
          <w:p>
            <w:pPr>
              <w:pStyle w:val="TableParagraph"/>
              <w:spacing w:before="4"/>
              <w:ind w:left="103" w:right="288"/>
              <w:rPr>
                <w:sz w:val="12"/>
              </w:rPr>
            </w:pPr>
            <w:r>
              <w:rPr>
                <w:sz w:val="12"/>
                <w:u w:val="single"/>
              </w:rPr>
              <w:t>Designación del titular</w:t>
            </w:r>
            <w:r>
              <w:rPr>
                <w:sz w:val="12"/>
              </w:rPr>
              <w:t>: por Presidente y ratificado por el Senado</w:t>
            </w:r>
          </w:p>
          <w:p>
            <w:pPr>
              <w:pStyle w:val="TableParagraph"/>
              <w:rPr>
                <w:sz w:val="12"/>
              </w:rPr>
            </w:pPr>
          </w:p>
          <w:p>
            <w:pPr>
              <w:pStyle w:val="TableParagraph"/>
              <w:spacing w:before="1"/>
              <w:rPr>
                <w:sz w:val="12"/>
              </w:rPr>
            </w:pPr>
          </w:p>
          <w:p>
            <w:pPr>
              <w:pStyle w:val="TableParagraph"/>
              <w:ind w:left="103" w:right="221"/>
              <w:rPr>
                <w:sz w:val="12"/>
              </w:rPr>
            </w:pPr>
            <w:r>
              <w:rPr>
                <w:sz w:val="12"/>
                <w:u w:val="single"/>
              </w:rPr>
              <w:t>Base jurídica</w:t>
            </w:r>
            <w:r>
              <w:rPr>
                <w:sz w:val="12"/>
              </w:rPr>
              <w:t>: Constitución de los Estados Unidos, art. 8 y el Decreto de Presupuesto y Contabilidad 1921.</w:t>
            </w:r>
          </w:p>
          <w:p>
            <w:pPr>
              <w:pStyle w:val="TableParagraph"/>
              <w:spacing w:before="1"/>
              <w:ind w:left="103" w:right="228"/>
              <w:rPr>
                <w:sz w:val="12"/>
              </w:rPr>
            </w:pPr>
            <w:r>
              <w:rPr>
                <w:sz w:val="12"/>
                <w:u w:val="single"/>
              </w:rPr>
              <w:t>Tipo de autonomía</w:t>
            </w:r>
            <w:r>
              <w:rPr>
                <w:sz w:val="12"/>
              </w:rPr>
              <w:t>: Técnica y de gestión.</w:t>
            </w:r>
          </w:p>
          <w:p>
            <w:pPr>
              <w:pStyle w:val="TableParagraph"/>
              <w:spacing w:line="137" w:lineRule="exact" w:before="1"/>
              <w:ind w:left="103" w:right="488"/>
              <w:rPr>
                <w:sz w:val="12"/>
              </w:rPr>
            </w:pPr>
            <w:r>
              <w:rPr>
                <w:sz w:val="12"/>
                <w:u w:val="single"/>
              </w:rPr>
              <w:t>Relación entre poderes</w:t>
            </w:r>
            <w:r>
              <w:rPr>
                <w:sz w:val="12"/>
              </w:rPr>
              <w:t>:</w:t>
            </w:r>
          </w:p>
          <w:p>
            <w:pPr>
              <w:pStyle w:val="TableParagraph"/>
              <w:ind w:left="103" w:right="173"/>
              <w:jc w:val="both"/>
              <w:rPr>
                <w:sz w:val="12"/>
              </w:rPr>
            </w:pPr>
            <w:r>
              <w:rPr>
                <w:sz w:val="12"/>
              </w:rPr>
              <w:t>Con el Congreso, con el Poder Ejecutivo (Oficina del Inspector General).</w:t>
            </w:r>
          </w:p>
          <w:p>
            <w:pPr>
              <w:pStyle w:val="TableParagraph"/>
              <w:rPr>
                <w:sz w:val="12"/>
              </w:rPr>
            </w:pPr>
          </w:p>
          <w:p>
            <w:pPr>
              <w:pStyle w:val="TableParagraph"/>
              <w:ind w:left="103" w:right="195"/>
              <w:rPr>
                <w:sz w:val="12"/>
              </w:rPr>
            </w:pPr>
            <w:r>
              <w:rPr>
                <w:sz w:val="12"/>
                <w:u w:val="single"/>
              </w:rPr>
              <w:t>Ámbito de actuación</w:t>
            </w:r>
            <w:r>
              <w:rPr>
                <w:sz w:val="12"/>
              </w:rPr>
              <w:t>: Revisión de los recursos federales y evaluar los resultados de los programas específicos.</w:t>
            </w:r>
          </w:p>
          <w:p>
            <w:pPr>
              <w:pStyle w:val="TableParagraph"/>
              <w:ind w:left="103" w:right="168"/>
              <w:rPr>
                <w:sz w:val="12"/>
              </w:rPr>
            </w:pPr>
            <w:r>
              <w:rPr>
                <w:sz w:val="12"/>
                <w:u w:val="single"/>
              </w:rPr>
              <w:t>Informes principales</w:t>
            </w:r>
            <w:r>
              <w:rPr>
                <w:sz w:val="12"/>
              </w:rPr>
              <w:t>: Reporte de Desempeño y Rendición de Cuentas Auditoría y Administración Financiera y Operaciones del Gobierno, entre otros.</w:t>
            </w:r>
          </w:p>
          <w:p>
            <w:pPr>
              <w:pStyle w:val="TableParagraph"/>
              <w:rPr>
                <w:sz w:val="12"/>
              </w:rPr>
            </w:pPr>
          </w:p>
          <w:p>
            <w:pPr>
              <w:pStyle w:val="TableParagraph"/>
              <w:ind w:left="103" w:right="175"/>
              <w:jc w:val="both"/>
              <w:rPr>
                <w:sz w:val="12"/>
              </w:rPr>
            </w:pPr>
            <w:r>
              <w:rPr>
                <w:sz w:val="12"/>
                <w:u w:val="single"/>
              </w:rPr>
              <w:t>Tipo de Rendición de cuentas</w:t>
            </w:r>
            <w:r>
              <w:rPr>
                <w:sz w:val="12"/>
              </w:rPr>
              <w:t>: Horizontal al Congreso (ambas cámaras)</w:t>
            </w:r>
          </w:p>
          <w:p>
            <w:pPr>
              <w:pStyle w:val="TableParagraph"/>
              <w:ind w:left="103" w:right="248"/>
              <w:rPr>
                <w:sz w:val="12"/>
              </w:rPr>
            </w:pPr>
            <w:r>
              <w:rPr>
                <w:sz w:val="12"/>
              </w:rPr>
              <w:t>Vertical: No está obligada a atender peticiones de información, pero publica sus informes en línea.</w:t>
            </w:r>
          </w:p>
        </w:tc>
        <w:tc>
          <w:tcPr>
            <w:tcW w:w="1700" w:type="dxa"/>
            <w:tcBorders>
              <w:top w:val="single" w:sz="17" w:space="0" w:color="D9D9D9"/>
            </w:tcBorders>
          </w:tcPr>
          <w:p>
            <w:pPr>
              <w:pStyle w:val="TableParagraph"/>
              <w:spacing w:line="136" w:lineRule="exact" w:before="1"/>
              <w:ind w:left="525" w:right="148" w:hanging="363"/>
              <w:rPr>
                <w:b/>
                <w:sz w:val="12"/>
              </w:rPr>
            </w:pPr>
            <w:r>
              <w:rPr>
                <w:b/>
                <w:sz w:val="12"/>
              </w:rPr>
              <w:t>Auditoría Superior de la Federación</w:t>
            </w:r>
          </w:p>
          <w:p>
            <w:pPr>
              <w:pStyle w:val="TableParagraph"/>
              <w:rPr>
                <w:sz w:val="12"/>
              </w:rPr>
            </w:pPr>
          </w:p>
          <w:p>
            <w:pPr>
              <w:pStyle w:val="TableParagraph"/>
              <w:spacing w:before="1"/>
              <w:rPr>
                <w:sz w:val="12"/>
              </w:rPr>
            </w:pPr>
          </w:p>
          <w:p>
            <w:pPr>
              <w:pStyle w:val="TableParagraph"/>
              <w:spacing w:before="1"/>
              <w:ind w:left="103" w:right="148"/>
              <w:rPr>
                <w:sz w:val="12"/>
              </w:rPr>
            </w:pPr>
            <w:r>
              <w:rPr>
                <w:sz w:val="12"/>
              </w:rPr>
              <w:t>Titular único.</w:t>
            </w:r>
          </w:p>
          <w:p>
            <w:pPr>
              <w:pStyle w:val="TableParagraph"/>
              <w:spacing w:before="9"/>
              <w:rPr>
                <w:sz w:val="11"/>
              </w:rPr>
            </w:pPr>
          </w:p>
          <w:p>
            <w:pPr>
              <w:pStyle w:val="TableParagraph"/>
              <w:ind w:left="103" w:right="246"/>
              <w:rPr>
                <w:sz w:val="12"/>
              </w:rPr>
            </w:pPr>
            <w:r>
              <w:rPr>
                <w:sz w:val="12"/>
              </w:rPr>
              <w:t>Denominación del titular: Auditor Superior de la Federación.</w:t>
            </w:r>
          </w:p>
          <w:p>
            <w:pPr>
              <w:pStyle w:val="TableParagraph"/>
              <w:rPr>
                <w:sz w:val="12"/>
              </w:rPr>
            </w:pPr>
          </w:p>
          <w:p>
            <w:pPr>
              <w:pStyle w:val="TableParagraph"/>
              <w:ind w:left="103" w:right="329"/>
              <w:jc w:val="both"/>
              <w:rPr>
                <w:sz w:val="12"/>
              </w:rPr>
            </w:pPr>
            <w:r>
              <w:rPr>
                <w:sz w:val="12"/>
              </w:rPr>
              <w:t>Duración en el cargo: 8 años con posibilidad de reelección.</w:t>
            </w:r>
          </w:p>
          <w:p>
            <w:pPr>
              <w:pStyle w:val="TableParagraph"/>
              <w:spacing w:before="1"/>
              <w:ind w:left="103" w:right="139"/>
              <w:rPr>
                <w:sz w:val="12"/>
              </w:rPr>
            </w:pPr>
            <w:r>
              <w:rPr>
                <w:sz w:val="12"/>
                <w:u w:val="single"/>
              </w:rPr>
              <w:t>Antecedente histórico</w:t>
            </w:r>
            <w:r>
              <w:rPr>
                <w:sz w:val="12"/>
              </w:rPr>
              <w:t>: 1824 Contaduría Mayor de Hacienda</w:t>
            </w:r>
          </w:p>
          <w:p>
            <w:pPr>
              <w:pStyle w:val="TableParagraph"/>
              <w:ind w:left="103" w:right="246"/>
              <w:rPr>
                <w:sz w:val="12"/>
              </w:rPr>
            </w:pPr>
            <w:r>
              <w:rPr>
                <w:sz w:val="12"/>
                <w:u w:val="single"/>
              </w:rPr>
              <w:t>Designación del titular</w:t>
            </w:r>
            <w:r>
              <w:rPr>
                <w:sz w:val="12"/>
              </w:rPr>
              <w:t>: Cámara de Diputados mediante la Comisión de Vigilancia de la ASF.</w:t>
            </w:r>
          </w:p>
          <w:p>
            <w:pPr>
              <w:pStyle w:val="TableParagraph"/>
              <w:rPr>
                <w:sz w:val="12"/>
              </w:rPr>
            </w:pPr>
          </w:p>
          <w:p>
            <w:pPr>
              <w:pStyle w:val="TableParagraph"/>
              <w:ind w:left="103" w:right="146"/>
              <w:rPr>
                <w:sz w:val="12"/>
              </w:rPr>
            </w:pPr>
            <w:r>
              <w:rPr>
                <w:sz w:val="12"/>
                <w:u w:val="single"/>
              </w:rPr>
              <w:t>Base jurídica</w:t>
            </w:r>
            <w:r>
              <w:rPr>
                <w:sz w:val="12"/>
              </w:rPr>
              <w:t>: Constitución Política de los Estados Unidos Mexicanos, artículos 74 y 79.</w:t>
            </w:r>
          </w:p>
          <w:p>
            <w:pPr>
              <w:pStyle w:val="TableParagraph"/>
              <w:spacing w:before="1"/>
              <w:ind w:left="103" w:right="153"/>
              <w:rPr>
                <w:sz w:val="12"/>
              </w:rPr>
            </w:pPr>
            <w:r>
              <w:rPr>
                <w:sz w:val="12"/>
                <w:u w:val="single"/>
              </w:rPr>
              <w:t>Tipo de autonomía</w:t>
            </w:r>
            <w:r>
              <w:rPr>
                <w:sz w:val="12"/>
              </w:rPr>
              <w:t>: Técnica y de gestión </w:t>
            </w:r>
            <w:r>
              <w:rPr>
                <w:sz w:val="12"/>
                <w:u w:val="single"/>
              </w:rPr>
              <w:t>Relación entre poderes</w:t>
            </w:r>
            <w:r>
              <w:rPr>
                <w:sz w:val="12"/>
              </w:rPr>
              <w:t>: Con la Cámara de Diputados. Fiscaliza a los tres poderes, entidades, paraestatales, organismos autónomos, fideicomisos y personas que reciben recursos federales.</w:t>
            </w:r>
          </w:p>
          <w:p>
            <w:pPr>
              <w:pStyle w:val="TableParagraph"/>
              <w:spacing w:before="1"/>
              <w:ind w:left="103" w:right="293"/>
              <w:rPr>
                <w:sz w:val="12"/>
              </w:rPr>
            </w:pPr>
            <w:r>
              <w:rPr>
                <w:sz w:val="12"/>
                <w:u w:val="single"/>
              </w:rPr>
              <w:t>Ámbito de actuación</w:t>
            </w:r>
            <w:r>
              <w:rPr>
                <w:sz w:val="12"/>
              </w:rPr>
              <w:t>: Revisión financiera y de legalidad, desempeño, recursos federales a estados y municipios, principalmente.</w:t>
            </w:r>
          </w:p>
          <w:p>
            <w:pPr>
              <w:pStyle w:val="TableParagraph"/>
              <w:spacing w:before="1"/>
              <w:ind w:left="103" w:right="99"/>
              <w:rPr>
                <w:sz w:val="12"/>
              </w:rPr>
            </w:pPr>
            <w:r>
              <w:rPr>
                <w:sz w:val="12"/>
                <w:u w:val="single"/>
              </w:rPr>
              <w:t>Informes principales</w:t>
            </w:r>
            <w:r>
              <w:rPr>
                <w:sz w:val="12"/>
              </w:rPr>
              <w:t>: Informe del Resultado de la Fiscalización Superior de la Cuenta Pública</w:t>
            </w:r>
          </w:p>
          <w:p>
            <w:pPr>
              <w:pStyle w:val="TableParagraph"/>
              <w:spacing w:before="1"/>
              <w:ind w:left="103" w:right="433"/>
              <w:rPr>
                <w:sz w:val="12"/>
              </w:rPr>
            </w:pPr>
            <w:r>
              <w:rPr>
                <w:sz w:val="12"/>
                <w:u w:val="single"/>
              </w:rPr>
              <w:t>Tipo de Rendición de Cuentas</w:t>
            </w:r>
            <w:r>
              <w:rPr>
                <w:sz w:val="12"/>
              </w:rPr>
              <w:t>:</w:t>
            </w:r>
          </w:p>
          <w:p>
            <w:pPr>
              <w:pStyle w:val="TableParagraph"/>
              <w:spacing w:before="1"/>
              <w:ind w:left="103" w:right="139"/>
              <w:rPr>
                <w:sz w:val="12"/>
              </w:rPr>
            </w:pPr>
            <w:r>
              <w:rPr>
                <w:sz w:val="12"/>
              </w:rPr>
              <w:t>Horizontal: a la Cámara de Diputados.</w:t>
            </w:r>
          </w:p>
          <w:p>
            <w:pPr>
              <w:pStyle w:val="TableParagraph"/>
              <w:spacing w:before="1"/>
              <w:ind w:left="103" w:right="486"/>
              <w:rPr>
                <w:sz w:val="12"/>
              </w:rPr>
            </w:pPr>
            <w:r>
              <w:rPr>
                <w:sz w:val="12"/>
              </w:rPr>
              <w:t>Vertical: Publica sus informes en línea.</w:t>
            </w:r>
          </w:p>
        </w:tc>
        <w:tc>
          <w:tcPr>
            <w:tcW w:w="2107" w:type="dxa"/>
            <w:tcBorders>
              <w:top w:val="single" w:sz="17" w:space="0" w:color="D9D9D9"/>
            </w:tcBorders>
          </w:tcPr>
          <w:p>
            <w:pPr>
              <w:pStyle w:val="TableParagraph"/>
              <w:spacing w:line="136" w:lineRule="exact" w:before="1"/>
              <w:ind w:left="103" w:right="127" w:firstLine="352"/>
              <w:rPr>
                <w:b/>
                <w:sz w:val="12"/>
              </w:rPr>
            </w:pPr>
            <w:r>
              <w:rPr>
                <w:b/>
                <w:sz w:val="12"/>
              </w:rPr>
              <w:t>National Audit Office (Oficina Nacional de Auditoría)</w:t>
            </w:r>
          </w:p>
          <w:p>
            <w:pPr>
              <w:pStyle w:val="TableParagraph"/>
              <w:rPr>
                <w:sz w:val="12"/>
              </w:rPr>
            </w:pPr>
          </w:p>
          <w:p>
            <w:pPr>
              <w:pStyle w:val="TableParagraph"/>
              <w:spacing w:before="1"/>
              <w:rPr>
                <w:sz w:val="12"/>
              </w:rPr>
            </w:pPr>
          </w:p>
          <w:p>
            <w:pPr>
              <w:pStyle w:val="TableParagraph"/>
              <w:spacing w:before="1"/>
              <w:ind w:left="103" w:right="127"/>
              <w:rPr>
                <w:sz w:val="12"/>
              </w:rPr>
            </w:pPr>
            <w:r>
              <w:rPr>
                <w:sz w:val="12"/>
              </w:rPr>
              <w:t>Titular único.</w:t>
            </w:r>
          </w:p>
          <w:p>
            <w:pPr>
              <w:pStyle w:val="TableParagraph"/>
              <w:spacing w:before="9"/>
              <w:rPr>
                <w:sz w:val="11"/>
              </w:rPr>
            </w:pPr>
          </w:p>
          <w:p>
            <w:pPr>
              <w:pStyle w:val="TableParagraph"/>
              <w:ind w:left="103" w:right="127"/>
              <w:rPr>
                <w:sz w:val="12"/>
              </w:rPr>
            </w:pPr>
            <w:r>
              <w:rPr>
                <w:sz w:val="12"/>
              </w:rPr>
              <w:t>Denominación del titular: Contralor y auditor general.</w:t>
            </w:r>
          </w:p>
          <w:p>
            <w:pPr>
              <w:pStyle w:val="TableParagraph"/>
              <w:rPr>
                <w:sz w:val="12"/>
              </w:rPr>
            </w:pPr>
          </w:p>
          <w:p>
            <w:pPr>
              <w:pStyle w:val="TableParagraph"/>
              <w:spacing w:line="480" w:lineRule="auto"/>
              <w:ind w:left="103" w:right="286"/>
              <w:rPr>
                <w:sz w:val="12"/>
              </w:rPr>
            </w:pPr>
            <w:r>
              <w:rPr>
                <w:sz w:val="12"/>
              </w:rPr>
              <w:t>Duración en el cargo: indefinida Antecedente histórico:1314.</w:t>
            </w:r>
          </w:p>
          <w:p>
            <w:pPr>
              <w:pStyle w:val="TableParagraph"/>
              <w:spacing w:before="4"/>
              <w:ind w:left="103" w:right="133"/>
              <w:rPr>
                <w:sz w:val="12"/>
              </w:rPr>
            </w:pPr>
            <w:r>
              <w:rPr>
                <w:sz w:val="12"/>
                <w:u w:val="single"/>
              </w:rPr>
              <w:t>Designación del titular</w:t>
            </w:r>
            <w:r>
              <w:rPr>
                <w:sz w:val="12"/>
              </w:rPr>
              <w:t>: Cámara de los Comunes mediante el Comité de Cuentas Públicas.</w:t>
            </w:r>
          </w:p>
          <w:p>
            <w:pPr>
              <w:pStyle w:val="TableParagraph"/>
              <w:rPr>
                <w:sz w:val="12"/>
              </w:rPr>
            </w:pPr>
          </w:p>
          <w:p>
            <w:pPr>
              <w:pStyle w:val="TableParagraph"/>
              <w:ind w:left="103" w:right="140"/>
              <w:rPr>
                <w:sz w:val="12"/>
              </w:rPr>
            </w:pPr>
            <w:r>
              <w:rPr>
                <w:sz w:val="12"/>
                <w:u w:val="single"/>
              </w:rPr>
              <w:t>Base jurídica</w:t>
            </w:r>
            <w:r>
              <w:rPr>
                <w:sz w:val="12"/>
              </w:rPr>
              <w:t>: National Audit Act, 1983, Government Resources and Accounts Act 2000, Excheuer and Audit Departments Acts 1957, 1921 y 1866.</w:t>
            </w:r>
          </w:p>
          <w:p>
            <w:pPr>
              <w:pStyle w:val="TableParagraph"/>
              <w:ind w:left="103" w:right="453"/>
              <w:rPr>
                <w:sz w:val="12"/>
              </w:rPr>
            </w:pPr>
            <w:r>
              <w:rPr>
                <w:sz w:val="12"/>
                <w:u w:val="single"/>
              </w:rPr>
              <w:t>Tipo de autonomía</w:t>
            </w:r>
            <w:r>
              <w:rPr>
                <w:sz w:val="12"/>
              </w:rPr>
              <w:t>: Técnica, financiera y de gestión.</w:t>
            </w:r>
          </w:p>
          <w:p>
            <w:pPr>
              <w:pStyle w:val="TableParagraph"/>
              <w:ind w:left="103" w:right="113"/>
              <w:rPr>
                <w:sz w:val="12"/>
              </w:rPr>
            </w:pPr>
            <w:r>
              <w:rPr>
                <w:sz w:val="12"/>
                <w:u w:val="single"/>
              </w:rPr>
              <w:t>Relación entre poderes</w:t>
            </w:r>
            <w:r>
              <w:rPr>
                <w:sz w:val="12"/>
              </w:rPr>
              <w:t>: Reporta al Parlamento) y la Comisión de Cuentas Públicas.</w:t>
            </w:r>
          </w:p>
          <w:p>
            <w:pPr>
              <w:pStyle w:val="TableParagraph"/>
              <w:spacing w:before="1"/>
              <w:ind w:left="103" w:right="580"/>
              <w:rPr>
                <w:sz w:val="12"/>
              </w:rPr>
            </w:pPr>
            <w:r>
              <w:rPr>
                <w:sz w:val="12"/>
                <w:u w:val="single"/>
              </w:rPr>
              <w:t>Ámbito de actuación</w:t>
            </w:r>
            <w:r>
              <w:rPr>
                <w:sz w:val="12"/>
              </w:rPr>
              <w:t>: Audita al gobierno central,</w:t>
            </w:r>
          </w:p>
          <w:p>
            <w:pPr>
              <w:pStyle w:val="TableParagraph"/>
              <w:spacing w:before="1"/>
              <w:ind w:left="103" w:right="473"/>
              <w:rPr>
                <w:sz w:val="12"/>
              </w:rPr>
            </w:pPr>
            <w:r>
              <w:rPr>
                <w:sz w:val="12"/>
              </w:rPr>
              <w:t>departamentos y agencias y gobiernos locales.</w:t>
            </w:r>
          </w:p>
          <w:p>
            <w:pPr>
              <w:pStyle w:val="TableParagraph"/>
              <w:spacing w:before="1"/>
              <w:ind w:left="103" w:right="180"/>
              <w:rPr>
                <w:sz w:val="12"/>
              </w:rPr>
            </w:pPr>
            <w:r>
              <w:rPr>
                <w:sz w:val="12"/>
                <w:u w:val="single"/>
              </w:rPr>
              <w:t>Informes principales</w:t>
            </w:r>
            <w:r>
              <w:rPr>
                <w:sz w:val="12"/>
              </w:rPr>
              <w:t>: Informe del Contralor y Auditor General, Total de las cuentas públicas.</w:t>
            </w:r>
          </w:p>
          <w:p>
            <w:pPr>
              <w:pStyle w:val="TableParagraph"/>
              <w:ind w:left="103" w:right="220"/>
              <w:rPr>
                <w:sz w:val="12"/>
              </w:rPr>
            </w:pPr>
            <w:r>
              <w:rPr>
                <w:sz w:val="12"/>
                <w:u w:val="single"/>
              </w:rPr>
              <w:t>Tipo de Rendición de cuentas</w:t>
            </w:r>
            <w:r>
              <w:rPr>
                <w:sz w:val="12"/>
              </w:rPr>
              <w:t>: Horizontal: Comisión de Cuentas Públicas.</w:t>
            </w:r>
          </w:p>
          <w:p>
            <w:pPr>
              <w:pStyle w:val="TableParagraph"/>
              <w:spacing w:before="1"/>
              <w:ind w:left="103" w:right="180"/>
              <w:rPr>
                <w:sz w:val="12"/>
              </w:rPr>
            </w:pPr>
            <w:r>
              <w:rPr>
                <w:sz w:val="12"/>
              </w:rPr>
              <w:t>Vertical: El informe anual se pone a disposición del público.</w:t>
            </w:r>
          </w:p>
        </w:tc>
      </w:tr>
    </w:tbl>
    <w:p>
      <w:pPr>
        <w:spacing w:before="6"/>
        <w:ind w:left="922" w:right="1008" w:firstLine="0"/>
        <w:jc w:val="left"/>
        <w:rPr>
          <w:sz w:val="16"/>
        </w:rPr>
      </w:pPr>
      <w:r>
        <w:rPr>
          <w:sz w:val="16"/>
        </w:rPr>
        <w:t>FUENTE: Figueroa (2007); Reino Unido: </w:t>
      </w:r>
      <w:hyperlink r:id="rId160">
        <w:r>
          <w:rPr>
            <w:sz w:val="16"/>
          </w:rPr>
          <w:t>http://www.nao.org.uk/publications/1012/wga_2009-10.aspx;</w:t>
        </w:r>
      </w:hyperlink>
      <w:r>
        <w:rPr>
          <w:sz w:val="16"/>
        </w:rPr>
        <w:t> Estados Unidos: http://www.gao.gov/browse/topic/Tax_Policy_and_Administration</w:t>
      </w:r>
      <w:hyperlink r:id="rId161">
        <w:r>
          <w:rPr>
            <w:sz w:val="16"/>
          </w:rPr>
          <w:t>http://www.ife.org.mx/documentos/DECEYEC/eua.htm</w:t>
        </w:r>
      </w:hyperlink>
    </w:p>
    <w:p>
      <w:pPr>
        <w:spacing w:before="1"/>
        <w:ind w:left="922" w:right="971" w:firstLine="0"/>
        <w:jc w:val="left"/>
        <w:rPr>
          <w:sz w:val="16"/>
        </w:rPr>
      </w:pPr>
      <w:r>
        <w:rPr>
          <w:sz w:val="16"/>
        </w:rPr>
        <w:t>#sistpol; México: </w:t>
      </w:r>
      <w:hyperlink r:id="rId162">
        <w:r>
          <w:rPr>
            <w:sz w:val="16"/>
          </w:rPr>
          <w:t>http://mexicity.blogspot.mx/2008/08/sistema-electoral-de-mexico.html</w:t>
        </w:r>
      </w:hyperlink>
      <w:r>
        <w:rPr>
          <w:sz w:val="16"/>
        </w:rPr>
        <w:t> y http://asf.gob.mx; Alemania: </w:t>
      </w:r>
      <w:hyperlink r:id="rId163">
        <w:r>
          <w:rPr>
            <w:sz w:val="16"/>
          </w:rPr>
          <w:t>http://www.juridicas.unam.mx/navjus/gob/de.htm</w:t>
        </w:r>
      </w:hyperlink>
      <w:r>
        <w:rPr>
          <w:sz w:val="16"/>
        </w:rPr>
        <w:t> y España: </w:t>
      </w:r>
      <w:hyperlink r:id="rId164">
        <w:r>
          <w:rPr>
            <w:sz w:val="16"/>
          </w:rPr>
          <w:t>http://www.ife.org.mx/documentos/DECEYEC/espana.htm#sistpol;</w:t>
        </w:r>
      </w:hyperlink>
      <w:r>
        <w:rPr>
          <w:sz w:val="16"/>
        </w:rPr>
        <w:t> </w:t>
      </w:r>
      <w:hyperlink r:id="rId166">
        <w:r>
          <w:rPr>
            <w:sz w:val="16"/>
          </w:rPr>
          <w:t>http://www.asturiasliberal.org/colaboraciones/piensa_en_liberal/espanna_alemania_poder_judicial_poder_ejecutivo_y_r</w:t>
        </w:r>
      </w:hyperlink>
      <w:r>
        <w:rPr>
          <w:sz w:val="16"/>
        </w:rPr>
        <w:t> eferen_2.php</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line="360" w:lineRule="auto" w:before="93"/>
        <w:ind w:left="922" w:right="955" w:firstLine="359"/>
        <w:jc w:val="both"/>
      </w:pPr>
      <w:r>
        <w:rPr/>
        <w:t>Las</w:t>
      </w:r>
      <w:r>
        <w:rPr>
          <w:spacing w:val="-14"/>
        </w:rPr>
        <w:t> </w:t>
      </w:r>
      <w:r>
        <w:rPr/>
        <w:t>semejanzas</w:t>
      </w:r>
      <w:r>
        <w:rPr>
          <w:spacing w:val="-14"/>
        </w:rPr>
        <w:t> </w:t>
      </w:r>
      <w:r>
        <w:rPr/>
        <w:t>y</w:t>
      </w:r>
      <w:r>
        <w:rPr>
          <w:spacing w:val="-16"/>
        </w:rPr>
        <w:t> </w:t>
      </w:r>
      <w:r>
        <w:rPr/>
        <w:t>diferencias</w:t>
      </w:r>
      <w:r>
        <w:rPr>
          <w:spacing w:val="-13"/>
        </w:rPr>
        <w:t> </w:t>
      </w:r>
      <w:r>
        <w:rPr/>
        <w:t>más</w:t>
      </w:r>
      <w:r>
        <w:rPr>
          <w:spacing w:val="-14"/>
        </w:rPr>
        <w:t> </w:t>
      </w:r>
      <w:r>
        <w:rPr/>
        <w:t>importantes</w:t>
      </w:r>
      <w:r>
        <w:rPr>
          <w:spacing w:val="-14"/>
        </w:rPr>
        <w:t> </w:t>
      </w:r>
      <w:r>
        <w:rPr/>
        <w:t>de</w:t>
      </w:r>
      <w:r>
        <w:rPr>
          <w:spacing w:val="-13"/>
        </w:rPr>
        <w:t> </w:t>
      </w:r>
      <w:r>
        <w:rPr/>
        <w:t>los</w:t>
      </w:r>
      <w:r>
        <w:rPr>
          <w:spacing w:val="-13"/>
        </w:rPr>
        <w:t> </w:t>
      </w:r>
      <w:r>
        <w:rPr/>
        <w:t>modelos</w:t>
      </w:r>
      <w:r>
        <w:rPr>
          <w:spacing w:val="-13"/>
        </w:rPr>
        <w:t> </w:t>
      </w:r>
      <w:r>
        <w:rPr/>
        <w:t>institucionales se presentan en el modelo alemán, considerado único en su diseño</w:t>
      </w:r>
      <w:r>
        <w:rPr>
          <w:spacing w:val="-36"/>
        </w:rPr>
        <w:t> </w:t>
      </w:r>
      <w:r>
        <w:rPr/>
        <w:t>institucional (Figueroa, 2007: 66), por no estar supeditado a poder federal alguno. Sus características más relevantes son las</w:t>
      </w:r>
      <w:r>
        <w:rPr>
          <w:spacing w:val="-11"/>
        </w:rPr>
        <w:t> </w:t>
      </w:r>
      <w:r>
        <w:rPr/>
        <w:t>siguientes:</w:t>
      </w:r>
    </w:p>
    <w:p>
      <w:pPr>
        <w:pStyle w:val="BodyText"/>
      </w:pPr>
    </w:p>
    <w:p>
      <w:pPr>
        <w:pStyle w:val="ListParagraph"/>
        <w:numPr>
          <w:ilvl w:val="3"/>
          <w:numId w:val="62"/>
        </w:numPr>
        <w:tabs>
          <w:tab w:pos="1642" w:val="left" w:leader="none"/>
        </w:tabs>
        <w:spacing w:line="240" w:lineRule="auto" w:before="142" w:after="0"/>
        <w:ind w:left="1642" w:right="0" w:hanging="360"/>
        <w:jc w:val="left"/>
        <w:rPr>
          <w:sz w:val="24"/>
        </w:rPr>
      </w:pPr>
      <w:r>
        <w:rPr>
          <w:sz w:val="24"/>
        </w:rPr>
        <w:t>Aspectos</w:t>
      </w:r>
      <w:r>
        <w:rPr>
          <w:spacing w:val="-7"/>
          <w:sz w:val="24"/>
        </w:rPr>
        <w:t> </w:t>
      </w:r>
      <w:r>
        <w:rPr>
          <w:sz w:val="24"/>
        </w:rPr>
        <w:t>semejantes:</w:t>
      </w:r>
    </w:p>
    <w:p>
      <w:pPr>
        <w:pStyle w:val="ListParagraph"/>
        <w:numPr>
          <w:ilvl w:val="4"/>
          <w:numId w:val="62"/>
        </w:numPr>
        <w:tabs>
          <w:tab w:pos="2054" w:val="left" w:leader="none"/>
          <w:tab w:pos="2055" w:val="left" w:leader="none"/>
        </w:tabs>
        <w:spacing w:line="240" w:lineRule="auto" w:before="136" w:after="0"/>
        <w:ind w:left="1254" w:right="0" w:firstLine="376"/>
        <w:jc w:val="left"/>
        <w:rPr>
          <w:sz w:val="24"/>
        </w:rPr>
      </w:pPr>
      <w:r>
        <w:rPr>
          <w:sz w:val="24"/>
        </w:rPr>
        <w:t>Principio de división de</w:t>
      </w:r>
      <w:r>
        <w:rPr>
          <w:spacing w:val="-9"/>
          <w:sz w:val="24"/>
        </w:rPr>
        <w:t> </w:t>
      </w:r>
      <w:r>
        <w:rPr>
          <w:sz w:val="24"/>
        </w:rPr>
        <w:t>poderes.</w:t>
      </w:r>
    </w:p>
    <w:p>
      <w:pPr>
        <w:spacing w:after="0" w:line="240" w:lineRule="auto"/>
        <w:jc w:val="left"/>
        <w:rPr>
          <w:sz w:val="24"/>
        </w:rPr>
        <w:sectPr>
          <w:pgSz w:w="11910" w:h="16840"/>
          <w:pgMar w:header="0" w:footer="1003" w:top="1580" w:bottom="1200" w:left="780" w:right="740"/>
        </w:sectPr>
      </w:pPr>
    </w:p>
    <w:p>
      <w:pPr>
        <w:pStyle w:val="ListParagraph"/>
        <w:numPr>
          <w:ilvl w:val="4"/>
          <w:numId w:val="62"/>
        </w:numPr>
        <w:tabs>
          <w:tab w:pos="1255" w:val="left" w:leader="none"/>
        </w:tabs>
        <w:spacing w:line="362" w:lineRule="auto" w:before="55" w:after="0"/>
        <w:ind w:left="1254" w:right="117" w:hanging="424"/>
        <w:jc w:val="both"/>
        <w:rPr>
          <w:sz w:val="24"/>
        </w:rPr>
      </w:pPr>
      <w:r>
        <w:rPr>
          <w:sz w:val="24"/>
        </w:rPr>
        <w:t>No evalúan las decisiones de las políticas públicas, sólo sus resultados.</w:t>
      </w:r>
    </w:p>
    <w:p>
      <w:pPr>
        <w:pStyle w:val="BodyText"/>
      </w:pPr>
    </w:p>
    <w:p>
      <w:pPr>
        <w:pStyle w:val="ListParagraph"/>
        <w:numPr>
          <w:ilvl w:val="4"/>
          <w:numId w:val="62"/>
        </w:numPr>
        <w:tabs>
          <w:tab w:pos="1254" w:val="left" w:leader="none"/>
          <w:tab w:pos="1255" w:val="left" w:leader="none"/>
        </w:tabs>
        <w:spacing w:line="240" w:lineRule="auto" w:before="139" w:after="0"/>
        <w:ind w:left="1254" w:right="0" w:hanging="424"/>
        <w:jc w:val="left"/>
        <w:rPr>
          <w:sz w:val="24"/>
        </w:rPr>
      </w:pPr>
      <w:r>
        <w:rPr>
          <w:sz w:val="24"/>
        </w:rPr>
        <w:t>Cuenta con dos tipos de controles: interno y</w:t>
      </w:r>
      <w:r>
        <w:rPr>
          <w:spacing w:val="-13"/>
          <w:sz w:val="24"/>
        </w:rPr>
        <w:t> </w:t>
      </w:r>
      <w:r>
        <w:rPr>
          <w:sz w:val="24"/>
        </w:rPr>
        <w:t>externo.</w:t>
      </w:r>
    </w:p>
    <w:p>
      <w:pPr>
        <w:pStyle w:val="BodyText"/>
      </w:pPr>
    </w:p>
    <w:p>
      <w:pPr>
        <w:pStyle w:val="BodyText"/>
      </w:pPr>
    </w:p>
    <w:p>
      <w:pPr>
        <w:pStyle w:val="BodyText"/>
      </w:pPr>
    </w:p>
    <w:p>
      <w:pPr>
        <w:pStyle w:val="ListParagraph"/>
        <w:numPr>
          <w:ilvl w:val="4"/>
          <w:numId w:val="62"/>
        </w:numPr>
        <w:tabs>
          <w:tab w:pos="1255" w:val="left" w:leader="none"/>
        </w:tabs>
        <w:spacing w:line="360" w:lineRule="auto" w:before="0" w:after="0"/>
        <w:ind w:left="1254" w:right="124" w:hanging="424"/>
        <w:jc w:val="both"/>
        <w:rPr>
          <w:sz w:val="24"/>
        </w:rPr>
      </w:pPr>
      <w:r>
        <w:rPr>
          <w:sz w:val="24"/>
        </w:rPr>
        <w:t>Rinden cuentas de forma horizontal (ante el congreso o parlamento) y vertical (ante la sociedad mediante hacer públicos los informes anuales de</w:t>
      </w:r>
      <w:r>
        <w:rPr>
          <w:spacing w:val="-9"/>
          <w:sz w:val="24"/>
        </w:rPr>
        <w:t> </w:t>
      </w:r>
      <w:r>
        <w:rPr>
          <w:sz w:val="24"/>
        </w:rPr>
        <w:t>auditoría).</w:t>
      </w:r>
    </w:p>
    <w:p>
      <w:pPr>
        <w:pStyle w:val="BodyText"/>
      </w:pPr>
    </w:p>
    <w:p>
      <w:pPr>
        <w:pStyle w:val="ListParagraph"/>
        <w:numPr>
          <w:ilvl w:val="3"/>
          <w:numId w:val="62"/>
        </w:numPr>
        <w:tabs>
          <w:tab w:pos="842" w:val="left" w:leader="none"/>
        </w:tabs>
        <w:spacing w:line="240" w:lineRule="auto" w:before="142" w:after="0"/>
        <w:ind w:left="842" w:right="0" w:hanging="360"/>
        <w:jc w:val="left"/>
        <w:rPr>
          <w:sz w:val="24"/>
        </w:rPr>
      </w:pPr>
      <w:r>
        <w:rPr>
          <w:sz w:val="24"/>
        </w:rPr>
        <w:t>Diferencias:</w:t>
      </w:r>
    </w:p>
    <w:p>
      <w:pPr>
        <w:pStyle w:val="BodyText"/>
      </w:pPr>
    </w:p>
    <w:p>
      <w:pPr>
        <w:pStyle w:val="BodyText"/>
      </w:pPr>
    </w:p>
    <w:p>
      <w:pPr>
        <w:pStyle w:val="ListParagraph"/>
        <w:numPr>
          <w:ilvl w:val="4"/>
          <w:numId w:val="62"/>
        </w:numPr>
        <w:tabs>
          <w:tab w:pos="1255" w:val="left" w:leader="none"/>
        </w:tabs>
        <w:spacing w:line="360" w:lineRule="auto" w:before="0" w:after="0"/>
        <w:ind w:left="1254" w:right="122" w:hanging="424"/>
        <w:jc w:val="both"/>
        <w:rPr>
          <w:sz w:val="24"/>
        </w:rPr>
      </w:pPr>
      <w:r>
        <w:rPr>
          <w:sz w:val="24"/>
        </w:rPr>
        <w:t>Tipo</w:t>
      </w:r>
      <w:r>
        <w:rPr>
          <w:spacing w:val="-17"/>
          <w:sz w:val="24"/>
        </w:rPr>
        <w:t> </w:t>
      </w:r>
      <w:r>
        <w:rPr>
          <w:sz w:val="24"/>
        </w:rPr>
        <w:t>de</w:t>
      </w:r>
      <w:r>
        <w:rPr>
          <w:spacing w:val="-18"/>
          <w:sz w:val="24"/>
        </w:rPr>
        <w:t> </w:t>
      </w:r>
      <w:r>
        <w:rPr>
          <w:sz w:val="24"/>
        </w:rPr>
        <w:t>autonomía:</w:t>
      </w:r>
      <w:r>
        <w:rPr>
          <w:spacing w:val="-21"/>
          <w:sz w:val="24"/>
        </w:rPr>
        <w:t> </w:t>
      </w:r>
      <w:r>
        <w:rPr>
          <w:sz w:val="24"/>
        </w:rPr>
        <w:t>Total</w:t>
      </w:r>
      <w:r>
        <w:rPr>
          <w:spacing w:val="-17"/>
          <w:sz w:val="24"/>
        </w:rPr>
        <w:t> </w:t>
      </w:r>
      <w:r>
        <w:rPr>
          <w:sz w:val="24"/>
        </w:rPr>
        <w:t>en</w:t>
      </w:r>
      <w:r>
        <w:rPr>
          <w:spacing w:val="-17"/>
          <w:sz w:val="24"/>
        </w:rPr>
        <w:t> </w:t>
      </w:r>
      <w:r>
        <w:rPr>
          <w:sz w:val="24"/>
        </w:rPr>
        <w:t>Alemania,</w:t>
      </w:r>
      <w:r>
        <w:rPr>
          <w:spacing w:val="-20"/>
          <w:sz w:val="24"/>
        </w:rPr>
        <w:t> </w:t>
      </w:r>
      <w:r>
        <w:rPr>
          <w:sz w:val="24"/>
        </w:rPr>
        <w:t>mientras</w:t>
      </w:r>
      <w:r>
        <w:rPr>
          <w:spacing w:val="-17"/>
          <w:sz w:val="24"/>
        </w:rPr>
        <w:t> </w:t>
      </w:r>
      <w:r>
        <w:rPr>
          <w:sz w:val="24"/>
        </w:rPr>
        <w:t>que</w:t>
      </w:r>
      <w:r>
        <w:rPr>
          <w:spacing w:val="-18"/>
          <w:sz w:val="24"/>
        </w:rPr>
        <w:t> </w:t>
      </w:r>
      <w:r>
        <w:rPr>
          <w:sz w:val="24"/>
        </w:rPr>
        <w:t>los</w:t>
      </w:r>
      <w:r>
        <w:rPr>
          <w:spacing w:val="-18"/>
          <w:sz w:val="24"/>
        </w:rPr>
        <w:t> </w:t>
      </w:r>
      <w:r>
        <w:rPr>
          <w:sz w:val="24"/>
        </w:rPr>
        <w:t>demás</w:t>
      </w:r>
      <w:r>
        <w:rPr>
          <w:spacing w:val="-19"/>
          <w:sz w:val="24"/>
        </w:rPr>
        <w:t> </w:t>
      </w:r>
      <w:r>
        <w:rPr>
          <w:sz w:val="24"/>
        </w:rPr>
        <w:t>países se relacionan con el congreso o</w:t>
      </w:r>
      <w:r>
        <w:rPr>
          <w:spacing w:val="-15"/>
          <w:sz w:val="24"/>
        </w:rPr>
        <w:t> </w:t>
      </w:r>
      <w:r>
        <w:rPr>
          <w:sz w:val="24"/>
        </w:rPr>
        <w:t>parlamento.</w:t>
      </w:r>
    </w:p>
    <w:p>
      <w:pPr>
        <w:pStyle w:val="ListParagraph"/>
        <w:numPr>
          <w:ilvl w:val="4"/>
          <w:numId w:val="62"/>
        </w:numPr>
        <w:tabs>
          <w:tab w:pos="1255" w:val="left" w:leader="none"/>
        </w:tabs>
        <w:spacing w:line="360" w:lineRule="auto" w:before="5" w:after="0"/>
        <w:ind w:left="1254" w:right="118" w:hanging="424"/>
        <w:jc w:val="both"/>
        <w:rPr>
          <w:sz w:val="24"/>
        </w:rPr>
      </w:pPr>
      <w:r>
        <w:rPr>
          <w:sz w:val="24"/>
        </w:rPr>
        <w:t>La</w:t>
      </w:r>
      <w:r>
        <w:rPr>
          <w:spacing w:val="-13"/>
          <w:sz w:val="24"/>
        </w:rPr>
        <w:t> </w:t>
      </w:r>
      <w:r>
        <w:rPr>
          <w:sz w:val="24"/>
        </w:rPr>
        <w:t>efectividad</w:t>
      </w:r>
      <w:r>
        <w:rPr>
          <w:spacing w:val="-13"/>
          <w:sz w:val="24"/>
        </w:rPr>
        <w:t> </w:t>
      </w:r>
      <w:r>
        <w:rPr>
          <w:sz w:val="24"/>
        </w:rPr>
        <w:t>del</w:t>
      </w:r>
      <w:r>
        <w:rPr>
          <w:spacing w:val="-14"/>
          <w:sz w:val="24"/>
        </w:rPr>
        <w:t> </w:t>
      </w:r>
      <w:r>
        <w:rPr>
          <w:sz w:val="24"/>
        </w:rPr>
        <w:t>contrapeso:</w:t>
      </w:r>
      <w:r>
        <w:rPr>
          <w:spacing w:val="-13"/>
          <w:sz w:val="24"/>
        </w:rPr>
        <w:t> </w:t>
      </w:r>
      <w:r>
        <w:rPr>
          <w:sz w:val="24"/>
        </w:rPr>
        <w:t>en</w:t>
      </w:r>
      <w:r>
        <w:rPr>
          <w:spacing w:val="-13"/>
          <w:sz w:val="24"/>
        </w:rPr>
        <w:t> </w:t>
      </w:r>
      <w:r>
        <w:rPr>
          <w:sz w:val="24"/>
        </w:rPr>
        <w:t>Alemania</w:t>
      </w:r>
      <w:r>
        <w:rPr>
          <w:spacing w:val="-13"/>
          <w:sz w:val="24"/>
        </w:rPr>
        <w:t> </w:t>
      </w:r>
      <w:r>
        <w:rPr>
          <w:sz w:val="24"/>
        </w:rPr>
        <w:t>el</w:t>
      </w:r>
      <w:r>
        <w:rPr>
          <w:spacing w:val="-14"/>
          <w:sz w:val="24"/>
        </w:rPr>
        <w:t> </w:t>
      </w:r>
      <w:r>
        <w:rPr>
          <w:sz w:val="24"/>
        </w:rPr>
        <w:t>Parlamento</w:t>
      </w:r>
      <w:r>
        <w:rPr>
          <w:spacing w:val="-11"/>
          <w:sz w:val="24"/>
        </w:rPr>
        <w:t> </w:t>
      </w:r>
      <w:r>
        <w:rPr>
          <w:sz w:val="24"/>
        </w:rPr>
        <w:t>y</w:t>
      </w:r>
      <w:r>
        <w:rPr>
          <w:spacing w:val="-14"/>
          <w:sz w:val="24"/>
        </w:rPr>
        <w:t> </w:t>
      </w:r>
      <w:r>
        <w:rPr>
          <w:sz w:val="24"/>
        </w:rPr>
        <w:t>el</w:t>
      </w:r>
      <w:r>
        <w:rPr>
          <w:spacing w:val="-12"/>
          <w:sz w:val="24"/>
        </w:rPr>
        <w:t> </w:t>
      </w:r>
      <w:r>
        <w:rPr>
          <w:sz w:val="24"/>
        </w:rPr>
        <w:t>Senado revisan en forma conjunta la actuación del</w:t>
      </w:r>
      <w:r>
        <w:rPr>
          <w:spacing w:val="-20"/>
          <w:sz w:val="24"/>
        </w:rPr>
        <w:t> </w:t>
      </w:r>
      <w:r>
        <w:rPr>
          <w:sz w:val="24"/>
        </w:rPr>
        <w:t>Ejecutivo.</w:t>
      </w:r>
    </w:p>
    <w:p>
      <w:pPr>
        <w:pStyle w:val="ListParagraph"/>
        <w:numPr>
          <w:ilvl w:val="4"/>
          <w:numId w:val="62"/>
        </w:numPr>
        <w:tabs>
          <w:tab w:pos="1255" w:val="left" w:leader="none"/>
        </w:tabs>
        <w:spacing w:line="360" w:lineRule="auto" w:before="5" w:after="0"/>
        <w:ind w:left="1254" w:right="122" w:hanging="424"/>
        <w:jc w:val="both"/>
        <w:rPr>
          <w:sz w:val="24"/>
        </w:rPr>
      </w:pPr>
      <w:r>
        <w:rPr>
          <w:sz w:val="24"/>
        </w:rPr>
        <w:t>Blindaje político: en Alemania los miembros del Tribunal tienen independencia</w:t>
      </w:r>
      <w:r>
        <w:rPr>
          <w:spacing w:val="-6"/>
          <w:sz w:val="24"/>
        </w:rPr>
        <w:t> </w:t>
      </w:r>
      <w:r>
        <w:rPr>
          <w:sz w:val="24"/>
        </w:rPr>
        <w:t>judicial,</w:t>
      </w:r>
      <w:r>
        <w:rPr>
          <w:spacing w:val="-4"/>
          <w:sz w:val="24"/>
        </w:rPr>
        <w:t> </w:t>
      </w:r>
      <w:r>
        <w:rPr>
          <w:sz w:val="24"/>
        </w:rPr>
        <w:t>personal</w:t>
      </w:r>
      <w:r>
        <w:rPr>
          <w:spacing w:val="-7"/>
          <w:sz w:val="24"/>
        </w:rPr>
        <w:t> </w:t>
      </w:r>
      <w:r>
        <w:rPr>
          <w:sz w:val="24"/>
        </w:rPr>
        <w:t>y</w:t>
      </w:r>
      <w:r>
        <w:rPr>
          <w:spacing w:val="-7"/>
          <w:sz w:val="24"/>
        </w:rPr>
        <w:t> </w:t>
      </w:r>
      <w:r>
        <w:rPr>
          <w:sz w:val="24"/>
        </w:rPr>
        <w:t>material,</w:t>
      </w:r>
      <w:r>
        <w:rPr>
          <w:spacing w:val="-4"/>
          <w:sz w:val="24"/>
        </w:rPr>
        <w:t> </w:t>
      </w:r>
      <w:r>
        <w:rPr>
          <w:sz w:val="24"/>
        </w:rPr>
        <w:t>y</w:t>
      </w:r>
      <w:r>
        <w:rPr>
          <w:spacing w:val="-9"/>
          <w:sz w:val="24"/>
        </w:rPr>
        <w:t> </w:t>
      </w:r>
      <w:r>
        <w:rPr>
          <w:sz w:val="24"/>
        </w:rPr>
        <w:t>solo</w:t>
      </w:r>
      <w:r>
        <w:rPr>
          <w:spacing w:val="-4"/>
          <w:sz w:val="24"/>
        </w:rPr>
        <w:t> </w:t>
      </w:r>
      <w:r>
        <w:rPr>
          <w:sz w:val="24"/>
        </w:rPr>
        <w:t>la</w:t>
      </w:r>
      <w:r>
        <w:rPr>
          <w:spacing w:val="-6"/>
          <w:sz w:val="24"/>
        </w:rPr>
        <w:t> </w:t>
      </w:r>
      <w:r>
        <w:rPr>
          <w:sz w:val="24"/>
        </w:rPr>
        <w:t>Corte</w:t>
      </w:r>
      <w:r>
        <w:rPr>
          <w:spacing w:val="-6"/>
          <w:sz w:val="24"/>
        </w:rPr>
        <w:t> </w:t>
      </w:r>
      <w:r>
        <w:rPr>
          <w:sz w:val="24"/>
        </w:rPr>
        <w:t>Federal</w:t>
      </w:r>
      <w:r>
        <w:rPr>
          <w:spacing w:val="-7"/>
          <w:sz w:val="24"/>
        </w:rPr>
        <w:t> </w:t>
      </w:r>
      <w:r>
        <w:rPr>
          <w:sz w:val="24"/>
        </w:rPr>
        <w:t>de Justicia resuelve la remoción o</w:t>
      </w:r>
      <w:r>
        <w:rPr>
          <w:spacing w:val="-10"/>
          <w:sz w:val="24"/>
        </w:rPr>
        <w:t> </w:t>
      </w:r>
      <w:r>
        <w:rPr>
          <w:sz w:val="24"/>
        </w:rPr>
        <w:t>sanciones.</w:t>
      </w:r>
    </w:p>
    <w:p>
      <w:pPr>
        <w:pStyle w:val="ListParagraph"/>
        <w:numPr>
          <w:ilvl w:val="4"/>
          <w:numId w:val="62"/>
        </w:numPr>
        <w:tabs>
          <w:tab w:pos="1255" w:val="left" w:leader="none"/>
        </w:tabs>
        <w:spacing w:line="360" w:lineRule="auto" w:before="0" w:after="0"/>
        <w:ind w:left="1254" w:right="122" w:hanging="424"/>
        <w:jc w:val="both"/>
        <w:rPr>
          <w:sz w:val="24"/>
        </w:rPr>
      </w:pPr>
      <w:r>
        <w:rPr>
          <w:sz w:val="24"/>
        </w:rPr>
        <w:t>El impulso al </w:t>
      </w:r>
      <w:r>
        <w:rPr>
          <w:i/>
          <w:sz w:val="24"/>
        </w:rPr>
        <w:t>enforcement </w:t>
      </w:r>
      <w:r>
        <w:rPr>
          <w:sz w:val="24"/>
        </w:rPr>
        <w:t>de la rendición de cuentas, mediante el informe bianual en el que se da seguimiento a las observaciones y recomendaciones de</w:t>
      </w:r>
      <w:r>
        <w:rPr>
          <w:spacing w:val="-9"/>
          <w:sz w:val="24"/>
        </w:rPr>
        <w:t> </w:t>
      </w:r>
      <w:r>
        <w:rPr>
          <w:sz w:val="24"/>
        </w:rPr>
        <w:t>Alemania</w:t>
      </w:r>
    </w:p>
    <w:p>
      <w:pPr>
        <w:pStyle w:val="ListParagraph"/>
        <w:numPr>
          <w:ilvl w:val="4"/>
          <w:numId w:val="62"/>
        </w:numPr>
        <w:tabs>
          <w:tab w:pos="1255" w:val="left" w:leader="none"/>
        </w:tabs>
        <w:spacing w:line="355" w:lineRule="auto" w:before="5" w:after="0"/>
        <w:ind w:left="1254" w:right="128" w:hanging="424"/>
        <w:jc w:val="both"/>
        <w:rPr>
          <w:sz w:val="16"/>
        </w:rPr>
      </w:pPr>
      <w:r>
        <w:rPr>
          <w:sz w:val="24"/>
        </w:rPr>
        <w:t>En Alemania existe una responsabilidad directa del poder Ejecutivo ante el Judicial y el</w:t>
      </w:r>
      <w:r>
        <w:rPr>
          <w:spacing w:val="-10"/>
          <w:sz w:val="24"/>
        </w:rPr>
        <w:t> </w:t>
      </w:r>
      <w:r>
        <w:rPr>
          <w:sz w:val="24"/>
        </w:rPr>
        <w:t>Legislativo.</w:t>
      </w:r>
      <w:r>
        <w:rPr>
          <w:position w:val="8"/>
          <w:sz w:val="16"/>
        </w:rPr>
        <w:t>87</w:t>
      </w:r>
    </w:p>
    <w:p>
      <w:pPr>
        <w:pStyle w:val="BodyText"/>
        <w:spacing w:before="5"/>
        <w:rPr>
          <w:sz w:val="36"/>
        </w:rPr>
      </w:pPr>
    </w:p>
    <w:p>
      <w:pPr>
        <w:pStyle w:val="BodyText"/>
        <w:spacing w:line="360" w:lineRule="auto"/>
        <w:ind w:left="122" w:right="126" w:firstLine="707"/>
        <w:jc w:val="both"/>
      </w:pPr>
      <w:r>
        <w:rPr/>
        <w:t>De</w:t>
      </w:r>
      <w:r>
        <w:rPr>
          <w:spacing w:val="-5"/>
        </w:rPr>
        <w:t> </w:t>
      </w:r>
      <w:r>
        <w:rPr/>
        <w:t>los</w:t>
      </w:r>
      <w:r>
        <w:rPr>
          <w:spacing w:val="-7"/>
        </w:rPr>
        <w:t> </w:t>
      </w:r>
      <w:r>
        <w:rPr/>
        <w:t>237</w:t>
      </w:r>
      <w:r>
        <w:rPr>
          <w:spacing w:val="-7"/>
        </w:rPr>
        <w:t> </w:t>
      </w:r>
      <w:r>
        <w:rPr/>
        <w:t>países</w:t>
      </w:r>
      <w:r>
        <w:rPr>
          <w:spacing w:val="-8"/>
        </w:rPr>
        <w:t> </w:t>
      </w:r>
      <w:r>
        <w:rPr/>
        <w:t>del</w:t>
      </w:r>
      <w:r>
        <w:rPr>
          <w:spacing w:val="-11"/>
        </w:rPr>
        <w:t> </w:t>
      </w:r>
      <w:r>
        <w:rPr/>
        <w:t>mundo,</w:t>
      </w:r>
      <w:r>
        <w:rPr>
          <w:spacing w:val="-7"/>
        </w:rPr>
        <w:t> </w:t>
      </w:r>
      <w:r>
        <w:rPr/>
        <w:t>185</w:t>
      </w:r>
      <w:r>
        <w:rPr>
          <w:spacing w:val="-7"/>
        </w:rPr>
        <w:t> </w:t>
      </w:r>
      <w:r>
        <w:rPr/>
        <w:t>(78.1%)</w:t>
      </w:r>
      <w:r>
        <w:rPr>
          <w:spacing w:val="-8"/>
        </w:rPr>
        <w:t> </w:t>
      </w:r>
      <w:r>
        <w:rPr/>
        <w:t>presentan</w:t>
      </w:r>
      <w:r>
        <w:rPr>
          <w:spacing w:val="-7"/>
        </w:rPr>
        <w:t> </w:t>
      </w:r>
      <w:r>
        <w:rPr/>
        <w:t>información</w:t>
      </w:r>
      <w:r>
        <w:rPr>
          <w:spacing w:val="-7"/>
        </w:rPr>
        <w:t> </w:t>
      </w:r>
      <w:r>
        <w:rPr/>
        <w:t>relativa a su modelo institucional de rendición de cuentas. En el siguiente cuadro se muestra el número de instituciones por continente, de acuerdo con el modelo adoptado por cada</w:t>
      </w:r>
      <w:r>
        <w:rPr>
          <w:spacing w:val="-12"/>
        </w:rPr>
        <w:t> </w:t>
      </w:r>
      <w:r>
        <w:rPr/>
        <w:t>Estado.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8248;mso-wrap-distance-left:0;mso-wrap-distance-right:0" from="85.103996pt,16.517803pt" to="229.123996pt,16.517803pt" stroked="true" strokeweight=".72003pt" strokecolor="#000000">
            <w10:wrap type="topAndBottom"/>
          </v:line>
        </w:pict>
      </w:r>
    </w:p>
    <w:p>
      <w:pPr>
        <w:spacing w:line="254" w:lineRule="auto" w:before="62"/>
        <w:ind w:left="122" w:right="52" w:firstLine="0"/>
        <w:jc w:val="left"/>
        <w:rPr>
          <w:sz w:val="16"/>
        </w:rPr>
      </w:pPr>
      <w:r>
        <w:rPr>
          <w:rFonts w:ascii="Times New Roman"/>
          <w:position w:val="7"/>
          <w:sz w:val="13"/>
        </w:rPr>
        <w:t>87</w:t>
      </w:r>
      <w:r>
        <w:rPr>
          <w:i/>
          <w:sz w:val="16"/>
        </w:rPr>
        <w:t>European </w:t>
      </w:r>
      <w:r>
        <w:rPr>
          <w:sz w:val="16"/>
        </w:rPr>
        <w:t>Commission, </w:t>
      </w:r>
      <w:r>
        <w:rPr>
          <w:i/>
          <w:sz w:val="16"/>
        </w:rPr>
        <w:t>EU reseach on social sciences and humanities, analysing public accountability proceditures in </w:t>
      </w:r>
      <w:r>
        <w:rPr>
          <w:i/>
          <w:sz w:val="16"/>
        </w:rPr>
        <w:t>temporary European context</w:t>
      </w:r>
      <w:r>
        <w:rPr>
          <w:sz w:val="16"/>
        </w:rPr>
        <w:t>, PubAcc</w:t>
      </w:r>
    </w:p>
    <w:p>
      <w:pPr>
        <w:spacing w:line="240" w:lineRule="auto" w:before="0"/>
        <w:ind w:left="122" w:right="2524" w:firstLine="0"/>
        <w:jc w:val="left"/>
        <w:rPr>
          <w:sz w:val="16"/>
        </w:rPr>
      </w:pPr>
      <w:r>
        <w:rPr>
          <w:sz w:val="16"/>
        </w:rPr>
        <w:t>Disponible en: </w:t>
      </w:r>
      <w:hyperlink r:id="rId167">
        <w:r>
          <w:rPr>
            <w:sz w:val="16"/>
          </w:rPr>
          <w:t>http://cordis.europa.eu/documents/documentlibrary/100123971EN6.pdf</w:t>
        </w:r>
      </w:hyperlink>
      <w:r>
        <w:rPr>
          <w:sz w:val="16"/>
        </w:rPr>
        <w:t> [Fecha de consulta: 16 de septiembre, 2015]</w:t>
      </w:r>
    </w:p>
    <w:p>
      <w:pPr>
        <w:spacing w:after="0" w:line="240" w:lineRule="auto"/>
        <w:jc w:val="left"/>
        <w:rPr>
          <w:sz w:val="16"/>
        </w:rPr>
        <w:sectPr>
          <w:pgSz w:w="11910" w:h="16840"/>
          <w:pgMar w:header="0" w:footer="1003" w:top="1340" w:bottom="1200" w:left="1580" w:right="1580"/>
        </w:sectPr>
      </w:pPr>
    </w:p>
    <w:p>
      <w:pPr>
        <w:spacing w:before="57"/>
        <w:ind w:left="1141" w:right="404" w:firstLine="0"/>
        <w:jc w:val="left"/>
        <w:rPr>
          <w:sz w:val="20"/>
        </w:rPr>
      </w:pPr>
      <w:bookmarkStart w:name="_bookmark63" w:id="84"/>
      <w:bookmarkEnd w:id="84"/>
      <w:r>
        <w:rPr/>
      </w:r>
      <w:r>
        <w:rPr>
          <w:sz w:val="20"/>
        </w:rPr>
        <w:t>Cuadro 3. 6. Tipos de instituciones de rendición de cuentas por continente</w:t>
      </w:r>
    </w:p>
    <w:p>
      <w:pPr>
        <w:pStyle w:val="BodyText"/>
        <w:spacing w:before="7"/>
        <w:rPr>
          <w:sz w:val="17"/>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9"/>
        <w:gridCol w:w="1001"/>
        <w:gridCol w:w="1356"/>
        <w:gridCol w:w="1167"/>
        <w:gridCol w:w="1166"/>
        <w:gridCol w:w="1167"/>
        <w:gridCol w:w="1169"/>
      </w:tblGrid>
      <w:tr>
        <w:trPr>
          <w:trHeight w:val="653" w:hRule="exact"/>
        </w:trPr>
        <w:tc>
          <w:tcPr>
            <w:tcW w:w="1589" w:type="dxa"/>
            <w:tcBorders>
              <w:top w:val="single" w:sz="12" w:space="0" w:color="D9D9D9"/>
              <w:left w:val="single" w:sz="12" w:space="0" w:color="D9D9D9"/>
              <w:bottom w:val="single" w:sz="12" w:space="0" w:color="D9D9D9"/>
              <w:right w:val="single" w:sz="12" w:space="0" w:color="D9D9D9"/>
            </w:tcBorders>
          </w:tcPr>
          <w:p>
            <w:pPr>
              <w:pStyle w:val="TableParagraph"/>
              <w:spacing w:before="102"/>
              <w:ind w:left="362"/>
              <w:rPr>
                <w:b/>
                <w:sz w:val="16"/>
              </w:rPr>
            </w:pPr>
            <w:r>
              <w:rPr>
                <w:b/>
                <w:sz w:val="16"/>
              </w:rPr>
              <w:t>Continente</w:t>
            </w:r>
          </w:p>
        </w:tc>
        <w:tc>
          <w:tcPr>
            <w:tcW w:w="1001" w:type="dxa"/>
            <w:tcBorders>
              <w:top w:val="single" w:sz="12" w:space="0" w:color="D9D9D9"/>
              <w:left w:val="single" w:sz="12" w:space="0" w:color="D9D9D9"/>
              <w:bottom w:val="single" w:sz="12" w:space="0" w:color="D9D9D9"/>
              <w:right w:val="single" w:sz="12" w:space="0" w:color="D9D9D9"/>
            </w:tcBorders>
          </w:tcPr>
          <w:p>
            <w:pPr>
              <w:pStyle w:val="TableParagraph"/>
              <w:spacing w:line="276" w:lineRule="auto"/>
              <w:ind w:left="122" w:right="101" w:firstLine="62"/>
              <w:rPr>
                <w:b/>
                <w:sz w:val="16"/>
              </w:rPr>
            </w:pPr>
            <w:r>
              <w:rPr>
                <w:b/>
                <w:sz w:val="16"/>
              </w:rPr>
              <w:t>Número de países</w:t>
            </w:r>
          </w:p>
        </w:tc>
        <w:tc>
          <w:tcPr>
            <w:tcW w:w="1356" w:type="dxa"/>
            <w:tcBorders>
              <w:top w:val="single" w:sz="12" w:space="0" w:color="D9D9D9"/>
              <w:left w:val="single" w:sz="12" w:space="0" w:color="D9D9D9"/>
              <w:bottom w:val="single" w:sz="12" w:space="0" w:color="D9D9D9"/>
              <w:right w:val="single" w:sz="12" w:space="0" w:color="D9D9D9"/>
            </w:tcBorders>
          </w:tcPr>
          <w:p>
            <w:pPr>
              <w:pStyle w:val="TableParagraph"/>
              <w:spacing w:line="276" w:lineRule="auto"/>
              <w:ind w:left="364" w:right="297" w:hanging="56"/>
              <w:rPr>
                <w:b/>
                <w:sz w:val="16"/>
              </w:rPr>
            </w:pPr>
            <w:r>
              <w:rPr>
                <w:b/>
                <w:sz w:val="16"/>
              </w:rPr>
              <w:t>Auditoría General</w:t>
            </w:r>
          </w:p>
        </w:tc>
        <w:tc>
          <w:tcPr>
            <w:tcW w:w="1167" w:type="dxa"/>
            <w:tcBorders>
              <w:top w:val="single" w:sz="12" w:space="0" w:color="D9D9D9"/>
              <w:left w:val="single" w:sz="12" w:space="0" w:color="D9D9D9"/>
              <w:bottom w:val="single" w:sz="12" w:space="0" w:color="D9D9D9"/>
              <w:right w:val="single" w:sz="12" w:space="0" w:color="D9D9D9"/>
            </w:tcBorders>
          </w:tcPr>
          <w:p>
            <w:pPr>
              <w:pStyle w:val="TableParagraph"/>
              <w:spacing w:line="276" w:lineRule="auto"/>
              <w:ind w:left="271" w:right="123" w:hanging="130"/>
              <w:rPr>
                <w:b/>
                <w:sz w:val="16"/>
              </w:rPr>
            </w:pPr>
            <w:r>
              <w:rPr>
                <w:b/>
                <w:sz w:val="16"/>
              </w:rPr>
              <w:t>Contraloría General</w:t>
            </w:r>
          </w:p>
        </w:tc>
        <w:tc>
          <w:tcPr>
            <w:tcW w:w="1166" w:type="dxa"/>
            <w:tcBorders>
              <w:top w:val="single" w:sz="12" w:space="0" w:color="D9D9D9"/>
              <w:left w:val="single" w:sz="12" w:space="0" w:color="D9D9D9"/>
              <w:bottom w:val="single" w:sz="12" w:space="0" w:color="D9D9D9"/>
              <w:right w:val="single" w:sz="12" w:space="0" w:color="D9D9D9"/>
            </w:tcBorders>
          </w:tcPr>
          <w:p>
            <w:pPr>
              <w:pStyle w:val="TableParagraph"/>
              <w:spacing w:line="276" w:lineRule="auto"/>
              <w:ind w:left="252" w:right="119" w:hanging="116"/>
              <w:rPr>
                <w:b/>
                <w:sz w:val="16"/>
              </w:rPr>
            </w:pPr>
            <w:r>
              <w:rPr>
                <w:b/>
                <w:sz w:val="16"/>
              </w:rPr>
              <w:t>Tribunal de Cuentas</w:t>
            </w:r>
          </w:p>
        </w:tc>
        <w:tc>
          <w:tcPr>
            <w:tcW w:w="1167" w:type="dxa"/>
            <w:tcBorders>
              <w:top w:val="single" w:sz="12" w:space="0" w:color="D9D9D9"/>
              <w:left w:val="single" w:sz="12" w:space="0" w:color="D9D9D9"/>
              <w:bottom w:val="single" w:sz="12" w:space="0" w:color="D9D9D9"/>
              <w:right w:val="single" w:sz="12" w:space="0" w:color="D9D9D9"/>
            </w:tcBorders>
          </w:tcPr>
          <w:p>
            <w:pPr>
              <w:pStyle w:val="TableParagraph"/>
              <w:spacing w:line="276" w:lineRule="auto"/>
              <w:ind w:left="215" w:right="120" w:hanging="80"/>
              <w:rPr>
                <w:b/>
                <w:sz w:val="16"/>
              </w:rPr>
            </w:pPr>
            <w:r>
              <w:rPr>
                <w:b/>
                <w:sz w:val="16"/>
              </w:rPr>
              <w:t>Consejo de Auditoría</w:t>
            </w:r>
          </w:p>
        </w:tc>
        <w:tc>
          <w:tcPr>
            <w:tcW w:w="1169" w:type="dxa"/>
            <w:tcBorders>
              <w:top w:val="single" w:sz="12" w:space="0" w:color="D9D9D9"/>
              <w:left w:val="single" w:sz="12" w:space="0" w:color="D9D9D9"/>
              <w:bottom w:val="single" w:sz="12" w:space="0" w:color="D9D9D9"/>
              <w:right w:val="single" w:sz="12" w:space="0" w:color="D9D9D9"/>
            </w:tcBorders>
          </w:tcPr>
          <w:p>
            <w:pPr>
              <w:pStyle w:val="TableParagraph"/>
              <w:spacing w:before="102"/>
              <w:ind w:left="336" w:right="337"/>
              <w:jc w:val="center"/>
              <w:rPr>
                <w:b/>
                <w:sz w:val="16"/>
              </w:rPr>
            </w:pPr>
            <w:r>
              <w:rPr>
                <w:b/>
                <w:sz w:val="16"/>
              </w:rPr>
              <w:t>Otros</w:t>
            </w:r>
          </w:p>
        </w:tc>
      </w:tr>
      <w:tr>
        <w:trPr>
          <w:trHeight w:val="245" w:hRule="exact"/>
        </w:trPr>
        <w:tc>
          <w:tcPr>
            <w:tcW w:w="1589" w:type="dxa"/>
            <w:tcBorders>
              <w:top w:val="single" w:sz="12" w:space="0" w:color="D9D9D9"/>
            </w:tcBorders>
          </w:tcPr>
          <w:p>
            <w:pPr>
              <w:pStyle w:val="TableParagraph"/>
              <w:spacing w:line="192" w:lineRule="exact"/>
              <w:ind w:left="175"/>
              <w:rPr>
                <w:sz w:val="17"/>
              </w:rPr>
            </w:pPr>
            <w:r>
              <w:rPr>
                <w:sz w:val="17"/>
              </w:rPr>
              <w:t>África</w:t>
            </w:r>
          </w:p>
        </w:tc>
        <w:tc>
          <w:tcPr>
            <w:tcW w:w="1001" w:type="dxa"/>
            <w:tcBorders>
              <w:top w:val="single" w:sz="12" w:space="0" w:color="D9D9D9"/>
            </w:tcBorders>
          </w:tcPr>
          <w:p>
            <w:pPr>
              <w:pStyle w:val="TableParagraph"/>
              <w:spacing w:line="192" w:lineRule="exact"/>
              <w:ind w:left="367" w:right="298"/>
              <w:jc w:val="center"/>
              <w:rPr>
                <w:sz w:val="17"/>
              </w:rPr>
            </w:pPr>
            <w:r>
              <w:rPr>
                <w:sz w:val="17"/>
              </w:rPr>
              <w:t>51</w:t>
            </w:r>
          </w:p>
        </w:tc>
        <w:tc>
          <w:tcPr>
            <w:tcW w:w="1356" w:type="dxa"/>
            <w:tcBorders>
              <w:top w:val="single" w:sz="12" w:space="0" w:color="D9D9D9"/>
            </w:tcBorders>
          </w:tcPr>
          <w:p>
            <w:pPr>
              <w:pStyle w:val="TableParagraph"/>
              <w:spacing w:line="192" w:lineRule="exact"/>
              <w:ind w:left="556" w:right="492"/>
              <w:jc w:val="center"/>
              <w:rPr>
                <w:sz w:val="17"/>
              </w:rPr>
            </w:pPr>
            <w:r>
              <w:rPr>
                <w:sz w:val="17"/>
              </w:rPr>
              <w:t>19</w:t>
            </w:r>
          </w:p>
        </w:tc>
        <w:tc>
          <w:tcPr>
            <w:tcW w:w="1167" w:type="dxa"/>
            <w:tcBorders>
              <w:top w:val="single" w:sz="12" w:space="0" w:color="D9D9D9"/>
            </w:tcBorders>
          </w:tcPr>
          <w:p>
            <w:pPr>
              <w:pStyle w:val="TableParagraph"/>
              <w:spacing w:line="192" w:lineRule="exact"/>
              <w:ind w:left="70"/>
              <w:jc w:val="center"/>
              <w:rPr>
                <w:sz w:val="17"/>
              </w:rPr>
            </w:pPr>
            <w:r>
              <w:rPr>
                <w:w w:val="100"/>
                <w:sz w:val="17"/>
              </w:rPr>
              <w:t>0</w:t>
            </w:r>
          </w:p>
        </w:tc>
        <w:tc>
          <w:tcPr>
            <w:tcW w:w="1166" w:type="dxa"/>
            <w:tcBorders>
              <w:top w:val="single" w:sz="12" w:space="0" w:color="D9D9D9"/>
            </w:tcBorders>
          </w:tcPr>
          <w:p>
            <w:pPr>
              <w:pStyle w:val="TableParagraph"/>
              <w:spacing w:line="192" w:lineRule="exact"/>
              <w:ind w:right="449"/>
              <w:jc w:val="right"/>
              <w:rPr>
                <w:sz w:val="17"/>
              </w:rPr>
            </w:pPr>
            <w:r>
              <w:rPr>
                <w:sz w:val="17"/>
              </w:rPr>
              <w:t>21</w:t>
            </w:r>
          </w:p>
        </w:tc>
        <w:tc>
          <w:tcPr>
            <w:tcW w:w="1167" w:type="dxa"/>
            <w:tcBorders>
              <w:top w:val="single" w:sz="12" w:space="0" w:color="D9D9D9"/>
            </w:tcBorders>
          </w:tcPr>
          <w:p>
            <w:pPr>
              <w:pStyle w:val="TableParagraph"/>
              <w:spacing w:line="192" w:lineRule="exact"/>
              <w:ind w:left="70"/>
              <w:jc w:val="center"/>
              <w:rPr>
                <w:sz w:val="17"/>
              </w:rPr>
            </w:pPr>
            <w:r>
              <w:rPr>
                <w:w w:val="100"/>
                <w:sz w:val="17"/>
              </w:rPr>
              <w:t>0</w:t>
            </w:r>
          </w:p>
        </w:tc>
        <w:tc>
          <w:tcPr>
            <w:tcW w:w="1169" w:type="dxa"/>
            <w:tcBorders>
              <w:top w:val="single" w:sz="12" w:space="0" w:color="D9D9D9"/>
            </w:tcBorders>
          </w:tcPr>
          <w:p>
            <w:pPr>
              <w:pStyle w:val="TableParagraph"/>
              <w:spacing w:line="192" w:lineRule="exact"/>
              <w:ind w:left="497" w:right="433"/>
              <w:jc w:val="center"/>
              <w:rPr>
                <w:sz w:val="17"/>
              </w:rPr>
            </w:pPr>
            <w:r>
              <w:rPr>
                <w:sz w:val="17"/>
              </w:rPr>
              <w:t>11</w:t>
            </w:r>
          </w:p>
        </w:tc>
      </w:tr>
      <w:tr>
        <w:trPr>
          <w:trHeight w:val="235" w:hRule="exact"/>
        </w:trPr>
        <w:tc>
          <w:tcPr>
            <w:tcW w:w="1589" w:type="dxa"/>
          </w:tcPr>
          <w:p>
            <w:pPr>
              <w:pStyle w:val="TableParagraph"/>
              <w:spacing w:line="192" w:lineRule="exact"/>
              <w:ind w:left="175"/>
              <w:rPr>
                <w:sz w:val="17"/>
              </w:rPr>
            </w:pPr>
            <w:r>
              <w:rPr>
                <w:sz w:val="17"/>
              </w:rPr>
              <w:t>América</w:t>
            </w:r>
          </w:p>
        </w:tc>
        <w:tc>
          <w:tcPr>
            <w:tcW w:w="1001" w:type="dxa"/>
          </w:tcPr>
          <w:p>
            <w:pPr>
              <w:pStyle w:val="TableParagraph"/>
              <w:spacing w:line="192" w:lineRule="exact"/>
              <w:ind w:left="367" w:right="298"/>
              <w:jc w:val="center"/>
              <w:rPr>
                <w:sz w:val="17"/>
              </w:rPr>
            </w:pPr>
            <w:r>
              <w:rPr>
                <w:sz w:val="17"/>
              </w:rPr>
              <w:t>37</w:t>
            </w:r>
          </w:p>
        </w:tc>
        <w:tc>
          <w:tcPr>
            <w:tcW w:w="1356" w:type="dxa"/>
          </w:tcPr>
          <w:p>
            <w:pPr>
              <w:pStyle w:val="TableParagraph"/>
              <w:spacing w:line="192" w:lineRule="exact"/>
              <w:ind w:left="556" w:right="492"/>
              <w:jc w:val="center"/>
              <w:rPr>
                <w:sz w:val="17"/>
              </w:rPr>
            </w:pPr>
            <w:r>
              <w:rPr>
                <w:sz w:val="17"/>
              </w:rPr>
              <w:t>11</w:t>
            </w:r>
          </w:p>
        </w:tc>
        <w:tc>
          <w:tcPr>
            <w:tcW w:w="1167" w:type="dxa"/>
          </w:tcPr>
          <w:p>
            <w:pPr>
              <w:pStyle w:val="TableParagraph"/>
              <w:spacing w:line="192" w:lineRule="exact"/>
              <w:ind w:left="497" w:right="431"/>
              <w:jc w:val="center"/>
              <w:rPr>
                <w:sz w:val="17"/>
              </w:rPr>
            </w:pPr>
            <w:r>
              <w:rPr>
                <w:sz w:val="17"/>
              </w:rPr>
              <w:t>12</w:t>
            </w:r>
          </w:p>
        </w:tc>
        <w:tc>
          <w:tcPr>
            <w:tcW w:w="1166" w:type="dxa"/>
          </w:tcPr>
          <w:p>
            <w:pPr>
              <w:pStyle w:val="TableParagraph"/>
              <w:spacing w:line="192" w:lineRule="exact"/>
              <w:ind w:right="493"/>
              <w:jc w:val="right"/>
              <w:rPr>
                <w:sz w:val="17"/>
              </w:rPr>
            </w:pPr>
            <w:r>
              <w:rPr>
                <w:w w:val="100"/>
                <w:sz w:val="17"/>
              </w:rPr>
              <w:t>7</w:t>
            </w:r>
          </w:p>
        </w:tc>
        <w:tc>
          <w:tcPr>
            <w:tcW w:w="1167" w:type="dxa"/>
          </w:tcPr>
          <w:p>
            <w:pPr>
              <w:pStyle w:val="TableParagraph"/>
              <w:spacing w:line="192" w:lineRule="exact"/>
              <w:ind w:left="70"/>
              <w:jc w:val="center"/>
              <w:rPr>
                <w:sz w:val="17"/>
              </w:rPr>
            </w:pPr>
            <w:r>
              <w:rPr>
                <w:w w:val="100"/>
                <w:sz w:val="17"/>
              </w:rPr>
              <w:t>0</w:t>
            </w:r>
          </w:p>
        </w:tc>
        <w:tc>
          <w:tcPr>
            <w:tcW w:w="1169" w:type="dxa"/>
          </w:tcPr>
          <w:p>
            <w:pPr>
              <w:pStyle w:val="TableParagraph"/>
              <w:spacing w:line="192" w:lineRule="exact"/>
              <w:ind w:left="68"/>
              <w:jc w:val="center"/>
              <w:rPr>
                <w:sz w:val="17"/>
              </w:rPr>
            </w:pPr>
            <w:r>
              <w:rPr>
                <w:w w:val="100"/>
                <w:sz w:val="17"/>
              </w:rPr>
              <w:t>7</w:t>
            </w:r>
          </w:p>
        </w:tc>
      </w:tr>
      <w:tr>
        <w:trPr>
          <w:trHeight w:val="235" w:hRule="exact"/>
        </w:trPr>
        <w:tc>
          <w:tcPr>
            <w:tcW w:w="1589" w:type="dxa"/>
            <w:tcBorders>
              <w:left w:val="single" w:sz="2" w:space="0" w:color="000000"/>
            </w:tcBorders>
          </w:tcPr>
          <w:p>
            <w:pPr>
              <w:pStyle w:val="TableParagraph"/>
              <w:spacing w:line="192" w:lineRule="exact"/>
              <w:ind w:left="177"/>
              <w:rPr>
                <w:sz w:val="17"/>
              </w:rPr>
            </w:pPr>
            <w:r>
              <w:rPr>
                <w:sz w:val="17"/>
              </w:rPr>
              <w:t>Asia</w:t>
            </w:r>
          </w:p>
        </w:tc>
        <w:tc>
          <w:tcPr>
            <w:tcW w:w="1001" w:type="dxa"/>
          </w:tcPr>
          <w:p>
            <w:pPr>
              <w:pStyle w:val="TableParagraph"/>
              <w:spacing w:line="192" w:lineRule="exact"/>
              <w:ind w:left="367" w:right="298"/>
              <w:jc w:val="center"/>
              <w:rPr>
                <w:sz w:val="17"/>
              </w:rPr>
            </w:pPr>
            <w:r>
              <w:rPr>
                <w:sz w:val="17"/>
              </w:rPr>
              <w:t>40</w:t>
            </w:r>
          </w:p>
        </w:tc>
        <w:tc>
          <w:tcPr>
            <w:tcW w:w="1356" w:type="dxa"/>
          </w:tcPr>
          <w:p>
            <w:pPr>
              <w:pStyle w:val="TableParagraph"/>
              <w:spacing w:line="192" w:lineRule="exact"/>
              <w:ind w:left="556" w:right="492"/>
              <w:jc w:val="center"/>
              <w:rPr>
                <w:sz w:val="17"/>
              </w:rPr>
            </w:pPr>
            <w:r>
              <w:rPr>
                <w:sz w:val="17"/>
              </w:rPr>
              <w:t>23</w:t>
            </w:r>
          </w:p>
        </w:tc>
        <w:tc>
          <w:tcPr>
            <w:tcW w:w="1167" w:type="dxa"/>
          </w:tcPr>
          <w:p>
            <w:pPr>
              <w:pStyle w:val="TableParagraph"/>
              <w:spacing w:line="192" w:lineRule="exact"/>
              <w:ind w:left="70"/>
              <w:jc w:val="center"/>
              <w:rPr>
                <w:sz w:val="17"/>
              </w:rPr>
            </w:pPr>
            <w:r>
              <w:rPr>
                <w:w w:val="100"/>
                <w:sz w:val="17"/>
              </w:rPr>
              <w:t>0</w:t>
            </w:r>
          </w:p>
        </w:tc>
        <w:tc>
          <w:tcPr>
            <w:tcW w:w="1166" w:type="dxa"/>
          </w:tcPr>
          <w:p>
            <w:pPr>
              <w:pStyle w:val="TableParagraph"/>
              <w:spacing w:line="192" w:lineRule="exact"/>
              <w:ind w:right="493"/>
              <w:jc w:val="right"/>
              <w:rPr>
                <w:sz w:val="17"/>
              </w:rPr>
            </w:pPr>
            <w:r>
              <w:rPr>
                <w:w w:val="100"/>
                <w:sz w:val="17"/>
              </w:rPr>
              <w:t>6</w:t>
            </w:r>
          </w:p>
        </w:tc>
        <w:tc>
          <w:tcPr>
            <w:tcW w:w="1167" w:type="dxa"/>
          </w:tcPr>
          <w:p>
            <w:pPr>
              <w:pStyle w:val="TableParagraph"/>
              <w:spacing w:line="192" w:lineRule="exact"/>
              <w:ind w:left="70"/>
              <w:jc w:val="center"/>
              <w:rPr>
                <w:sz w:val="17"/>
              </w:rPr>
            </w:pPr>
            <w:r>
              <w:rPr>
                <w:w w:val="100"/>
                <w:sz w:val="17"/>
              </w:rPr>
              <w:t>4</w:t>
            </w:r>
          </w:p>
        </w:tc>
        <w:tc>
          <w:tcPr>
            <w:tcW w:w="1169" w:type="dxa"/>
          </w:tcPr>
          <w:p>
            <w:pPr>
              <w:pStyle w:val="TableParagraph"/>
              <w:spacing w:line="192" w:lineRule="exact"/>
              <w:ind w:left="68"/>
              <w:jc w:val="center"/>
              <w:rPr>
                <w:sz w:val="17"/>
              </w:rPr>
            </w:pPr>
            <w:r>
              <w:rPr>
                <w:w w:val="100"/>
                <w:sz w:val="17"/>
              </w:rPr>
              <w:t>7</w:t>
            </w:r>
          </w:p>
        </w:tc>
      </w:tr>
      <w:tr>
        <w:trPr>
          <w:trHeight w:val="233" w:hRule="exact"/>
        </w:trPr>
        <w:tc>
          <w:tcPr>
            <w:tcW w:w="1589" w:type="dxa"/>
          </w:tcPr>
          <w:p>
            <w:pPr>
              <w:pStyle w:val="TableParagraph"/>
              <w:spacing w:line="192" w:lineRule="exact"/>
              <w:ind w:left="175"/>
              <w:rPr>
                <w:sz w:val="17"/>
              </w:rPr>
            </w:pPr>
            <w:r>
              <w:rPr>
                <w:sz w:val="17"/>
              </w:rPr>
              <w:t>Europa</w:t>
            </w:r>
          </w:p>
        </w:tc>
        <w:tc>
          <w:tcPr>
            <w:tcW w:w="1001" w:type="dxa"/>
          </w:tcPr>
          <w:p>
            <w:pPr>
              <w:pStyle w:val="TableParagraph"/>
              <w:spacing w:line="192" w:lineRule="exact"/>
              <w:ind w:left="367" w:right="298"/>
              <w:jc w:val="center"/>
              <w:rPr>
                <w:sz w:val="17"/>
              </w:rPr>
            </w:pPr>
            <w:r>
              <w:rPr>
                <w:sz w:val="17"/>
              </w:rPr>
              <w:t>42</w:t>
            </w:r>
          </w:p>
        </w:tc>
        <w:tc>
          <w:tcPr>
            <w:tcW w:w="1356" w:type="dxa"/>
          </w:tcPr>
          <w:p>
            <w:pPr>
              <w:pStyle w:val="TableParagraph"/>
              <w:spacing w:line="192" w:lineRule="exact"/>
              <w:ind w:left="521" w:right="526"/>
              <w:jc w:val="center"/>
              <w:rPr>
                <w:sz w:val="17"/>
              </w:rPr>
            </w:pPr>
            <w:r>
              <w:rPr>
                <w:sz w:val="17"/>
              </w:rPr>
              <w:t>18</w:t>
            </w:r>
          </w:p>
        </w:tc>
        <w:tc>
          <w:tcPr>
            <w:tcW w:w="1167" w:type="dxa"/>
          </w:tcPr>
          <w:p>
            <w:pPr>
              <w:pStyle w:val="TableParagraph"/>
              <w:spacing w:line="192" w:lineRule="exact"/>
              <w:ind w:left="70"/>
              <w:jc w:val="center"/>
              <w:rPr>
                <w:sz w:val="17"/>
              </w:rPr>
            </w:pPr>
            <w:r>
              <w:rPr>
                <w:w w:val="100"/>
                <w:sz w:val="17"/>
              </w:rPr>
              <w:t>0</w:t>
            </w:r>
          </w:p>
        </w:tc>
        <w:tc>
          <w:tcPr>
            <w:tcW w:w="1166" w:type="dxa"/>
          </w:tcPr>
          <w:p>
            <w:pPr>
              <w:pStyle w:val="TableParagraph"/>
              <w:spacing w:line="192" w:lineRule="exact"/>
              <w:ind w:right="449"/>
              <w:jc w:val="right"/>
              <w:rPr>
                <w:sz w:val="17"/>
              </w:rPr>
            </w:pPr>
            <w:r>
              <w:rPr>
                <w:sz w:val="17"/>
              </w:rPr>
              <w:t>18</w:t>
            </w:r>
          </w:p>
        </w:tc>
        <w:tc>
          <w:tcPr>
            <w:tcW w:w="1167" w:type="dxa"/>
          </w:tcPr>
          <w:p>
            <w:pPr>
              <w:pStyle w:val="TableParagraph"/>
              <w:spacing w:line="192" w:lineRule="exact"/>
              <w:ind w:left="70"/>
              <w:jc w:val="center"/>
              <w:rPr>
                <w:sz w:val="17"/>
              </w:rPr>
            </w:pPr>
            <w:r>
              <w:rPr>
                <w:w w:val="100"/>
                <w:sz w:val="17"/>
              </w:rPr>
              <w:t>0</w:t>
            </w:r>
          </w:p>
        </w:tc>
        <w:tc>
          <w:tcPr>
            <w:tcW w:w="1169" w:type="dxa"/>
          </w:tcPr>
          <w:p>
            <w:pPr>
              <w:pStyle w:val="TableParagraph"/>
              <w:spacing w:line="192" w:lineRule="exact"/>
              <w:ind w:left="68"/>
              <w:jc w:val="center"/>
              <w:rPr>
                <w:sz w:val="17"/>
              </w:rPr>
            </w:pPr>
            <w:r>
              <w:rPr>
                <w:w w:val="100"/>
                <w:sz w:val="17"/>
              </w:rPr>
              <w:t>6</w:t>
            </w:r>
          </w:p>
        </w:tc>
      </w:tr>
      <w:tr>
        <w:trPr>
          <w:trHeight w:val="235" w:hRule="exact"/>
        </w:trPr>
        <w:tc>
          <w:tcPr>
            <w:tcW w:w="1589" w:type="dxa"/>
            <w:tcBorders>
              <w:left w:val="single" w:sz="2" w:space="0" w:color="000000"/>
            </w:tcBorders>
          </w:tcPr>
          <w:p>
            <w:pPr>
              <w:pStyle w:val="TableParagraph"/>
              <w:spacing w:line="194" w:lineRule="exact"/>
              <w:ind w:left="177"/>
              <w:rPr>
                <w:sz w:val="17"/>
              </w:rPr>
            </w:pPr>
            <w:r>
              <w:rPr>
                <w:sz w:val="17"/>
              </w:rPr>
              <w:t>Oceanía</w:t>
            </w:r>
          </w:p>
        </w:tc>
        <w:tc>
          <w:tcPr>
            <w:tcW w:w="1001" w:type="dxa"/>
          </w:tcPr>
          <w:p>
            <w:pPr>
              <w:pStyle w:val="TableParagraph"/>
              <w:spacing w:line="194" w:lineRule="exact"/>
              <w:ind w:left="367" w:right="298"/>
              <w:jc w:val="center"/>
              <w:rPr>
                <w:sz w:val="17"/>
              </w:rPr>
            </w:pPr>
            <w:r>
              <w:rPr>
                <w:sz w:val="17"/>
              </w:rPr>
              <w:t>15</w:t>
            </w:r>
          </w:p>
        </w:tc>
        <w:tc>
          <w:tcPr>
            <w:tcW w:w="1356" w:type="dxa"/>
          </w:tcPr>
          <w:p>
            <w:pPr>
              <w:pStyle w:val="TableParagraph"/>
              <w:spacing w:line="194" w:lineRule="exact"/>
              <w:ind w:left="556" w:right="492"/>
              <w:jc w:val="center"/>
              <w:rPr>
                <w:sz w:val="17"/>
              </w:rPr>
            </w:pPr>
            <w:r>
              <w:rPr>
                <w:sz w:val="17"/>
              </w:rPr>
              <w:t>13</w:t>
            </w:r>
          </w:p>
        </w:tc>
        <w:tc>
          <w:tcPr>
            <w:tcW w:w="1167" w:type="dxa"/>
          </w:tcPr>
          <w:p>
            <w:pPr>
              <w:pStyle w:val="TableParagraph"/>
              <w:spacing w:line="194" w:lineRule="exact"/>
              <w:ind w:left="70"/>
              <w:jc w:val="center"/>
              <w:rPr>
                <w:sz w:val="17"/>
              </w:rPr>
            </w:pPr>
            <w:r>
              <w:rPr>
                <w:w w:val="100"/>
                <w:sz w:val="17"/>
              </w:rPr>
              <w:t>0</w:t>
            </w:r>
          </w:p>
        </w:tc>
        <w:tc>
          <w:tcPr>
            <w:tcW w:w="1166" w:type="dxa"/>
          </w:tcPr>
          <w:p>
            <w:pPr>
              <w:pStyle w:val="TableParagraph"/>
              <w:spacing w:line="194" w:lineRule="exact"/>
              <w:ind w:right="493"/>
              <w:jc w:val="right"/>
              <w:rPr>
                <w:sz w:val="17"/>
              </w:rPr>
            </w:pPr>
            <w:r>
              <w:rPr>
                <w:w w:val="100"/>
                <w:sz w:val="17"/>
              </w:rPr>
              <w:t>0</w:t>
            </w:r>
          </w:p>
        </w:tc>
        <w:tc>
          <w:tcPr>
            <w:tcW w:w="1167" w:type="dxa"/>
          </w:tcPr>
          <w:p>
            <w:pPr>
              <w:pStyle w:val="TableParagraph"/>
              <w:spacing w:line="194" w:lineRule="exact"/>
              <w:ind w:left="70"/>
              <w:jc w:val="center"/>
              <w:rPr>
                <w:sz w:val="17"/>
              </w:rPr>
            </w:pPr>
            <w:r>
              <w:rPr>
                <w:w w:val="100"/>
                <w:sz w:val="17"/>
              </w:rPr>
              <w:t>0</w:t>
            </w:r>
          </w:p>
        </w:tc>
        <w:tc>
          <w:tcPr>
            <w:tcW w:w="1169" w:type="dxa"/>
          </w:tcPr>
          <w:p>
            <w:pPr>
              <w:pStyle w:val="TableParagraph"/>
              <w:spacing w:line="194" w:lineRule="exact"/>
              <w:ind w:left="68"/>
              <w:jc w:val="center"/>
              <w:rPr>
                <w:sz w:val="17"/>
              </w:rPr>
            </w:pPr>
            <w:r>
              <w:rPr>
                <w:w w:val="100"/>
                <w:sz w:val="17"/>
              </w:rPr>
              <w:t>2</w:t>
            </w:r>
          </w:p>
        </w:tc>
      </w:tr>
      <w:tr>
        <w:trPr>
          <w:trHeight w:val="235" w:hRule="exact"/>
        </w:trPr>
        <w:tc>
          <w:tcPr>
            <w:tcW w:w="1589" w:type="dxa"/>
            <w:shd w:val="clear" w:color="auto" w:fill="D9D9D9"/>
          </w:tcPr>
          <w:p>
            <w:pPr>
              <w:pStyle w:val="TableParagraph"/>
              <w:spacing w:line="192" w:lineRule="exact"/>
              <w:ind w:right="99"/>
              <w:jc w:val="right"/>
              <w:rPr>
                <w:b/>
                <w:sz w:val="17"/>
              </w:rPr>
            </w:pPr>
            <w:r>
              <w:rPr>
                <w:b/>
                <w:sz w:val="17"/>
              </w:rPr>
              <w:t>Total</w:t>
            </w:r>
          </w:p>
        </w:tc>
        <w:tc>
          <w:tcPr>
            <w:tcW w:w="1001" w:type="dxa"/>
            <w:shd w:val="clear" w:color="auto" w:fill="D9D9D9"/>
          </w:tcPr>
          <w:p>
            <w:pPr>
              <w:pStyle w:val="TableParagraph"/>
              <w:spacing w:line="192" w:lineRule="exact"/>
              <w:ind w:left="369" w:right="298"/>
              <w:jc w:val="center"/>
              <w:rPr>
                <w:b/>
                <w:sz w:val="17"/>
              </w:rPr>
            </w:pPr>
            <w:r>
              <w:rPr>
                <w:b/>
                <w:sz w:val="17"/>
              </w:rPr>
              <w:t>185</w:t>
            </w:r>
          </w:p>
        </w:tc>
        <w:tc>
          <w:tcPr>
            <w:tcW w:w="1356" w:type="dxa"/>
            <w:shd w:val="clear" w:color="auto" w:fill="D9D9D9"/>
          </w:tcPr>
          <w:p>
            <w:pPr>
              <w:pStyle w:val="TableParagraph"/>
              <w:spacing w:line="192" w:lineRule="exact"/>
              <w:ind w:left="556" w:right="492"/>
              <w:jc w:val="center"/>
              <w:rPr>
                <w:b/>
                <w:sz w:val="17"/>
              </w:rPr>
            </w:pPr>
            <w:r>
              <w:rPr>
                <w:b/>
                <w:sz w:val="17"/>
              </w:rPr>
              <w:t>84</w:t>
            </w:r>
          </w:p>
        </w:tc>
        <w:tc>
          <w:tcPr>
            <w:tcW w:w="1167" w:type="dxa"/>
            <w:shd w:val="clear" w:color="auto" w:fill="D9D9D9"/>
          </w:tcPr>
          <w:p>
            <w:pPr>
              <w:pStyle w:val="TableParagraph"/>
              <w:spacing w:line="192" w:lineRule="exact"/>
              <w:ind w:left="497" w:right="431"/>
              <w:jc w:val="center"/>
              <w:rPr>
                <w:b/>
                <w:sz w:val="17"/>
              </w:rPr>
            </w:pPr>
            <w:r>
              <w:rPr>
                <w:b/>
                <w:sz w:val="17"/>
              </w:rPr>
              <w:t>12</w:t>
            </w:r>
          </w:p>
        </w:tc>
        <w:tc>
          <w:tcPr>
            <w:tcW w:w="1166" w:type="dxa"/>
            <w:shd w:val="clear" w:color="auto" w:fill="D9D9D9"/>
          </w:tcPr>
          <w:p>
            <w:pPr>
              <w:pStyle w:val="TableParagraph"/>
              <w:spacing w:line="192" w:lineRule="exact"/>
              <w:ind w:right="449"/>
              <w:jc w:val="right"/>
              <w:rPr>
                <w:b/>
                <w:sz w:val="17"/>
              </w:rPr>
            </w:pPr>
            <w:r>
              <w:rPr>
                <w:b/>
                <w:sz w:val="17"/>
              </w:rPr>
              <w:t>52</w:t>
            </w:r>
          </w:p>
        </w:tc>
        <w:tc>
          <w:tcPr>
            <w:tcW w:w="1167" w:type="dxa"/>
            <w:shd w:val="clear" w:color="auto" w:fill="D9D9D9"/>
          </w:tcPr>
          <w:p>
            <w:pPr>
              <w:pStyle w:val="TableParagraph"/>
              <w:spacing w:line="192" w:lineRule="exact"/>
              <w:ind w:left="70"/>
              <w:jc w:val="center"/>
              <w:rPr>
                <w:b/>
                <w:sz w:val="17"/>
              </w:rPr>
            </w:pPr>
            <w:r>
              <w:rPr>
                <w:b/>
                <w:w w:val="100"/>
                <w:sz w:val="17"/>
              </w:rPr>
              <w:t>4</w:t>
            </w:r>
          </w:p>
        </w:tc>
        <w:tc>
          <w:tcPr>
            <w:tcW w:w="1169" w:type="dxa"/>
            <w:shd w:val="clear" w:color="auto" w:fill="D9D9D9"/>
          </w:tcPr>
          <w:p>
            <w:pPr>
              <w:pStyle w:val="TableParagraph"/>
              <w:spacing w:line="192" w:lineRule="exact"/>
              <w:ind w:left="497" w:right="433"/>
              <w:jc w:val="center"/>
              <w:rPr>
                <w:b/>
                <w:sz w:val="17"/>
              </w:rPr>
            </w:pPr>
            <w:r>
              <w:rPr>
                <w:b/>
                <w:sz w:val="17"/>
              </w:rPr>
              <w:t>33</w:t>
            </w:r>
          </w:p>
        </w:tc>
      </w:tr>
      <w:tr>
        <w:trPr>
          <w:trHeight w:val="235" w:hRule="exact"/>
        </w:trPr>
        <w:tc>
          <w:tcPr>
            <w:tcW w:w="1589" w:type="dxa"/>
            <w:tcBorders>
              <w:left w:val="single" w:sz="2" w:space="0" w:color="000000"/>
              <w:bottom w:val="single" w:sz="2" w:space="0" w:color="000000"/>
            </w:tcBorders>
            <w:shd w:val="clear" w:color="auto" w:fill="D9D9D9"/>
          </w:tcPr>
          <w:p>
            <w:pPr>
              <w:pStyle w:val="TableParagraph"/>
              <w:spacing w:line="192" w:lineRule="exact"/>
              <w:ind w:right="103"/>
              <w:jc w:val="right"/>
              <w:rPr>
                <w:b/>
                <w:sz w:val="17"/>
              </w:rPr>
            </w:pPr>
            <w:r>
              <w:rPr>
                <w:b/>
                <w:sz w:val="17"/>
              </w:rPr>
              <w:t>Porcentaje</w:t>
            </w:r>
          </w:p>
        </w:tc>
        <w:tc>
          <w:tcPr>
            <w:tcW w:w="1001" w:type="dxa"/>
            <w:shd w:val="clear" w:color="auto" w:fill="D9D9D9"/>
          </w:tcPr>
          <w:p>
            <w:pPr>
              <w:pStyle w:val="TableParagraph"/>
              <w:spacing w:line="192" w:lineRule="exact"/>
              <w:ind w:left="369" w:right="298"/>
              <w:jc w:val="center"/>
              <w:rPr>
                <w:b/>
                <w:sz w:val="17"/>
              </w:rPr>
            </w:pPr>
            <w:r>
              <w:rPr>
                <w:b/>
                <w:sz w:val="17"/>
              </w:rPr>
              <w:t>100</w:t>
            </w:r>
          </w:p>
        </w:tc>
        <w:tc>
          <w:tcPr>
            <w:tcW w:w="1356" w:type="dxa"/>
            <w:shd w:val="clear" w:color="auto" w:fill="D9D9D9"/>
          </w:tcPr>
          <w:p>
            <w:pPr>
              <w:pStyle w:val="TableParagraph"/>
              <w:spacing w:line="192" w:lineRule="exact"/>
              <w:ind w:left="556" w:right="492"/>
              <w:jc w:val="center"/>
              <w:rPr>
                <w:b/>
                <w:sz w:val="17"/>
              </w:rPr>
            </w:pPr>
            <w:r>
              <w:rPr>
                <w:b/>
                <w:sz w:val="17"/>
              </w:rPr>
              <w:t>45</w:t>
            </w:r>
          </w:p>
        </w:tc>
        <w:tc>
          <w:tcPr>
            <w:tcW w:w="1167" w:type="dxa"/>
            <w:shd w:val="clear" w:color="auto" w:fill="D9D9D9"/>
          </w:tcPr>
          <w:p>
            <w:pPr>
              <w:pStyle w:val="TableParagraph"/>
              <w:spacing w:line="192" w:lineRule="exact"/>
              <w:ind w:left="70"/>
              <w:jc w:val="center"/>
              <w:rPr>
                <w:b/>
                <w:sz w:val="17"/>
              </w:rPr>
            </w:pPr>
            <w:r>
              <w:rPr>
                <w:b/>
                <w:w w:val="100"/>
                <w:sz w:val="17"/>
              </w:rPr>
              <w:t>7</w:t>
            </w:r>
          </w:p>
        </w:tc>
        <w:tc>
          <w:tcPr>
            <w:tcW w:w="1166" w:type="dxa"/>
            <w:shd w:val="clear" w:color="auto" w:fill="D9D9D9"/>
          </w:tcPr>
          <w:p>
            <w:pPr>
              <w:pStyle w:val="TableParagraph"/>
              <w:spacing w:line="192" w:lineRule="exact"/>
              <w:ind w:right="449"/>
              <w:jc w:val="right"/>
              <w:rPr>
                <w:b/>
                <w:sz w:val="17"/>
              </w:rPr>
            </w:pPr>
            <w:r>
              <w:rPr>
                <w:b/>
                <w:sz w:val="17"/>
              </w:rPr>
              <w:t>28</w:t>
            </w:r>
          </w:p>
        </w:tc>
        <w:tc>
          <w:tcPr>
            <w:tcW w:w="1167" w:type="dxa"/>
            <w:shd w:val="clear" w:color="auto" w:fill="D9D9D9"/>
          </w:tcPr>
          <w:p>
            <w:pPr>
              <w:pStyle w:val="TableParagraph"/>
              <w:spacing w:line="192" w:lineRule="exact"/>
              <w:ind w:left="70"/>
              <w:jc w:val="center"/>
              <w:rPr>
                <w:b/>
                <w:sz w:val="17"/>
              </w:rPr>
            </w:pPr>
            <w:r>
              <w:rPr>
                <w:b/>
                <w:w w:val="100"/>
                <w:sz w:val="17"/>
              </w:rPr>
              <w:t>2</w:t>
            </w:r>
          </w:p>
        </w:tc>
        <w:tc>
          <w:tcPr>
            <w:tcW w:w="1169" w:type="dxa"/>
            <w:shd w:val="clear" w:color="auto" w:fill="D9D9D9"/>
          </w:tcPr>
          <w:p>
            <w:pPr>
              <w:pStyle w:val="TableParagraph"/>
              <w:spacing w:line="192" w:lineRule="exact"/>
              <w:ind w:left="497" w:right="433"/>
              <w:jc w:val="center"/>
              <w:rPr>
                <w:b/>
                <w:sz w:val="17"/>
              </w:rPr>
            </w:pPr>
            <w:r>
              <w:rPr>
                <w:b/>
                <w:sz w:val="17"/>
              </w:rPr>
              <w:t>18</w:t>
            </w:r>
          </w:p>
        </w:tc>
      </w:tr>
    </w:tbl>
    <w:p>
      <w:pPr>
        <w:pStyle w:val="BodyText"/>
        <w:spacing w:before="4"/>
        <w:rPr>
          <w:sz w:val="14"/>
        </w:rPr>
      </w:pPr>
    </w:p>
    <w:p>
      <w:pPr>
        <w:spacing w:before="85"/>
        <w:ind w:left="890" w:right="404" w:firstLine="0"/>
        <w:jc w:val="left"/>
        <w:rPr>
          <w:sz w:val="12"/>
        </w:rPr>
      </w:pPr>
      <w:r>
        <w:rPr>
          <w:sz w:val="12"/>
        </w:rPr>
        <w:t>FUENTE:   Ackerman (2006: 26).</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8"/>
        <w:rPr>
          <w:sz w:val="12"/>
        </w:rPr>
      </w:pPr>
    </w:p>
    <w:p>
      <w:pPr>
        <w:pStyle w:val="Heading3"/>
        <w:numPr>
          <w:ilvl w:val="2"/>
          <w:numId w:val="62"/>
        </w:numPr>
        <w:tabs>
          <w:tab w:pos="784" w:val="left" w:leader="none"/>
        </w:tabs>
        <w:spacing w:line="360" w:lineRule="auto" w:before="0" w:after="0"/>
        <w:ind w:left="182" w:right="1210" w:firstLine="0"/>
        <w:jc w:val="left"/>
      </w:pPr>
      <w:bookmarkStart w:name="_bookmark64" w:id="85"/>
      <w:bookmarkEnd w:id="85"/>
      <w:r>
        <w:rPr>
          <w:b w:val="0"/>
        </w:rPr>
      </w:r>
      <w:bookmarkStart w:name="_bookmark64" w:id="86"/>
      <w:bookmarkEnd w:id="86"/>
      <w:r>
        <w:rPr/>
        <w:t>La</w:t>
      </w:r>
      <w:r>
        <w:rPr/>
        <w:t> Organización Internacional de Entidades de</w:t>
      </w:r>
      <w:r>
        <w:rPr>
          <w:spacing w:val="-19"/>
        </w:rPr>
        <w:t> </w:t>
      </w:r>
      <w:r>
        <w:rPr/>
        <w:t>Fiscalización Superior</w:t>
      </w:r>
    </w:p>
    <w:p>
      <w:pPr>
        <w:pStyle w:val="BodyText"/>
        <w:rPr>
          <w:b/>
        </w:rPr>
      </w:pPr>
    </w:p>
    <w:p>
      <w:pPr>
        <w:pStyle w:val="BodyText"/>
        <w:spacing w:line="357" w:lineRule="auto" w:before="142"/>
        <w:ind w:left="182" w:right="197"/>
        <w:jc w:val="both"/>
      </w:pPr>
      <w:r>
        <w:rPr/>
        <w:t>Las instituciones fiscalizadoras superiores del mundo básicamente tienen la misma finalidad</w:t>
      </w:r>
      <w:r>
        <w:rPr>
          <w:position w:val="8"/>
          <w:sz w:val="16"/>
        </w:rPr>
        <w:t>88</w:t>
      </w:r>
      <w:r>
        <w:rPr/>
        <w:t>y varias se han agrupado en la INTOSAI, organización que integra a 185 países; siendo la mayor parte de éstos son miembros de la ONU.</w:t>
      </w:r>
    </w:p>
    <w:p>
      <w:pPr>
        <w:pStyle w:val="BodyText"/>
        <w:spacing w:line="360" w:lineRule="auto" w:before="5"/>
        <w:ind w:left="182" w:right="198" w:firstLine="707"/>
        <w:jc w:val="both"/>
      </w:pPr>
      <w:r>
        <w:rPr/>
        <w:t>La INTOSAI es un organismo autónomo, independiente y se considera a sí mismo como apolítico, clasificado como una organización no gubernamental con un estatus especial en el Consejo Económico y Social de las Naciones Unidas.</w:t>
      </w:r>
      <w:r>
        <w:rPr>
          <w:position w:val="8"/>
          <w:sz w:val="16"/>
        </w:rPr>
        <w:t>89</w:t>
      </w:r>
      <w:r>
        <w:rPr/>
        <w:t>La organización fue creada en 1953 en la Habana Cuba por acuerdo de 34 estados participantes en el </w:t>
      </w:r>
      <w:r>
        <w:rPr>
          <w:i/>
        </w:rPr>
        <w:t>Primer Congreso Internacional de Entidades </w:t>
      </w:r>
      <w:r>
        <w:rPr>
          <w:i/>
        </w:rPr>
        <w:t>Fiscalizadoras Superiores</w:t>
      </w:r>
      <w:r>
        <w:rPr/>
        <w:t>.</w:t>
      </w:r>
    </w:p>
    <w:p>
      <w:pPr>
        <w:pStyle w:val="BodyText"/>
        <w:spacing w:line="360" w:lineRule="auto" w:before="5"/>
        <w:ind w:left="182" w:right="196" w:firstLine="707"/>
        <w:jc w:val="both"/>
      </w:pPr>
      <w:r>
        <w:rPr/>
        <w:t>El objetivo de la organización es el intercambio de experiencias, difundir técnicas, examinar problemas metodológicos, técnicos, administrativos, financieros</w:t>
      </w:r>
      <w:r>
        <w:rPr>
          <w:spacing w:val="-12"/>
        </w:rPr>
        <w:t> </w:t>
      </w:r>
      <w:r>
        <w:rPr/>
        <w:t>y</w:t>
      </w:r>
      <w:r>
        <w:rPr>
          <w:spacing w:val="-13"/>
        </w:rPr>
        <w:t> </w:t>
      </w:r>
      <w:r>
        <w:rPr/>
        <w:t>de</w:t>
      </w:r>
      <w:r>
        <w:rPr>
          <w:spacing w:val="-11"/>
        </w:rPr>
        <w:t> </w:t>
      </w:r>
      <w:r>
        <w:rPr/>
        <w:t>desempeño</w:t>
      </w:r>
      <w:r>
        <w:rPr>
          <w:spacing w:val="-11"/>
        </w:rPr>
        <w:t> </w:t>
      </w:r>
      <w:r>
        <w:rPr/>
        <w:t>y</w:t>
      </w:r>
      <w:r>
        <w:rPr>
          <w:spacing w:val="-13"/>
        </w:rPr>
        <w:t> </w:t>
      </w:r>
      <w:r>
        <w:rPr/>
        <w:t>el</w:t>
      </w:r>
      <w:r>
        <w:rPr>
          <w:spacing w:val="-12"/>
        </w:rPr>
        <w:t> </w:t>
      </w:r>
      <w:r>
        <w:rPr/>
        <w:t>apoyo</w:t>
      </w:r>
      <w:r>
        <w:rPr>
          <w:spacing w:val="-11"/>
        </w:rPr>
        <w:t> </w:t>
      </w:r>
      <w:r>
        <w:rPr/>
        <w:t>mutuo</w:t>
      </w:r>
      <w:r>
        <w:rPr>
          <w:spacing w:val="-12"/>
        </w:rPr>
        <w:t> </w:t>
      </w:r>
      <w:r>
        <w:rPr/>
        <w:t>entre</w:t>
      </w:r>
      <w:r>
        <w:rPr>
          <w:spacing w:val="-11"/>
        </w:rPr>
        <w:t> </w:t>
      </w:r>
      <w:r>
        <w:rPr/>
        <w:t>los</w:t>
      </w:r>
      <w:r>
        <w:rPr>
          <w:spacing w:val="-12"/>
        </w:rPr>
        <w:t> </w:t>
      </w:r>
      <w:r>
        <w:rPr/>
        <w:t>miembros</w:t>
      </w:r>
      <w:r>
        <w:rPr>
          <w:spacing w:val="-12"/>
        </w:rPr>
        <w:t> </w:t>
      </w:r>
      <w:r>
        <w:rPr/>
        <w:t>de</w:t>
      </w:r>
      <w:r>
        <w:rPr>
          <w:spacing w:val="-11"/>
        </w:rPr>
        <w:t> </w:t>
      </w:r>
      <w:r>
        <w:rPr/>
        <w:t>la</w:t>
      </w:r>
      <w:r>
        <w:rPr>
          <w:spacing w:val="-11"/>
        </w:rPr>
        <w:t> </w:t>
      </w:r>
      <w:r>
        <w:rPr/>
        <w:t>INTOSAI para</w:t>
      </w:r>
      <w:r>
        <w:rPr>
          <w:spacing w:val="-11"/>
        </w:rPr>
        <w:t> </w:t>
      </w:r>
      <w:r>
        <w:rPr/>
        <w:t>que</w:t>
      </w:r>
      <w:r>
        <w:rPr>
          <w:spacing w:val="-11"/>
        </w:rPr>
        <w:t> </w:t>
      </w:r>
      <w:r>
        <w:rPr/>
        <w:t>la</w:t>
      </w:r>
      <w:r>
        <w:rPr>
          <w:spacing w:val="-13"/>
        </w:rPr>
        <w:t> </w:t>
      </w:r>
      <w:r>
        <w:rPr/>
        <w:t>fiscalización</w:t>
      </w:r>
      <w:r>
        <w:rPr>
          <w:spacing w:val="-10"/>
        </w:rPr>
        <w:t> </w:t>
      </w:r>
      <w:r>
        <w:rPr/>
        <w:t>pública</w:t>
      </w:r>
      <w:r>
        <w:rPr>
          <w:spacing w:val="-11"/>
        </w:rPr>
        <w:t> </w:t>
      </w:r>
      <w:r>
        <w:rPr/>
        <w:t>se</w:t>
      </w:r>
      <w:r>
        <w:rPr>
          <w:spacing w:val="-13"/>
        </w:rPr>
        <w:t> </w:t>
      </w:r>
      <w:r>
        <w:rPr/>
        <w:t>fortalezca.</w:t>
      </w:r>
      <w:r>
        <w:rPr>
          <w:spacing w:val="-13"/>
        </w:rPr>
        <w:t> </w:t>
      </w:r>
      <w:r>
        <w:rPr/>
        <w:t>La</w:t>
      </w:r>
      <w:r>
        <w:rPr>
          <w:spacing w:val="-11"/>
        </w:rPr>
        <w:t> </w:t>
      </w:r>
      <w:r>
        <w:rPr/>
        <w:t>INTOSAI</w:t>
      </w:r>
      <w:r>
        <w:rPr>
          <w:spacing w:val="-13"/>
        </w:rPr>
        <w:t> </w:t>
      </w:r>
      <w:r>
        <w:rPr/>
        <w:t>desarrolla</w:t>
      </w:r>
      <w:r>
        <w:rPr>
          <w:spacing w:val="-13"/>
        </w:rPr>
        <w:t> </w:t>
      </w:r>
      <w:r>
        <w:rPr/>
        <w:t>directrices, normas, métodos de auditoría y fomenta el intercambio de información entre los países</w:t>
      </w:r>
      <w:r>
        <w:rPr>
          <w:spacing w:val="-7"/>
        </w:rPr>
        <w:t> </w:t>
      </w:r>
      <w:r>
        <w:rPr/>
        <w:t>miembros.</w:t>
      </w:r>
    </w:p>
    <w:p>
      <w:pPr>
        <w:pStyle w:val="BodyText"/>
        <w:spacing w:line="360" w:lineRule="auto" w:before="5"/>
        <w:ind w:left="182" w:right="204" w:firstLine="707"/>
        <w:jc w:val="both"/>
      </w:pPr>
      <w:r>
        <w:rPr/>
        <w:t>La INTOSAI es el organismo pionero en el marco de la fiscalización del sector  público,  por  lo  cual  esta  institución  difunde  normas  internacionales,</w:t>
      </w:r>
    </w:p>
    <w:p>
      <w:pPr>
        <w:pStyle w:val="BodyText"/>
        <w:rPr>
          <w:sz w:val="20"/>
        </w:rPr>
      </w:pPr>
    </w:p>
    <w:p>
      <w:pPr>
        <w:pStyle w:val="BodyText"/>
        <w:spacing w:before="6"/>
        <w:rPr>
          <w:sz w:val="10"/>
        </w:rPr>
      </w:pPr>
      <w:r>
        <w:rPr/>
        <w:pict>
          <v:line style="position:absolute;mso-position-horizontal-relative:page;mso-position-vertical-relative:paragraph;z-index:8272;mso-wrap-distance-left:0;mso-wrap-distance-right:0" from="85.103996pt,8.414873pt" to="229.123996pt,8.414873pt" stroked="true" strokeweight=".72003pt" strokecolor="#000000">
            <w10:wrap type="topAndBottom"/>
          </v:line>
        </w:pict>
      </w:r>
    </w:p>
    <w:p>
      <w:pPr>
        <w:spacing w:line="247" w:lineRule="auto" w:before="60"/>
        <w:ind w:left="182" w:right="199" w:firstLine="0"/>
        <w:jc w:val="both"/>
        <w:rPr>
          <w:sz w:val="16"/>
        </w:rPr>
      </w:pPr>
      <w:r>
        <w:rPr>
          <w:rFonts w:ascii="Times New Roman" w:hAnsi="Times New Roman"/>
          <w:position w:val="7"/>
          <w:sz w:val="13"/>
        </w:rPr>
        <w:t>88</w:t>
      </w:r>
      <w:r>
        <w:rPr>
          <w:sz w:val="16"/>
        </w:rPr>
        <w:t>De acuerdo con la INTOSAI, IX Congreso, (1977), Declaración de Lima sobre las Líneas Básicas de la Fiscalización, los objetivos específicos de la fiscalización son: </w:t>
      </w:r>
      <w:r>
        <w:rPr>
          <w:i/>
          <w:sz w:val="16"/>
        </w:rPr>
        <w:t>la apropiada y eficaz utilización de los fondos públicos, la búsqueda de </w:t>
      </w:r>
      <w:r>
        <w:rPr>
          <w:i/>
          <w:sz w:val="16"/>
        </w:rPr>
        <w:t>una gestión rigurosa, la regularidad de la acción administrativa y la información, tanto a los poderes públicos como al país, mediante la publicación de informes objetivos</w:t>
      </w:r>
      <w:r>
        <w:rPr>
          <w:sz w:val="16"/>
        </w:rPr>
        <w:t>.</w:t>
      </w:r>
    </w:p>
    <w:p>
      <w:pPr>
        <w:spacing w:line="177" w:lineRule="exact" w:before="0"/>
        <w:ind w:left="182" w:right="0" w:firstLine="0"/>
        <w:jc w:val="both"/>
        <w:rPr>
          <w:sz w:val="16"/>
        </w:rPr>
      </w:pPr>
      <w:r>
        <w:rPr>
          <w:sz w:val="16"/>
        </w:rPr>
        <w:t>IX Congreso de, Declaración de Lima sobre las Líneas Básicas de la Fiscalización, artículo 1º.</w:t>
      </w:r>
    </w:p>
    <w:p>
      <w:pPr>
        <w:spacing w:line="181" w:lineRule="exact" w:before="1"/>
        <w:ind w:left="182" w:right="0" w:firstLine="0"/>
        <w:jc w:val="both"/>
        <w:rPr>
          <w:sz w:val="16"/>
        </w:rPr>
      </w:pPr>
      <w:r>
        <w:rPr>
          <w:sz w:val="16"/>
        </w:rPr>
        <w:t>Disponible en: </w:t>
      </w:r>
      <w:hyperlink r:id="rId170">
        <w:r>
          <w:rPr>
            <w:color w:val="0000FF"/>
            <w:sz w:val="16"/>
            <w:u w:val="single" w:color="0000FF"/>
          </w:rPr>
          <w:t>http://biblio.juridicas.unam.mx/libros/4/1611/15.pdf </w:t>
        </w:r>
      </w:hyperlink>
      <w:r>
        <w:rPr>
          <w:sz w:val="16"/>
        </w:rPr>
        <w:t>[Fecha de consulta: 22 de septiembre, 2015]</w:t>
      </w:r>
    </w:p>
    <w:p>
      <w:pPr>
        <w:spacing w:line="222" w:lineRule="exact" w:before="0"/>
        <w:ind w:left="182" w:right="0" w:firstLine="0"/>
        <w:jc w:val="both"/>
        <w:rPr>
          <w:sz w:val="16"/>
        </w:rPr>
      </w:pPr>
      <w:r>
        <w:rPr>
          <w:rFonts w:ascii="Times New Roman"/>
          <w:position w:val="7"/>
          <w:sz w:val="13"/>
        </w:rPr>
        <w:t>89</w:t>
      </w:r>
      <w:r>
        <w:rPr>
          <w:i/>
          <w:sz w:val="16"/>
        </w:rPr>
        <w:t>United Nations, Economic and Social Council</w:t>
      </w:r>
      <w:r>
        <w:rPr>
          <w:sz w:val="16"/>
        </w:rPr>
        <w:t>.</w:t>
      </w:r>
    </w:p>
    <w:p>
      <w:pPr>
        <w:spacing w:after="0" w:line="222" w:lineRule="exact"/>
        <w:jc w:val="both"/>
        <w:rPr>
          <w:sz w:val="16"/>
        </w:rPr>
        <w:sectPr>
          <w:footerReference w:type="even" r:id="rId168"/>
          <w:footerReference w:type="default" r:id="rId169"/>
          <w:pgSz w:w="11910" w:h="16840"/>
          <w:pgMar w:footer="1003" w:header="0" w:top="1340" w:bottom="1200" w:left="1520" w:right="1500"/>
        </w:sectPr>
      </w:pPr>
    </w:p>
    <w:p>
      <w:pPr>
        <w:pStyle w:val="BodyText"/>
        <w:spacing w:line="360" w:lineRule="auto" w:before="55"/>
        <w:ind w:left="122" w:right="123"/>
        <w:jc w:val="both"/>
        <w:rPr>
          <w:sz w:val="16"/>
        </w:rPr>
      </w:pPr>
      <w:r>
        <w:rPr/>
        <w:t>desarrolla técnicas y metodologías afines, promueve el intercambio de información y proporciona cursos de capacitación entre sus miembros; por tal motivo</w:t>
      </w:r>
      <w:r>
        <w:rPr>
          <w:spacing w:val="-14"/>
        </w:rPr>
        <w:t> </w:t>
      </w:r>
      <w:r>
        <w:rPr/>
        <w:t>se</w:t>
      </w:r>
      <w:r>
        <w:rPr>
          <w:spacing w:val="-14"/>
        </w:rPr>
        <w:t> </w:t>
      </w:r>
      <w:r>
        <w:rPr/>
        <w:t>organiza</w:t>
      </w:r>
      <w:r>
        <w:rPr>
          <w:spacing w:val="-14"/>
        </w:rPr>
        <w:t> </w:t>
      </w:r>
      <w:r>
        <w:rPr/>
        <w:t>regionalmente</w:t>
      </w:r>
      <w:r>
        <w:rPr>
          <w:spacing w:val="-14"/>
        </w:rPr>
        <w:t> </w:t>
      </w:r>
      <w:r>
        <w:rPr/>
        <w:t>para</w:t>
      </w:r>
      <w:r>
        <w:rPr>
          <w:spacing w:val="-15"/>
        </w:rPr>
        <w:t> </w:t>
      </w:r>
      <w:r>
        <w:rPr/>
        <w:t>enfocar</w:t>
      </w:r>
      <w:r>
        <w:rPr>
          <w:spacing w:val="-16"/>
        </w:rPr>
        <w:t> </w:t>
      </w:r>
      <w:r>
        <w:rPr/>
        <w:t>el</w:t>
      </w:r>
      <w:r>
        <w:rPr>
          <w:spacing w:val="-15"/>
        </w:rPr>
        <w:t> </w:t>
      </w:r>
      <w:r>
        <w:rPr/>
        <w:t>trabajo</w:t>
      </w:r>
      <w:r>
        <w:rPr>
          <w:spacing w:val="-14"/>
        </w:rPr>
        <w:t> </w:t>
      </w:r>
      <w:r>
        <w:rPr/>
        <w:t>y</w:t>
      </w:r>
      <w:r>
        <w:rPr>
          <w:spacing w:val="-17"/>
        </w:rPr>
        <w:t> </w:t>
      </w:r>
      <w:r>
        <w:rPr/>
        <w:t>consolidar</w:t>
      </w:r>
      <w:r>
        <w:rPr>
          <w:spacing w:val="-16"/>
        </w:rPr>
        <w:t> </w:t>
      </w:r>
      <w:r>
        <w:rPr/>
        <w:t>de</w:t>
      </w:r>
      <w:r>
        <w:rPr>
          <w:spacing w:val="-17"/>
        </w:rPr>
        <w:t> </w:t>
      </w:r>
      <w:r>
        <w:rPr/>
        <w:t>manera adecuada la atención de sus</w:t>
      </w:r>
      <w:r>
        <w:rPr>
          <w:spacing w:val="-13"/>
        </w:rPr>
        <w:t> </w:t>
      </w:r>
      <w:r>
        <w:rPr/>
        <w:t>objetivos.</w:t>
      </w:r>
      <w:r>
        <w:rPr>
          <w:position w:val="8"/>
          <w:sz w:val="16"/>
        </w:rPr>
        <w:t>90</w:t>
      </w:r>
    </w:p>
    <w:p>
      <w:pPr>
        <w:pStyle w:val="BodyText"/>
        <w:spacing w:line="360" w:lineRule="auto"/>
        <w:ind w:left="122" w:right="118" w:firstLine="707"/>
        <w:jc w:val="both"/>
        <w:rPr>
          <w:sz w:val="16"/>
        </w:rPr>
      </w:pPr>
      <w:r>
        <w:rPr/>
        <w:t>En seguimiento de los mandatos de cada congreso, el Comité Directivo de la organización se reúne anualmente en el Órgano de Dirección de la INTOSAI,</w:t>
      </w:r>
      <w:r>
        <w:rPr>
          <w:spacing w:val="-7"/>
        </w:rPr>
        <w:t> </w:t>
      </w:r>
      <w:r>
        <w:rPr/>
        <w:t>alternando</w:t>
      </w:r>
      <w:r>
        <w:rPr>
          <w:spacing w:val="-7"/>
        </w:rPr>
        <w:t> </w:t>
      </w:r>
      <w:r>
        <w:rPr/>
        <w:t>las</w:t>
      </w:r>
      <w:r>
        <w:rPr>
          <w:spacing w:val="-5"/>
        </w:rPr>
        <w:t> </w:t>
      </w:r>
      <w:r>
        <w:rPr/>
        <w:t>sedes</w:t>
      </w:r>
      <w:r>
        <w:rPr>
          <w:spacing w:val="-8"/>
        </w:rPr>
        <w:t> </w:t>
      </w:r>
      <w:r>
        <w:rPr/>
        <w:t>de</w:t>
      </w:r>
      <w:r>
        <w:rPr>
          <w:spacing w:val="-7"/>
        </w:rPr>
        <w:t> </w:t>
      </w:r>
      <w:r>
        <w:rPr/>
        <w:t>dichas</w:t>
      </w:r>
      <w:r>
        <w:rPr>
          <w:spacing w:val="-8"/>
        </w:rPr>
        <w:t> </w:t>
      </w:r>
      <w:r>
        <w:rPr/>
        <w:t>reuniones</w:t>
      </w:r>
      <w:r>
        <w:rPr>
          <w:spacing w:val="-8"/>
        </w:rPr>
        <w:t> </w:t>
      </w:r>
      <w:r>
        <w:rPr/>
        <w:t>entre</w:t>
      </w:r>
      <w:r>
        <w:rPr>
          <w:spacing w:val="-7"/>
        </w:rPr>
        <w:t> </w:t>
      </w:r>
      <w:r>
        <w:rPr/>
        <w:t>Viena,</w:t>
      </w:r>
      <w:r>
        <w:rPr>
          <w:spacing w:val="-7"/>
        </w:rPr>
        <w:t> </w:t>
      </w:r>
      <w:r>
        <w:rPr/>
        <w:t>Austria,</w:t>
      </w:r>
      <w:r>
        <w:rPr>
          <w:spacing w:val="-5"/>
        </w:rPr>
        <w:t> </w:t>
      </w:r>
      <w:r>
        <w:rPr/>
        <w:t>ciudad de</w:t>
      </w:r>
      <w:r>
        <w:rPr>
          <w:spacing w:val="-6"/>
        </w:rPr>
        <w:t> </w:t>
      </w:r>
      <w:r>
        <w:rPr/>
        <w:t>residencia</w:t>
      </w:r>
      <w:r>
        <w:rPr>
          <w:spacing w:val="-9"/>
        </w:rPr>
        <w:t> </w:t>
      </w:r>
      <w:r>
        <w:rPr/>
        <w:t>de</w:t>
      </w:r>
      <w:r>
        <w:rPr>
          <w:spacing w:val="-6"/>
        </w:rPr>
        <w:t> </w:t>
      </w:r>
      <w:r>
        <w:rPr/>
        <w:t>la</w:t>
      </w:r>
      <w:r>
        <w:rPr>
          <w:spacing w:val="-9"/>
        </w:rPr>
        <w:t> </w:t>
      </w:r>
      <w:r>
        <w:rPr/>
        <w:t>Secretaría</w:t>
      </w:r>
      <w:r>
        <w:rPr>
          <w:spacing w:val="-6"/>
        </w:rPr>
        <w:t> </w:t>
      </w:r>
      <w:r>
        <w:rPr/>
        <w:t>General,</w:t>
      </w:r>
      <w:r>
        <w:rPr>
          <w:spacing w:val="-7"/>
        </w:rPr>
        <w:t> </w:t>
      </w:r>
      <w:r>
        <w:rPr/>
        <w:t>y</w:t>
      </w:r>
      <w:r>
        <w:rPr>
          <w:spacing w:val="-9"/>
        </w:rPr>
        <w:t> </w:t>
      </w:r>
      <w:r>
        <w:rPr/>
        <w:t>la</w:t>
      </w:r>
      <w:r>
        <w:rPr>
          <w:spacing w:val="-6"/>
        </w:rPr>
        <w:t> </w:t>
      </w:r>
      <w:r>
        <w:rPr/>
        <w:t>sede</w:t>
      </w:r>
      <w:r>
        <w:rPr>
          <w:spacing w:val="-8"/>
        </w:rPr>
        <w:t> </w:t>
      </w:r>
      <w:r>
        <w:rPr/>
        <w:t>designada</w:t>
      </w:r>
      <w:r>
        <w:rPr>
          <w:spacing w:val="-6"/>
        </w:rPr>
        <w:t> </w:t>
      </w:r>
      <w:r>
        <w:rPr/>
        <w:t>para</w:t>
      </w:r>
      <w:r>
        <w:rPr>
          <w:spacing w:val="-7"/>
        </w:rPr>
        <w:t> </w:t>
      </w:r>
      <w:r>
        <w:rPr/>
        <w:t>el</w:t>
      </w:r>
      <w:r>
        <w:rPr>
          <w:spacing w:val="-10"/>
        </w:rPr>
        <w:t> </w:t>
      </w:r>
      <w:r>
        <w:rPr/>
        <w:t>congreso</w:t>
      </w:r>
      <w:r>
        <w:rPr>
          <w:spacing w:val="-8"/>
        </w:rPr>
        <w:t> </w:t>
      </w:r>
      <w:r>
        <w:rPr/>
        <w:t>de la</w:t>
      </w:r>
      <w:r>
        <w:rPr>
          <w:spacing w:val="-8"/>
        </w:rPr>
        <w:t> </w:t>
      </w:r>
      <w:r>
        <w:rPr/>
        <w:t>organización.</w:t>
      </w:r>
      <w:r>
        <w:rPr>
          <w:position w:val="8"/>
          <w:sz w:val="16"/>
        </w:rPr>
        <w:t>91</w:t>
      </w:r>
    </w:p>
    <w:p>
      <w:pPr>
        <w:pStyle w:val="BodyText"/>
        <w:spacing w:line="360" w:lineRule="auto" w:before="2"/>
        <w:ind w:left="122" w:right="123" w:firstLine="707"/>
        <w:jc w:val="both"/>
      </w:pPr>
      <w:r>
        <w:rPr/>
        <w:t>Una forma de facilitar la cooperación internacional, profesional y técnica, es la integración regional de las Entidades de Fiscalización Superior miembros de la INTOSAI, mediante la conformación de siete grupos regionales de</w:t>
      </w:r>
      <w:r>
        <w:rPr>
          <w:spacing w:val="-37"/>
        </w:rPr>
        <w:t> </w:t>
      </w:r>
      <w:r>
        <w:rPr/>
        <w:t>trabajo, los cuales centran su atención en asuntos de fiscalización propios de cada región. La organización integra en el mundo a todos los tribunales de cuentas, cámaras de cuentas, contralorías generales y auditorías generales y superiores de los 185 países en las siguientes</w:t>
      </w:r>
      <w:r>
        <w:rPr>
          <w:spacing w:val="-18"/>
        </w:rPr>
        <w:t> </w:t>
      </w:r>
      <w:r>
        <w:rPr/>
        <w:t>organizaciones:</w:t>
      </w:r>
    </w:p>
    <w:p>
      <w:pPr>
        <w:pStyle w:val="BodyText"/>
      </w:pPr>
    </w:p>
    <w:p>
      <w:pPr>
        <w:spacing w:before="189"/>
        <w:ind w:left="815" w:right="52" w:firstLine="0"/>
        <w:jc w:val="left"/>
        <w:rPr>
          <w:sz w:val="20"/>
        </w:rPr>
      </w:pPr>
      <w:bookmarkStart w:name="_bookmark65" w:id="87"/>
      <w:bookmarkEnd w:id="87"/>
      <w:r>
        <w:rPr/>
      </w:r>
      <w:r>
        <w:rPr>
          <w:sz w:val="20"/>
        </w:rPr>
        <w:t>Cuadro 3. 7. Organizaciones de rendición de cuentas integrantes de la INTOSAI</w:t>
      </w:r>
    </w:p>
    <w:p>
      <w:pPr>
        <w:pStyle w:val="BodyText"/>
        <w:spacing w:before="4" w:after="1"/>
        <w:rPr>
          <w:sz w:val="17"/>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6"/>
        <w:gridCol w:w="5956"/>
        <w:gridCol w:w="1294"/>
      </w:tblGrid>
      <w:tr>
        <w:trPr>
          <w:trHeight w:val="581" w:hRule="exact"/>
        </w:trPr>
        <w:tc>
          <w:tcPr>
            <w:tcW w:w="1226" w:type="dxa"/>
            <w:tcBorders>
              <w:top w:val="single" w:sz="12" w:space="0" w:color="C0C0C0"/>
              <w:left w:val="single" w:sz="12" w:space="0" w:color="C0C0C0"/>
              <w:bottom w:val="single" w:sz="12" w:space="0" w:color="C0C0C0"/>
              <w:right w:val="single" w:sz="12" w:space="0" w:color="C0C0C0"/>
            </w:tcBorders>
          </w:tcPr>
          <w:p>
            <w:pPr>
              <w:pStyle w:val="TableParagraph"/>
              <w:spacing w:before="6"/>
              <w:rPr>
                <w:sz w:val="15"/>
              </w:rPr>
            </w:pPr>
          </w:p>
          <w:p>
            <w:pPr>
              <w:pStyle w:val="TableParagraph"/>
              <w:ind w:left="362"/>
              <w:rPr>
                <w:b/>
                <w:sz w:val="16"/>
              </w:rPr>
            </w:pPr>
            <w:r>
              <w:rPr>
                <w:b/>
                <w:sz w:val="16"/>
              </w:rPr>
              <w:t>Siglas</w:t>
            </w:r>
          </w:p>
        </w:tc>
        <w:tc>
          <w:tcPr>
            <w:tcW w:w="5956" w:type="dxa"/>
            <w:tcBorders>
              <w:top w:val="single" w:sz="12" w:space="0" w:color="C0C0C0"/>
              <w:left w:val="single" w:sz="12" w:space="0" w:color="C0C0C0"/>
              <w:bottom w:val="single" w:sz="12" w:space="0" w:color="C0C0C0"/>
              <w:right w:val="single" w:sz="12" w:space="0" w:color="C0C0C0"/>
            </w:tcBorders>
          </w:tcPr>
          <w:p>
            <w:pPr>
              <w:pStyle w:val="TableParagraph"/>
              <w:spacing w:before="6"/>
              <w:rPr>
                <w:sz w:val="15"/>
              </w:rPr>
            </w:pPr>
          </w:p>
          <w:p>
            <w:pPr>
              <w:pStyle w:val="TableParagraph"/>
              <w:ind w:left="2641" w:right="2641"/>
              <w:jc w:val="center"/>
              <w:rPr>
                <w:b/>
                <w:sz w:val="16"/>
              </w:rPr>
            </w:pPr>
            <w:r>
              <w:rPr>
                <w:b/>
                <w:sz w:val="16"/>
              </w:rPr>
              <w:t>Nombre</w:t>
            </w:r>
          </w:p>
        </w:tc>
        <w:tc>
          <w:tcPr>
            <w:tcW w:w="1294" w:type="dxa"/>
            <w:tcBorders>
              <w:top w:val="single" w:sz="12" w:space="0" w:color="C0C0C0"/>
              <w:left w:val="single" w:sz="12" w:space="0" w:color="C0C0C0"/>
              <w:bottom w:val="single" w:sz="12" w:space="0" w:color="C0C0C0"/>
              <w:right w:val="single" w:sz="12" w:space="0" w:color="C0C0C0"/>
            </w:tcBorders>
          </w:tcPr>
          <w:p>
            <w:pPr>
              <w:pStyle w:val="TableParagraph"/>
              <w:spacing w:line="278" w:lineRule="auto"/>
              <w:ind w:left="249" w:right="231" w:firstLine="110"/>
              <w:rPr>
                <w:b/>
                <w:sz w:val="16"/>
              </w:rPr>
            </w:pPr>
            <w:r>
              <w:rPr>
                <w:b/>
                <w:sz w:val="16"/>
              </w:rPr>
              <w:t>Año de fundación</w:t>
            </w:r>
          </w:p>
        </w:tc>
      </w:tr>
      <w:tr>
        <w:trPr>
          <w:trHeight w:val="233" w:hRule="exact"/>
        </w:trPr>
        <w:tc>
          <w:tcPr>
            <w:tcW w:w="1226" w:type="dxa"/>
            <w:tcBorders>
              <w:top w:val="single" w:sz="12" w:space="0" w:color="C0C0C0"/>
            </w:tcBorders>
          </w:tcPr>
          <w:p>
            <w:pPr>
              <w:pStyle w:val="TableParagraph"/>
              <w:spacing w:line="183" w:lineRule="exact"/>
              <w:ind w:left="103"/>
              <w:rPr>
                <w:sz w:val="16"/>
              </w:rPr>
            </w:pPr>
            <w:r>
              <w:rPr>
                <w:sz w:val="16"/>
              </w:rPr>
              <w:t>1. AFROSAI</w:t>
            </w:r>
          </w:p>
        </w:tc>
        <w:tc>
          <w:tcPr>
            <w:tcW w:w="5956" w:type="dxa"/>
            <w:tcBorders>
              <w:top w:val="single" w:sz="12" w:space="0" w:color="C0C0C0"/>
            </w:tcBorders>
          </w:tcPr>
          <w:p>
            <w:pPr>
              <w:pStyle w:val="TableParagraph"/>
              <w:spacing w:line="183" w:lineRule="exact"/>
              <w:ind w:left="100"/>
              <w:rPr>
                <w:sz w:val="16"/>
              </w:rPr>
            </w:pPr>
            <w:r>
              <w:rPr>
                <w:sz w:val="16"/>
              </w:rPr>
              <w:t>Organización de Entidades Fiscalizadoras Superiores de África</w:t>
            </w:r>
          </w:p>
        </w:tc>
        <w:tc>
          <w:tcPr>
            <w:tcW w:w="1294" w:type="dxa"/>
            <w:tcBorders>
              <w:top w:val="single" w:sz="12" w:space="0" w:color="C0C0C0"/>
            </w:tcBorders>
          </w:tcPr>
          <w:p>
            <w:pPr>
              <w:pStyle w:val="TableParagraph"/>
              <w:spacing w:before="1"/>
              <w:ind w:right="463"/>
              <w:jc w:val="right"/>
              <w:rPr>
                <w:sz w:val="16"/>
              </w:rPr>
            </w:pPr>
            <w:r>
              <w:rPr>
                <w:sz w:val="16"/>
              </w:rPr>
              <w:t>1976</w:t>
            </w:r>
          </w:p>
        </w:tc>
      </w:tr>
      <w:tr>
        <w:trPr>
          <w:trHeight w:val="221" w:hRule="exact"/>
        </w:trPr>
        <w:tc>
          <w:tcPr>
            <w:tcW w:w="1226" w:type="dxa"/>
          </w:tcPr>
          <w:p>
            <w:pPr>
              <w:pStyle w:val="TableParagraph"/>
              <w:spacing w:line="180" w:lineRule="exact"/>
              <w:ind w:left="103"/>
              <w:rPr>
                <w:sz w:val="16"/>
              </w:rPr>
            </w:pPr>
            <w:r>
              <w:rPr>
                <w:sz w:val="16"/>
              </w:rPr>
              <w:t>2. ARABOSAI</w:t>
            </w:r>
          </w:p>
        </w:tc>
        <w:tc>
          <w:tcPr>
            <w:tcW w:w="5956" w:type="dxa"/>
          </w:tcPr>
          <w:p>
            <w:pPr>
              <w:pStyle w:val="TableParagraph"/>
              <w:spacing w:line="180" w:lineRule="exact"/>
              <w:ind w:left="100"/>
              <w:rPr>
                <w:sz w:val="16"/>
              </w:rPr>
            </w:pPr>
            <w:r>
              <w:rPr>
                <w:sz w:val="16"/>
              </w:rPr>
              <w:t>Organización Árabe de Entidades Fiscalizadoras Superiores</w:t>
            </w:r>
          </w:p>
        </w:tc>
        <w:tc>
          <w:tcPr>
            <w:tcW w:w="1294" w:type="dxa"/>
          </w:tcPr>
          <w:p>
            <w:pPr>
              <w:pStyle w:val="TableParagraph"/>
              <w:spacing w:line="183" w:lineRule="exact"/>
              <w:ind w:right="463"/>
              <w:jc w:val="right"/>
              <w:rPr>
                <w:sz w:val="16"/>
              </w:rPr>
            </w:pPr>
            <w:r>
              <w:rPr>
                <w:sz w:val="16"/>
              </w:rPr>
              <w:t>1976</w:t>
            </w:r>
          </w:p>
        </w:tc>
      </w:tr>
      <w:tr>
        <w:trPr>
          <w:trHeight w:val="223" w:hRule="exact"/>
        </w:trPr>
        <w:tc>
          <w:tcPr>
            <w:tcW w:w="1226" w:type="dxa"/>
          </w:tcPr>
          <w:p>
            <w:pPr>
              <w:pStyle w:val="TableParagraph"/>
              <w:spacing w:line="183" w:lineRule="exact"/>
              <w:ind w:left="103"/>
              <w:rPr>
                <w:sz w:val="16"/>
              </w:rPr>
            </w:pPr>
            <w:r>
              <w:rPr>
                <w:sz w:val="16"/>
              </w:rPr>
              <w:t>3. ASOSAI</w:t>
            </w:r>
          </w:p>
        </w:tc>
        <w:tc>
          <w:tcPr>
            <w:tcW w:w="5956" w:type="dxa"/>
          </w:tcPr>
          <w:p>
            <w:pPr>
              <w:pStyle w:val="TableParagraph"/>
              <w:spacing w:line="183" w:lineRule="exact"/>
              <w:ind w:left="100"/>
              <w:rPr>
                <w:sz w:val="16"/>
              </w:rPr>
            </w:pPr>
            <w:r>
              <w:rPr>
                <w:sz w:val="16"/>
              </w:rPr>
              <w:t>Organización de Entidades Fiscalizadoras Superiores de Asia</w:t>
            </w:r>
          </w:p>
        </w:tc>
        <w:tc>
          <w:tcPr>
            <w:tcW w:w="1294" w:type="dxa"/>
          </w:tcPr>
          <w:p>
            <w:pPr>
              <w:pStyle w:val="TableParagraph"/>
              <w:spacing w:before="1"/>
              <w:ind w:right="463"/>
              <w:jc w:val="right"/>
              <w:rPr>
                <w:sz w:val="16"/>
              </w:rPr>
            </w:pPr>
            <w:r>
              <w:rPr>
                <w:sz w:val="16"/>
              </w:rPr>
              <w:t>1978</w:t>
            </w:r>
          </w:p>
        </w:tc>
      </w:tr>
      <w:tr>
        <w:trPr>
          <w:trHeight w:val="221" w:hRule="exact"/>
        </w:trPr>
        <w:tc>
          <w:tcPr>
            <w:tcW w:w="1226" w:type="dxa"/>
          </w:tcPr>
          <w:p>
            <w:pPr>
              <w:pStyle w:val="TableParagraph"/>
              <w:spacing w:line="180" w:lineRule="exact"/>
              <w:ind w:left="103"/>
              <w:rPr>
                <w:sz w:val="16"/>
              </w:rPr>
            </w:pPr>
            <w:r>
              <w:rPr>
                <w:sz w:val="16"/>
              </w:rPr>
              <w:t>4. CAROSAI</w:t>
            </w:r>
          </w:p>
        </w:tc>
        <w:tc>
          <w:tcPr>
            <w:tcW w:w="5956" w:type="dxa"/>
          </w:tcPr>
          <w:p>
            <w:pPr>
              <w:pStyle w:val="TableParagraph"/>
              <w:spacing w:line="180" w:lineRule="exact"/>
              <w:ind w:left="100"/>
              <w:rPr>
                <w:sz w:val="16"/>
              </w:rPr>
            </w:pPr>
            <w:r>
              <w:rPr>
                <w:sz w:val="16"/>
              </w:rPr>
              <w:t>Organización de Entidades Fiscalizadoras Superiores del Caribe</w:t>
            </w:r>
          </w:p>
        </w:tc>
        <w:tc>
          <w:tcPr>
            <w:tcW w:w="1294" w:type="dxa"/>
          </w:tcPr>
          <w:p>
            <w:pPr>
              <w:pStyle w:val="TableParagraph"/>
              <w:spacing w:line="183" w:lineRule="exact"/>
              <w:ind w:right="463"/>
              <w:jc w:val="right"/>
              <w:rPr>
                <w:sz w:val="16"/>
              </w:rPr>
            </w:pPr>
            <w:r>
              <w:rPr>
                <w:sz w:val="16"/>
              </w:rPr>
              <w:t>1988</w:t>
            </w:r>
          </w:p>
        </w:tc>
      </w:tr>
      <w:tr>
        <w:trPr>
          <w:trHeight w:val="221" w:hRule="exact"/>
        </w:trPr>
        <w:tc>
          <w:tcPr>
            <w:tcW w:w="1226" w:type="dxa"/>
          </w:tcPr>
          <w:p>
            <w:pPr>
              <w:pStyle w:val="TableParagraph"/>
              <w:spacing w:line="180" w:lineRule="exact"/>
              <w:ind w:left="103"/>
              <w:rPr>
                <w:sz w:val="16"/>
              </w:rPr>
            </w:pPr>
            <w:r>
              <w:rPr>
                <w:sz w:val="16"/>
              </w:rPr>
              <w:t>5. EUROSAI</w:t>
            </w:r>
          </w:p>
        </w:tc>
        <w:tc>
          <w:tcPr>
            <w:tcW w:w="5956" w:type="dxa"/>
          </w:tcPr>
          <w:p>
            <w:pPr>
              <w:pStyle w:val="TableParagraph"/>
              <w:spacing w:line="180" w:lineRule="exact"/>
              <w:ind w:left="100"/>
              <w:rPr>
                <w:sz w:val="16"/>
              </w:rPr>
            </w:pPr>
            <w:r>
              <w:rPr>
                <w:sz w:val="16"/>
              </w:rPr>
              <w:t>Organización de Entidades Fiscalizadoras Superiores de Europa</w:t>
            </w:r>
          </w:p>
        </w:tc>
        <w:tc>
          <w:tcPr>
            <w:tcW w:w="1294" w:type="dxa"/>
          </w:tcPr>
          <w:p>
            <w:pPr>
              <w:pStyle w:val="TableParagraph"/>
              <w:spacing w:line="183" w:lineRule="exact"/>
              <w:ind w:right="463"/>
              <w:jc w:val="right"/>
              <w:rPr>
                <w:sz w:val="16"/>
              </w:rPr>
            </w:pPr>
            <w:r>
              <w:rPr>
                <w:sz w:val="16"/>
              </w:rPr>
              <w:t>1990</w:t>
            </w:r>
          </w:p>
        </w:tc>
      </w:tr>
      <w:tr>
        <w:trPr>
          <w:trHeight w:val="379" w:hRule="exact"/>
        </w:trPr>
        <w:tc>
          <w:tcPr>
            <w:tcW w:w="1226" w:type="dxa"/>
          </w:tcPr>
          <w:p>
            <w:pPr>
              <w:pStyle w:val="TableParagraph"/>
              <w:spacing w:line="183" w:lineRule="exact"/>
              <w:ind w:left="103"/>
              <w:rPr>
                <w:sz w:val="16"/>
              </w:rPr>
            </w:pPr>
            <w:r>
              <w:rPr>
                <w:sz w:val="16"/>
              </w:rPr>
              <w:t>6. OLACEFS</w:t>
            </w:r>
          </w:p>
        </w:tc>
        <w:tc>
          <w:tcPr>
            <w:tcW w:w="5956" w:type="dxa"/>
          </w:tcPr>
          <w:p>
            <w:pPr>
              <w:pStyle w:val="TableParagraph"/>
              <w:ind w:left="100"/>
              <w:rPr>
                <w:sz w:val="16"/>
              </w:rPr>
            </w:pPr>
            <w:r>
              <w:rPr>
                <w:sz w:val="16"/>
              </w:rPr>
              <w:t>Organización Latinoamericana y del Caribe de Entidades Fiscalizadoras Superiores</w:t>
            </w:r>
          </w:p>
        </w:tc>
        <w:tc>
          <w:tcPr>
            <w:tcW w:w="1294" w:type="dxa"/>
          </w:tcPr>
          <w:p>
            <w:pPr>
              <w:pStyle w:val="TableParagraph"/>
              <w:spacing w:before="1"/>
              <w:ind w:right="463"/>
              <w:jc w:val="right"/>
              <w:rPr>
                <w:sz w:val="16"/>
              </w:rPr>
            </w:pPr>
            <w:r>
              <w:rPr>
                <w:sz w:val="16"/>
              </w:rPr>
              <w:t>1965</w:t>
            </w:r>
          </w:p>
        </w:tc>
      </w:tr>
      <w:tr>
        <w:trPr>
          <w:trHeight w:val="221" w:hRule="exact"/>
        </w:trPr>
        <w:tc>
          <w:tcPr>
            <w:tcW w:w="1226" w:type="dxa"/>
          </w:tcPr>
          <w:p>
            <w:pPr>
              <w:pStyle w:val="TableParagraph"/>
              <w:spacing w:line="180" w:lineRule="exact"/>
              <w:ind w:left="103"/>
              <w:rPr>
                <w:sz w:val="16"/>
              </w:rPr>
            </w:pPr>
            <w:r>
              <w:rPr>
                <w:sz w:val="16"/>
              </w:rPr>
              <w:t>7. SPASAI</w:t>
            </w:r>
          </w:p>
        </w:tc>
        <w:tc>
          <w:tcPr>
            <w:tcW w:w="5956" w:type="dxa"/>
          </w:tcPr>
          <w:p>
            <w:pPr>
              <w:pStyle w:val="TableParagraph"/>
              <w:spacing w:line="180" w:lineRule="exact"/>
              <w:ind w:left="100"/>
              <w:rPr>
                <w:sz w:val="16"/>
              </w:rPr>
            </w:pPr>
            <w:r>
              <w:rPr>
                <w:sz w:val="16"/>
              </w:rPr>
              <w:t>Organización de Entidades Fiscalizadoras Superiores del Pacífico Sur</w:t>
            </w:r>
          </w:p>
        </w:tc>
        <w:tc>
          <w:tcPr>
            <w:tcW w:w="1294" w:type="dxa"/>
          </w:tcPr>
          <w:p>
            <w:pPr>
              <w:pStyle w:val="TableParagraph"/>
              <w:spacing w:line="183" w:lineRule="exact"/>
              <w:ind w:right="463"/>
              <w:jc w:val="right"/>
              <w:rPr>
                <w:sz w:val="16"/>
              </w:rPr>
            </w:pPr>
            <w:r>
              <w:rPr>
                <w:sz w:val="16"/>
              </w:rPr>
              <w:t>1987</w:t>
            </w:r>
          </w:p>
        </w:tc>
      </w:tr>
    </w:tbl>
    <w:p>
      <w:pPr>
        <w:pStyle w:val="BodyText"/>
        <w:spacing w:before="10"/>
        <w:rPr>
          <w:sz w:val="11"/>
        </w:rPr>
      </w:pPr>
    </w:p>
    <w:p>
      <w:pPr>
        <w:spacing w:before="0"/>
        <w:ind w:left="122" w:right="52" w:firstLine="0"/>
        <w:jc w:val="left"/>
        <w:rPr>
          <w:sz w:val="12"/>
        </w:rPr>
      </w:pPr>
      <w:r>
        <w:rPr>
          <w:sz w:val="12"/>
        </w:rPr>
        <w:t>FUENTE:     INTOSAI. Disponible en: </w:t>
      </w:r>
      <w:hyperlink r:id="rId171">
        <w:r>
          <w:rPr>
            <w:sz w:val="12"/>
          </w:rPr>
          <w:t>http://www.intosai.org/es/grupos-regionales-de-trabajo.html</w:t>
        </w:r>
      </w:hyperlink>
      <w:r>
        <w:rPr>
          <w:sz w:val="12"/>
        </w:rPr>
        <w:t> [Fecha de consulta: 22 de septiembre, 2015]</w:t>
      </w:r>
    </w:p>
    <w:p>
      <w:pPr>
        <w:pStyle w:val="BodyText"/>
        <w:rPr>
          <w:sz w:val="12"/>
        </w:rPr>
      </w:pPr>
    </w:p>
    <w:p>
      <w:pPr>
        <w:pStyle w:val="BodyText"/>
        <w:spacing w:before="4"/>
        <w:rPr>
          <w:sz w:val="13"/>
        </w:rPr>
      </w:pPr>
    </w:p>
    <w:p>
      <w:pPr>
        <w:spacing w:line="360" w:lineRule="auto" w:before="0"/>
        <w:ind w:left="122" w:right="117" w:firstLine="707"/>
        <w:jc w:val="both"/>
        <w:rPr>
          <w:sz w:val="24"/>
        </w:rPr>
      </w:pPr>
      <w:r>
        <w:rPr>
          <w:sz w:val="24"/>
        </w:rPr>
        <w:t>El</w:t>
      </w:r>
      <w:r>
        <w:rPr>
          <w:spacing w:val="-13"/>
          <w:sz w:val="24"/>
        </w:rPr>
        <w:t> </w:t>
      </w:r>
      <w:r>
        <w:rPr>
          <w:sz w:val="24"/>
        </w:rPr>
        <w:t>comité</w:t>
      </w:r>
      <w:r>
        <w:rPr>
          <w:spacing w:val="-14"/>
          <w:sz w:val="24"/>
        </w:rPr>
        <w:t> </w:t>
      </w:r>
      <w:r>
        <w:rPr>
          <w:sz w:val="24"/>
        </w:rPr>
        <w:t>directivo</w:t>
      </w:r>
      <w:r>
        <w:rPr>
          <w:spacing w:val="-12"/>
          <w:sz w:val="24"/>
        </w:rPr>
        <w:t> </w:t>
      </w:r>
      <w:r>
        <w:rPr>
          <w:sz w:val="24"/>
        </w:rPr>
        <w:t>de</w:t>
      </w:r>
      <w:r>
        <w:rPr>
          <w:spacing w:val="-14"/>
          <w:sz w:val="24"/>
        </w:rPr>
        <w:t> </w:t>
      </w:r>
      <w:r>
        <w:rPr>
          <w:sz w:val="24"/>
        </w:rPr>
        <w:t>la</w:t>
      </w:r>
      <w:r>
        <w:rPr>
          <w:spacing w:val="-12"/>
          <w:sz w:val="24"/>
        </w:rPr>
        <w:t> </w:t>
      </w:r>
      <w:r>
        <w:rPr>
          <w:sz w:val="24"/>
        </w:rPr>
        <w:t>INTOSAI,</w:t>
      </w:r>
      <w:r>
        <w:rPr>
          <w:spacing w:val="-14"/>
          <w:sz w:val="24"/>
        </w:rPr>
        <w:t> </w:t>
      </w:r>
      <w:r>
        <w:rPr>
          <w:sz w:val="24"/>
        </w:rPr>
        <w:t>denominado</w:t>
      </w:r>
      <w:r>
        <w:rPr>
          <w:spacing w:val="-12"/>
          <w:sz w:val="24"/>
        </w:rPr>
        <w:t> </w:t>
      </w:r>
      <w:r>
        <w:rPr>
          <w:sz w:val="24"/>
        </w:rPr>
        <w:t>INCOSAI,</w:t>
      </w:r>
      <w:r>
        <w:rPr>
          <w:spacing w:val="-14"/>
          <w:sz w:val="24"/>
        </w:rPr>
        <w:t> </w:t>
      </w:r>
      <w:r>
        <w:rPr>
          <w:sz w:val="24"/>
        </w:rPr>
        <w:t>publicó</w:t>
      </w:r>
      <w:r>
        <w:rPr>
          <w:spacing w:val="-14"/>
          <w:sz w:val="24"/>
        </w:rPr>
        <w:t> </w:t>
      </w:r>
      <w:r>
        <w:rPr>
          <w:sz w:val="24"/>
        </w:rPr>
        <w:t>en</w:t>
      </w:r>
      <w:r>
        <w:rPr>
          <w:spacing w:val="-12"/>
          <w:sz w:val="24"/>
        </w:rPr>
        <w:t> </w:t>
      </w:r>
      <w:r>
        <w:rPr>
          <w:sz w:val="24"/>
        </w:rPr>
        <w:t>1977 la </w:t>
      </w:r>
      <w:r>
        <w:rPr>
          <w:i/>
          <w:sz w:val="24"/>
        </w:rPr>
        <w:t>Declaración de Lima de Criterios sobre las Normas de Auditoría</w:t>
      </w:r>
      <w:r>
        <w:rPr>
          <w:sz w:val="24"/>
        </w:rPr>
        <w:t>, aplicable a cualquier sistema de administración pública implementado en los países miembros.</w:t>
      </w:r>
      <w:r>
        <w:rPr>
          <w:spacing w:val="-7"/>
          <w:sz w:val="24"/>
        </w:rPr>
        <w:t> </w:t>
      </w:r>
      <w:r>
        <w:rPr>
          <w:sz w:val="24"/>
        </w:rPr>
        <w:t>El</w:t>
      </w:r>
      <w:r>
        <w:rPr>
          <w:spacing w:val="-6"/>
          <w:sz w:val="24"/>
        </w:rPr>
        <w:t> </w:t>
      </w:r>
      <w:r>
        <w:rPr>
          <w:sz w:val="24"/>
        </w:rPr>
        <w:t>objetivo</w:t>
      </w:r>
      <w:r>
        <w:rPr>
          <w:spacing w:val="-7"/>
          <w:sz w:val="24"/>
        </w:rPr>
        <w:t> </w:t>
      </w:r>
      <w:r>
        <w:rPr>
          <w:sz w:val="24"/>
        </w:rPr>
        <w:t>del</w:t>
      </w:r>
      <w:r>
        <w:rPr>
          <w:spacing w:val="-6"/>
          <w:sz w:val="24"/>
        </w:rPr>
        <w:t> </w:t>
      </w:r>
      <w:r>
        <w:rPr>
          <w:sz w:val="24"/>
        </w:rPr>
        <w:t>documento</w:t>
      </w:r>
      <w:r>
        <w:rPr>
          <w:spacing w:val="-5"/>
          <w:sz w:val="24"/>
        </w:rPr>
        <w:t> </w:t>
      </w:r>
      <w:r>
        <w:rPr>
          <w:sz w:val="24"/>
        </w:rPr>
        <w:t>es</w:t>
      </w:r>
      <w:r>
        <w:rPr>
          <w:spacing w:val="-5"/>
          <w:sz w:val="24"/>
        </w:rPr>
        <w:t> </w:t>
      </w:r>
      <w:r>
        <w:rPr>
          <w:sz w:val="24"/>
        </w:rPr>
        <w:t>promover</w:t>
      </w:r>
      <w:r>
        <w:rPr>
          <w:spacing w:val="-6"/>
          <w:sz w:val="24"/>
        </w:rPr>
        <w:t> </w:t>
      </w:r>
      <w:r>
        <w:rPr>
          <w:sz w:val="24"/>
        </w:rPr>
        <w:t>la</w:t>
      </w:r>
      <w:r>
        <w:rPr>
          <w:spacing w:val="-5"/>
          <w:sz w:val="24"/>
        </w:rPr>
        <w:t> </w:t>
      </w:r>
      <w:r>
        <w:rPr>
          <w:sz w:val="24"/>
        </w:rPr>
        <w:t>independencia</w:t>
      </w:r>
      <w:r>
        <w:rPr>
          <w:spacing w:val="-5"/>
          <w:sz w:val="24"/>
        </w:rPr>
        <w:t> </w:t>
      </w:r>
      <w:r>
        <w:rPr>
          <w:sz w:val="24"/>
        </w:rPr>
        <w:t>de</w:t>
      </w:r>
      <w:r>
        <w:rPr>
          <w:spacing w:val="-5"/>
          <w:sz w:val="24"/>
        </w:rPr>
        <w:t> </w:t>
      </w:r>
      <w:r>
        <w:rPr>
          <w:sz w:val="24"/>
        </w:rPr>
        <w:t>las</w:t>
      </w:r>
      <w:r>
        <w:rPr>
          <w:spacing w:val="-7"/>
          <w:sz w:val="24"/>
        </w:rPr>
        <w:t> </w:t>
      </w:r>
      <w:r>
        <w:rPr>
          <w:sz w:val="24"/>
        </w:rPr>
        <w:t>EFS,</w:t>
      </w: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8296;mso-wrap-distance-left:0;mso-wrap-distance-right:0" from="85.103996pt,9.416857pt" to="229.123996pt,9.416857pt" stroked="true" strokeweight=".71997pt" strokecolor="#000000">
            <w10:wrap type="topAndBottom"/>
          </v:line>
        </w:pict>
      </w:r>
    </w:p>
    <w:p>
      <w:pPr>
        <w:spacing w:line="256" w:lineRule="auto" w:before="62"/>
        <w:ind w:left="122" w:right="52" w:firstLine="0"/>
        <w:jc w:val="left"/>
        <w:rPr>
          <w:sz w:val="16"/>
        </w:rPr>
      </w:pPr>
      <w:r>
        <w:rPr>
          <w:rFonts w:ascii="Times New Roman" w:hAnsi="Times New Roman"/>
          <w:position w:val="7"/>
          <w:sz w:val="13"/>
        </w:rPr>
        <w:t>90</w:t>
      </w:r>
      <w:r>
        <w:rPr>
          <w:sz w:val="16"/>
        </w:rPr>
        <w:t>La</w:t>
      </w:r>
      <w:r>
        <w:rPr>
          <w:spacing w:val="-9"/>
          <w:sz w:val="16"/>
        </w:rPr>
        <w:t> </w:t>
      </w:r>
      <w:r>
        <w:rPr>
          <w:sz w:val="16"/>
        </w:rPr>
        <w:t>propuesta</w:t>
      </w:r>
      <w:r>
        <w:rPr>
          <w:spacing w:val="-11"/>
          <w:sz w:val="16"/>
        </w:rPr>
        <w:t> </w:t>
      </w:r>
      <w:r>
        <w:rPr>
          <w:sz w:val="16"/>
        </w:rPr>
        <w:t>para</w:t>
      </w:r>
      <w:r>
        <w:rPr>
          <w:spacing w:val="-9"/>
          <w:sz w:val="16"/>
        </w:rPr>
        <w:t> </w:t>
      </w:r>
      <w:r>
        <w:rPr>
          <w:sz w:val="16"/>
        </w:rPr>
        <w:t>fundar</w:t>
      </w:r>
      <w:r>
        <w:rPr>
          <w:spacing w:val="-12"/>
          <w:sz w:val="16"/>
        </w:rPr>
        <w:t> </w:t>
      </w:r>
      <w:r>
        <w:rPr>
          <w:sz w:val="16"/>
        </w:rPr>
        <w:t>la</w:t>
      </w:r>
      <w:r>
        <w:rPr>
          <w:spacing w:val="-11"/>
          <w:sz w:val="16"/>
        </w:rPr>
        <w:t> </w:t>
      </w:r>
      <w:r>
        <w:rPr>
          <w:sz w:val="16"/>
        </w:rPr>
        <w:t>INTOSAI,</w:t>
      </w:r>
      <w:r>
        <w:rPr>
          <w:spacing w:val="-10"/>
          <w:sz w:val="16"/>
        </w:rPr>
        <w:t> </w:t>
      </w:r>
      <w:r>
        <w:rPr>
          <w:sz w:val="16"/>
        </w:rPr>
        <w:t>fue</w:t>
      </w:r>
      <w:r>
        <w:rPr>
          <w:spacing w:val="-12"/>
          <w:sz w:val="16"/>
        </w:rPr>
        <w:t> </w:t>
      </w:r>
      <w:r>
        <w:rPr>
          <w:sz w:val="16"/>
        </w:rPr>
        <w:t>una</w:t>
      </w:r>
      <w:r>
        <w:rPr>
          <w:spacing w:val="-9"/>
          <w:sz w:val="16"/>
        </w:rPr>
        <w:t> </w:t>
      </w:r>
      <w:r>
        <w:rPr>
          <w:sz w:val="16"/>
        </w:rPr>
        <w:t>iniciativa</w:t>
      </w:r>
      <w:r>
        <w:rPr>
          <w:spacing w:val="-9"/>
          <w:sz w:val="16"/>
        </w:rPr>
        <w:t> </w:t>
      </w:r>
      <w:r>
        <w:rPr>
          <w:sz w:val="16"/>
        </w:rPr>
        <w:t>del</w:t>
      </w:r>
      <w:r>
        <w:rPr>
          <w:spacing w:val="-11"/>
          <w:sz w:val="16"/>
        </w:rPr>
        <w:t> </w:t>
      </w:r>
      <w:r>
        <w:rPr>
          <w:sz w:val="16"/>
        </w:rPr>
        <w:t>entonces</w:t>
      </w:r>
      <w:r>
        <w:rPr>
          <w:spacing w:val="-10"/>
          <w:sz w:val="16"/>
        </w:rPr>
        <w:t> </w:t>
      </w:r>
      <w:r>
        <w:rPr>
          <w:sz w:val="16"/>
        </w:rPr>
        <w:t>Presidente</w:t>
      </w:r>
      <w:r>
        <w:rPr>
          <w:spacing w:val="-12"/>
          <w:sz w:val="16"/>
        </w:rPr>
        <w:t> </w:t>
      </w:r>
      <w:r>
        <w:rPr>
          <w:sz w:val="16"/>
        </w:rPr>
        <w:t>de</w:t>
      </w:r>
      <w:r>
        <w:rPr>
          <w:spacing w:val="-9"/>
          <w:sz w:val="16"/>
        </w:rPr>
        <w:t> </w:t>
      </w:r>
      <w:r>
        <w:rPr>
          <w:sz w:val="16"/>
        </w:rPr>
        <w:t>la</w:t>
      </w:r>
      <w:r>
        <w:rPr>
          <w:spacing w:val="-11"/>
          <w:sz w:val="16"/>
        </w:rPr>
        <w:t> </w:t>
      </w:r>
      <w:r>
        <w:rPr>
          <w:sz w:val="16"/>
        </w:rPr>
        <w:t>Entidad</w:t>
      </w:r>
      <w:r>
        <w:rPr>
          <w:spacing w:val="-9"/>
          <w:sz w:val="16"/>
        </w:rPr>
        <w:t> </w:t>
      </w:r>
      <w:r>
        <w:rPr>
          <w:sz w:val="16"/>
        </w:rPr>
        <w:t>de</w:t>
      </w:r>
      <w:r>
        <w:rPr>
          <w:spacing w:val="-12"/>
          <w:sz w:val="16"/>
        </w:rPr>
        <w:t> </w:t>
      </w:r>
      <w:r>
        <w:rPr>
          <w:sz w:val="16"/>
        </w:rPr>
        <w:t>Fiscalización</w:t>
      </w:r>
      <w:r>
        <w:rPr>
          <w:spacing w:val="-12"/>
          <w:sz w:val="16"/>
        </w:rPr>
        <w:t> </w:t>
      </w:r>
      <w:r>
        <w:rPr>
          <w:sz w:val="16"/>
        </w:rPr>
        <w:t>Superior de</w:t>
      </w:r>
      <w:r>
        <w:rPr>
          <w:spacing w:val="-3"/>
          <w:sz w:val="16"/>
        </w:rPr>
        <w:t> </w:t>
      </w:r>
      <w:r>
        <w:rPr>
          <w:sz w:val="16"/>
        </w:rPr>
        <w:t>Cuba;</w:t>
      </w:r>
      <w:r>
        <w:rPr>
          <w:spacing w:val="-2"/>
          <w:sz w:val="16"/>
        </w:rPr>
        <w:t> </w:t>
      </w:r>
      <w:r>
        <w:rPr>
          <w:sz w:val="16"/>
        </w:rPr>
        <w:t>Emilio</w:t>
      </w:r>
      <w:r>
        <w:rPr>
          <w:spacing w:val="-5"/>
          <w:sz w:val="16"/>
        </w:rPr>
        <w:t> </w:t>
      </w:r>
      <w:r>
        <w:rPr>
          <w:sz w:val="16"/>
        </w:rPr>
        <w:t>Fernández</w:t>
      </w:r>
      <w:r>
        <w:rPr>
          <w:spacing w:val="-4"/>
          <w:sz w:val="16"/>
        </w:rPr>
        <w:t> </w:t>
      </w:r>
      <w:r>
        <w:rPr>
          <w:sz w:val="16"/>
        </w:rPr>
        <w:t>Camus,</w:t>
      </w:r>
      <w:r>
        <w:rPr>
          <w:spacing w:val="-4"/>
          <w:sz w:val="16"/>
        </w:rPr>
        <w:t> </w:t>
      </w:r>
      <w:r>
        <w:rPr>
          <w:sz w:val="16"/>
        </w:rPr>
        <w:t>en:</w:t>
      </w:r>
      <w:r>
        <w:rPr>
          <w:spacing w:val="-2"/>
          <w:sz w:val="16"/>
        </w:rPr>
        <w:t> </w:t>
      </w:r>
      <w:hyperlink r:id="rId172">
        <w:r>
          <w:rPr>
            <w:sz w:val="16"/>
          </w:rPr>
          <w:t>http://intosai.org</w:t>
        </w:r>
      </w:hyperlink>
      <w:r>
        <w:rPr>
          <w:spacing w:val="-5"/>
          <w:sz w:val="16"/>
        </w:rPr>
        <w:t> </w:t>
      </w:r>
      <w:r>
        <w:rPr>
          <w:sz w:val="16"/>
        </w:rPr>
        <w:t>[Fecha</w:t>
      </w:r>
      <w:r>
        <w:rPr>
          <w:spacing w:val="-3"/>
          <w:sz w:val="16"/>
        </w:rPr>
        <w:t> </w:t>
      </w:r>
      <w:r>
        <w:rPr>
          <w:sz w:val="16"/>
        </w:rPr>
        <w:t>de</w:t>
      </w:r>
      <w:r>
        <w:rPr>
          <w:spacing w:val="-5"/>
          <w:sz w:val="16"/>
        </w:rPr>
        <w:t> </w:t>
      </w:r>
      <w:r>
        <w:rPr>
          <w:sz w:val="16"/>
        </w:rPr>
        <w:t>consulta:</w:t>
      </w:r>
      <w:r>
        <w:rPr>
          <w:spacing w:val="-4"/>
          <w:sz w:val="16"/>
        </w:rPr>
        <w:t> </w:t>
      </w:r>
      <w:r>
        <w:rPr>
          <w:sz w:val="16"/>
        </w:rPr>
        <w:t>22</w:t>
      </w:r>
      <w:r>
        <w:rPr>
          <w:spacing w:val="-3"/>
          <w:sz w:val="16"/>
        </w:rPr>
        <w:t> </w:t>
      </w:r>
      <w:r>
        <w:rPr>
          <w:sz w:val="16"/>
        </w:rPr>
        <w:t>de</w:t>
      </w:r>
      <w:r>
        <w:rPr>
          <w:spacing w:val="-5"/>
          <w:sz w:val="16"/>
        </w:rPr>
        <w:t> </w:t>
      </w:r>
      <w:r>
        <w:rPr>
          <w:sz w:val="16"/>
        </w:rPr>
        <w:t>septiembre,</w:t>
      </w:r>
      <w:r>
        <w:rPr>
          <w:spacing w:val="-4"/>
          <w:sz w:val="16"/>
        </w:rPr>
        <w:t> </w:t>
      </w:r>
      <w:r>
        <w:rPr>
          <w:sz w:val="16"/>
        </w:rPr>
        <w:t>2015]</w:t>
      </w:r>
    </w:p>
    <w:p>
      <w:pPr>
        <w:spacing w:line="170" w:lineRule="exact" w:before="0"/>
        <w:ind w:left="122" w:right="52" w:firstLine="0"/>
        <w:jc w:val="left"/>
        <w:rPr>
          <w:sz w:val="16"/>
        </w:rPr>
      </w:pPr>
      <w:r>
        <w:rPr>
          <w:position w:val="6"/>
          <w:sz w:val="10"/>
        </w:rPr>
        <w:t>91</w:t>
      </w:r>
      <w:r>
        <w:rPr>
          <w:spacing w:val="5"/>
          <w:position w:val="6"/>
          <w:sz w:val="10"/>
        </w:rPr>
        <w:t> </w:t>
      </w:r>
      <w:r>
        <w:rPr>
          <w:sz w:val="16"/>
        </w:rPr>
        <w:t>Auditoria</w:t>
      </w:r>
      <w:r>
        <w:rPr>
          <w:spacing w:val="-11"/>
          <w:sz w:val="16"/>
        </w:rPr>
        <w:t> </w:t>
      </w:r>
      <w:r>
        <w:rPr>
          <w:sz w:val="16"/>
        </w:rPr>
        <w:t>Superior</w:t>
      </w:r>
      <w:r>
        <w:rPr>
          <w:spacing w:val="-12"/>
          <w:sz w:val="16"/>
        </w:rPr>
        <w:t> </w:t>
      </w:r>
      <w:r>
        <w:rPr>
          <w:sz w:val="16"/>
        </w:rPr>
        <w:t>de</w:t>
      </w:r>
      <w:r>
        <w:rPr>
          <w:spacing w:val="-12"/>
          <w:sz w:val="16"/>
        </w:rPr>
        <w:t> </w:t>
      </w:r>
      <w:r>
        <w:rPr>
          <w:sz w:val="16"/>
        </w:rPr>
        <w:t>la</w:t>
      </w:r>
      <w:r>
        <w:rPr>
          <w:spacing w:val="-11"/>
          <w:sz w:val="16"/>
        </w:rPr>
        <w:t> </w:t>
      </w:r>
      <w:r>
        <w:rPr>
          <w:sz w:val="16"/>
        </w:rPr>
        <w:t>Federación.</w:t>
      </w:r>
      <w:r>
        <w:rPr>
          <w:spacing w:val="-10"/>
          <w:sz w:val="16"/>
        </w:rPr>
        <w:t> </w:t>
      </w:r>
      <w:r>
        <w:rPr>
          <w:sz w:val="16"/>
        </w:rPr>
        <w:t>Mensaje</w:t>
      </w:r>
      <w:r>
        <w:rPr>
          <w:spacing w:val="-11"/>
          <w:sz w:val="16"/>
        </w:rPr>
        <w:t> </w:t>
      </w:r>
      <w:r>
        <w:rPr>
          <w:sz w:val="16"/>
        </w:rPr>
        <w:t>del</w:t>
      </w:r>
      <w:r>
        <w:rPr>
          <w:spacing w:val="-11"/>
          <w:sz w:val="16"/>
        </w:rPr>
        <w:t> </w:t>
      </w:r>
      <w:r>
        <w:rPr>
          <w:sz w:val="16"/>
        </w:rPr>
        <w:t>C.C.P.</w:t>
      </w:r>
      <w:r>
        <w:rPr>
          <w:spacing w:val="-13"/>
          <w:sz w:val="16"/>
        </w:rPr>
        <w:t> </w:t>
      </w:r>
      <w:r>
        <w:rPr>
          <w:sz w:val="16"/>
        </w:rPr>
        <w:t>Arturo</w:t>
      </w:r>
      <w:r>
        <w:rPr>
          <w:spacing w:val="-12"/>
          <w:sz w:val="16"/>
        </w:rPr>
        <w:t> </w:t>
      </w:r>
      <w:r>
        <w:rPr>
          <w:sz w:val="16"/>
        </w:rPr>
        <w:t>González</w:t>
      </w:r>
      <w:r>
        <w:rPr>
          <w:spacing w:val="-12"/>
          <w:sz w:val="16"/>
        </w:rPr>
        <w:t> </w:t>
      </w:r>
      <w:r>
        <w:rPr>
          <w:sz w:val="16"/>
        </w:rPr>
        <w:t>de</w:t>
      </w:r>
      <w:r>
        <w:rPr>
          <w:spacing w:val="-12"/>
          <w:sz w:val="16"/>
        </w:rPr>
        <w:t> </w:t>
      </w:r>
      <w:r>
        <w:rPr>
          <w:sz w:val="16"/>
        </w:rPr>
        <w:t>Aragón,</w:t>
      </w:r>
      <w:r>
        <w:rPr>
          <w:spacing w:val="-10"/>
          <w:sz w:val="16"/>
        </w:rPr>
        <w:t> </w:t>
      </w:r>
      <w:r>
        <w:rPr>
          <w:sz w:val="16"/>
        </w:rPr>
        <w:t>Auditor</w:t>
      </w:r>
      <w:r>
        <w:rPr>
          <w:spacing w:val="-12"/>
          <w:sz w:val="16"/>
        </w:rPr>
        <w:t> </w:t>
      </w:r>
      <w:r>
        <w:rPr>
          <w:sz w:val="16"/>
        </w:rPr>
        <w:t>Superior</w:t>
      </w:r>
      <w:r>
        <w:rPr>
          <w:spacing w:val="-12"/>
          <w:sz w:val="16"/>
        </w:rPr>
        <w:t> </w:t>
      </w:r>
      <w:r>
        <w:rPr>
          <w:sz w:val="16"/>
        </w:rPr>
        <w:t>de</w:t>
      </w:r>
      <w:r>
        <w:rPr>
          <w:spacing w:val="-12"/>
          <w:sz w:val="16"/>
        </w:rPr>
        <w:t> </w:t>
      </w:r>
      <w:r>
        <w:rPr>
          <w:sz w:val="16"/>
        </w:rPr>
        <w:t>la</w:t>
      </w:r>
      <w:r>
        <w:rPr>
          <w:spacing w:val="-11"/>
          <w:sz w:val="16"/>
        </w:rPr>
        <w:t> </w:t>
      </w:r>
      <w:r>
        <w:rPr>
          <w:sz w:val="16"/>
        </w:rPr>
        <w:t>Federación.</w:t>
      </w:r>
    </w:p>
    <w:p>
      <w:pPr>
        <w:spacing w:before="1"/>
        <w:ind w:left="122" w:right="52" w:firstLine="0"/>
        <w:jc w:val="left"/>
        <w:rPr>
          <w:sz w:val="16"/>
        </w:rPr>
      </w:pPr>
      <w:r>
        <w:rPr>
          <w:sz w:val="16"/>
        </w:rPr>
        <w:t>Seminario: “</w:t>
      </w:r>
      <w:r>
        <w:rPr>
          <w:i/>
          <w:sz w:val="16"/>
        </w:rPr>
        <w:t>Control y Fiscalización Municipal 2006- 2009</w:t>
      </w:r>
      <w:r>
        <w:rPr>
          <w:sz w:val="16"/>
        </w:rPr>
        <w:t>”. México 2007. Disponible en: </w:t>
      </w:r>
      <w:hyperlink r:id="rId173">
        <w:r>
          <w:rPr>
            <w:color w:val="0000FF"/>
            <w:sz w:val="16"/>
            <w:u w:val="single" w:color="0000FF"/>
          </w:rPr>
          <w:t>www.asf.gob.mx</w:t>
        </w:r>
      </w:hyperlink>
      <w:r>
        <w:rPr>
          <w:color w:val="0000FF"/>
          <w:sz w:val="16"/>
          <w:u w:val="single" w:color="0000FF"/>
        </w:rPr>
        <w:t> </w:t>
      </w:r>
      <w:r>
        <w:rPr>
          <w:sz w:val="16"/>
        </w:rPr>
        <w:t>[Fecha de consulta: 22 de septiembre, 2015]</w:t>
      </w:r>
    </w:p>
    <w:p>
      <w:pPr>
        <w:spacing w:after="0"/>
        <w:jc w:val="left"/>
        <w:rPr>
          <w:sz w:val="16"/>
        </w:rPr>
        <w:sectPr>
          <w:pgSz w:w="11910" w:h="16840"/>
          <w:pgMar w:header="0" w:footer="1003" w:top="1340" w:bottom="1200" w:left="1580" w:right="1580"/>
        </w:sectPr>
      </w:pPr>
    </w:p>
    <w:p>
      <w:pPr>
        <w:pStyle w:val="BodyText"/>
        <w:spacing w:line="362" w:lineRule="auto" w:before="55"/>
        <w:ind w:left="102" w:right="66"/>
      </w:pPr>
      <w:r>
        <w:rPr/>
        <w:t>lo que implica el funcionamiento razonable de las instituciones del Estado para asegurar el Estado de derecho y la democracia.</w:t>
      </w:r>
    </w:p>
    <w:p>
      <w:pPr>
        <w:pStyle w:val="BodyText"/>
        <w:spacing w:line="360" w:lineRule="auto"/>
        <w:ind w:left="102" w:right="115" w:firstLine="707"/>
        <w:jc w:val="both"/>
      </w:pPr>
      <w:r>
        <w:rPr/>
        <w:t>La</w:t>
      </w:r>
      <w:r>
        <w:rPr>
          <w:spacing w:val="-11"/>
        </w:rPr>
        <w:t> </w:t>
      </w:r>
      <w:r>
        <w:rPr/>
        <w:t>Declaración</w:t>
      </w:r>
      <w:r>
        <w:rPr>
          <w:spacing w:val="-13"/>
        </w:rPr>
        <w:t> </w:t>
      </w:r>
      <w:r>
        <w:rPr/>
        <w:t>de</w:t>
      </w:r>
      <w:r>
        <w:rPr>
          <w:spacing w:val="-13"/>
        </w:rPr>
        <w:t> </w:t>
      </w:r>
      <w:r>
        <w:rPr/>
        <w:t>Lima</w:t>
      </w:r>
      <w:r>
        <w:rPr>
          <w:spacing w:val="-11"/>
        </w:rPr>
        <w:t> </w:t>
      </w:r>
      <w:r>
        <w:rPr/>
        <w:t>considera</w:t>
      </w:r>
      <w:r>
        <w:rPr>
          <w:spacing w:val="-14"/>
        </w:rPr>
        <w:t> </w:t>
      </w:r>
      <w:r>
        <w:rPr/>
        <w:t>que</w:t>
      </w:r>
      <w:r>
        <w:rPr>
          <w:spacing w:val="-13"/>
        </w:rPr>
        <w:t> </w:t>
      </w:r>
      <w:r>
        <w:rPr/>
        <w:t>la</w:t>
      </w:r>
      <w:r>
        <w:rPr>
          <w:spacing w:val="-13"/>
        </w:rPr>
        <w:t> </w:t>
      </w:r>
      <w:r>
        <w:rPr/>
        <w:t>economía</w:t>
      </w:r>
      <w:r>
        <w:rPr>
          <w:spacing w:val="-13"/>
        </w:rPr>
        <w:t> </w:t>
      </w:r>
      <w:r>
        <w:rPr/>
        <w:t>de</w:t>
      </w:r>
      <w:r>
        <w:rPr>
          <w:spacing w:val="-13"/>
        </w:rPr>
        <w:t> </w:t>
      </w:r>
      <w:r>
        <w:rPr/>
        <w:t>los</w:t>
      </w:r>
      <w:r>
        <w:rPr>
          <w:spacing w:val="-16"/>
        </w:rPr>
        <w:t> </w:t>
      </w:r>
      <w:r>
        <w:rPr/>
        <w:t>fondos</w:t>
      </w:r>
      <w:r>
        <w:rPr>
          <w:spacing w:val="-14"/>
        </w:rPr>
        <w:t> </w:t>
      </w:r>
      <w:r>
        <w:rPr/>
        <w:t>públicos es fundamental para mantener el equilibrio financiero del Estado. Para ello es indispensable</w:t>
      </w:r>
      <w:r>
        <w:rPr>
          <w:spacing w:val="-6"/>
        </w:rPr>
        <w:t> </w:t>
      </w:r>
      <w:r>
        <w:rPr/>
        <w:t>que</w:t>
      </w:r>
      <w:r>
        <w:rPr>
          <w:spacing w:val="-6"/>
        </w:rPr>
        <w:t> </w:t>
      </w:r>
      <w:r>
        <w:rPr/>
        <w:t>cada</w:t>
      </w:r>
      <w:r>
        <w:rPr>
          <w:spacing w:val="-4"/>
        </w:rPr>
        <w:t> </w:t>
      </w:r>
      <w:r>
        <w:rPr/>
        <w:t>Estado</w:t>
      </w:r>
      <w:r>
        <w:rPr>
          <w:spacing w:val="-4"/>
        </w:rPr>
        <w:t> </w:t>
      </w:r>
      <w:r>
        <w:rPr/>
        <w:t>cuente</w:t>
      </w:r>
      <w:r>
        <w:rPr>
          <w:spacing w:val="-4"/>
        </w:rPr>
        <w:t> </w:t>
      </w:r>
      <w:r>
        <w:rPr/>
        <w:t>con</w:t>
      </w:r>
      <w:r>
        <w:rPr>
          <w:spacing w:val="-6"/>
        </w:rPr>
        <w:t> </w:t>
      </w:r>
      <w:r>
        <w:rPr/>
        <w:t>una</w:t>
      </w:r>
      <w:r>
        <w:rPr>
          <w:spacing w:val="-6"/>
        </w:rPr>
        <w:t> </w:t>
      </w:r>
      <w:r>
        <w:rPr/>
        <w:t>EFS</w:t>
      </w:r>
      <w:r>
        <w:rPr>
          <w:spacing w:val="-6"/>
        </w:rPr>
        <w:t> </w:t>
      </w:r>
      <w:r>
        <w:rPr/>
        <w:t>eficaz</w:t>
      </w:r>
      <w:r>
        <w:rPr>
          <w:spacing w:val="-6"/>
        </w:rPr>
        <w:t> </w:t>
      </w:r>
      <w:r>
        <w:rPr/>
        <w:t>y</w:t>
      </w:r>
      <w:r>
        <w:rPr>
          <w:spacing w:val="-7"/>
        </w:rPr>
        <w:t> </w:t>
      </w:r>
      <w:r>
        <w:rPr/>
        <w:t>con</w:t>
      </w:r>
      <w:r>
        <w:rPr>
          <w:spacing w:val="-6"/>
        </w:rPr>
        <w:t> </w:t>
      </w:r>
      <w:r>
        <w:rPr/>
        <w:t>independencia de los poderes del Estado e influencias políticas. En las líneas básicas de fiscalización, acordadas en la Declaración de Lima (INTOSAI, 1977), se mencionó que la institución del control es inmanente a la economía financiera pública</w:t>
      </w:r>
      <w:r>
        <w:rPr>
          <w:spacing w:val="-9"/>
        </w:rPr>
        <w:t> </w:t>
      </w:r>
      <w:r>
        <w:rPr/>
        <w:t>y</w:t>
      </w:r>
      <w:r>
        <w:rPr>
          <w:spacing w:val="-10"/>
        </w:rPr>
        <w:t> </w:t>
      </w:r>
      <w:r>
        <w:rPr/>
        <w:t>que</w:t>
      </w:r>
      <w:r>
        <w:rPr>
          <w:spacing w:val="-7"/>
        </w:rPr>
        <w:t> </w:t>
      </w:r>
      <w:r>
        <w:rPr/>
        <w:t>el</w:t>
      </w:r>
      <w:r>
        <w:rPr>
          <w:spacing w:val="-8"/>
        </w:rPr>
        <w:t> </w:t>
      </w:r>
      <w:r>
        <w:rPr/>
        <w:t>control</w:t>
      </w:r>
      <w:r>
        <w:rPr>
          <w:spacing w:val="-11"/>
        </w:rPr>
        <w:t> </w:t>
      </w:r>
      <w:r>
        <w:rPr/>
        <w:t>es</w:t>
      </w:r>
      <w:r>
        <w:rPr>
          <w:spacing w:val="-7"/>
        </w:rPr>
        <w:t> </w:t>
      </w:r>
      <w:r>
        <w:rPr/>
        <w:t>un</w:t>
      </w:r>
      <w:r>
        <w:rPr>
          <w:spacing w:val="-7"/>
        </w:rPr>
        <w:t> </w:t>
      </w:r>
      <w:r>
        <w:rPr/>
        <w:t>coadyuvante</w:t>
      </w:r>
      <w:r>
        <w:rPr>
          <w:spacing w:val="-7"/>
        </w:rPr>
        <w:t> </w:t>
      </w:r>
      <w:r>
        <w:rPr/>
        <w:t>en</w:t>
      </w:r>
      <w:r>
        <w:rPr>
          <w:spacing w:val="-9"/>
        </w:rPr>
        <w:t> </w:t>
      </w:r>
      <w:r>
        <w:rPr/>
        <w:t>la</w:t>
      </w:r>
      <w:r>
        <w:rPr>
          <w:spacing w:val="-7"/>
        </w:rPr>
        <w:t> </w:t>
      </w:r>
      <w:r>
        <w:rPr/>
        <w:t>regulación,</w:t>
      </w:r>
      <w:r>
        <w:rPr>
          <w:spacing w:val="-10"/>
        </w:rPr>
        <w:t> </w:t>
      </w:r>
      <w:r>
        <w:rPr/>
        <w:t>ya</w:t>
      </w:r>
      <w:r>
        <w:rPr>
          <w:spacing w:val="-7"/>
        </w:rPr>
        <w:t> </w:t>
      </w:r>
      <w:r>
        <w:rPr/>
        <w:t>que</w:t>
      </w:r>
      <w:r>
        <w:rPr>
          <w:spacing w:val="-7"/>
        </w:rPr>
        <w:t> </w:t>
      </w:r>
      <w:r>
        <w:rPr/>
        <w:t>se</w:t>
      </w:r>
      <w:r>
        <w:rPr>
          <w:spacing w:val="-9"/>
        </w:rPr>
        <w:t> </w:t>
      </w:r>
      <w:r>
        <w:rPr/>
        <w:t>mencionó que el control es un mecanismo regulador oportuno de desviaciones a la normativa y los principios de legalidad y economía de las operaciones financieras, y sirve para implementar acciones correctivas, determinar responsabilidades exigir resarcimientos y evitar recurrencias en el futuro. De acuerdo con las Líneas de Fiscalización, el control estatal mediante la fiscalización superior presenta las características</w:t>
      </w:r>
      <w:r>
        <w:rPr>
          <w:spacing w:val="-7"/>
        </w:rPr>
        <w:t> </w:t>
      </w:r>
      <w:r>
        <w:rPr/>
        <w:t>siguientes:</w:t>
      </w:r>
    </w:p>
    <w:p>
      <w:pPr>
        <w:spacing w:before="6"/>
        <w:ind w:left="2202" w:right="66" w:firstLine="0"/>
        <w:jc w:val="left"/>
        <w:rPr>
          <w:sz w:val="20"/>
        </w:rPr>
      </w:pPr>
      <w:bookmarkStart w:name="_bookmark66" w:id="88"/>
      <w:bookmarkEnd w:id="88"/>
      <w:r>
        <w:rPr/>
      </w:r>
      <w:r>
        <w:rPr>
          <w:sz w:val="20"/>
        </w:rPr>
        <w:t>Esquema 3. 2. Características del control estatal</w:t>
      </w:r>
    </w:p>
    <w:p>
      <w:pPr>
        <w:pStyle w:val="BodyText"/>
        <w:spacing w:before="10"/>
        <w:rPr>
          <w:sz w:val="13"/>
        </w:rPr>
      </w:pPr>
      <w:r>
        <w:rPr/>
        <w:pict>
          <v:group style="position:absolute;margin-left:93.239998pt;margin-top:9.950853pt;width:406pt;height:246.5pt;mso-position-horizontal-relative:page;mso-position-vertical-relative:paragraph;z-index:8824;mso-wrap-distance-left:0;mso-wrap-distance-right:0" coordorigin="1865,199" coordsize="8120,4930">
            <v:shape style="position:absolute;left:1865;top:199;width:8119;height:4930" type="#_x0000_t75" stroked="false">
              <v:imagedata r:id="rId176" o:title=""/>
            </v:shape>
            <v:rect style="position:absolute;left:1992;top:228;width:7951;height:4778" filled="true" fillcolor="#edebe0" stroked="false">
              <v:fill type="solid"/>
            </v:rect>
            <v:shape style="position:absolute;left:2855;top:670;width:2985;height:605" coordorigin="2855,670" coordsize="2985,605" path="m2973,1139l2855,1232,3007,1275,3017,1270,3020,1263,3023,1255,3018,1246,2996,1240,2892,1240,2885,1211,2948,1199,2997,1161,2997,1152,2984,1140,2973,1139xm2948,1199l2885,1211,2892,1240,2912,1236,2900,1236,2894,1211,2933,1211,2948,1199xm2955,1229l2892,1240,2996,1240,2955,1229xm2894,1211l2900,1236,2922,1219,2894,1211xm2922,1219l2900,1236,2912,1236,2955,1229,2922,1219xm5833,670l2948,1199,2922,1219,2955,1229,5840,700,5833,670xm2933,1211l2894,1211,2922,1219,2933,1211xe" filled="true" fillcolor="#497dba" stroked="false">
              <v:path arrowok="t"/>
              <v:fill type="solid"/>
            </v:shape>
            <v:rect style="position:absolute;left:2004;top:1347;width:1114;height:217" filled="true" fillcolor="#000000" stroked="false">
              <v:fill type="solid"/>
            </v:rect>
            <v:rect style="position:absolute;left:2004;top:1347;width:1114;height:217" filled="false" stroked="true" strokeweight="1.019417pt" strokecolor="#000000"/>
            <v:shape style="position:absolute;left:4362;top:672;width:1483;height:681" coordorigin="4362,672" coordsize="1483,681" path="m4458,1228l4448,1230,4362,1346,4522,1353,4530,1346,4530,1346,4401,1346,4385,1319,4442,1294,4477,1246,4475,1236,4458,1228xm4442,1294l4385,1319,4401,1346,4413,1340,4408,1340,4394,1317,4424,1317,4442,1294xm4458,1320l4401,1346,4530,1346,4531,1330,4524,1323,4458,1320xm4394,1317l4408,1340,4423,1319,4394,1317xm4423,1319l4408,1340,4413,1340,4458,1320,4423,1319xm5829,672l4442,1294,4423,1319,4458,1320,5845,698,5829,672xm4424,1317l4394,1317,4423,1319,4424,1317xe" filled="true" fillcolor="#497dba" stroked="false">
              <v:path arrowok="t"/>
              <v:fill type="solid"/>
            </v:shape>
            <v:shape style="position:absolute;left:2069;top:1741;width:984;height:2253" coordorigin="2069,1741" coordsize="984,2253" path="m3052,1741l3052,3571,2561,3993,2069,3571,2069,1741,3052,1741xe" filled="false" stroked="true" strokeweight="1.152228pt" strokecolor="#385d89">
              <v:path arrowok="t"/>
            </v:shape>
            <v:shape style="position:absolute;left:3249;top:1909;width:1179;height:2142" coordorigin="3249,1909" coordsize="1179,2142" path="m4428,1909l4428,3544,3838,4051,3249,3544,3249,1909,4428,1909xe" filled="false" stroked="true" strokeweight="1.140245pt" strokecolor="#385d89">
              <v:path arrowok="t"/>
            </v:shape>
            <v:shape style="position:absolute;left:4690;top:1684;width:984;height:2142" coordorigin="4690,1684" coordsize="984,2142" path="m5673,1684l5673,3403,5181,3825,4690,3403,4690,1684,5673,1684xe" filled="false" stroked="true" strokeweight="1.149906pt" strokecolor="#385d89">
              <v:path arrowok="t"/>
            </v:shape>
            <v:shape style="position:absolute;left:5400;top:4276;width:338;height:233" type="#_x0000_t75" stroked="false">
              <v:imagedata r:id="rId177" o:title=""/>
            </v:shape>
            <v:shape style="position:absolute;left:5337;top:4601;width:337;height:182" type="#_x0000_t75" stroked="false">
              <v:imagedata r:id="rId178" o:title=""/>
            </v:shape>
            <v:shape style="position:absolute;left:5686;top:670;width:161;height:677" coordorigin="5686,670" coordsize="161,677" path="m5706,1209l5689,1217,5686,1226,5762,1347,5783,1318,5780,1318,5746,1317,5748,1262,5721,1219,5717,1212,5706,1209xm5748,1262l5746,1317,5780,1318,5781,1310,5778,1310,5748,1309,5764,1288,5748,1262xm5829,1213l5818,1215,5783,1263,5780,1318,5783,1318,5842,1238,5847,1231,5845,1221,5829,1213xm5764,1288l5748,1309,5778,1310,5764,1288xm5783,1263l5764,1288,5778,1310,5781,1310,5783,1263xm5773,670l5748,1262,5764,1288,5783,1263,5807,671,5773,670xe" filled="true" fillcolor="#497dba" stroked="false">
              <v:path arrowok="t"/>
              <v:fill type="solid"/>
            </v:shape>
            <v:shape style="position:absolute;left:5782;top:648;width:1776;height:602" coordorigin="5782,648" coordsize="1776,602" path="m7459,1210l7394,1220,7388,1228,7391,1244,7400,1249,7532,1229,7519,1229,7459,1210xm7493,1205l7459,1210,7519,1229,7521,1225,7512,1225,7493,1205xm7445,1119l7430,1129,7429,1139,7435,1145,7471,1182,7531,1201,7519,1229,7532,1229,7557,1226,7456,1120,7445,1119xm7522,1201l7493,1205,7512,1225,7522,1201xm7529,1201l7522,1201,7512,1225,7521,1225,7531,1201,7529,1201xm5794,648l5782,676,7459,1210,7493,1205,7471,1182,5794,648xm7471,1182l7493,1205,7522,1201,7529,1201,7471,1182xe" filled="true" fillcolor="#497dba" stroked="false">
              <v:path arrowok="t"/>
              <v:fill type="solid"/>
            </v:shape>
            <v:shape style="position:absolute;left:1992;top:1336;width:1137;height:239" type="#_x0000_t202" filled="false" stroked="false">
              <v:textbox inset="0,0,0,0">
                <w:txbxContent>
                  <w:p>
                    <w:pPr>
                      <w:spacing w:before="49"/>
                      <w:ind w:left="94" w:right="0" w:firstLine="0"/>
                      <w:jc w:val="left"/>
                      <w:rPr>
                        <w:b/>
                        <w:sz w:val="12"/>
                      </w:rPr>
                    </w:pPr>
                    <w:r>
                      <w:rPr>
                        <w:b/>
                        <w:color w:val="FFFFFF"/>
                        <w:w w:val="115"/>
                        <w:sz w:val="12"/>
                      </w:rPr>
                      <w:t>Oportunidad</w:t>
                    </w:r>
                  </w:p>
                </w:txbxContent>
              </v:textbox>
              <w10:wrap type="none"/>
            </v:shape>
            <v:shape style="position:absolute;left:2156;top:1852;width:806;height:696" type="#_x0000_t202" filled="false" stroked="false">
              <v:textbox inset="0,0,0,0">
                <w:txbxContent>
                  <w:p>
                    <w:pPr>
                      <w:spacing w:line="101" w:lineRule="exact" w:before="0"/>
                      <w:ind w:left="2" w:right="0" w:firstLine="0"/>
                      <w:jc w:val="center"/>
                      <w:rPr>
                        <w:b/>
                        <w:sz w:val="10"/>
                      </w:rPr>
                    </w:pPr>
                    <w:r>
                      <w:rPr>
                        <w:b/>
                        <w:w w:val="115"/>
                        <w:sz w:val="10"/>
                      </w:rPr>
                      <w:t>Control Ex</w:t>
                    </w:r>
                  </w:p>
                  <w:p>
                    <w:pPr>
                      <w:spacing w:line="249" w:lineRule="auto" w:before="4"/>
                      <w:ind w:left="90" w:right="69" w:firstLine="195"/>
                      <w:jc w:val="left"/>
                      <w:rPr>
                        <w:sz w:val="10"/>
                      </w:rPr>
                    </w:pPr>
                    <w:r>
                      <w:rPr>
                        <w:b/>
                        <w:w w:val="115"/>
                        <w:sz w:val="10"/>
                      </w:rPr>
                      <w:t>ante </w:t>
                    </w:r>
                    <w:r>
                      <w:rPr>
                        <w:w w:val="115"/>
                        <w:sz w:val="10"/>
                      </w:rPr>
                      <w:t>(previo a las operaciones financiera o</w:t>
                    </w:r>
                  </w:p>
                  <w:p>
                    <w:pPr>
                      <w:spacing w:line="112" w:lineRule="exact" w:before="0"/>
                      <w:ind w:left="0" w:right="0" w:firstLine="0"/>
                      <w:jc w:val="center"/>
                      <w:rPr>
                        <w:sz w:val="10"/>
                      </w:rPr>
                    </w:pPr>
                    <w:r>
                      <w:rPr>
                        <w:w w:val="115"/>
                        <w:sz w:val="10"/>
                      </w:rPr>
                      <w:t>administrativas)</w:t>
                    </w:r>
                  </w:p>
                </w:txbxContent>
              </v:textbox>
              <w10:wrap type="none"/>
            </v:shape>
            <v:shape style="position:absolute;left:4731;top:1837;width:899;height:215" type="#_x0000_t202" filled="false" stroked="false">
              <v:textbox inset="0,0,0,0">
                <w:txbxContent>
                  <w:p>
                    <w:pPr>
                      <w:spacing w:line="104" w:lineRule="exact" w:before="5"/>
                      <w:ind w:left="209" w:right="-13" w:hanging="210"/>
                      <w:jc w:val="left"/>
                      <w:rPr>
                        <w:sz w:val="11"/>
                      </w:rPr>
                    </w:pPr>
                    <w:r>
                      <w:rPr>
                        <w:w w:val="115"/>
                        <w:sz w:val="11"/>
                      </w:rPr>
                      <w:t>De la institución revisada</w:t>
                    </w:r>
                  </w:p>
                </w:txbxContent>
              </v:textbox>
              <w10:wrap type="none"/>
            </v:shape>
            <v:shape style="position:absolute;left:3420;top:2260;width:835;height:100" type="#_x0000_t202" filled="false" stroked="false">
              <v:textbox inset="0,0,0,0">
                <w:txbxContent>
                  <w:p>
                    <w:pPr>
                      <w:spacing w:line="99" w:lineRule="exact" w:before="0"/>
                      <w:ind w:left="0" w:right="-16" w:firstLine="0"/>
                      <w:jc w:val="left"/>
                      <w:rPr>
                        <w:b/>
                        <w:sz w:val="10"/>
                      </w:rPr>
                    </w:pPr>
                    <w:r>
                      <w:rPr>
                        <w:b/>
                        <w:w w:val="115"/>
                        <w:sz w:val="10"/>
                      </w:rPr>
                      <w:t>Control Interno</w:t>
                    </w:r>
                  </w:p>
                </w:txbxContent>
              </v:textbox>
              <w10:wrap type="none"/>
            </v:shape>
            <v:shape style="position:absolute;left:4781;top:2513;width:801;height:215" type="#_x0000_t202" filled="false" stroked="false">
              <v:textbox inset="0,0,0,0">
                <w:txbxContent>
                  <w:p>
                    <w:pPr>
                      <w:spacing w:line="104" w:lineRule="exact" w:before="5"/>
                      <w:ind w:left="120" w:right="-13" w:hanging="121"/>
                      <w:jc w:val="left"/>
                      <w:rPr>
                        <w:sz w:val="11"/>
                      </w:rPr>
                    </w:pPr>
                    <w:r>
                      <w:rPr>
                        <w:w w:val="115"/>
                        <w:sz w:val="11"/>
                      </w:rPr>
                      <w:t>De influencias exteriores</w:t>
                    </w:r>
                  </w:p>
                </w:txbxContent>
              </v:textbox>
              <w10:wrap type="none"/>
            </v:shape>
            <v:shape style="position:absolute;left:2090;top:2892;width:806;height:696" type="#_x0000_t202" filled="false" stroked="false">
              <v:textbox inset="0,0,0,0">
                <w:txbxContent>
                  <w:p>
                    <w:pPr>
                      <w:spacing w:line="101" w:lineRule="exact" w:before="0"/>
                      <w:ind w:left="281" w:right="69" w:hanging="170"/>
                      <w:jc w:val="left"/>
                      <w:rPr>
                        <w:b/>
                        <w:sz w:val="10"/>
                      </w:rPr>
                    </w:pPr>
                    <w:r>
                      <w:rPr>
                        <w:b/>
                        <w:w w:val="115"/>
                        <w:sz w:val="10"/>
                      </w:rPr>
                      <w:t>Control Ex</w:t>
                    </w:r>
                  </w:p>
                  <w:p>
                    <w:pPr>
                      <w:spacing w:line="249" w:lineRule="auto" w:before="4"/>
                      <w:ind w:left="38" w:right="-13" w:firstLine="242"/>
                      <w:jc w:val="left"/>
                      <w:rPr>
                        <w:sz w:val="10"/>
                      </w:rPr>
                    </w:pPr>
                    <w:r>
                      <w:rPr>
                        <w:b/>
                        <w:w w:val="115"/>
                        <w:sz w:val="10"/>
                      </w:rPr>
                      <w:t>post </w:t>
                    </w:r>
                    <w:r>
                      <w:rPr>
                        <w:w w:val="115"/>
                        <w:sz w:val="10"/>
                      </w:rPr>
                      <w:t>(posterior a las operaciones</w:t>
                    </w:r>
                  </w:p>
                  <w:p>
                    <w:pPr>
                      <w:spacing w:line="249" w:lineRule="auto" w:before="0"/>
                      <w:ind w:left="0" w:right="-20" w:firstLine="106"/>
                      <w:jc w:val="left"/>
                      <w:rPr>
                        <w:sz w:val="10"/>
                      </w:rPr>
                    </w:pPr>
                    <w:r>
                      <w:rPr>
                        <w:w w:val="115"/>
                        <w:sz w:val="10"/>
                      </w:rPr>
                      <w:t>financiera o administrativas)</w:t>
                    </w:r>
                  </w:p>
                </w:txbxContent>
              </v:textbox>
              <w10:wrap type="none"/>
            </v:shape>
            <v:shape style="position:absolute;left:3401;top:2852;width:872;height:99" type="#_x0000_t202" filled="false" stroked="false">
              <v:textbox inset="0,0,0,0">
                <w:txbxContent>
                  <w:p>
                    <w:pPr>
                      <w:spacing w:line="99" w:lineRule="exact" w:before="0"/>
                      <w:ind w:left="0" w:right="-17" w:firstLine="0"/>
                      <w:jc w:val="left"/>
                      <w:rPr>
                        <w:b/>
                        <w:sz w:val="10"/>
                      </w:rPr>
                    </w:pPr>
                    <w:r>
                      <w:rPr>
                        <w:b/>
                        <w:w w:val="115"/>
                        <w:sz w:val="10"/>
                      </w:rPr>
                      <w:t>Control Externo</w:t>
                    </w:r>
                  </w:p>
                </w:txbxContent>
              </v:textbox>
              <w10:wrap type="none"/>
            </v:shape>
            <v:shape style="position:absolute;left:4884;top:2888;width:594;height:110" type="#_x0000_t202" filled="false" stroked="false">
              <v:textbox inset="0,0,0,0">
                <w:txbxContent>
                  <w:p>
                    <w:pPr>
                      <w:spacing w:line="110" w:lineRule="exact" w:before="0"/>
                      <w:ind w:left="0" w:right="-17" w:firstLine="0"/>
                      <w:jc w:val="left"/>
                      <w:rPr>
                        <w:sz w:val="11"/>
                      </w:rPr>
                    </w:pPr>
                    <w:r>
                      <w:rPr>
                        <w:w w:val="115"/>
                        <w:sz w:val="11"/>
                      </w:rPr>
                      <w:t>Financiera</w:t>
                    </w:r>
                  </w:p>
                </w:txbxContent>
              </v:textbox>
              <w10:wrap type="none"/>
            </v:shape>
            <v:shape style="position:absolute;left:4755;top:357;width:2161;height:279" type="#_x0000_t202" filled="false" stroked="false">
              <v:textbox inset="0,0,0,0">
                <w:txbxContent>
                  <w:p>
                    <w:pPr>
                      <w:spacing w:line="278" w:lineRule="exact" w:before="0"/>
                      <w:ind w:left="0" w:right="-7" w:firstLine="0"/>
                      <w:jc w:val="left"/>
                      <w:rPr>
                        <w:sz w:val="28"/>
                      </w:rPr>
                    </w:pPr>
                    <w:r>
                      <w:rPr>
                        <w:color w:val="001F5F"/>
                        <w:w w:val="115"/>
                        <w:sz w:val="28"/>
                      </w:rPr>
                      <w:t>Características</w:t>
                    </w:r>
                  </w:p>
                </w:txbxContent>
              </v:textbox>
              <w10:wrap type="none"/>
            </v:shape>
            <v:shape style="position:absolute;left:5935;top:2473;width:1114;height:1634" type="#_x0000_t202" filled="true" fillcolor="#edebe0" stroked="true" strokeweight="1.136419pt" strokecolor="#385d89">
              <v:textbox inset="0,0,0,0">
                <w:txbxContent>
                  <w:p>
                    <w:pPr>
                      <w:spacing w:line="240" w:lineRule="auto" w:before="3"/>
                      <w:rPr>
                        <w:sz w:val="9"/>
                      </w:rPr>
                    </w:pPr>
                  </w:p>
                  <w:p>
                    <w:pPr>
                      <w:spacing w:line="104" w:lineRule="exact" w:before="0"/>
                      <w:ind w:left="60" w:right="124" w:hanging="2"/>
                      <w:jc w:val="center"/>
                      <w:rPr>
                        <w:sz w:val="11"/>
                      </w:rPr>
                    </w:pPr>
                    <w:r>
                      <w:rPr>
                        <w:w w:val="115"/>
                        <w:sz w:val="11"/>
                      </w:rPr>
                      <w:t>Regulada por la constitución, de acuerdo con las circunstancias y necesidades de cada país</w:t>
                    </w:r>
                  </w:p>
                  <w:p>
                    <w:pPr>
                      <w:spacing w:line="104" w:lineRule="exact" w:before="47"/>
                      <w:ind w:left="94" w:right="90" w:hanging="2"/>
                      <w:jc w:val="center"/>
                      <w:rPr>
                        <w:sz w:val="11"/>
                      </w:rPr>
                    </w:pPr>
                    <w:r>
                      <w:rPr>
                        <w:w w:val="115"/>
                        <w:sz w:val="11"/>
                      </w:rPr>
                      <w:t>Regulada por la constitución, de acuerdo con las circunstancias y necesidades de cada país</w:t>
                    </w:r>
                  </w:p>
                </w:txbxContent>
              </v:textbox>
              <v:fill type="solid"/>
              <w10:wrap type="none"/>
            </v:shape>
            <v:shape style="position:absolute;left:7246;top:2529;width:1244;height:1578" type="#_x0000_t202" filled="true" fillcolor="#edebe0" stroked="true" strokeweight="1.126629pt" strokecolor="#385d89">
              <v:textbox inset="0,0,0,0">
                <w:txbxContent>
                  <w:p>
                    <w:pPr>
                      <w:spacing w:line="104" w:lineRule="exact" w:before="71"/>
                      <w:ind w:left="86" w:right="151" w:firstLine="0"/>
                      <w:jc w:val="center"/>
                      <w:rPr>
                        <w:sz w:val="11"/>
                      </w:rPr>
                    </w:pPr>
                    <w:r>
                      <w:rPr>
                        <w:w w:val="115"/>
                        <w:sz w:val="11"/>
                      </w:rPr>
                      <w:t>Sin subordinación del gobierno a la entidad fiscalizada</w:t>
                    </w:r>
                  </w:p>
                  <w:p>
                    <w:pPr>
                      <w:spacing w:line="240" w:lineRule="auto" w:before="11"/>
                      <w:rPr>
                        <w:sz w:val="11"/>
                      </w:rPr>
                    </w:pPr>
                  </w:p>
                  <w:p>
                    <w:pPr>
                      <w:spacing w:line="249" w:lineRule="auto" w:before="0"/>
                      <w:ind w:left="44" w:right="109" w:firstLine="0"/>
                      <w:jc w:val="center"/>
                      <w:rPr>
                        <w:sz w:val="11"/>
                      </w:rPr>
                    </w:pPr>
                    <w:r>
                      <w:rPr>
                        <w:w w:val="115"/>
                        <w:sz w:val="11"/>
                      </w:rPr>
                      <w:t>Responsabilidad gubernamental por operaciones u omisiones</w:t>
                    </w:r>
                  </w:p>
                </w:txbxContent>
              </v:textbox>
              <v:fill type="solid"/>
              <w10:wrap type="none"/>
            </v:shape>
            <v:shape style="position:absolute;left:8621;top:2585;width:1114;height:1522" type="#_x0000_t202" filled="true" fillcolor="#edebe0" stroked="true" strokeweight="1.131793pt" strokecolor="#385d89">
              <v:textbox inset="0,0,0,0">
                <w:txbxContent>
                  <w:p>
                    <w:pPr>
                      <w:spacing w:line="240" w:lineRule="auto" w:before="0"/>
                      <w:rPr>
                        <w:sz w:val="10"/>
                      </w:rPr>
                    </w:pPr>
                  </w:p>
                  <w:p>
                    <w:pPr>
                      <w:spacing w:line="104" w:lineRule="exact" w:before="61"/>
                      <w:ind w:left="121" w:right="118" w:firstLine="1"/>
                      <w:jc w:val="center"/>
                      <w:rPr>
                        <w:sz w:val="11"/>
                      </w:rPr>
                    </w:pPr>
                    <w:r>
                      <w:rPr>
                        <w:w w:val="115"/>
                        <w:sz w:val="11"/>
                      </w:rPr>
                      <w:t>Intercambio de experiencias</w:t>
                    </w:r>
                  </w:p>
                  <w:p>
                    <w:pPr>
                      <w:spacing w:line="104" w:lineRule="exact" w:before="88"/>
                      <w:ind w:left="72" w:right="68" w:hanging="2"/>
                      <w:jc w:val="center"/>
                      <w:rPr>
                        <w:sz w:val="11"/>
                      </w:rPr>
                    </w:pPr>
                    <w:r>
                      <w:rPr>
                        <w:w w:val="115"/>
                        <w:sz w:val="11"/>
                      </w:rPr>
                      <w:t>Elaboración de una terminología uniforme de control financiero público</w:t>
                    </w:r>
                  </w:p>
                </w:txbxContent>
              </v:textbox>
              <v:fill type="solid"/>
              <w10:wrap type="none"/>
            </v:shape>
            <v:shape style="position:absolute;left:3368;top:1392;width:1136;height:384" type="#_x0000_t202" filled="true" fillcolor="#000000" stroked="false">
              <v:textbox inset="0,0,0,0">
                <w:txbxContent>
                  <w:p>
                    <w:pPr>
                      <w:spacing w:line="249" w:lineRule="auto" w:before="49"/>
                      <w:ind w:left="332" w:right="306" w:hanging="13"/>
                      <w:jc w:val="left"/>
                      <w:rPr>
                        <w:b/>
                        <w:sz w:val="12"/>
                      </w:rPr>
                    </w:pPr>
                    <w:r>
                      <w:rPr>
                        <w:b/>
                        <w:color w:val="FFFFFF"/>
                        <w:w w:val="115"/>
                        <w:sz w:val="12"/>
                      </w:rPr>
                      <w:t>Tipo de control</w:t>
                    </w:r>
                  </w:p>
                </w:txbxContent>
              </v:textbox>
              <v:fill type="solid"/>
              <w10:wrap type="none"/>
            </v:shape>
            <v:shape style="position:absolute;left:4679;top:1392;width:1333;height:239" type="#_x0000_t202" filled="true" fillcolor="#000000" stroked="false">
              <v:textbox inset="0,0,0,0">
                <w:txbxContent>
                  <w:p>
                    <w:pPr>
                      <w:spacing w:before="49"/>
                      <w:ind w:left="94" w:right="0" w:firstLine="0"/>
                      <w:jc w:val="left"/>
                      <w:rPr>
                        <w:b/>
                        <w:sz w:val="12"/>
                      </w:rPr>
                    </w:pPr>
                    <w:r>
                      <w:rPr>
                        <w:b/>
                        <w:color w:val="FFFFFF"/>
                        <w:w w:val="115"/>
                        <w:sz w:val="12"/>
                      </w:rPr>
                      <w:t>Independencia  *</w:t>
                    </w:r>
                  </w:p>
                </w:txbxContent>
              </v:textbox>
              <v:fill type="solid"/>
              <w10:wrap type="none"/>
            </v:shape>
            <v:shape style="position:absolute;left:6120;top:1448;width:3823;height:239" type="#_x0000_t202" filled="true" fillcolor="#000000" stroked="false">
              <v:textbox inset="0,0,0,0">
                <w:txbxContent>
                  <w:p>
                    <w:pPr>
                      <w:spacing w:before="50"/>
                      <w:ind w:left="243" w:right="0" w:firstLine="0"/>
                      <w:jc w:val="left"/>
                      <w:rPr>
                        <w:b/>
                        <w:sz w:val="12"/>
                      </w:rPr>
                    </w:pPr>
                    <w:r>
                      <w:rPr>
                        <w:b/>
                        <w:color w:val="FFFFFF"/>
                        <w:w w:val="115"/>
                        <w:sz w:val="12"/>
                      </w:rPr>
                      <w:t>Relación de la institución de fiscalización superior</w:t>
                    </w:r>
                  </w:p>
                </w:txbxContent>
              </v:textbox>
              <v:fill type="solid"/>
              <w10:wrap type="none"/>
            </v:shape>
            <v:shape style="position:absolute;left:5859;top:1956;width:1201;height:347" type="#_x0000_t202" filled="true" fillcolor="#000000" stroked="false">
              <v:textbox inset="0,0,0,0">
                <w:txbxContent>
                  <w:p>
                    <w:pPr>
                      <w:spacing w:line="261" w:lineRule="auto" w:before="53"/>
                      <w:ind w:left="297" w:right="100" w:hanging="197"/>
                      <w:jc w:val="left"/>
                      <w:rPr>
                        <w:sz w:val="10"/>
                      </w:rPr>
                    </w:pPr>
                    <w:r>
                      <w:rPr>
                        <w:color w:val="FFFFFF"/>
                        <w:w w:val="120"/>
                        <w:sz w:val="10"/>
                      </w:rPr>
                      <w:t>Con el parlamento o congreso</w:t>
                    </w:r>
                  </w:p>
                </w:txbxContent>
              </v:textbox>
              <v:fill type="solid"/>
              <w10:wrap type="none"/>
            </v:shape>
            <v:shape style="position:absolute;left:7168;top:1956;width:1202;height:347" type="#_x0000_t202" filled="true" fillcolor="#000000" stroked="false">
              <v:textbox inset="0,0,0,0">
                <w:txbxContent>
                  <w:p>
                    <w:pPr>
                      <w:spacing w:line="261" w:lineRule="auto" w:before="53"/>
                      <w:ind w:left="142" w:right="81" w:hanging="35"/>
                      <w:jc w:val="left"/>
                      <w:rPr>
                        <w:sz w:val="10"/>
                      </w:rPr>
                    </w:pPr>
                    <w:r>
                      <w:rPr>
                        <w:color w:val="FFFFFF"/>
                        <w:w w:val="120"/>
                        <w:sz w:val="10"/>
                      </w:rPr>
                      <w:t>Con el gobierno y la administración</w:t>
                    </w:r>
                  </w:p>
                </w:txbxContent>
              </v:textbox>
              <v:fill type="solid"/>
              <w10:wrap type="none"/>
            </v:shape>
            <v:shape style="position:absolute;left:8545;top:1956;width:1201;height:473" type="#_x0000_t202" filled="true" fillcolor="#000000" stroked="false">
              <v:textbox inset="0,0,0,0">
                <w:txbxContent>
                  <w:p>
                    <w:pPr>
                      <w:spacing w:line="261" w:lineRule="auto" w:before="53"/>
                      <w:ind w:left="185" w:right="100" w:hanging="48"/>
                      <w:jc w:val="left"/>
                      <w:rPr>
                        <w:sz w:val="10"/>
                      </w:rPr>
                    </w:pPr>
                    <w:r>
                      <w:rPr>
                        <w:color w:val="FFFFFF"/>
                        <w:w w:val="120"/>
                        <w:sz w:val="10"/>
                      </w:rPr>
                      <w:t>Con organismos de fiscalización internacionales</w:t>
                    </w:r>
                  </w:p>
                </w:txbxContent>
              </v:textbox>
              <v:fill type="solid"/>
              <w10:wrap type="none"/>
            </v:shape>
            <v:shape style="position:absolute;left:2190;top:4096;width:3167;height:745" type="#_x0000_t202" filled="true" fillcolor="#000000" stroked="false">
              <v:textbox inset="0,0,0,0">
                <w:txbxContent>
                  <w:p>
                    <w:pPr>
                      <w:spacing w:line="249" w:lineRule="auto" w:before="52"/>
                      <w:ind w:left="453" w:right="454" w:hanging="2"/>
                      <w:jc w:val="center"/>
                      <w:rPr>
                        <w:sz w:val="18"/>
                      </w:rPr>
                    </w:pPr>
                    <w:r>
                      <w:rPr>
                        <w:color w:val="FFFFFF"/>
                        <w:w w:val="115"/>
                        <w:sz w:val="18"/>
                      </w:rPr>
                      <w:t>Rendición de cuentas (</w:t>
                    </w:r>
                    <w:r>
                      <w:rPr>
                        <w:color w:val="FFFFFF"/>
                        <w:w w:val="115"/>
                        <w:sz w:val="14"/>
                      </w:rPr>
                      <w:t>informe anual de la Entidad de Fiscalización Superior</w:t>
                    </w:r>
                    <w:r>
                      <w:rPr>
                        <w:color w:val="FFFFFF"/>
                        <w:w w:val="115"/>
                        <w:sz w:val="18"/>
                      </w:rPr>
                      <w:t>)</w:t>
                    </w:r>
                  </w:p>
                </w:txbxContent>
              </v:textbox>
              <v:fill type="solid"/>
              <w10:wrap type="none"/>
            </v:shape>
            <v:shape style="position:absolute;left:5989;top:4265;width:1071;height:347" type="#_x0000_t202" filled="true" fillcolor="#000000" stroked="false">
              <v:textbox inset="0,0,0,0">
                <w:txbxContent>
                  <w:p>
                    <w:pPr>
                      <w:spacing w:line="261" w:lineRule="auto" w:before="54"/>
                      <w:ind w:left="283" w:right="102" w:hanging="175"/>
                      <w:jc w:val="left"/>
                      <w:rPr>
                        <w:sz w:val="10"/>
                      </w:rPr>
                    </w:pPr>
                    <w:r>
                      <w:rPr>
                        <w:color w:val="FFFFFF"/>
                        <w:w w:val="120"/>
                        <w:sz w:val="10"/>
                      </w:rPr>
                      <w:t>Al parlamento o congreso</w:t>
                    </w:r>
                  </w:p>
                </w:txbxContent>
              </v:textbox>
              <v:fill type="solid"/>
              <w10:wrap type="none"/>
            </v:shape>
            <v:shape style="position:absolute;left:5989;top:4772;width:1071;height:221" type="#_x0000_t202" filled="true" fillcolor="#000000" stroked="false">
              <v:textbox inset="0,0,0,0">
                <w:txbxContent>
                  <w:p>
                    <w:pPr>
                      <w:spacing w:before="54"/>
                      <w:ind w:left="252" w:right="102" w:firstLine="0"/>
                      <w:jc w:val="left"/>
                      <w:rPr>
                        <w:sz w:val="10"/>
                      </w:rPr>
                    </w:pPr>
                    <w:r>
                      <w:rPr>
                        <w:color w:val="FFFFFF"/>
                        <w:w w:val="120"/>
                        <w:sz w:val="10"/>
                      </w:rPr>
                      <w:t>Al  público</w:t>
                    </w:r>
                  </w:p>
                </w:txbxContent>
              </v:textbox>
              <v:fill type="solid"/>
              <w10:wrap type="none"/>
            </v:shape>
            <w10:wrap type="topAndBottom"/>
          </v:group>
        </w:pict>
      </w:r>
    </w:p>
    <w:p>
      <w:pPr>
        <w:spacing w:line="137" w:lineRule="exact" w:before="110"/>
        <w:ind w:left="102" w:right="66" w:firstLine="0"/>
        <w:jc w:val="left"/>
        <w:rPr>
          <w:sz w:val="12"/>
        </w:rPr>
      </w:pPr>
      <w:r>
        <w:rPr>
          <w:sz w:val="12"/>
        </w:rPr>
        <w:t>FUENTE: INTOSAI,IX Congreso (1977).</w:t>
      </w:r>
    </w:p>
    <w:p>
      <w:pPr>
        <w:spacing w:before="0"/>
        <w:ind w:left="668" w:right="66" w:firstLine="0"/>
        <w:jc w:val="left"/>
        <w:rPr>
          <w:sz w:val="12"/>
        </w:rPr>
      </w:pPr>
      <w:r>
        <w:rPr>
          <w:sz w:val="12"/>
        </w:rPr>
        <w:t>Nota: De acuerdo con la INTOSAI, los pilares de la independencia de las EFS son: Marco legal, recursos, dirección personal, auditorías, acceso a la información, presentación de resultados de auditoría, contenido y planificación de los informes de auditoría y mecanismos de seguimiento eficaces.</w:t>
      </w:r>
    </w:p>
    <w:p>
      <w:pPr>
        <w:pStyle w:val="BodyText"/>
        <w:rPr>
          <w:sz w:val="12"/>
        </w:rPr>
      </w:pPr>
    </w:p>
    <w:p>
      <w:pPr>
        <w:pStyle w:val="BodyText"/>
        <w:rPr>
          <w:sz w:val="12"/>
        </w:rPr>
      </w:pPr>
    </w:p>
    <w:p>
      <w:pPr>
        <w:pStyle w:val="BodyText"/>
        <w:rPr>
          <w:sz w:val="12"/>
        </w:rPr>
      </w:pPr>
    </w:p>
    <w:p>
      <w:pPr>
        <w:pStyle w:val="BodyText"/>
        <w:spacing w:line="360" w:lineRule="auto"/>
        <w:ind w:left="102" w:right="118" w:firstLine="566"/>
        <w:jc w:val="both"/>
      </w:pPr>
      <w:r>
        <w:rPr/>
        <w:t>En algunos países, principalmente los avanzados, como en Alemania, las instituciones</w:t>
      </w:r>
      <w:r>
        <w:rPr>
          <w:spacing w:val="-7"/>
        </w:rPr>
        <w:t> </w:t>
      </w:r>
      <w:r>
        <w:rPr/>
        <w:t>de</w:t>
      </w:r>
      <w:r>
        <w:rPr>
          <w:spacing w:val="-6"/>
        </w:rPr>
        <w:t> </w:t>
      </w:r>
      <w:r>
        <w:rPr/>
        <w:t>rendición</w:t>
      </w:r>
      <w:r>
        <w:rPr>
          <w:spacing w:val="-6"/>
        </w:rPr>
        <w:t> </w:t>
      </w:r>
      <w:r>
        <w:rPr/>
        <w:t>de</w:t>
      </w:r>
      <w:r>
        <w:rPr>
          <w:spacing w:val="-6"/>
        </w:rPr>
        <w:t> </w:t>
      </w:r>
      <w:r>
        <w:rPr/>
        <w:t>cuentas</w:t>
      </w:r>
      <w:r>
        <w:rPr>
          <w:spacing w:val="-9"/>
        </w:rPr>
        <w:t> </w:t>
      </w:r>
      <w:r>
        <w:rPr/>
        <w:t>asesoran</w:t>
      </w:r>
      <w:r>
        <w:rPr>
          <w:spacing w:val="-6"/>
        </w:rPr>
        <w:t> </w:t>
      </w:r>
      <w:r>
        <w:rPr/>
        <w:t>a</w:t>
      </w:r>
      <w:r>
        <w:rPr>
          <w:spacing w:val="-6"/>
        </w:rPr>
        <w:t> </w:t>
      </w:r>
      <w:r>
        <w:rPr/>
        <w:t>sus</w:t>
      </w:r>
      <w:r>
        <w:rPr>
          <w:spacing w:val="-7"/>
        </w:rPr>
        <w:t> </w:t>
      </w:r>
      <w:r>
        <w:rPr/>
        <w:t>gobiernos</w:t>
      </w:r>
      <w:r>
        <w:rPr>
          <w:spacing w:val="-7"/>
        </w:rPr>
        <w:t> </w:t>
      </w:r>
      <w:r>
        <w:rPr/>
        <w:t>y</w:t>
      </w:r>
      <w:r>
        <w:rPr>
          <w:spacing w:val="-9"/>
        </w:rPr>
        <w:t> </w:t>
      </w:r>
      <w:r>
        <w:rPr/>
        <w:t>legislaturas</w:t>
      </w:r>
      <w:r>
        <w:rPr>
          <w:spacing w:val="-7"/>
        </w:rPr>
        <w:t> </w:t>
      </w:r>
      <w:r>
        <w:rPr/>
        <w:t>en la elaboración del</w:t>
      </w:r>
      <w:r>
        <w:rPr>
          <w:spacing w:val="-10"/>
        </w:rPr>
        <w:t> </w:t>
      </w:r>
      <w:r>
        <w:rPr/>
        <w:t>presupuesto.</w:t>
      </w:r>
    </w:p>
    <w:p>
      <w:pPr>
        <w:spacing w:after="0" w:line="360" w:lineRule="auto"/>
        <w:jc w:val="both"/>
        <w:sectPr>
          <w:footerReference w:type="even" r:id="rId174"/>
          <w:footerReference w:type="default" r:id="rId175"/>
          <w:pgSz w:w="11910" w:h="16840"/>
          <w:pgMar w:footer="1003" w:header="0" w:top="1340" w:bottom="1200" w:left="1600" w:right="1580"/>
          <w:pgNumType w:start="112"/>
        </w:sectPr>
      </w:pPr>
    </w:p>
    <w:p>
      <w:pPr>
        <w:pStyle w:val="Heading3"/>
        <w:numPr>
          <w:ilvl w:val="2"/>
          <w:numId w:val="62"/>
        </w:numPr>
        <w:tabs>
          <w:tab w:pos="724" w:val="left" w:leader="none"/>
        </w:tabs>
        <w:spacing w:line="362" w:lineRule="auto" w:before="55" w:after="0"/>
        <w:ind w:left="122" w:right="741" w:firstLine="0"/>
        <w:jc w:val="left"/>
      </w:pPr>
      <w:bookmarkStart w:name="_bookmark67" w:id="89"/>
      <w:bookmarkEnd w:id="89"/>
      <w:r>
        <w:rPr>
          <w:b w:val="0"/>
        </w:rPr>
      </w:r>
      <w:bookmarkStart w:name="_bookmark67" w:id="90"/>
      <w:bookmarkEnd w:id="90"/>
      <w:r>
        <w:rPr/>
        <w:t>De</w:t>
      </w:r>
      <w:r>
        <w:rPr/>
        <w:t>claración de México sobre la Independencia de las Entidades Fiscalizadoras</w:t>
      </w:r>
      <w:r>
        <w:rPr>
          <w:spacing w:val="-7"/>
        </w:rPr>
        <w:t> </w:t>
      </w:r>
      <w:r>
        <w:rPr/>
        <w:t>Superiores</w:t>
      </w:r>
    </w:p>
    <w:p>
      <w:pPr>
        <w:pStyle w:val="BodyText"/>
        <w:spacing w:before="7"/>
        <w:rPr>
          <w:b/>
          <w:sz w:val="35"/>
        </w:rPr>
      </w:pPr>
    </w:p>
    <w:p>
      <w:pPr>
        <w:spacing w:line="360" w:lineRule="auto" w:before="1"/>
        <w:ind w:left="122" w:right="117" w:firstLine="0"/>
        <w:jc w:val="both"/>
        <w:rPr>
          <w:sz w:val="24"/>
        </w:rPr>
      </w:pPr>
      <w:r>
        <w:rPr>
          <w:sz w:val="24"/>
        </w:rPr>
        <w:t>En noviembre de 2007 se realizó en México el XIX Congreso de la INTOSAI</w:t>
      </w:r>
      <w:r>
        <w:rPr>
          <w:position w:val="8"/>
          <w:sz w:val="16"/>
        </w:rPr>
        <w:t>92 </w:t>
      </w:r>
      <w:r>
        <w:rPr>
          <w:sz w:val="24"/>
        </w:rPr>
        <w:t>del cual se publicó la </w:t>
      </w:r>
      <w:r>
        <w:rPr>
          <w:i/>
          <w:sz w:val="24"/>
        </w:rPr>
        <w:t>Declaración de México sobre Independencia de las </w:t>
      </w:r>
      <w:r>
        <w:rPr>
          <w:i/>
          <w:sz w:val="24"/>
        </w:rPr>
        <w:t>Entidades Fiscalizadoras Superiores </w:t>
      </w:r>
      <w:r>
        <w:rPr>
          <w:sz w:val="24"/>
        </w:rPr>
        <w:t>(clave ISSAI 10), documento difundido</w:t>
      </w:r>
      <w:r>
        <w:rPr>
          <w:spacing w:val="-35"/>
          <w:sz w:val="24"/>
        </w:rPr>
        <w:t> </w:t>
      </w:r>
      <w:r>
        <w:rPr>
          <w:sz w:val="24"/>
        </w:rPr>
        <w:t>con el objeto de contribuir al establecimiento de requisitos para la fiscalización del sector público. Los principios básicos son los</w:t>
      </w:r>
      <w:r>
        <w:rPr>
          <w:spacing w:val="-12"/>
          <w:sz w:val="24"/>
        </w:rPr>
        <w:t> </w:t>
      </w:r>
      <w:r>
        <w:rPr>
          <w:sz w:val="24"/>
        </w:rPr>
        <w:t>siguientes:</w:t>
      </w:r>
    </w:p>
    <w:p>
      <w:pPr>
        <w:pStyle w:val="BodyText"/>
        <w:spacing w:before="4"/>
        <w:rPr>
          <w:sz w:val="20"/>
        </w:rPr>
      </w:pPr>
    </w:p>
    <w:p>
      <w:pPr>
        <w:spacing w:before="0"/>
        <w:ind w:left="1422" w:right="52" w:firstLine="0"/>
        <w:jc w:val="left"/>
        <w:rPr>
          <w:sz w:val="20"/>
        </w:rPr>
      </w:pPr>
      <w:bookmarkStart w:name="_bookmark68" w:id="91"/>
      <w:bookmarkEnd w:id="91"/>
      <w:r>
        <w:rPr/>
      </w:r>
      <w:r>
        <w:rPr>
          <w:sz w:val="20"/>
        </w:rPr>
        <w:t>Cuadro 3. 8. Principios básicos de la INTOSAI para la fiscalización</w:t>
      </w:r>
    </w:p>
    <w:p>
      <w:pPr>
        <w:pStyle w:val="BodyText"/>
        <w:spacing w:before="5"/>
        <w:rPr>
          <w:sz w:val="17"/>
        </w:rPr>
      </w:pP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7"/>
      </w:tblGrid>
      <w:tr>
        <w:trPr>
          <w:trHeight w:val="494" w:hRule="exact"/>
        </w:trPr>
        <w:tc>
          <w:tcPr>
            <w:tcW w:w="8387" w:type="dxa"/>
          </w:tcPr>
          <w:p>
            <w:pPr>
              <w:pStyle w:val="TableParagraph"/>
              <w:spacing w:line="247" w:lineRule="auto"/>
              <w:ind w:left="103" w:right="45"/>
              <w:rPr>
                <w:sz w:val="14"/>
              </w:rPr>
            </w:pPr>
            <w:r>
              <w:rPr>
                <w:b/>
                <w:sz w:val="14"/>
              </w:rPr>
              <w:t>Principio 1: </w:t>
            </w:r>
            <w:r>
              <w:rPr>
                <w:sz w:val="14"/>
              </w:rPr>
              <w:t>La existencia de un marco constitucional, reglamentario o legal apropiado y eficaz, así como de disposiciones para la aplicación de </w:t>
            </w:r>
            <w:r>
              <w:rPr>
                <w:i/>
                <w:sz w:val="14"/>
              </w:rPr>
              <w:t>facto </w:t>
            </w:r>
            <w:r>
              <w:rPr>
                <w:sz w:val="14"/>
              </w:rPr>
              <w:t>de dicho marco.</w:t>
            </w:r>
          </w:p>
          <w:p>
            <w:pPr>
              <w:pStyle w:val="TableParagraph"/>
              <w:spacing w:line="156" w:lineRule="exact"/>
              <w:ind w:left="103" w:right="45"/>
              <w:rPr>
                <w:sz w:val="14"/>
              </w:rPr>
            </w:pPr>
            <w:r>
              <w:rPr>
                <w:sz w:val="14"/>
              </w:rPr>
              <w:t>Acción: Se requiere legislación que establezca, de manera detallada, el alcance de la independencia de la EFS.</w:t>
            </w:r>
          </w:p>
        </w:tc>
      </w:tr>
      <w:tr>
        <w:trPr>
          <w:trHeight w:val="1135" w:hRule="exact"/>
        </w:trPr>
        <w:tc>
          <w:tcPr>
            <w:tcW w:w="8387" w:type="dxa"/>
          </w:tcPr>
          <w:p>
            <w:pPr>
              <w:pStyle w:val="TableParagraph"/>
              <w:spacing w:line="242" w:lineRule="auto"/>
              <w:ind w:left="103" w:right="45"/>
              <w:rPr>
                <w:sz w:val="14"/>
              </w:rPr>
            </w:pPr>
            <w:r>
              <w:rPr>
                <w:b/>
                <w:sz w:val="14"/>
              </w:rPr>
              <w:t>Principio 2: </w:t>
            </w:r>
            <w:r>
              <w:rPr>
                <w:sz w:val="14"/>
              </w:rPr>
              <w:t>La independencia de la autoridad superior de la EFS, y de los “miembros” (para el caso de instituciones colegiadas), incluyendo la seguridad en el cargo y la inmunidad legal en el cumplimiento normal de sus obligaciones.</w:t>
            </w:r>
          </w:p>
          <w:p>
            <w:pPr>
              <w:pStyle w:val="TableParagraph"/>
              <w:ind w:left="103" w:right="45"/>
              <w:rPr>
                <w:sz w:val="14"/>
              </w:rPr>
            </w:pPr>
            <w:r>
              <w:rPr>
                <w:sz w:val="14"/>
              </w:rPr>
              <w:t>Acción: La legislación específica de las condiciones para la designación, reelección, contratación, destitución y retiro del titular de la EFS y de los “miembros” en las instituciones colegiadas, quienes son:</w:t>
            </w:r>
          </w:p>
          <w:p>
            <w:pPr>
              <w:pStyle w:val="TableParagraph"/>
              <w:numPr>
                <w:ilvl w:val="0"/>
                <w:numId w:val="66"/>
              </w:numPr>
              <w:tabs>
                <w:tab w:pos="231" w:val="left" w:leader="none"/>
              </w:tabs>
              <w:spacing w:line="240" w:lineRule="auto" w:before="0" w:after="0"/>
              <w:ind w:left="230" w:right="0" w:hanging="142"/>
              <w:jc w:val="left"/>
              <w:rPr>
                <w:sz w:val="14"/>
              </w:rPr>
            </w:pPr>
            <w:r>
              <w:rPr>
                <w:sz w:val="14"/>
              </w:rPr>
              <w:t>Designados,</w:t>
            </w:r>
            <w:r>
              <w:rPr>
                <w:spacing w:val="-3"/>
                <w:sz w:val="14"/>
              </w:rPr>
              <w:t> </w:t>
            </w:r>
            <w:r>
              <w:rPr>
                <w:sz w:val="14"/>
              </w:rPr>
              <w:t>reelectos</w:t>
            </w:r>
            <w:r>
              <w:rPr>
                <w:spacing w:val="-3"/>
                <w:sz w:val="14"/>
              </w:rPr>
              <w:t> </w:t>
            </w:r>
            <w:r>
              <w:rPr>
                <w:sz w:val="14"/>
              </w:rPr>
              <w:t>o</w:t>
            </w:r>
            <w:r>
              <w:rPr>
                <w:spacing w:val="-3"/>
                <w:sz w:val="14"/>
              </w:rPr>
              <w:t> </w:t>
            </w:r>
            <w:r>
              <w:rPr>
                <w:sz w:val="14"/>
              </w:rPr>
              <w:t>destituidos</w:t>
            </w:r>
            <w:r>
              <w:rPr>
                <w:spacing w:val="-3"/>
                <w:sz w:val="14"/>
              </w:rPr>
              <w:t> </w:t>
            </w:r>
            <w:r>
              <w:rPr>
                <w:sz w:val="14"/>
              </w:rPr>
              <w:t>en</w:t>
            </w:r>
            <w:r>
              <w:rPr>
                <w:spacing w:val="-3"/>
                <w:sz w:val="14"/>
              </w:rPr>
              <w:t> </w:t>
            </w:r>
            <w:r>
              <w:rPr>
                <w:sz w:val="14"/>
              </w:rPr>
              <w:t>un</w:t>
            </w:r>
            <w:r>
              <w:rPr>
                <w:spacing w:val="-3"/>
                <w:sz w:val="14"/>
              </w:rPr>
              <w:t> </w:t>
            </w:r>
            <w:r>
              <w:rPr>
                <w:sz w:val="14"/>
              </w:rPr>
              <w:t>proceso</w:t>
            </w:r>
            <w:r>
              <w:rPr>
                <w:spacing w:val="-5"/>
                <w:sz w:val="14"/>
              </w:rPr>
              <w:t> </w:t>
            </w:r>
            <w:r>
              <w:rPr>
                <w:sz w:val="14"/>
              </w:rPr>
              <w:t>de</w:t>
            </w:r>
            <w:r>
              <w:rPr>
                <w:spacing w:val="-5"/>
                <w:sz w:val="14"/>
              </w:rPr>
              <w:t> </w:t>
            </w:r>
            <w:r>
              <w:rPr>
                <w:sz w:val="14"/>
              </w:rPr>
              <w:t>independiente</w:t>
            </w:r>
            <w:r>
              <w:rPr>
                <w:spacing w:val="-5"/>
                <w:sz w:val="14"/>
              </w:rPr>
              <w:t> </w:t>
            </w:r>
            <w:r>
              <w:rPr>
                <w:sz w:val="14"/>
              </w:rPr>
              <w:t>del</w:t>
            </w:r>
            <w:r>
              <w:rPr>
                <w:spacing w:val="-5"/>
                <w:sz w:val="14"/>
              </w:rPr>
              <w:t> </w:t>
            </w:r>
            <w:r>
              <w:rPr>
                <w:sz w:val="14"/>
              </w:rPr>
              <w:t>Poder</w:t>
            </w:r>
            <w:r>
              <w:rPr>
                <w:spacing w:val="-3"/>
                <w:sz w:val="14"/>
              </w:rPr>
              <w:t> </w:t>
            </w:r>
            <w:r>
              <w:rPr>
                <w:sz w:val="14"/>
              </w:rPr>
              <w:t>Ejecutivo.</w:t>
            </w:r>
          </w:p>
          <w:p>
            <w:pPr>
              <w:pStyle w:val="TableParagraph"/>
              <w:numPr>
                <w:ilvl w:val="0"/>
                <w:numId w:val="66"/>
              </w:numPr>
              <w:tabs>
                <w:tab w:pos="231" w:val="left" w:leader="none"/>
              </w:tabs>
              <w:spacing w:line="240" w:lineRule="auto" w:before="0" w:after="0"/>
              <w:ind w:left="230" w:right="0" w:hanging="142"/>
              <w:jc w:val="left"/>
              <w:rPr>
                <w:sz w:val="14"/>
              </w:rPr>
            </w:pPr>
            <w:r>
              <w:rPr>
                <w:sz w:val="14"/>
              </w:rPr>
              <w:t>Designados</w:t>
            </w:r>
            <w:r>
              <w:rPr>
                <w:spacing w:val="-3"/>
                <w:sz w:val="14"/>
              </w:rPr>
              <w:t> </w:t>
            </w:r>
            <w:r>
              <w:rPr>
                <w:sz w:val="14"/>
              </w:rPr>
              <w:t>por</w:t>
            </w:r>
            <w:r>
              <w:rPr>
                <w:spacing w:val="-4"/>
                <w:sz w:val="14"/>
              </w:rPr>
              <w:t> </w:t>
            </w:r>
            <w:r>
              <w:rPr>
                <w:sz w:val="14"/>
              </w:rPr>
              <w:t>períodos</w:t>
            </w:r>
            <w:r>
              <w:rPr>
                <w:spacing w:val="-3"/>
                <w:sz w:val="14"/>
              </w:rPr>
              <w:t> </w:t>
            </w:r>
            <w:r>
              <w:rPr>
                <w:sz w:val="14"/>
              </w:rPr>
              <w:t>prolongados</w:t>
            </w:r>
            <w:r>
              <w:rPr>
                <w:spacing w:val="-3"/>
                <w:sz w:val="14"/>
              </w:rPr>
              <w:t> </w:t>
            </w:r>
            <w:r>
              <w:rPr>
                <w:sz w:val="14"/>
              </w:rPr>
              <w:t>para</w:t>
            </w:r>
            <w:r>
              <w:rPr>
                <w:spacing w:val="-4"/>
                <w:sz w:val="14"/>
              </w:rPr>
              <w:t> </w:t>
            </w:r>
            <w:r>
              <w:rPr>
                <w:sz w:val="14"/>
              </w:rPr>
              <w:t>permitirles</w:t>
            </w:r>
            <w:r>
              <w:rPr>
                <w:spacing w:val="-4"/>
                <w:sz w:val="14"/>
              </w:rPr>
              <w:t> </w:t>
            </w:r>
            <w:r>
              <w:rPr>
                <w:sz w:val="14"/>
              </w:rPr>
              <w:t>su</w:t>
            </w:r>
            <w:r>
              <w:rPr>
                <w:spacing w:val="-4"/>
                <w:sz w:val="14"/>
              </w:rPr>
              <w:t> </w:t>
            </w:r>
            <w:r>
              <w:rPr>
                <w:sz w:val="14"/>
              </w:rPr>
              <w:t>mandato</w:t>
            </w:r>
            <w:r>
              <w:rPr>
                <w:spacing w:val="-5"/>
                <w:sz w:val="14"/>
              </w:rPr>
              <w:t> </w:t>
            </w:r>
            <w:r>
              <w:rPr>
                <w:sz w:val="14"/>
              </w:rPr>
              <w:t>sin</w:t>
            </w:r>
            <w:r>
              <w:rPr>
                <w:spacing w:val="-4"/>
                <w:sz w:val="14"/>
              </w:rPr>
              <w:t> </w:t>
            </w:r>
            <w:r>
              <w:rPr>
                <w:sz w:val="14"/>
              </w:rPr>
              <w:t>temor</w:t>
            </w:r>
            <w:r>
              <w:rPr>
                <w:spacing w:val="-3"/>
                <w:sz w:val="14"/>
              </w:rPr>
              <w:t> </w:t>
            </w:r>
            <w:r>
              <w:rPr>
                <w:sz w:val="14"/>
              </w:rPr>
              <w:t>a</w:t>
            </w:r>
            <w:r>
              <w:rPr>
                <w:spacing w:val="-4"/>
                <w:sz w:val="14"/>
              </w:rPr>
              <w:t> </w:t>
            </w:r>
            <w:r>
              <w:rPr>
                <w:sz w:val="14"/>
              </w:rPr>
              <w:t>represalias.</w:t>
            </w:r>
          </w:p>
          <w:p>
            <w:pPr>
              <w:pStyle w:val="TableParagraph"/>
              <w:ind w:left="103" w:right="45"/>
              <w:rPr>
                <w:sz w:val="14"/>
              </w:rPr>
            </w:pPr>
            <w:r>
              <w:rPr>
                <w:sz w:val="14"/>
              </w:rPr>
              <w:t>inmunes a cualquier proceso por cualquier acto, que resulte del normal cumplimiento de sus obligaciones</w:t>
            </w:r>
          </w:p>
        </w:tc>
      </w:tr>
      <w:tr>
        <w:trPr>
          <w:trHeight w:val="2427" w:hRule="exact"/>
        </w:trPr>
        <w:tc>
          <w:tcPr>
            <w:tcW w:w="8387" w:type="dxa"/>
          </w:tcPr>
          <w:p>
            <w:pPr>
              <w:pStyle w:val="TableParagraph"/>
              <w:spacing w:line="242" w:lineRule="auto"/>
              <w:ind w:left="103" w:right="45"/>
              <w:rPr>
                <w:sz w:val="14"/>
              </w:rPr>
            </w:pPr>
            <w:r>
              <w:rPr>
                <w:b/>
                <w:sz w:val="14"/>
              </w:rPr>
              <w:t>Principio 3: </w:t>
            </w:r>
            <w:r>
              <w:rPr>
                <w:sz w:val="14"/>
              </w:rPr>
              <w:t>Un mandato suficientemente amplio y facultades plenamente discrecionales en el cumplimiento de las funciones de la EFS.</w:t>
            </w:r>
          </w:p>
          <w:p>
            <w:pPr>
              <w:pStyle w:val="TableParagraph"/>
              <w:spacing w:line="159" w:lineRule="exact"/>
              <w:ind w:left="103"/>
              <w:jc w:val="both"/>
              <w:rPr>
                <w:sz w:val="14"/>
              </w:rPr>
            </w:pPr>
            <w:r>
              <w:rPr>
                <w:sz w:val="14"/>
              </w:rPr>
              <w:t>Acción: Las EFS deben tener atribuciones para auditar:</w:t>
            </w:r>
          </w:p>
          <w:p>
            <w:pPr>
              <w:pStyle w:val="TableParagraph"/>
              <w:numPr>
                <w:ilvl w:val="0"/>
                <w:numId w:val="67"/>
              </w:numPr>
              <w:tabs>
                <w:tab w:pos="269" w:val="left" w:leader="none"/>
              </w:tabs>
              <w:spacing w:line="240" w:lineRule="auto" w:before="0" w:after="0"/>
              <w:ind w:left="268" w:right="0" w:hanging="180"/>
              <w:jc w:val="both"/>
              <w:rPr>
                <w:sz w:val="14"/>
              </w:rPr>
            </w:pPr>
            <w:r>
              <w:rPr>
                <w:sz w:val="14"/>
              </w:rPr>
              <w:t>La</w:t>
            </w:r>
            <w:r>
              <w:rPr>
                <w:spacing w:val="-3"/>
                <w:sz w:val="14"/>
              </w:rPr>
              <w:t> </w:t>
            </w:r>
            <w:r>
              <w:rPr>
                <w:sz w:val="14"/>
              </w:rPr>
              <w:t>utilización</w:t>
            </w:r>
            <w:r>
              <w:rPr>
                <w:spacing w:val="-3"/>
                <w:sz w:val="14"/>
              </w:rPr>
              <w:t> </w:t>
            </w:r>
            <w:r>
              <w:rPr>
                <w:sz w:val="14"/>
              </w:rPr>
              <w:t>de</w:t>
            </w:r>
            <w:r>
              <w:rPr>
                <w:spacing w:val="-5"/>
                <w:sz w:val="14"/>
              </w:rPr>
              <w:t> </w:t>
            </w:r>
            <w:r>
              <w:rPr>
                <w:sz w:val="14"/>
              </w:rPr>
              <w:t>los</w:t>
            </w:r>
            <w:r>
              <w:rPr>
                <w:spacing w:val="-2"/>
                <w:sz w:val="14"/>
              </w:rPr>
              <w:t> </w:t>
            </w:r>
            <w:r>
              <w:rPr>
                <w:sz w:val="14"/>
              </w:rPr>
              <w:t>activos</w:t>
            </w:r>
            <w:r>
              <w:rPr>
                <w:spacing w:val="-3"/>
                <w:sz w:val="14"/>
              </w:rPr>
              <w:t> </w:t>
            </w:r>
            <w:r>
              <w:rPr>
                <w:sz w:val="14"/>
              </w:rPr>
              <w:t>públicos</w:t>
            </w:r>
            <w:r>
              <w:rPr>
                <w:spacing w:val="-2"/>
                <w:sz w:val="14"/>
              </w:rPr>
              <w:t> </w:t>
            </w:r>
            <w:r>
              <w:rPr>
                <w:sz w:val="14"/>
              </w:rPr>
              <w:t>del</w:t>
            </w:r>
            <w:r>
              <w:rPr>
                <w:spacing w:val="-5"/>
                <w:sz w:val="14"/>
              </w:rPr>
              <w:t> </w:t>
            </w:r>
            <w:r>
              <w:rPr>
                <w:sz w:val="14"/>
              </w:rPr>
              <w:t>receptor</w:t>
            </w:r>
            <w:r>
              <w:rPr>
                <w:spacing w:val="-5"/>
                <w:sz w:val="14"/>
              </w:rPr>
              <w:t> </w:t>
            </w:r>
            <w:r>
              <w:rPr>
                <w:sz w:val="14"/>
              </w:rPr>
              <w:t>o</w:t>
            </w:r>
            <w:r>
              <w:rPr>
                <w:spacing w:val="-4"/>
                <w:sz w:val="14"/>
              </w:rPr>
              <w:t> </w:t>
            </w:r>
            <w:r>
              <w:rPr>
                <w:sz w:val="14"/>
              </w:rPr>
              <w:t>beneficiario,</w:t>
            </w:r>
            <w:r>
              <w:rPr>
                <w:spacing w:val="-3"/>
                <w:sz w:val="14"/>
              </w:rPr>
              <w:t> </w:t>
            </w:r>
            <w:r>
              <w:rPr>
                <w:sz w:val="14"/>
              </w:rPr>
              <w:t>de</w:t>
            </w:r>
            <w:r>
              <w:rPr>
                <w:spacing w:val="-3"/>
                <w:sz w:val="14"/>
              </w:rPr>
              <w:t> </w:t>
            </w:r>
            <w:r>
              <w:rPr>
                <w:sz w:val="14"/>
              </w:rPr>
              <w:t>cualquier</w:t>
            </w:r>
            <w:r>
              <w:rPr>
                <w:spacing w:val="-3"/>
                <w:sz w:val="14"/>
              </w:rPr>
              <w:t> </w:t>
            </w:r>
            <w:r>
              <w:rPr>
                <w:sz w:val="14"/>
              </w:rPr>
              <w:t>naturaleza</w:t>
            </w:r>
            <w:r>
              <w:rPr>
                <w:spacing w:val="-3"/>
                <w:sz w:val="14"/>
              </w:rPr>
              <w:t> </w:t>
            </w:r>
            <w:r>
              <w:rPr>
                <w:sz w:val="14"/>
              </w:rPr>
              <w:t>jurídica.</w:t>
            </w:r>
          </w:p>
          <w:p>
            <w:pPr>
              <w:pStyle w:val="TableParagraph"/>
              <w:numPr>
                <w:ilvl w:val="0"/>
                <w:numId w:val="67"/>
              </w:numPr>
              <w:tabs>
                <w:tab w:pos="269" w:val="left" w:leader="none"/>
              </w:tabs>
              <w:spacing w:line="240" w:lineRule="auto" w:before="0" w:after="0"/>
              <w:ind w:left="268" w:right="0" w:hanging="180"/>
              <w:jc w:val="both"/>
              <w:rPr>
                <w:sz w:val="14"/>
              </w:rPr>
            </w:pPr>
            <w:r>
              <w:rPr>
                <w:sz w:val="14"/>
              </w:rPr>
              <w:t>La</w:t>
            </w:r>
            <w:r>
              <w:rPr>
                <w:spacing w:val="-2"/>
                <w:sz w:val="14"/>
              </w:rPr>
              <w:t> </w:t>
            </w:r>
            <w:r>
              <w:rPr>
                <w:sz w:val="14"/>
              </w:rPr>
              <w:t>recaudación</w:t>
            </w:r>
            <w:r>
              <w:rPr>
                <w:spacing w:val="-2"/>
                <w:sz w:val="14"/>
              </w:rPr>
              <w:t> </w:t>
            </w:r>
            <w:r>
              <w:rPr>
                <w:sz w:val="14"/>
              </w:rPr>
              <w:t>de</w:t>
            </w:r>
            <w:r>
              <w:rPr>
                <w:spacing w:val="-4"/>
                <w:sz w:val="14"/>
              </w:rPr>
              <w:t> </w:t>
            </w:r>
            <w:r>
              <w:rPr>
                <w:sz w:val="14"/>
              </w:rPr>
              <w:t>ingresos</w:t>
            </w:r>
            <w:r>
              <w:rPr>
                <w:spacing w:val="-2"/>
                <w:sz w:val="14"/>
              </w:rPr>
              <w:t> </w:t>
            </w:r>
            <w:r>
              <w:rPr>
                <w:sz w:val="14"/>
              </w:rPr>
              <w:t>adeudados</w:t>
            </w:r>
            <w:r>
              <w:rPr>
                <w:spacing w:val="-4"/>
                <w:sz w:val="14"/>
              </w:rPr>
              <w:t> </w:t>
            </w:r>
            <w:r>
              <w:rPr>
                <w:sz w:val="14"/>
              </w:rPr>
              <w:t>al</w:t>
            </w:r>
            <w:r>
              <w:rPr>
                <w:spacing w:val="-4"/>
                <w:sz w:val="14"/>
              </w:rPr>
              <w:t> </w:t>
            </w:r>
            <w:r>
              <w:rPr>
                <w:sz w:val="14"/>
              </w:rPr>
              <w:t>gobierno</w:t>
            </w:r>
            <w:r>
              <w:rPr>
                <w:spacing w:val="-2"/>
                <w:sz w:val="14"/>
              </w:rPr>
              <w:t> </w:t>
            </w:r>
            <w:r>
              <w:rPr>
                <w:sz w:val="14"/>
              </w:rPr>
              <w:t>o</w:t>
            </w:r>
            <w:r>
              <w:rPr>
                <w:spacing w:val="-4"/>
                <w:sz w:val="14"/>
              </w:rPr>
              <w:t> </w:t>
            </w:r>
            <w:r>
              <w:rPr>
                <w:sz w:val="14"/>
              </w:rPr>
              <w:t>a</w:t>
            </w:r>
            <w:r>
              <w:rPr>
                <w:spacing w:val="-2"/>
                <w:sz w:val="14"/>
              </w:rPr>
              <w:t> </w:t>
            </w:r>
            <w:r>
              <w:rPr>
                <w:sz w:val="14"/>
              </w:rPr>
              <w:t>instituciones</w:t>
            </w:r>
            <w:r>
              <w:rPr>
                <w:spacing w:val="-4"/>
                <w:sz w:val="14"/>
              </w:rPr>
              <w:t> </w:t>
            </w:r>
            <w:r>
              <w:rPr>
                <w:sz w:val="14"/>
              </w:rPr>
              <w:t>públicas.</w:t>
            </w:r>
          </w:p>
          <w:p>
            <w:pPr>
              <w:pStyle w:val="TableParagraph"/>
              <w:numPr>
                <w:ilvl w:val="0"/>
                <w:numId w:val="67"/>
              </w:numPr>
              <w:tabs>
                <w:tab w:pos="269" w:val="left" w:leader="none"/>
              </w:tabs>
              <w:spacing w:line="240" w:lineRule="auto" w:before="0" w:after="0"/>
              <w:ind w:left="268" w:right="0" w:hanging="180"/>
              <w:jc w:val="both"/>
              <w:rPr>
                <w:sz w:val="14"/>
              </w:rPr>
            </w:pPr>
            <w:r>
              <w:rPr>
                <w:sz w:val="14"/>
              </w:rPr>
              <w:t>La legalidad y regularidad contable del gobierno e instituciones</w:t>
            </w:r>
            <w:r>
              <w:rPr>
                <w:spacing w:val="-26"/>
                <w:sz w:val="14"/>
              </w:rPr>
              <w:t> </w:t>
            </w:r>
            <w:r>
              <w:rPr>
                <w:sz w:val="14"/>
              </w:rPr>
              <w:t>públicas.</w:t>
            </w:r>
          </w:p>
          <w:p>
            <w:pPr>
              <w:pStyle w:val="TableParagraph"/>
              <w:numPr>
                <w:ilvl w:val="0"/>
                <w:numId w:val="67"/>
              </w:numPr>
              <w:tabs>
                <w:tab w:pos="269" w:val="left" w:leader="none"/>
              </w:tabs>
              <w:spacing w:line="240" w:lineRule="auto" w:before="0" w:after="0"/>
              <w:ind w:left="268" w:right="0" w:hanging="180"/>
              <w:jc w:val="both"/>
              <w:rPr>
                <w:sz w:val="14"/>
              </w:rPr>
            </w:pPr>
            <w:r>
              <w:rPr>
                <w:sz w:val="14"/>
              </w:rPr>
              <w:t>La calidad de la administración e información financiera,</w:t>
            </w:r>
            <w:r>
              <w:rPr>
                <w:spacing w:val="-18"/>
                <w:sz w:val="14"/>
              </w:rPr>
              <w:t> </w:t>
            </w:r>
            <w:r>
              <w:rPr>
                <w:sz w:val="14"/>
              </w:rPr>
              <w:t>y</w:t>
            </w:r>
          </w:p>
          <w:p>
            <w:pPr>
              <w:pStyle w:val="TableParagraph"/>
              <w:numPr>
                <w:ilvl w:val="0"/>
                <w:numId w:val="67"/>
              </w:numPr>
              <w:tabs>
                <w:tab w:pos="269" w:val="left" w:leader="none"/>
              </w:tabs>
              <w:spacing w:line="240" w:lineRule="auto" w:before="0" w:after="0"/>
              <w:ind w:left="268" w:right="0" w:hanging="180"/>
              <w:jc w:val="both"/>
              <w:rPr>
                <w:sz w:val="14"/>
              </w:rPr>
            </w:pPr>
            <w:r>
              <w:rPr>
                <w:sz w:val="14"/>
              </w:rPr>
              <w:t>La economía, eficiencia y eficacia operativa del gobierno e</w:t>
            </w:r>
            <w:r>
              <w:rPr>
                <w:spacing w:val="-28"/>
                <w:sz w:val="14"/>
              </w:rPr>
              <w:t> </w:t>
            </w:r>
            <w:r>
              <w:rPr>
                <w:sz w:val="14"/>
              </w:rPr>
              <w:t>instituciones públicas.</w:t>
            </w:r>
          </w:p>
          <w:p>
            <w:pPr>
              <w:pStyle w:val="TableParagraph"/>
              <w:ind w:left="103" w:right="100"/>
              <w:jc w:val="both"/>
              <w:rPr>
                <w:sz w:val="14"/>
              </w:rPr>
            </w:pPr>
            <w:r>
              <w:rPr>
                <w:sz w:val="14"/>
              </w:rPr>
              <w:t>Las</w:t>
            </w:r>
            <w:r>
              <w:rPr>
                <w:spacing w:val="-8"/>
                <w:sz w:val="14"/>
              </w:rPr>
              <w:t> </w:t>
            </w:r>
            <w:r>
              <w:rPr>
                <w:sz w:val="14"/>
              </w:rPr>
              <w:t>EFS</w:t>
            </w:r>
            <w:r>
              <w:rPr>
                <w:spacing w:val="-7"/>
                <w:sz w:val="14"/>
              </w:rPr>
              <w:t> </w:t>
            </w:r>
            <w:r>
              <w:rPr>
                <w:sz w:val="14"/>
              </w:rPr>
              <w:t>no</w:t>
            </w:r>
            <w:r>
              <w:rPr>
                <w:spacing w:val="-6"/>
                <w:sz w:val="14"/>
              </w:rPr>
              <w:t> </w:t>
            </w:r>
            <w:r>
              <w:rPr>
                <w:sz w:val="14"/>
              </w:rPr>
              <w:t>auditan</w:t>
            </w:r>
            <w:r>
              <w:rPr>
                <w:spacing w:val="-8"/>
                <w:sz w:val="14"/>
              </w:rPr>
              <w:t> </w:t>
            </w:r>
            <w:r>
              <w:rPr>
                <w:sz w:val="14"/>
              </w:rPr>
              <w:t>la</w:t>
            </w:r>
            <w:r>
              <w:rPr>
                <w:spacing w:val="-6"/>
                <w:sz w:val="14"/>
              </w:rPr>
              <w:t> </w:t>
            </w:r>
            <w:r>
              <w:rPr>
                <w:sz w:val="14"/>
              </w:rPr>
              <w:t>política</w:t>
            </w:r>
            <w:r>
              <w:rPr>
                <w:spacing w:val="-6"/>
                <w:sz w:val="14"/>
              </w:rPr>
              <w:t> </w:t>
            </w:r>
            <w:r>
              <w:rPr>
                <w:sz w:val="14"/>
              </w:rPr>
              <w:t>del</w:t>
            </w:r>
            <w:r>
              <w:rPr>
                <w:spacing w:val="-6"/>
                <w:sz w:val="14"/>
              </w:rPr>
              <w:t> </w:t>
            </w:r>
            <w:r>
              <w:rPr>
                <w:sz w:val="14"/>
              </w:rPr>
              <w:t>gobierno</w:t>
            </w:r>
            <w:r>
              <w:rPr>
                <w:spacing w:val="-6"/>
                <w:sz w:val="14"/>
              </w:rPr>
              <w:t> </w:t>
            </w:r>
            <w:r>
              <w:rPr>
                <w:sz w:val="14"/>
              </w:rPr>
              <w:t>o</w:t>
            </w:r>
            <w:r>
              <w:rPr>
                <w:spacing w:val="-8"/>
                <w:sz w:val="14"/>
              </w:rPr>
              <w:t> </w:t>
            </w:r>
            <w:r>
              <w:rPr>
                <w:sz w:val="14"/>
              </w:rPr>
              <w:t>la</w:t>
            </w:r>
            <w:r>
              <w:rPr>
                <w:spacing w:val="-6"/>
                <w:sz w:val="14"/>
              </w:rPr>
              <w:t> </w:t>
            </w:r>
            <w:r>
              <w:rPr>
                <w:sz w:val="14"/>
              </w:rPr>
              <w:t>de</w:t>
            </w:r>
            <w:r>
              <w:rPr>
                <w:spacing w:val="-8"/>
                <w:sz w:val="14"/>
              </w:rPr>
              <w:t> </w:t>
            </w:r>
            <w:r>
              <w:rPr>
                <w:sz w:val="14"/>
              </w:rPr>
              <w:t>las</w:t>
            </w:r>
            <w:r>
              <w:rPr>
                <w:spacing w:val="-8"/>
                <w:sz w:val="14"/>
              </w:rPr>
              <w:t> </w:t>
            </w:r>
            <w:r>
              <w:rPr>
                <w:sz w:val="14"/>
              </w:rPr>
              <w:t>instituciones</w:t>
            </w:r>
            <w:r>
              <w:rPr>
                <w:spacing w:val="-8"/>
                <w:sz w:val="14"/>
              </w:rPr>
              <w:t> </w:t>
            </w:r>
            <w:r>
              <w:rPr>
                <w:sz w:val="14"/>
              </w:rPr>
              <w:t>públicas,</w:t>
            </w:r>
            <w:r>
              <w:rPr>
                <w:spacing w:val="-8"/>
                <w:sz w:val="14"/>
              </w:rPr>
              <w:t> </w:t>
            </w:r>
            <w:r>
              <w:rPr>
                <w:sz w:val="14"/>
              </w:rPr>
              <w:t>sino</w:t>
            </w:r>
            <w:r>
              <w:rPr>
                <w:spacing w:val="-8"/>
                <w:sz w:val="14"/>
              </w:rPr>
              <w:t> </w:t>
            </w:r>
            <w:r>
              <w:rPr>
                <w:sz w:val="14"/>
              </w:rPr>
              <w:t>que</w:t>
            </w:r>
            <w:r>
              <w:rPr>
                <w:spacing w:val="-8"/>
                <w:sz w:val="14"/>
              </w:rPr>
              <w:t> </w:t>
            </w:r>
            <w:r>
              <w:rPr>
                <w:sz w:val="14"/>
              </w:rPr>
              <w:t>se</w:t>
            </w:r>
            <w:r>
              <w:rPr>
                <w:spacing w:val="-8"/>
                <w:sz w:val="14"/>
              </w:rPr>
              <w:t> </w:t>
            </w:r>
            <w:r>
              <w:rPr>
                <w:sz w:val="14"/>
              </w:rPr>
              <w:t>limitan</w:t>
            </w:r>
            <w:r>
              <w:rPr>
                <w:spacing w:val="-6"/>
                <w:sz w:val="14"/>
              </w:rPr>
              <w:t> </w:t>
            </w:r>
            <w:r>
              <w:rPr>
                <w:sz w:val="14"/>
              </w:rPr>
              <w:t>a</w:t>
            </w:r>
            <w:r>
              <w:rPr>
                <w:spacing w:val="-8"/>
                <w:sz w:val="14"/>
              </w:rPr>
              <w:t> </w:t>
            </w:r>
            <w:r>
              <w:rPr>
                <w:sz w:val="14"/>
              </w:rPr>
              <w:t>auditar</w:t>
            </w:r>
            <w:r>
              <w:rPr>
                <w:spacing w:val="-9"/>
                <w:sz w:val="14"/>
              </w:rPr>
              <w:t> </w:t>
            </w:r>
            <w:r>
              <w:rPr>
                <w:sz w:val="14"/>
              </w:rPr>
              <w:t>los</w:t>
            </w:r>
            <w:r>
              <w:rPr>
                <w:spacing w:val="-8"/>
                <w:sz w:val="14"/>
              </w:rPr>
              <w:t> </w:t>
            </w:r>
            <w:r>
              <w:rPr>
                <w:sz w:val="14"/>
              </w:rPr>
              <w:t>resultados</w:t>
            </w:r>
            <w:r>
              <w:rPr>
                <w:spacing w:val="-8"/>
                <w:sz w:val="14"/>
              </w:rPr>
              <w:t> </w:t>
            </w:r>
            <w:r>
              <w:rPr>
                <w:sz w:val="14"/>
              </w:rPr>
              <w:t>de</w:t>
            </w:r>
            <w:r>
              <w:rPr>
                <w:spacing w:val="-8"/>
                <w:sz w:val="14"/>
              </w:rPr>
              <w:t> </w:t>
            </w:r>
            <w:r>
              <w:rPr>
                <w:sz w:val="14"/>
              </w:rPr>
              <w:t>la</w:t>
            </w:r>
            <w:r>
              <w:rPr>
                <w:spacing w:val="-8"/>
                <w:sz w:val="14"/>
              </w:rPr>
              <w:t> </w:t>
            </w:r>
            <w:r>
              <w:rPr>
                <w:sz w:val="14"/>
              </w:rPr>
              <w:t>política. Las</w:t>
            </w:r>
            <w:r>
              <w:rPr>
                <w:spacing w:val="-6"/>
                <w:sz w:val="14"/>
              </w:rPr>
              <w:t> </w:t>
            </w:r>
            <w:r>
              <w:rPr>
                <w:sz w:val="14"/>
              </w:rPr>
              <w:t>EFS</w:t>
            </w:r>
            <w:r>
              <w:rPr>
                <w:spacing w:val="-5"/>
                <w:sz w:val="14"/>
              </w:rPr>
              <w:t> </w:t>
            </w:r>
            <w:r>
              <w:rPr>
                <w:sz w:val="14"/>
              </w:rPr>
              <w:t>deben</w:t>
            </w:r>
            <w:r>
              <w:rPr>
                <w:spacing w:val="-6"/>
                <w:sz w:val="14"/>
              </w:rPr>
              <w:t> </w:t>
            </w:r>
            <w:r>
              <w:rPr>
                <w:sz w:val="14"/>
              </w:rPr>
              <w:t>tener</w:t>
            </w:r>
            <w:r>
              <w:rPr>
                <w:spacing w:val="-9"/>
                <w:sz w:val="14"/>
              </w:rPr>
              <w:t> </w:t>
            </w:r>
            <w:r>
              <w:rPr>
                <w:sz w:val="14"/>
              </w:rPr>
              <w:t>facultad</w:t>
            </w:r>
            <w:r>
              <w:rPr>
                <w:spacing w:val="-8"/>
                <w:sz w:val="14"/>
              </w:rPr>
              <w:t> </w:t>
            </w:r>
            <w:r>
              <w:rPr>
                <w:sz w:val="14"/>
              </w:rPr>
              <w:t>total</w:t>
            </w:r>
            <w:r>
              <w:rPr>
                <w:spacing w:val="-5"/>
                <w:sz w:val="14"/>
              </w:rPr>
              <w:t> </w:t>
            </w:r>
            <w:r>
              <w:rPr>
                <w:sz w:val="14"/>
              </w:rPr>
              <w:t>para</w:t>
            </w:r>
            <w:r>
              <w:rPr>
                <w:spacing w:val="-6"/>
                <w:sz w:val="14"/>
              </w:rPr>
              <w:t> </w:t>
            </w:r>
            <w:r>
              <w:rPr>
                <w:sz w:val="14"/>
              </w:rPr>
              <w:t>cumplir</w:t>
            </w:r>
            <w:r>
              <w:rPr>
                <w:spacing w:val="-9"/>
                <w:sz w:val="14"/>
              </w:rPr>
              <w:t> </w:t>
            </w:r>
            <w:r>
              <w:rPr>
                <w:sz w:val="14"/>
              </w:rPr>
              <w:t>con</w:t>
            </w:r>
            <w:r>
              <w:rPr>
                <w:spacing w:val="-6"/>
                <w:sz w:val="14"/>
              </w:rPr>
              <w:t> </w:t>
            </w:r>
            <w:r>
              <w:rPr>
                <w:sz w:val="14"/>
              </w:rPr>
              <w:t>sus</w:t>
            </w:r>
            <w:r>
              <w:rPr>
                <w:spacing w:val="-5"/>
                <w:sz w:val="14"/>
              </w:rPr>
              <w:t> </w:t>
            </w:r>
            <w:r>
              <w:rPr>
                <w:sz w:val="14"/>
              </w:rPr>
              <w:t>responsabilidades</w:t>
            </w:r>
            <w:r>
              <w:rPr>
                <w:spacing w:val="-5"/>
                <w:sz w:val="14"/>
              </w:rPr>
              <w:t> </w:t>
            </w:r>
            <w:r>
              <w:rPr>
                <w:sz w:val="14"/>
              </w:rPr>
              <w:t>y</w:t>
            </w:r>
            <w:r>
              <w:rPr>
                <w:spacing w:val="-8"/>
                <w:sz w:val="14"/>
              </w:rPr>
              <w:t> </w:t>
            </w:r>
            <w:r>
              <w:rPr>
                <w:sz w:val="14"/>
              </w:rPr>
              <w:t>cooperar</w:t>
            </w:r>
            <w:r>
              <w:rPr>
                <w:spacing w:val="-9"/>
                <w:sz w:val="14"/>
              </w:rPr>
              <w:t> </w:t>
            </w:r>
            <w:r>
              <w:rPr>
                <w:sz w:val="14"/>
              </w:rPr>
              <w:t>con</w:t>
            </w:r>
            <w:r>
              <w:rPr>
                <w:spacing w:val="-6"/>
                <w:sz w:val="14"/>
              </w:rPr>
              <w:t> </w:t>
            </w:r>
            <w:r>
              <w:rPr>
                <w:sz w:val="14"/>
              </w:rPr>
              <w:t>los</w:t>
            </w:r>
            <w:r>
              <w:rPr>
                <w:spacing w:val="-5"/>
                <w:sz w:val="14"/>
              </w:rPr>
              <w:t> </w:t>
            </w:r>
            <w:r>
              <w:rPr>
                <w:sz w:val="14"/>
              </w:rPr>
              <w:t>gobiernos</w:t>
            </w:r>
            <w:r>
              <w:rPr>
                <w:spacing w:val="-6"/>
                <w:sz w:val="14"/>
              </w:rPr>
              <w:t> </w:t>
            </w:r>
            <w:r>
              <w:rPr>
                <w:sz w:val="14"/>
              </w:rPr>
              <w:t>e</w:t>
            </w:r>
            <w:r>
              <w:rPr>
                <w:spacing w:val="-6"/>
                <w:sz w:val="14"/>
              </w:rPr>
              <w:t> </w:t>
            </w:r>
            <w:r>
              <w:rPr>
                <w:sz w:val="14"/>
              </w:rPr>
              <w:t>instituciones</w:t>
            </w:r>
            <w:r>
              <w:rPr>
                <w:spacing w:val="-6"/>
                <w:sz w:val="14"/>
              </w:rPr>
              <w:t> </w:t>
            </w:r>
            <w:r>
              <w:rPr>
                <w:sz w:val="14"/>
              </w:rPr>
              <w:t>públicas</w:t>
            </w:r>
            <w:r>
              <w:rPr>
                <w:spacing w:val="-5"/>
                <w:sz w:val="14"/>
              </w:rPr>
              <w:t> </w:t>
            </w:r>
            <w:r>
              <w:rPr>
                <w:sz w:val="14"/>
              </w:rPr>
              <w:t>que procuran mejorar la utilización y la gestión de los fondos</w:t>
            </w:r>
            <w:r>
              <w:rPr>
                <w:spacing w:val="-24"/>
                <w:sz w:val="14"/>
              </w:rPr>
              <w:t> </w:t>
            </w:r>
            <w:r>
              <w:rPr>
                <w:sz w:val="14"/>
              </w:rPr>
              <w:t>públicos.</w:t>
            </w:r>
          </w:p>
          <w:p>
            <w:pPr>
              <w:pStyle w:val="TableParagraph"/>
              <w:ind w:left="103" w:right="100"/>
              <w:rPr>
                <w:sz w:val="14"/>
              </w:rPr>
            </w:pPr>
            <w:r>
              <w:rPr>
                <w:sz w:val="14"/>
              </w:rPr>
              <w:t>Las EFS deben utilizar normas de trabajo, de auditorías apropiadas, y un código de ética, basados en los documentos oficiales de la INTOSAI, la </w:t>
            </w:r>
            <w:r>
              <w:rPr>
                <w:i/>
                <w:sz w:val="14"/>
              </w:rPr>
              <w:t>International Federación of Accountants </w:t>
            </w:r>
            <w:r>
              <w:rPr>
                <w:sz w:val="14"/>
              </w:rPr>
              <w:t>u otras entidades reguladoras reconocidas.</w:t>
            </w:r>
          </w:p>
          <w:p>
            <w:pPr>
              <w:pStyle w:val="TableParagraph"/>
              <w:spacing w:before="2"/>
              <w:ind w:left="103" w:right="45"/>
              <w:rPr>
                <w:sz w:val="14"/>
              </w:rPr>
            </w:pPr>
            <w:r>
              <w:rPr>
                <w:sz w:val="14"/>
              </w:rPr>
              <w:t>Las EFS deben presentar un informe anual al Poder Legislativo u otros órganos del Estado, de acuerdo con la constitución y normativa, y difundirlo al público.</w:t>
            </w:r>
          </w:p>
        </w:tc>
      </w:tr>
      <w:tr>
        <w:trPr>
          <w:trHeight w:val="492" w:hRule="exact"/>
        </w:trPr>
        <w:tc>
          <w:tcPr>
            <w:tcW w:w="8387" w:type="dxa"/>
          </w:tcPr>
          <w:p>
            <w:pPr>
              <w:pStyle w:val="TableParagraph"/>
              <w:spacing w:line="157" w:lineRule="exact"/>
              <w:ind w:left="103" w:right="45"/>
              <w:rPr>
                <w:sz w:val="14"/>
              </w:rPr>
            </w:pPr>
            <w:r>
              <w:rPr>
                <w:b/>
                <w:sz w:val="14"/>
              </w:rPr>
              <w:t>Principio 4: </w:t>
            </w:r>
            <w:r>
              <w:rPr>
                <w:sz w:val="14"/>
              </w:rPr>
              <w:t>Acceso irrestricto a la información.</w:t>
            </w:r>
          </w:p>
          <w:p>
            <w:pPr>
              <w:pStyle w:val="TableParagraph"/>
              <w:spacing w:before="2"/>
              <w:ind w:left="103" w:right="91"/>
              <w:rPr>
                <w:sz w:val="14"/>
              </w:rPr>
            </w:pPr>
            <w:r>
              <w:rPr>
                <w:sz w:val="14"/>
              </w:rPr>
              <w:t>Acción: Las EFS deben tener facultades para el acceso oportuno, ilimitado, directo y libre, a toda la documentación y la información necesaria para el cumplimiento de sus responsabilidades reglamentarias.</w:t>
            </w:r>
          </w:p>
        </w:tc>
      </w:tr>
      <w:tr>
        <w:trPr>
          <w:trHeight w:val="494" w:hRule="exact"/>
        </w:trPr>
        <w:tc>
          <w:tcPr>
            <w:tcW w:w="8387" w:type="dxa"/>
          </w:tcPr>
          <w:p>
            <w:pPr>
              <w:pStyle w:val="TableParagraph"/>
              <w:spacing w:line="157" w:lineRule="exact"/>
              <w:ind w:left="103" w:right="45"/>
              <w:rPr>
                <w:sz w:val="14"/>
              </w:rPr>
            </w:pPr>
            <w:r>
              <w:rPr>
                <w:b/>
                <w:sz w:val="14"/>
              </w:rPr>
              <w:t>Principio 5: </w:t>
            </w:r>
            <w:r>
              <w:rPr>
                <w:sz w:val="14"/>
              </w:rPr>
              <w:t>El derecho y la obligación de informar sobre su trabajo.</w:t>
            </w:r>
          </w:p>
          <w:p>
            <w:pPr>
              <w:pStyle w:val="TableParagraph"/>
              <w:spacing w:before="2"/>
              <w:ind w:left="103" w:right="45"/>
              <w:rPr>
                <w:sz w:val="14"/>
              </w:rPr>
            </w:pPr>
            <w:r>
              <w:rPr>
                <w:sz w:val="14"/>
              </w:rPr>
              <w:t>Acción: Las EFS no deben estar impedidas de informar sobre los resultados de su trabajo de auditoría. Deben estar obligadas por ley a informar por lo menos una vez al año sobre los resultados de su trabajo de auditoría</w:t>
            </w:r>
          </w:p>
        </w:tc>
      </w:tr>
      <w:tr>
        <w:trPr>
          <w:trHeight w:val="974" w:hRule="exact"/>
        </w:trPr>
        <w:tc>
          <w:tcPr>
            <w:tcW w:w="8387" w:type="dxa"/>
          </w:tcPr>
          <w:p>
            <w:pPr>
              <w:pStyle w:val="TableParagraph"/>
              <w:spacing w:line="242" w:lineRule="auto"/>
              <w:ind w:left="103" w:right="105"/>
              <w:jc w:val="both"/>
              <w:rPr>
                <w:sz w:val="14"/>
              </w:rPr>
            </w:pPr>
            <w:r>
              <w:rPr>
                <w:b/>
                <w:sz w:val="14"/>
              </w:rPr>
              <w:t>Principio 6: </w:t>
            </w:r>
            <w:r>
              <w:rPr>
                <w:sz w:val="14"/>
              </w:rPr>
              <w:t>Libertad de decidir el contenido y la oportunidad (momento) de sus informes de auditoría, al igual que su publicación y divulgación.</w:t>
            </w:r>
          </w:p>
          <w:p>
            <w:pPr>
              <w:pStyle w:val="TableParagraph"/>
              <w:ind w:left="103" w:right="106"/>
              <w:jc w:val="both"/>
              <w:rPr>
                <w:sz w:val="14"/>
              </w:rPr>
            </w:pPr>
            <w:r>
              <w:rPr>
                <w:sz w:val="14"/>
              </w:rPr>
              <w:t>Acción: Las EFS tienen libertad para decidir el contenido de sus informes de auditoría, para formular observaciones y recomendaciones (considerando la opinión de la entidad auditada), para decidir sobre la oportunidad de sus informes de auditoría (de acuerdo con los requisitos legales) y para publicar y divulgar sus informes.</w:t>
            </w:r>
          </w:p>
          <w:p>
            <w:pPr>
              <w:pStyle w:val="TableParagraph"/>
              <w:ind w:left="103"/>
              <w:jc w:val="both"/>
              <w:rPr>
                <w:sz w:val="14"/>
              </w:rPr>
            </w:pPr>
            <w:r>
              <w:rPr>
                <w:sz w:val="14"/>
              </w:rPr>
              <w:t>Las EFS pueden aceptar las solicitudes de auditoría del Poder Legislativo.</w:t>
            </w:r>
          </w:p>
        </w:tc>
      </w:tr>
      <w:tr>
        <w:trPr>
          <w:trHeight w:val="1460" w:hRule="exact"/>
        </w:trPr>
        <w:tc>
          <w:tcPr>
            <w:tcW w:w="8387" w:type="dxa"/>
          </w:tcPr>
          <w:p>
            <w:pPr>
              <w:pStyle w:val="TableParagraph"/>
              <w:spacing w:line="157" w:lineRule="exact"/>
              <w:ind w:left="103"/>
              <w:jc w:val="both"/>
              <w:rPr>
                <w:sz w:val="14"/>
              </w:rPr>
            </w:pPr>
            <w:r>
              <w:rPr>
                <w:b/>
                <w:sz w:val="14"/>
              </w:rPr>
              <w:t>Principio 7: </w:t>
            </w:r>
            <w:r>
              <w:rPr>
                <w:sz w:val="14"/>
              </w:rPr>
              <w:t>La existencia de mecanismos eficaces de seguimiento de las recomendaciones de la EFS.</w:t>
            </w:r>
          </w:p>
          <w:p>
            <w:pPr>
              <w:pStyle w:val="TableParagraph"/>
              <w:spacing w:line="242" w:lineRule="auto"/>
              <w:ind w:left="103" w:right="101"/>
              <w:jc w:val="both"/>
              <w:rPr>
                <w:sz w:val="14"/>
              </w:rPr>
            </w:pPr>
            <w:r>
              <w:rPr>
                <w:b/>
                <w:sz w:val="14"/>
              </w:rPr>
              <w:t>Acción: </w:t>
            </w:r>
            <w:r>
              <w:rPr>
                <w:sz w:val="14"/>
              </w:rPr>
              <w:t>Las EFS presentan sus informes de auditoría al Poder Legislativo, a una de sus comisiones, o al directorio de la entidad auditada, según corresponda, para la revisión y el seguimiento de las recomendaciones específicas sobre la adopción de medidas correctivas.</w:t>
            </w:r>
          </w:p>
          <w:p>
            <w:pPr>
              <w:pStyle w:val="TableParagraph"/>
              <w:ind w:left="103" w:right="108"/>
              <w:jc w:val="both"/>
              <w:rPr>
                <w:sz w:val="14"/>
              </w:rPr>
            </w:pPr>
            <w:r>
              <w:rPr>
                <w:sz w:val="14"/>
              </w:rPr>
              <w:t>Las EFS tienen su propio sistema interno de seguimiento para asegurar que las entidades auditadas sigan adecuadamente sus observaciones y recomendaciones, así como las del Poder Legislativo, una de sus comisiones, o las del directorio, según corresponda.</w:t>
            </w:r>
          </w:p>
          <w:p>
            <w:pPr>
              <w:pStyle w:val="TableParagraph"/>
              <w:ind w:left="103" w:right="103"/>
              <w:jc w:val="both"/>
              <w:rPr>
                <w:sz w:val="14"/>
              </w:rPr>
            </w:pPr>
            <w:r>
              <w:rPr>
                <w:sz w:val="14"/>
              </w:rPr>
              <w:t>Las</w:t>
            </w:r>
            <w:r>
              <w:rPr>
                <w:spacing w:val="-13"/>
                <w:sz w:val="14"/>
              </w:rPr>
              <w:t> </w:t>
            </w:r>
            <w:r>
              <w:rPr>
                <w:sz w:val="14"/>
              </w:rPr>
              <w:t>EFS</w:t>
            </w:r>
            <w:r>
              <w:rPr>
                <w:spacing w:val="-10"/>
                <w:sz w:val="14"/>
              </w:rPr>
              <w:t> </w:t>
            </w:r>
            <w:r>
              <w:rPr>
                <w:sz w:val="14"/>
              </w:rPr>
              <w:t>remiten</w:t>
            </w:r>
            <w:r>
              <w:rPr>
                <w:spacing w:val="-13"/>
                <w:sz w:val="14"/>
              </w:rPr>
              <w:t> </w:t>
            </w:r>
            <w:r>
              <w:rPr>
                <w:sz w:val="14"/>
              </w:rPr>
              <w:t>sus</w:t>
            </w:r>
            <w:r>
              <w:rPr>
                <w:spacing w:val="-10"/>
                <w:sz w:val="14"/>
              </w:rPr>
              <w:t> </w:t>
            </w:r>
            <w:r>
              <w:rPr>
                <w:sz w:val="14"/>
              </w:rPr>
              <w:t>informes</w:t>
            </w:r>
            <w:r>
              <w:rPr>
                <w:spacing w:val="-10"/>
                <w:sz w:val="14"/>
              </w:rPr>
              <w:t> </w:t>
            </w:r>
            <w:r>
              <w:rPr>
                <w:sz w:val="14"/>
              </w:rPr>
              <w:t>de</w:t>
            </w:r>
            <w:r>
              <w:rPr>
                <w:spacing w:val="-13"/>
                <w:sz w:val="14"/>
              </w:rPr>
              <w:t> </w:t>
            </w:r>
            <w:r>
              <w:rPr>
                <w:sz w:val="14"/>
              </w:rPr>
              <w:t>seguimiento</w:t>
            </w:r>
            <w:r>
              <w:rPr>
                <w:spacing w:val="-11"/>
                <w:sz w:val="14"/>
              </w:rPr>
              <w:t> </w:t>
            </w:r>
            <w:r>
              <w:rPr>
                <w:sz w:val="14"/>
              </w:rPr>
              <w:t>al</w:t>
            </w:r>
            <w:r>
              <w:rPr>
                <w:spacing w:val="-12"/>
                <w:sz w:val="14"/>
              </w:rPr>
              <w:t> </w:t>
            </w:r>
            <w:r>
              <w:rPr>
                <w:sz w:val="14"/>
              </w:rPr>
              <w:t>Poder</w:t>
            </w:r>
            <w:r>
              <w:rPr>
                <w:spacing w:val="-11"/>
                <w:sz w:val="14"/>
              </w:rPr>
              <w:t> </w:t>
            </w:r>
            <w:r>
              <w:rPr>
                <w:sz w:val="14"/>
              </w:rPr>
              <w:t>Legislativo,</w:t>
            </w:r>
            <w:r>
              <w:rPr>
                <w:spacing w:val="-11"/>
                <w:sz w:val="14"/>
              </w:rPr>
              <w:t> </w:t>
            </w:r>
            <w:r>
              <w:rPr>
                <w:sz w:val="14"/>
              </w:rPr>
              <w:t>o</w:t>
            </w:r>
            <w:r>
              <w:rPr>
                <w:spacing w:val="-11"/>
                <w:sz w:val="14"/>
              </w:rPr>
              <w:t> </w:t>
            </w:r>
            <w:r>
              <w:rPr>
                <w:sz w:val="14"/>
              </w:rPr>
              <w:t>a</w:t>
            </w:r>
            <w:r>
              <w:rPr>
                <w:spacing w:val="-13"/>
                <w:sz w:val="14"/>
              </w:rPr>
              <w:t> </w:t>
            </w:r>
            <w:r>
              <w:rPr>
                <w:sz w:val="14"/>
              </w:rPr>
              <w:t>la</w:t>
            </w:r>
            <w:r>
              <w:rPr>
                <w:spacing w:val="-11"/>
                <w:sz w:val="14"/>
              </w:rPr>
              <w:t> </w:t>
            </w:r>
            <w:r>
              <w:rPr>
                <w:sz w:val="14"/>
              </w:rPr>
              <w:t>entidad</w:t>
            </w:r>
            <w:r>
              <w:rPr>
                <w:spacing w:val="-11"/>
                <w:sz w:val="14"/>
              </w:rPr>
              <w:t> </w:t>
            </w:r>
            <w:r>
              <w:rPr>
                <w:sz w:val="14"/>
              </w:rPr>
              <w:t>auditada,</w:t>
            </w:r>
            <w:r>
              <w:rPr>
                <w:spacing w:val="-11"/>
                <w:sz w:val="14"/>
              </w:rPr>
              <w:t> </w:t>
            </w:r>
            <w:r>
              <w:rPr>
                <w:sz w:val="14"/>
              </w:rPr>
              <w:t>según</w:t>
            </w:r>
            <w:r>
              <w:rPr>
                <w:spacing w:val="-13"/>
                <w:sz w:val="14"/>
              </w:rPr>
              <w:t> </w:t>
            </w:r>
            <w:r>
              <w:rPr>
                <w:sz w:val="14"/>
              </w:rPr>
              <w:t>corresponda,</w:t>
            </w:r>
            <w:r>
              <w:rPr>
                <w:spacing w:val="-10"/>
                <w:sz w:val="14"/>
              </w:rPr>
              <w:t> </w:t>
            </w:r>
            <w:r>
              <w:rPr>
                <w:sz w:val="14"/>
              </w:rPr>
              <w:t>para</w:t>
            </w:r>
            <w:r>
              <w:rPr>
                <w:spacing w:val="-13"/>
                <w:sz w:val="14"/>
              </w:rPr>
              <w:t> </w:t>
            </w:r>
            <w:r>
              <w:rPr>
                <w:sz w:val="14"/>
              </w:rPr>
              <w:t>su</w:t>
            </w:r>
            <w:r>
              <w:rPr>
                <w:spacing w:val="-13"/>
                <w:sz w:val="14"/>
              </w:rPr>
              <w:t> </w:t>
            </w:r>
            <w:r>
              <w:rPr>
                <w:sz w:val="14"/>
              </w:rPr>
              <w:t>consideración y</w:t>
            </w:r>
            <w:r>
              <w:rPr>
                <w:spacing w:val="-4"/>
                <w:sz w:val="14"/>
              </w:rPr>
              <w:t> </w:t>
            </w:r>
            <w:r>
              <w:rPr>
                <w:sz w:val="14"/>
              </w:rPr>
              <w:t>para</w:t>
            </w:r>
            <w:r>
              <w:rPr>
                <w:spacing w:val="-2"/>
                <w:sz w:val="14"/>
              </w:rPr>
              <w:t> </w:t>
            </w:r>
            <w:r>
              <w:rPr>
                <w:sz w:val="14"/>
              </w:rPr>
              <w:t>que</w:t>
            </w:r>
            <w:r>
              <w:rPr>
                <w:spacing w:val="-4"/>
                <w:sz w:val="14"/>
              </w:rPr>
              <w:t> </w:t>
            </w:r>
            <w:r>
              <w:rPr>
                <w:sz w:val="14"/>
              </w:rPr>
              <w:t>adopten</w:t>
            </w:r>
            <w:r>
              <w:rPr>
                <w:spacing w:val="-4"/>
                <w:sz w:val="14"/>
              </w:rPr>
              <w:t> </w:t>
            </w:r>
            <w:r>
              <w:rPr>
                <w:sz w:val="14"/>
              </w:rPr>
              <w:t>las</w:t>
            </w:r>
            <w:r>
              <w:rPr>
                <w:spacing w:val="-4"/>
                <w:sz w:val="14"/>
              </w:rPr>
              <w:t> </w:t>
            </w:r>
            <w:r>
              <w:rPr>
                <w:sz w:val="14"/>
              </w:rPr>
              <w:t>medidas</w:t>
            </w:r>
            <w:r>
              <w:rPr>
                <w:spacing w:val="-2"/>
                <w:sz w:val="14"/>
              </w:rPr>
              <w:t> </w:t>
            </w:r>
            <w:r>
              <w:rPr>
                <w:sz w:val="14"/>
              </w:rPr>
              <w:t>pertinentes,</w:t>
            </w:r>
            <w:r>
              <w:rPr>
                <w:spacing w:val="-4"/>
                <w:sz w:val="14"/>
              </w:rPr>
              <w:t> </w:t>
            </w:r>
            <w:r>
              <w:rPr>
                <w:sz w:val="14"/>
              </w:rPr>
              <w:t>sin</w:t>
            </w:r>
            <w:r>
              <w:rPr>
                <w:spacing w:val="-4"/>
                <w:sz w:val="14"/>
              </w:rPr>
              <w:t> </w:t>
            </w:r>
            <w:r>
              <w:rPr>
                <w:sz w:val="14"/>
              </w:rPr>
              <w:t>detrimento</w:t>
            </w:r>
            <w:r>
              <w:rPr>
                <w:spacing w:val="-4"/>
                <w:sz w:val="14"/>
              </w:rPr>
              <w:t> </w:t>
            </w:r>
            <w:r>
              <w:rPr>
                <w:sz w:val="14"/>
              </w:rPr>
              <w:t>de</w:t>
            </w:r>
            <w:r>
              <w:rPr>
                <w:spacing w:val="-4"/>
                <w:sz w:val="14"/>
              </w:rPr>
              <w:t> </w:t>
            </w:r>
            <w:r>
              <w:rPr>
                <w:sz w:val="14"/>
              </w:rPr>
              <w:t>la</w:t>
            </w:r>
            <w:r>
              <w:rPr>
                <w:spacing w:val="-2"/>
                <w:sz w:val="14"/>
              </w:rPr>
              <w:t> </w:t>
            </w:r>
            <w:r>
              <w:rPr>
                <w:sz w:val="14"/>
              </w:rPr>
              <w:t>aplicación</w:t>
            </w:r>
            <w:r>
              <w:rPr>
                <w:spacing w:val="-2"/>
                <w:sz w:val="14"/>
              </w:rPr>
              <w:t> </w:t>
            </w:r>
            <w:r>
              <w:rPr>
                <w:sz w:val="14"/>
              </w:rPr>
              <w:t>de</w:t>
            </w:r>
            <w:r>
              <w:rPr>
                <w:spacing w:val="-4"/>
                <w:sz w:val="14"/>
              </w:rPr>
              <w:t> </w:t>
            </w:r>
            <w:r>
              <w:rPr>
                <w:sz w:val="14"/>
              </w:rPr>
              <w:t>sanciones.</w:t>
            </w:r>
          </w:p>
        </w:tc>
      </w:tr>
      <w:tr>
        <w:trPr>
          <w:trHeight w:val="977" w:hRule="exact"/>
        </w:trPr>
        <w:tc>
          <w:tcPr>
            <w:tcW w:w="8387" w:type="dxa"/>
          </w:tcPr>
          <w:p>
            <w:pPr>
              <w:pStyle w:val="TableParagraph"/>
              <w:spacing w:line="242" w:lineRule="auto"/>
              <w:ind w:left="103" w:right="612"/>
              <w:rPr>
                <w:sz w:val="14"/>
              </w:rPr>
            </w:pPr>
            <w:r>
              <w:rPr>
                <w:b/>
                <w:sz w:val="14"/>
              </w:rPr>
              <w:t>Principio 8: </w:t>
            </w:r>
            <w:r>
              <w:rPr>
                <w:sz w:val="14"/>
              </w:rPr>
              <w:t>Autonomía financiera y gerencial/administrativa, al igual que disponibilidad de recursos humanos, materiales y económicos apropiados.</w:t>
            </w:r>
          </w:p>
          <w:p>
            <w:pPr>
              <w:pStyle w:val="TableParagraph"/>
              <w:ind w:left="103" w:right="100"/>
              <w:rPr>
                <w:sz w:val="14"/>
              </w:rPr>
            </w:pPr>
            <w:r>
              <w:rPr>
                <w:sz w:val="14"/>
              </w:rPr>
              <w:t>Acción: El Poder Ejecutivo no debe controlar ni supeditar el acceso a los recursos de las EFS, debe asegurar que las EFS tengan los recursos adecuados para cumplir con su mandato.</w:t>
            </w:r>
          </w:p>
          <w:p>
            <w:pPr>
              <w:pStyle w:val="TableParagraph"/>
              <w:spacing w:line="242" w:lineRule="auto"/>
              <w:ind w:left="103" w:right="45"/>
              <w:rPr>
                <w:sz w:val="14"/>
              </w:rPr>
            </w:pPr>
            <w:r>
              <w:rPr>
                <w:sz w:val="14"/>
              </w:rPr>
              <w:t>Las</w:t>
            </w:r>
            <w:r>
              <w:rPr>
                <w:spacing w:val="-11"/>
                <w:sz w:val="14"/>
              </w:rPr>
              <w:t> </w:t>
            </w:r>
            <w:r>
              <w:rPr>
                <w:sz w:val="14"/>
              </w:rPr>
              <w:t>EFS</w:t>
            </w:r>
            <w:r>
              <w:rPr>
                <w:spacing w:val="-11"/>
                <w:sz w:val="14"/>
              </w:rPr>
              <w:t> </w:t>
            </w:r>
            <w:r>
              <w:rPr>
                <w:sz w:val="14"/>
              </w:rPr>
              <w:t>tienen</w:t>
            </w:r>
            <w:r>
              <w:rPr>
                <w:spacing w:val="-9"/>
                <w:sz w:val="14"/>
              </w:rPr>
              <w:t> </w:t>
            </w:r>
            <w:r>
              <w:rPr>
                <w:sz w:val="14"/>
              </w:rPr>
              <w:t>derecho</w:t>
            </w:r>
            <w:r>
              <w:rPr>
                <w:spacing w:val="-12"/>
                <w:sz w:val="14"/>
              </w:rPr>
              <w:t> </w:t>
            </w:r>
            <w:r>
              <w:rPr>
                <w:sz w:val="14"/>
              </w:rPr>
              <w:t>de</w:t>
            </w:r>
            <w:r>
              <w:rPr>
                <w:spacing w:val="-12"/>
                <w:sz w:val="14"/>
              </w:rPr>
              <w:t> </w:t>
            </w:r>
            <w:r>
              <w:rPr>
                <w:sz w:val="14"/>
              </w:rPr>
              <w:t>apelar</w:t>
            </w:r>
            <w:r>
              <w:rPr>
                <w:spacing w:val="-12"/>
                <w:sz w:val="14"/>
              </w:rPr>
              <w:t> </w:t>
            </w:r>
            <w:r>
              <w:rPr>
                <w:sz w:val="14"/>
              </w:rPr>
              <w:t>directamente</w:t>
            </w:r>
            <w:r>
              <w:rPr>
                <w:spacing w:val="-12"/>
                <w:sz w:val="14"/>
              </w:rPr>
              <w:t> </w:t>
            </w:r>
            <w:r>
              <w:rPr>
                <w:sz w:val="14"/>
              </w:rPr>
              <w:t>ante</w:t>
            </w:r>
            <w:r>
              <w:rPr>
                <w:spacing w:val="-10"/>
                <w:sz w:val="14"/>
              </w:rPr>
              <w:t> </w:t>
            </w:r>
            <w:r>
              <w:rPr>
                <w:sz w:val="14"/>
              </w:rPr>
              <w:t>el</w:t>
            </w:r>
            <w:r>
              <w:rPr>
                <w:spacing w:val="-11"/>
                <w:sz w:val="14"/>
              </w:rPr>
              <w:t> </w:t>
            </w:r>
            <w:r>
              <w:rPr>
                <w:sz w:val="14"/>
              </w:rPr>
              <w:t>Poder</w:t>
            </w:r>
            <w:r>
              <w:rPr>
                <w:spacing w:val="-10"/>
                <w:sz w:val="14"/>
              </w:rPr>
              <w:t> </w:t>
            </w:r>
            <w:r>
              <w:rPr>
                <w:sz w:val="14"/>
              </w:rPr>
              <w:t>Legislativo</w:t>
            </w:r>
            <w:r>
              <w:rPr>
                <w:spacing w:val="-12"/>
                <w:sz w:val="14"/>
              </w:rPr>
              <w:t> </w:t>
            </w:r>
            <w:r>
              <w:rPr>
                <w:sz w:val="14"/>
              </w:rPr>
              <w:t>si</w:t>
            </w:r>
            <w:r>
              <w:rPr>
                <w:spacing w:val="-11"/>
                <w:sz w:val="14"/>
              </w:rPr>
              <w:t> </w:t>
            </w:r>
            <w:r>
              <w:rPr>
                <w:sz w:val="14"/>
              </w:rPr>
              <w:t>los</w:t>
            </w:r>
            <w:r>
              <w:rPr>
                <w:spacing w:val="-9"/>
                <w:sz w:val="14"/>
              </w:rPr>
              <w:t> </w:t>
            </w:r>
            <w:r>
              <w:rPr>
                <w:sz w:val="14"/>
              </w:rPr>
              <w:t>recursos</w:t>
            </w:r>
            <w:r>
              <w:rPr>
                <w:spacing w:val="-11"/>
                <w:sz w:val="14"/>
              </w:rPr>
              <w:t> </w:t>
            </w:r>
            <w:r>
              <w:rPr>
                <w:sz w:val="14"/>
              </w:rPr>
              <w:t>asignados</w:t>
            </w:r>
            <w:r>
              <w:rPr>
                <w:spacing w:val="-11"/>
                <w:sz w:val="14"/>
              </w:rPr>
              <w:t> </w:t>
            </w:r>
            <w:r>
              <w:rPr>
                <w:sz w:val="14"/>
              </w:rPr>
              <w:t>resultan</w:t>
            </w:r>
            <w:r>
              <w:rPr>
                <w:spacing w:val="-12"/>
                <w:sz w:val="14"/>
              </w:rPr>
              <w:t> </w:t>
            </w:r>
            <w:r>
              <w:rPr>
                <w:sz w:val="14"/>
              </w:rPr>
              <w:t>insuficientes</w:t>
            </w:r>
            <w:r>
              <w:rPr>
                <w:spacing w:val="-11"/>
                <w:sz w:val="14"/>
              </w:rPr>
              <w:t> </w:t>
            </w:r>
            <w:r>
              <w:rPr>
                <w:sz w:val="14"/>
              </w:rPr>
              <w:t>para</w:t>
            </w:r>
            <w:r>
              <w:rPr>
                <w:spacing w:val="-12"/>
                <w:sz w:val="14"/>
              </w:rPr>
              <w:t> </w:t>
            </w:r>
            <w:r>
              <w:rPr>
                <w:sz w:val="14"/>
              </w:rPr>
              <w:t>cumplir con su</w:t>
            </w:r>
            <w:r>
              <w:rPr>
                <w:spacing w:val="-8"/>
                <w:sz w:val="14"/>
              </w:rPr>
              <w:t> </w:t>
            </w:r>
            <w:r>
              <w:rPr>
                <w:sz w:val="14"/>
              </w:rPr>
              <w:t>mandato.</w:t>
            </w:r>
          </w:p>
        </w:tc>
      </w:tr>
    </w:tbl>
    <w:p>
      <w:pPr>
        <w:pStyle w:val="BodyText"/>
        <w:spacing w:before="5"/>
        <w:rPr>
          <w:sz w:val="11"/>
        </w:rPr>
      </w:pPr>
    </w:p>
    <w:p>
      <w:pPr>
        <w:spacing w:before="0"/>
        <w:ind w:left="122" w:right="52" w:firstLine="0"/>
        <w:jc w:val="left"/>
        <w:rPr>
          <w:b/>
          <w:sz w:val="12"/>
        </w:rPr>
      </w:pPr>
      <w:r>
        <w:rPr>
          <w:sz w:val="12"/>
        </w:rPr>
        <w:t>FUENTE:      INTOSAI, IX Congreso</w:t>
      </w:r>
      <w:r>
        <w:rPr>
          <w:b/>
          <w:sz w:val="12"/>
        </w:rPr>
        <w:t>.</w:t>
      </w:r>
    </w:p>
    <w:p>
      <w:pPr>
        <w:spacing w:line="137" w:lineRule="exact" w:before="3"/>
        <w:ind w:left="830" w:right="52" w:firstLine="0"/>
        <w:jc w:val="left"/>
        <w:rPr>
          <w:sz w:val="12"/>
        </w:rPr>
      </w:pPr>
      <w:r>
        <w:rPr>
          <w:sz w:val="12"/>
        </w:rPr>
        <w:t>Disponible en:</w:t>
      </w:r>
    </w:p>
    <w:p>
      <w:pPr>
        <w:spacing w:before="0"/>
        <w:ind w:left="830" w:right="233" w:firstLine="0"/>
        <w:jc w:val="left"/>
        <w:rPr>
          <w:sz w:val="12"/>
        </w:rPr>
      </w:pPr>
      <w:hyperlink r:id="rId179">
        <w:r>
          <w:rPr>
            <w:color w:val="0000FF"/>
            <w:sz w:val="12"/>
            <w:u w:val="single" w:color="0000FF"/>
          </w:rPr>
          <w:t>http://www.intosai.org/es/documentos/intosai/documentos-basicos/declaraciones-de-lima-y-mexico/declaracion-de-mexico-sobre-independencia</w:t>
        </w:r>
        <w:r>
          <w:rPr>
            <w:color w:val="0000FF"/>
            <w:sz w:val="12"/>
          </w:rPr>
          <w:t>-</w:t>
        </w:r>
      </w:hyperlink>
      <w:r>
        <w:rPr>
          <w:color w:val="0000FF"/>
          <w:sz w:val="12"/>
        </w:rPr>
        <w:t> </w:t>
      </w:r>
      <w:hyperlink r:id="rId179">
        <w:r>
          <w:rPr>
            <w:color w:val="0000FF"/>
            <w:sz w:val="12"/>
            <w:u w:val="single" w:color="0000FF"/>
          </w:rPr>
          <w:t>de-la-efs.htm</w:t>
        </w:r>
        <w:r>
          <w:rPr>
            <w:color w:val="0000FF"/>
            <w:sz w:val="12"/>
          </w:rPr>
          <w:t>l</w:t>
        </w:r>
      </w:hyperlink>
    </w:p>
    <w:p>
      <w:pPr>
        <w:spacing w:line="137" w:lineRule="exact" w:before="0"/>
        <w:ind w:left="830" w:right="52" w:firstLine="0"/>
        <w:jc w:val="left"/>
        <w:rPr>
          <w:sz w:val="12"/>
        </w:rPr>
      </w:pPr>
      <w:r>
        <w:rPr>
          <w:sz w:val="12"/>
        </w:rPr>
        <w:t>[Fecha de consulta: 22 de septiembre, 2015]</w:t>
      </w:r>
    </w:p>
    <w:p>
      <w:pPr>
        <w:pStyle w:val="BodyText"/>
        <w:rPr>
          <w:sz w:val="20"/>
        </w:rPr>
      </w:pPr>
    </w:p>
    <w:p>
      <w:pPr>
        <w:pStyle w:val="BodyText"/>
        <w:spacing w:before="3"/>
        <w:rPr>
          <w:sz w:val="11"/>
        </w:rPr>
      </w:pPr>
      <w:r>
        <w:rPr/>
        <w:pict>
          <v:line style="position:absolute;mso-position-horizontal-relative:page;mso-position-vertical-relative:paragraph;z-index:8848;mso-wrap-distance-left:0;mso-wrap-distance-right:0" from="85.103996pt,8.825474pt" to="229.123996pt,8.825474pt" stroked="true" strokeweight=".72003pt" strokecolor="#000000">
            <w10:wrap type="topAndBottom"/>
          </v:line>
        </w:pict>
      </w:r>
    </w:p>
    <w:p>
      <w:pPr>
        <w:spacing w:before="62"/>
        <w:ind w:left="122" w:right="52" w:firstLine="0"/>
        <w:jc w:val="left"/>
        <w:rPr>
          <w:sz w:val="16"/>
        </w:rPr>
      </w:pPr>
      <w:r>
        <w:rPr>
          <w:rFonts w:ascii="Times New Roman"/>
          <w:position w:val="7"/>
          <w:sz w:val="13"/>
        </w:rPr>
        <w:t>92</w:t>
      </w:r>
      <w:r>
        <w:rPr>
          <w:sz w:val="16"/>
        </w:rPr>
        <w:t>Disponible en: </w:t>
      </w:r>
      <w:hyperlink r:id="rId180">
        <w:r>
          <w:rPr>
            <w:color w:val="0000FF"/>
            <w:sz w:val="16"/>
            <w:u w:val="single" w:color="0000FF"/>
          </w:rPr>
          <w:t>http://www.incosai2007.org.mx/infogral.htm</w:t>
        </w:r>
        <w:r>
          <w:rPr>
            <w:color w:val="0000FF"/>
            <w:sz w:val="16"/>
          </w:rPr>
          <w:t>l</w:t>
        </w:r>
      </w:hyperlink>
      <w:r>
        <w:rPr>
          <w:color w:val="0000FF"/>
          <w:sz w:val="16"/>
        </w:rPr>
        <w:t> </w:t>
      </w:r>
      <w:r>
        <w:rPr>
          <w:sz w:val="16"/>
        </w:rPr>
        <w:t>[Fecha de consulta: 22 de septiembre, 2015]</w:t>
      </w:r>
    </w:p>
    <w:p>
      <w:pPr>
        <w:spacing w:after="0"/>
        <w:jc w:val="left"/>
        <w:rPr>
          <w:sz w:val="16"/>
        </w:rPr>
        <w:sectPr>
          <w:pgSz w:w="11910" w:h="16840"/>
          <w:pgMar w:header="0" w:footer="1003" w:top="1340" w:bottom="1200" w:left="1580" w:right="1580"/>
        </w:sectPr>
      </w:pPr>
    </w:p>
    <w:p>
      <w:pPr>
        <w:pStyle w:val="Heading2"/>
        <w:numPr>
          <w:ilvl w:val="1"/>
          <w:numId w:val="62"/>
        </w:numPr>
        <w:tabs>
          <w:tab w:pos="555" w:val="left" w:leader="none"/>
        </w:tabs>
        <w:spacing w:line="240" w:lineRule="auto" w:before="56" w:after="0"/>
        <w:ind w:left="554" w:right="0" w:hanging="432"/>
        <w:jc w:val="both"/>
      </w:pPr>
      <w:bookmarkStart w:name="_bookmark69" w:id="92"/>
      <w:bookmarkEnd w:id="92"/>
      <w:r>
        <w:rPr>
          <w:b w:val="0"/>
        </w:rPr>
      </w:r>
      <w:bookmarkStart w:name="_bookmark69" w:id="93"/>
      <w:bookmarkEnd w:id="93"/>
      <w:r>
        <w:rPr/>
        <w:t>Go</w:t>
      </w:r>
      <w:r>
        <w:rPr/>
        <w:t>bernanza, rendición de cuentas y</w:t>
      </w:r>
      <w:r>
        <w:rPr>
          <w:spacing w:val="-14"/>
        </w:rPr>
        <w:t> </w:t>
      </w:r>
      <w:r>
        <w:rPr/>
        <w:t>corrupción</w:t>
      </w:r>
    </w:p>
    <w:p>
      <w:pPr>
        <w:pStyle w:val="BodyText"/>
        <w:rPr>
          <w:b/>
          <w:sz w:val="26"/>
        </w:rPr>
      </w:pPr>
    </w:p>
    <w:p>
      <w:pPr>
        <w:pStyle w:val="BodyText"/>
        <w:spacing w:line="360" w:lineRule="auto" w:before="189"/>
        <w:ind w:left="122" w:right="114"/>
        <w:jc w:val="both"/>
      </w:pPr>
      <w:r>
        <w:rPr/>
        <w:t>En la INTOSAI se considera que el papel de las EFS comprende el fortalecimiento de la gobernanza y el desempeño de las finanzas públicas mediante</w:t>
      </w:r>
      <w:r>
        <w:rPr>
          <w:spacing w:val="-7"/>
        </w:rPr>
        <w:t> </w:t>
      </w:r>
      <w:r>
        <w:rPr/>
        <w:t>la</w:t>
      </w:r>
      <w:r>
        <w:rPr>
          <w:spacing w:val="-7"/>
        </w:rPr>
        <w:t> </w:t>
      </w:r>
      <w:r>
        <w:rPr/>
        <w:t>supervisión;</w:t>
      </w:r>
      <w:r>
        <w:rPr>
          <w:spacing w:val="-7"/>
        </w:rPr>
        <w:t> </w:t>
      </w:r>
      <w:r>
        <w:rPr/>
        <w:t>y</w:t>
      </w:r>
      <w:r>
        <w:rPr>
          <w:spacing w:val="-9"/>
        </w:rPr>
        <w:t> </w:t>
      </w:r>
      <w:r>
        <w:rPr/>
        <w:t>la</w:t>
      </w:r>
      <w:r>
        <w:rPr>
          <w:spacing w:val="-7"/>
        </w:rPr>
        <w:t> </w:t>
      </w:r>
      <w:r>
        <w:rPr/>
        <w:t>influencia</w:t>
      </w:r>
      <w:r>
        <w:rPr>
          <w:spacing w:val="-7"/>
        </w:rPr>
        <w:t> </w:t>
      </w:r>
      <w:r>
        <w:rPr/>
        <w:t>en</w:t>
      </w:r>
      <w:r>
        <w:rPr>
          <w:spacing w:val="-7"/>
        </w:rPr>
        <w:t> </w:t>
      </w:r>
      <w:r>
        <w:rPr/>
        <w:t>las</w:t>
      </w:r>
      <w:r>
        <w:rPr>
          <w:spacing w:val="-9"/>
        </w:rPr>
        <w:t> </w:t>
      </w:r>
      <w:r>
        <w:rPr/>
        <w:t>vidas</w:t>
      </w:r>
      <w:r>
        <w:rPr>
          <w:spacing w:val="-8"/>
        </w:rPr>
        <w:t> </w:t>
      </w:r>
      <w:r>
        <w:rPr/>
        <w:t>de</w:t>
      </w:r>
      <w:r>
        <w:rPr>
          <w:spacing w:val="-7"/>
        </w:rPr>
        <w:t> </w:t>
      </w:r>
      <w:r>
        <w:rPr/>
        <w:t>los</w:t>
      </w:r>
      <w:r>
        <w:rPr>
          <w:spacing w:val="-7"/>
        </w:rPr>
        <w:t> </w:t>
      </w:r>
      <w:r>
        <w:rPr/>
        <w:t>ciudadanos.</w:t>
      </w:r>
      <w:r>
        <w:rPr>
          <w:spacing w:val="-7"/>
        </w:rPr>
        <w:t> </w:t>
      </w:r>
      <w:r>
        <w:rPr/>
        <w:t>Esto</w:t>
      </w:r>
      <w:r>
        <w:rPr>
          <w:spacing w:val="-7"/>
        </w:rPr>
        <w:t> </w:t>
      </w:r>
      <w:r>
        <w:rPr/>
        <w:t>solo puede lograrse si las EFS contribuyen a un efectivo control político y si la población percibe que las EFS son instituciones independientes de los tres poderes.</w:t>
      </w:r>
    </w:p>
    <w:p>
      <w:pPr>
        <w:pStyle w:val="BodyText"/>
        <w:spacing w:line="360" w:lineRule="auto" w:before="2"/>
        <w:ind w:left="122" w:right="116" w:firstLine="707"/>
        <w:jc w:val="both"/>
        <w:rPr>
          <w:sz w:val="16"/>
        </w:rPr>
      </w:pPr>
      <w:r>
        <w:rPr/>
        <w:t>La gobernanza requiere que la rendición de cuentas actúe contra la corrupción.</w:t>
      </w:r>
      <w:r>
        <w:rPr>
          <w:spacing w:val="-13"/>
        </w:rPr>
        <w:t> </w:t>
      </w:r>
      <w:r>
        <w:rPr/>
        <w:t>La</w:t>
      </w:r>
      <w:r>
        <w:rPr>
          <w:spacing w:val="-11"/>
        </w:rPr>
        <w:t> </w:t>
      </w:r>
      <w:r>
        <w:rPr/>
        <w:t>INTOSAI</w:t>
      </w:r>
      <w:r>
        <w:rPr>
          <w:spacing w:val="-11"/>
        </w:rPr>
        <w:t> </w:t>
      </w:r>
      <w:r>
        <w:rPr/>
        <w:t>reconoce</w:t>
      </w:r>
      <w:r>
        <w:rPr>
          <w:spacing w:val="-11"/>
        </w:rPr>
        <w:t> </w:t>
      </w:r>
      <w:r>
        <w:rPr/>
        <w:t>que</w:t>
      </w:r>
      <w:r>
        <w:rPr>
          <w:spacing w:val="-11"/>
        </w:rPr>
        <w:t> </w:t>
      </w:r>
      <w:r>
        <w:rPr/>
        <w:t>la</w:t>
      </w:r>
      <w:r>
        <w:rPr>
          <w:spacing w:val="-13"/>
        </w:rPr>
        <w:t> </w:t>
      </w:r>
      <w:r>
        <w:rPr/>
        <w:t>corrupción</w:t>
      </w:r>
      <w:r>
        <w:rPr>
          <w:spacing w:val="-13"/>
        </w:rPr>
        <w:t> </w:t>
      </w:r>
      <w:r>
        <w:rPr/>
        <w:t>es</w:t>
      </w:r>
      <w:r>
        <w:rPr>
          <w:spacing w:val="-12"/>
        </w:rPr>
        <w:t> </w:t>
      </w:r>
      <w:r>
        <w:rPr/>
        <w:t>un</w:t>
      </w:r>
      <w:r>
        <w:rPr>
          <w:spacing w:val="-13"/>
        </w:rPr>
        <w:t> </w:t>
      </w:r>
      <w:r>
        <w:rPr/>
        <w:t>problema</w:t>
      </w:r>
      <w:r>
        <w:rPr>
          <w:spacing w:val="-13"/>
        </w:rPr>
        <w:t> </w:t>
      </w:r>
      <w:r>
        <w:rPr/>
        <w:t>mundial</w:t>
      </w:r>
      <w:r>
        <w:rPr>
          <w:spacing w:val="-12"/>
        </w:rPr>
        <w:t> </w:t>
      </w:r>
      <w:r>
        <w:rPr/>
        <w:t>que afecta las finanzas públicas, el Estado de Derecho, el orden social, la seguridad y aumenta la pobreza; por lo anterior, la INTOSAI promueve la lucha contra la corrupción, en el cumplimiento de su responsabilidad de garantizar la transparencia, en congruencia con lo establecido en el marco de la </w:t>
      </w:r>
      <w:r>
        <w:rPr>
          <w:i/>
        </w:rPr>
        <w:t>Convención </w:t>
      </w:r>
      <w:r>
        <w:rPr>
          <w:i/>
        </w:rPr>
        <w:t>de las Naciones Unidas contra la</w:t>
      </w:r>
      <w:r>
        <w:rPr>
          <w:i/>
          <w:spacing w:val="-12"/>
        </w:rPr>
        <w:t> </w:t>
      </w:r>
      <w:r>
        <w:rPr>
          <w:i/>
        </w:rPr>
        <w:t>Corrupción</w:t>
      </w:r>
      <w:r>
        <w:rPr/>
        <w:t>.</w:t>
      </w:r>
      <w:r>
        <w:rPr>
          <w:position w:val="8"/>
          <w:sz w:val="16"/>
        </w:rPr>
        <w:t>93</w:t>
      </w:r>
    </w:p>
    <w:p>
      <w:pPr>
        <w:pStyle w:val="BodyText"/>
        <w:spacing w:line="360" w:lineRule="auto" w:before="1"/>
        <w:ind w:left="122" w:right="115" w:firstLine="707"/>
        <w:jc w:val="both"/>
        <w:rPr>
          <w:sz w:val="16"/>
        </w:rPr>
      </w:pPr>
      <w:r>
        <w:rPr/>
        <w:t>La rendición de cuentas y la gobernanza son elementos indispensables en</w:t>
      </w:r>
      <w:r>
        <w:rPr>
          <w:spacing w:val="-13"/>
        </w:rPr>
        <w:t> </w:t>
      </w:r>
      <w:r>
        <w:rPr/>
        <w:t>una</w:t>
      </w:r>
      <w:r>
        <w:rPr>
          <w:spacing w:val="-13"/>
        </w:rPr>
        <w:t> </w:t>
      </w:r>
      <w:r>
        <w:rPr/>
        <w:t>democracia</w:t>
      </w:r>
      <w:r>
        <w:rPr>
          <w:spacing w:val="-16"/>
        </w:rPr>
        <w:t> </w:t>
      </w:r>
      <w:r>
        <w:rPr/>
        <w:t>para</w:t>
      </w:r>
      <w:r>
        <w:rPr>
          <w:spacing w:val="-13"/>
        </w:rPr>
        <w:t> </w:t>
      </w:r>
      <w:r>
        <w:rPr/>
        <w:t>reducir</w:t>
      </w:r>
      <w:r>
        <w:rPr>
          <w:spacing w:val="-15"/>
        </w:rPr>
        <w:t> </w:t>
      </w:r>
      <w:r>
        <w:rPr/>
        <w:t>la</w:t>
      </w:r>
      <w:r>
        <w:rPr>
          <w:spacing w:val="-13"/>
        </w:rPr>
        <w:t> </w:t>
      </w:r>
      <w:r>
        <w:rPr/>
        <w:t>corrupción;</w:t>
      </w:r>
      <w:r>
        <w:rPr>
          <w:spacing w:val="-16"/>
        </w:rPr>
        <w:t> </w:t>
      </w:r>
      <w:r>
        <w:rPr/>
        <w:t>por</w:t>
      </w:r>
      <w:r>
        <w:rPr>
          <w:spacing w:val="-15"/>
        </w:rPr>
        <w:t> </w:t>
      </w:r>
      <w:r>
        <w:rPr/>
        <w:t>ello,</w:t>
      </w:r>
      <w:r>
        <w:rPr>
          <w:spacing w:val="-13"/>
        </w:rPr>
        <w:t> </w:t>
      </w:r>
      <w:r>
        <w:rPr/>
        <w:t>la</w:t>
      </w:r>
      <w:r>
        <w:rPr>
          <w:spacing w:val="-18"/>
        </w:rPr>
        <w:t> </w:t>
      </w:r>
      <w:r>
        <w:rPr/>
        <w:t>fiscalización</w:t>
      </w:r>
      <w:r>
        <w:rPr>
          <w:spacing w:val="-13"/>
        </w:rPr>
        <w:t> </w:t>
      </w:r>
      <w:r>
        <w:rPr/>
        <w:t>debe</w:t>
      </w:r>
      <w:r>
        <w:rPr>
          <w:spacing w:val="-13"/>
        </w:rPr>
        <w:t> </w:t>
      </w:r>
      <w:r>
        <w:rPr/>
        <w:t>tener un efecto positivo sobre la confianza en la sociedad, ya que es posible que, con la</w:t>
      </w:r>
      <w:r>
        <w:rPr>
          <w:spacing w:val="-11"/>
        </w:rPr>
        <w:t> </w:t>
      </w:r>
      <w:r>
        <w:rPr/>
        <w:t>presión</w:t>
      </w:r>
      <w:r>
        <w:rPr>
          <w:spacing w:val="-11"/>
        </w:rPr>
        <w:t> </w:t>
      </w:r>
      <w:r>
        <w:rPr/>
        <w:t>social,</w:t>
      </w:r>
      <w:r>
        <w:rPr>
          <w:spacing w:val="-11"/>
        </w:rPr>
        <w:t> </w:t>
      </w:r>
      <w:r>
        <w:rPr/>
        <w:t>la</w:t>
      </w:r>
      <w:r>
        <w:rPr>
          <w:spacing w:val="-11"/>
        </w:rPr>
        <w:t> </w:t>
      </w:r>
      <w:r>
        <w:rPr/>
        <w:t>clase</w:t>
      </w:r>
      <w:r>
        <w:rPr>
          <w:spacing w:val="-11"/>
        </w:rPr>
        <w:t> </w:t>
      </w:r>
      <w:r>
        <w:rPr/>
        <w:t>política</w:t>
      </w:r>
      <w:r>
        <w:rPr>
          <w:spacing w:val="-11"/>
        </w:rPr>
        <w:t> </w:t>
      </w:r>
      <w:r>
        <w:rPr/>
        <w:t>modifique</w:t>
      </w:r>
      <w:r>
        <w:rPr>
          <w:spacing w:val="-10"/>
        </w:rPr>
        <w:t> </w:t>
      </w:r>
      <w:r>
        <w:rPr/>
        <w:t>su</w:t>
      </w:r>
      <w:r>
        <w:rPr>
          <w:spacing w:val="-11"/>
        </w:rPr>
        <w:t> </w:t>
      </w:r>
      <w:r>
        <w:rPr/>
        <w:t>conducta</w:t>
      </w:r>
      <w:r>
        <w:rPr>
          <w:spacing w:val="-10"/>
        </w:rPr>
        <w:t> </w:t>
      </w:r>
      <w:r>
        <w:rPr/>
        <w:t>corrupta</w:t>
      </w:r>
      <w:r>
        <w:rPr>
          <w:spacing w:val="-11"/>
        </w:rPr>
        <w:t> </w:t>
      </w:r>
      <w:r>
        <w:rPr/>
        <w:t>al</w:t>
      </w:r>
      <w:r>
        <w:rPr>
          <w:spacing w:val="-12"/>
        </w:rPr>
        <w:t> </w:t>
      </w:r>
      <w:r>
        <w:rPr/>
        <w:t>ser</w:t>
      </w:r>
      <w:r>
        <w:rPr>
          <w:spacing w:val="-11"/>
        </w:rPr>
        <w:t> </w:t>
      </w:r>
      <w:r>
        <w:rPr/>
        <w:t>objeto</w:t>
      </w:r>
      <w:r>
        <w:rPr>
          <w:spacing w:val="-13"/>
        </w:rPr>
        <w:t> </w:t>
      </w:r>
      <w:r>
        <w:rPr/>
        <w:t>de inspección y sanción. En el XIX Simposio de las Naciones Unidas/INTOSAI, realizado en Austria en 2007 se creó el grupo de trabajo evaluador del </w:t>
      </w:r>
      <w:r>
        <w:rPr>
          <w:i/>
        </w:rPr>
        <w:t>Marco </w:t>
      </w:r>
      <w:r>
        <w:rPr>
          <w:i/>
        </w:rPr>
        <w:t>para Comunicar y Fomentar el Valor y Beneficio de las EFS </w:t>
      </w:r>
      <w:r>
        <w:rPr/>
        <w:t>de las instituciones de</w:t>
      </w:r>
      <w:r>
        <w:rPr>
          <w:spacing w:val="-6"/>
        </w:rPr>
        <w:t> </w:t>
      </w:r>
      <w:r>
        <w:rPr/>
        <w:t>rendición</w:t>
      </w:r>
      <w:r>
        <w:rPr>
          <w:spacing w:val="-6"/>
        </w:rPr>
        <w:t> </w:t>
      </w:r>
      <w:r>
        <w:rPr/>
        <w:t>de</w:t>
      </w:r>
      <w:r>
        <w:rPr>
          <w:spacing w:val="-6"/>
        </w:rPr>
        <w:t> </w:t>
      </w:r>
      <w:r>
        <w:rPr/>
        <w:t>cuentas.</w:t>
      </w:r>
      <w:r>
        <w:rPr>
          <w:spacing w:val="-6"/>
        </w:rPr>
        <w:t> </w:t>
      </w:r>
      <w:r>
        <w:rPr/>
        <w:t>De</w:t>
      </w:r>
      <w:r>
        <w:rPr>
          <w:spacing w:val="-6"/>
        </w:rPr>
        <w:t> </w:t>
      </w:r>
      <w:r>
        <w:rPr/>
        <w:t>los</w:t>
      </w:r>
      <w:r>
        <w:rPr>
          <w:spacing w:val="-6"/>
        </w:rPr>
        <w:t> </w:t>
      </w:r>
      <w:r>
        <w:rPr/>
        <w:t>13</w:t>
      </w:r>
      <w:r>
        <w:rPr>
          <w:spacing w:val="-6"/>
        </w:rPr>
        <w:t> </w:t>
      </w:r>
      <w:r>
        <w:rPr/>
        <w:t>requisitos</w:t>
      </w:r>
      <w:r>
        <w:rPr>
          <w:spacing w:val="-9"/>
        </w:rPr>
        <w:t> </w:t>
      </w:r>
      <w:r>
        <w:rPr/>
        <w:t>considerados</w:t>
      </w:r>
      <w:r>
        <w:rPr>
          <w:spacing w:val="-7"/>
        </w:rPr>
        <w:t> </w:t>
      </w:r>
      <w:r>
        <w:rPr/>
        <w:t>en</w:t>
      </w:r>
      <w:r>
        <w:rPr>
          <w:spacing w:val="-6"/>
        </w:rPr>
        <w:t> </w:t>
      </w:r>
      <w:r>
        <w:rPr/>
        <w:t>el</w:t>
      </w:r>
      <w:r>
        <w:rPr>
          <w:spacing w:val="-7"/>
        </w:rPr>
        <w:t> </w:t>
      </w:r>
      <w:r>
        <w:rPr/>
        <w:t>marco,</w:t>
      </w:r>
      <w:r>
        <w:rPr>
          <w:spacing w:val="-6"/>
        </w:rPr>
        <w:t> </w:t>
      </w:r>
      <w:r>
        <w:rPr/>
        <w:t>el</w:t>
      </w:r>
      <w:r>
        <w:rPr>
          <w:spacing w:val="-7"/>
        </w:rPr>
        <w:t> </w:t>
      </w:r>
      <w:r>
        <w:rPr/>
        <w:t>5</w:t>
      </w:r>
      <w:r>
        <w:rPr>
          <w:spacing w:val="-6"/>
        </w:rPr>
        <w:t> </w:t>
      </w:r>
      <w:r>
        <w:rPr/>
        <w:t>y</w:t>
      </w:r>
      <w:r>
        <w:rPr>
          <w:spacing w:val="-9"/>
        </w:rPr>
        <w:t> </w:t>
      </w:r>
      <w:r>
        <w:rPr/>
        <w:t>el 11 se orientan a promover una buena</w:t>
      </w:r>
      <w:r>
        <w:rPr>
          <w:spacing w:val="-19"/>
        </w:rPr>
        <w:t> </w:t>
      </w:r>
      <w:r>
        <w:rPr/>
        <w:t>gobernanza:</w:t>
      </w:r>
      <w:r>
        <w:rPr>
          <w:position w:val="8"/>
          <w:sz w:val="16"/>
        </w:rPr>
        <w:t>94</w:t>
      </w:r>
    </w:p>
    <w:p>
      <w:pPr>
        <w:pStyle w:val="BodyText"/>
        <w:rPr>
          <w:sz w:val="36"/>
        </w:rPr>
      </w:pPr>
    </w:p>
    <w:p>
      <w:pPr>
        <w:pStyle w:val="ListParagraph"/>
        <w:numPr>
          <w:ilvl w:val="0"/>
          <w:numId w:val="68"/>
        </w:numPr>
        <w:tabs>
          <w:tab w:pos="406" w:val="left" w:leader="none"/>
        </w:tabs>
        <w:spacing w:line="360" w:lineRule="auto" w:before="0" w:after="0"/>
        <w:ind w:left="405" w:right="125" w:hanging="283"/>
        <w:jc w:val="left"/>
        <w:rPr>
          <w:sz w:val="24"/>
        </w:rPr>
      </w:pPr>
      <w:r>
        <w:rPr>
          <w:sz w:val="24"/>
        </w:rPr>
        <w:t>“Objetivo 1: Ser reconocida como una institución que hace una diferencia en las vidas de los Ciudadanos. Requisitos</w:t>
      </w:r>
      <w:r>
        <w:rPr>
          <w:spacing w:val="-18"/>
          <w:sz w:val="24"/>
        </w:rPr>
        <w:t> </w:t>
      </w:r>
      <w:r>
        <w:rPr>
          <w:sz w:val="24"/>
        </w:rPr>
        <w:t>fundamentales: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8872;mso-wrap-distance-left:0;mso-wrap-distance-right:0" from="85.103996pt,16.370752pt" to="229.123996pt,16.370752pt" stroked="true" strokeweight=".71997pt" strokecolor="#000000">
            <w10:wrap type="topAndBottom"/>
          </v:line>
        </w:pict>
      </w:r>
    </w:p>
    <w:p>
      <w:pPr>
        <w:spacing w:line="256" w:lineRule="auto" w:before="60"/>
        <w:ind w:left="122" w:right="52" w:firstLine="0"/>
        <w:jc w:val="left"/>
        <w:rPr>
          <w:sz w:val="16"/>
        </w:rPr>
      </w:pPr>
      <w:r>
        <w:rPr>
          <w:rFonts w:ascii="Times New Roman"/>
          <w:position w:val="7"/>
          <w:sz w:val="13"/>
        </w:rPr>
        <w:t>93</w:t>
      </w:r>
      <w:r>
        <w:rPr>
          <w:sz w:val="16"/>
        </w:rPr>
        <w:t>Disponible en: </w:t>
      </w:r>
      <w:hyperlink r:id="rId181">
        <w:r>
          <w:rPr>
            <w:color w:val="0000FF"/>
            <w:sz w:val="16"/>
            <w:u w:val="single" w:color="0000FF"/>
          </w:rPr>
          <w:t>http://www.unodc.org/pdf/corruption/publications_unodc_convention-s.pdf</w:t>
        </w:r>
      </w:hyperlink>
      <w:r>
        <w:rPr>
          <w:color w:val="0000FF"/>
          <w:sz w:val="16"/>
          <w:u w:val="single" w:color="0000FF"/>
        </w:rPr>
        <w:t> </w:t>
      </w:r>
      <w:r>
        <w:rPr>
          <w:sz w:val="16"/>
        </w:rPr>
        <w:t>[Fecha de consulta: 11 de abril, 2015]</w:t>
      </w:r>
    </w:p>
    <w:p>
      <w:pPr>
        <w:spacing w:line="196" w:lineRule="exact" w:before="15"/>
        <w:ind w:left="122" w:right="1807" w:firstLine="0"/>
        <w:jc w:val="left"/>
        <w:rPr>
          <w:sz w:val="16"/>
        </w:rPr>
      </w:pPr>
      <w:r>
        <w:rPr>
          <w:rFonts w:ascii="Times New Roman"/>
          <w:position w:val="7"/>
          <w:sz w:val="13"/>
        </w:rPr>
        <w:t>94</w:t>
      </w:r>
      <w:r>
        <w:rPr>
          <w:sz w:val="16"/>
        </w:rPr>
        <w:t>Disponible en: </w:t>
      </w:r>
      <w:hyperlink r:id="rId182">
        <w:r>
          <w:rPr>
            <w:sz w:val="16"/>
          </w:rPr>
          <w:t>http://www.asf.gob.mx/uploads/61_Publicaciones_tecnicas/Autonomia_web.pdf</w:t>
        </w:r>
      </w:hyperlink>
      <w:r>
        <w:rPr>
          <w:sz w:val="16"/>
        </w:rPr>
        <w:t> [Fecha de consulta: 15de abril, 2015]</w:t>
      </w:r>
    </w:p>
    <w:p>
      <w:pPr>
        <w:spacing w:after="0" w:line="196" w:lineRule="exact"/>
        <w:jc w:val="left"/>
        <w:rPr>
          <w:sz w:val="16"/>
        </w:rPr>
        <w:sectPr>
          <w:pgSz w:w="11910" w:h="16840"/>
          <w:pgMar w:header="0" w:footer="1003" w:top="1340" w:bottom="1200" w:left="1580" w:right="1580"/>
        </w:sectPr>
      </w:pPr>
    </w:p>
    <w:p>
      <w:pPr>
        <w:spacing w:line="360" w:lineRule="auto" w:before="53"/>
        <w:ind w:left="1095" w:right="121" w:hanging="274"/>
        <w:jc w:val="both"/>
        <w:rPr>
          <w:i/>
          <w:sz w:val="24"/>
        </w:rPr>
      </w:pPr>
      <w:r>
        <w:rPr>
          <w:sz w:val="24"/>
        </w:rPr>
        <w:t>5: </w:t>
      </w:r>
      <w:r>
        <w:rPr>
          <w:i/>
          <w:sz w:val="24"/>
        </w:rPr>
        <w:t>Permitir al Poder Legislativo, a una de sus comisiones o a los </w:t>
      </w:r>
      <w:r>
        <w:rPr>
          <w:i/>
          <w:sz w:val="24"/>
        </w:rPr>
        <w:t>encargados de la gobernanza cumplir con sus correspondientes responsabilidades para dar respuesta a los hallazgos y recomendaciones de la auditoría y poner en práctica las medidas correctivas adecuadas.</w:t>
      </w:r>
    </w:p>
    <w:p>
      <w:pPr>
        <w:spacing w:line="360" w:lineRule="auto" w:before="5"/>
        <w:ind w:left="1518" w:right="117" w:firstLine="0"/>
        <w:jc w:val="both"/>
        <w:rPr>
          <w:i/>
          <w:sz w:val="24"/>
        </w:rPr>
      </w:pPr>
      <w:r>
        <w:rPr>
          <w:i/>
          <w:sz w:val="24"/>
        </w:rPr>
        <w:t>La</w:t>
      </w:r>
      <w:r>
        <w:rPr>
          <w:i/>
          <w:spacing w:val="-12"/>
          <w:sz w:val="24"/>
        </w:rPr>
        <w:t> </w:t>
      </w:r>
      <w:r>
        <w:rPr>
          <w:i/>
          <w:sz w:val="24"/>
        </w:rPr>
        <w:t>relación</w:t>
      </w:r>
      <w:r>
        <w:rPr>
          <w:i/>
          <w:spacing w:val="-14"/>
          <w:sz w:val="24"/>
        </w:rPr>
        <w:t> </w:t>
      </w:r>
      <w:r>
        <w:rPr>
          <w:i/>
          <w:sz w:val="24"/>
        </w:rPr>
        <w:t>con</w:t>
      </w:r>
      <w:r>
        <w:rPr>
          <w:i/>
          <w:spacing w:val="-14"/>
          <w:sz w:val="24"/>
        </w:rPr>
        <w:t> </w:t>
      </w:r>
      <w:r>
        <w:rPr>
          <w:i/>
          <w:sz w:val="24"/>
        </w:rPr>
        <w:t>el</w:t>
      </w:r>
      <w:r>
        <w:rPr>
          <w:i/>
          <w:spacing w:val="-15"/>
          <w:sz w:val="24"/>
        </w:rPr>
        <w:t> </w:t>
      </w:r>
      <w:r>
        <w:rPr>
          <w:i/>
          <w:sz w:val="24"/>
        </w:rPr>
        <w:t>Parlamento</w:t>
      </w:r>
      <w:r>
        <w:rPr>
          <w:i/>
          <w:spacing w:val="-11"/>
          <w:sz w:val="24"/>
        </w:rPr>
        <w:t> </w:t>
      </w:r>
      <w:r>
        <w:rPr>
          <w:i/>
          <w:sz w:val="24"/>
        </w:rPr>
        <w:t>tiene</w:t>
      </w:r>
      <w:r>
        <w:rPr>
          <w:i/>
          <w:spacing w:val="-14"/>
          <w:sz w:val="24"/>
        </w:rPr>
        <w:t> </w:t>
      </w:r>
      <w:r>
        <w:rPr>
          <w:i/>
          <w:sz w:val="24"/>
        </w:rPr>
        <w:t>un</w:t>
      </w:r>
      <w:r>
        <w:rPr>
          <w:i/>
          <w:spacing w:val="-14"/>
          <w:sz w:val="24"/>
        </w:rPr>
        <w:t> </w:t>
      </w:r>
      <w:r>
        <w:rPr>
          <w:i/>
          <w:sz w:val="24"/>
        </w:rPr>
        <w:t>papel</w:t>
      </w:r>
      <w:r>
        <w:rPr>
          <w:i/>
          <w:spacing w:val="-18"/>
          <w:sz w:val="24"/>
        </w:rPr>
        <w:t> </w:t>
      </w:r>
      <w:r>
        <w:rPr>
          <w:i/>
          <w:sz w:val="24"/>
        </w:rPr>
        <w:t>crucial</w:t>
      </w:r>
      <w:r>
        <w:rPr>
          <w:i/>
          <w:spacing w:val="-13"/>
          <w:sz w:val="24"/>
        </w:rPr>
        <w:t> </w:t>
      </w:r>
      <w:r>
        <w:rPr>
          <w:i/>
          <w:sz w:val="24"/>
        </w:rPr>
        <w:t>para</w:t>
      </w:r>
      <w:r>
        <w:rPr>
          <w:i/>
          <w:spacing w:val="-10"/>
          <w:sz w:val="24"/>
        </w:rPr>
        <w:t> </w:t>
      </w:r>
      <w:r>
        <w:rPr>
          <w:i/>
          <w:sz w:val="24"/>
        </w:rPr>
        <w:t>garantizar </w:t>
      </w:r>
      <w:r>
        <w:rPr>
          <w:i/>
          <w:sz w:val="24"/>
        </w:rPr>
        <w:t>el uso eficaz de las conclusiones de la auditoría, ya que las EFS y el</w:t>
      </w:r>
      <w:r>
        <w:rPr>
          <w:i/>
          <w:spacing w:val="-11"/>
          <w:sz w:val="24"/>
        </w:rPr>
        <w:t> </w:t>
      </w:r>
      <w:r>
        <w:rPr>
          <w:i/>
          <w:sz w:val="24"/>
        </w:rPr>
        <w:t>poder</w:t>
      </w:r>
      <w:r>
        <w:rPr>
          <w:i/>
          <w:spacing w:val="-11"/>
          <w:sz w:val="24"/>
        </w:rPr>
        <w:t> </w:t>
      </w:r>
      <w:r>
        <w:rPr>
          <w:i/>
          <w:sz w:val="24"/>
        </w:rPr>
        <w:t>judicial</w:t>
      </w:r>
      <w:r>
        <w:rPr>
          <w:i/>
          <w:spacing w:val="-11"/>
          <w:sz w:val="24"/>
        </w:rPr>
        <w:t> </w:t>
      </w:r>
      <w:r>
        <w:rPr>
          <w:i/>
          <w:sz w:val="24"/>
        </w:rPr>
        <w:t>pueden</w:t>
      </w:r>
      <w:r>
        <w:rPr>
          <w:i/>
          <w:spacing w:val="-9"/>
          <w:sz w:val="24"/>
        </w:rPr>
        <w:t> </w:t>
      </w:r>
      <w:r>
        <w:rPr>
          <w:i/>
          <w:sz w:val="24"/>
        </w:rPr>
        <w:t>apoyarse</w:t>
      </w:r>
      <w:r>
        <w:rPr>
          <w:i/>
          <w:spacing w:val="-10"/>
          <w:sz w:val="24"/>
        </w:rPr>
        <w:t> </w:t>
      </w:r>
      <w:r>
        <w:rPr>
          <w:i/>
          <w:sz w:val="24"/>
        </w:rPr>
        <w:t>mutuamente</w:t>
      </w:r>
      <w:r>
        <w:rPr>
          <w:i/>
          <w:spacing w:val="-9"/>
          <w:sz w:val="24"/>
        </w:rPr>
        <w:t> </w:t>
      </w:r>
      <w:r>
        <w:rPr>
          <w:i/>
          <w:sz w:val="24"/>
        </w:rPr>
        <w:t>para</w:t>
      </w:r>
      <w:r>
        <w:rPr>
          <w:i/>
          <w:spacing w:val="-10"/>
          <w:sz w:val="24"/>
        </w:rPr>
        <w:t> </w:t>
      </w:r>
      <w:r>
        <w:rPr>
          <w:i/>
          <w:sz w:val="24"/>
        </w:rPr>
        <w:t>garantizar</w:t>
      </w:r>
      <w:r>
        <w:rPr>
          <w:i/>
          <w:spacing w:val="-11"/>
          <w:sz w:val="24"/>
        </w:rPr>
        <w:t> </w:t>
      </w:r>
      <w:r>
        <w:rPr>
          <w:i/>
          <w:sz w:val="24"/>
        </w:rPr>
        <w:t>una gobernanza</w:t>
      </w:r>
      <w:r>
        <w:rPr>
          <w:i/>
          <w:spacing w:val="-12"/>
          <w:sz w:val="24"/>
        </w:rPr>
        <w:t> </w:t>
      </w:r>
      <w:r>
        <w:rPr>
          <w:i/>
          <w:sz w:val="24"/>
        </w:rPr>
        <w:t>eficaz.</w:t>
      </w:r>
    </w:p>
    <w:p>
      <w:pPr>
        <w:pStyle w:val="BodyText"/>
        <w:spacing w:line="357" w:lineRule="auto" w:before="8"/>
        <w:ind w:left="810" w:right="403" w:hanging="708"/>
        <w:rPr>
          <w:i/>
        </w:rPr>
      </w:pPr>
      <w:r>
        <w:rPr/>
        <w:t>Objetivo 2: Ser reconocidas como instituciones con un modelo independiente 11: </w:t>
      </w:r>
      <w:r>
        <w:rPr>
          <w:i/>
        </w:rPr>
        <w:t>Buena Gobernanza.</w:t>
      </w:r>
    </w:p>
    <w:p>
      <w:pPr>
        <w:spacing w:line="360" w:lineRule="auto" w:before="8"/>
        <w:ind w:left="102" w:right="126" w:firstLine="0"/>
        <w:jc w:val="both"/>
        <w:rPr>
          <w:i/>
          <w:sz w:val="24"/>
        </w:rPr>
      </w:pPr>
      <w:r>
        <w:rPr>
          <w:i/>
          <w:sz w:val="24"/>
        </w:rPr>
        <w:t>La buena gobernanza es aplicable a toda organización, en función de asistir a </w:t>
      </w:r>
      <w:r>
        <w:rPr>
          <w:i/>
          <w:sz w:val="24"/>
        </w:rPr>
        <w:t>sus líderes a tomar mejores decisiones y a gestionar los riesgos, con el fin de alcanzar los objetivos de la organización.</w:t>
      </w:r>
    </w:p>
    <w:p>
      <w:pPr>
        <w:spacing w:line="360" w:lineRule="auto" w:before="2"/>
        <w:ind w:left="102" w:right="117" w:firstLine="0"/>
        <w:jc w:val="both"/>
        <w:rPr>
          <w:i/>
          <w:sz w:val="24"/>
        </w:rPr>
      </w:pPr>
      <w:r>
        <w:rPr>
          <w:i/>
          <w:sz w:val="24"/>
        </w:rPr>
        <w:t>La</w:t>
      </w:r>
      <w:r>
        <w:rPr>
          <w:i/>
          <w:spacing w:val="-5"/>
          <w:sz w:val="24"/>
        </w:rPr>
        <w:t> </w:t>
      </w:r>
      <w:r>
        <w:rPr>
          <w:i/>
          <w:sz w:val="24"/>
        </w:rPr>
        <w:t>buena</w:t>
      </w:r>
      <w:r>
        <w:rPr>
          <w:i/>
          <w:spacing w:val="-5"/>
          <w:sz w:val="24"/>
        </w:rPr>
        <w:t> </w:t>
      </w:r>
      <w:r>
        <w:rPr>
          <w:i/>
          <w:sz w:val="24"/>
        </w:rPr>
        <w:t>gobernanza</w:t>
      </w:r>
      <w:r>
        <w:rPr>
          <w:i/>
          <w:spacing w:val="-3"/>
          <w:sz w:val="24"/>
        </w:rPr>
        <w:t> </w:t>
      </w:r>
      <w:r>
        <w:rPr>
          <w:i/>
          <w:sz w:val="24"/>
        </w:rPr>
        <w:t>y</w:t>
      </w:r>
      <w:r>
        <w:rPr>
          <w:i/>
          <w:spacing w:val="-5"/>
          <w:sz w:val="24"/>
        </w:rPr>
        <w:t> </w:t>
      </w:r>
      <w:r>
        <w:rPr>
          <w:i/>
          <w:sz w:val="24"/>
        </w:rPr>
        <w:t>la</w:t>
      </w:r>
      <w:r>
        <w:rPr>
          <w:i/>
          <w:spacing w:val="-5"/>
          <w:sz w:val="24"/>
        </w:rPr>
        <w:t> </w:t>
      </w:r>
      <w:r>
        <w:rPr>
          <w:i/>
          <w:sz w:val="24"/>
        </w:rPr>
        <w:t>rendición</w:t>
      </w:r>
      <w:r>
        <w:rPr>
          <w:i/>
          <w:spacing w:val="-7"/>
          <w:sz w:val="24"/>
        </w:rPr>
        <w:t> </w:t>
      </w:r>
      <w:r>
        <w:rPr>
          <w:i/>
          <w:sz w:val="24"/>
        </w:rPr>
        <w:t>de</w:t>
      </w:r>
      <w:r>
        <w:rPr>
          <w:i/>
          <w:spacing w:val="-5"/>
          <w:sz w:val="24"/>
        </w:rPr>
        <w:t> </w:t>
      </w:r>
      <w:r>
        <w:rPr>
          <w:i/>
          <w:sz w:val="24"/>
        </w:rPr>
        <w:t>cuentas</w:t>
      </w:r>
      <w:r>
        <w:rPr>
          <w:i/>
          <w:spacing w:val="-5"/>
          <w:sz w:val="24"/>
        </w:rPr>
        <w:t> </w:t>
      </w:r>
      <w:r>
        <w:rPr>
          <w:i/>
          <w:sz w:val="24"/>
        </w:rPr>
        <w:t>están</w:t>
      </w:r>
      <w:r>
        <w:rPr>
          <w:i/>
          <w:spacing w:val="2"/>
          <w:sz w:val="24"/>
        </w:rPr>
        <w:t> </w:t>
      </w:r>
      <w:r>
        <w:rPr>
          <w:i/>
          <w:sz w:val="24"/>
        </w:rPr>
        <w:t>relacionadas</w:t>
      </w:r>
      <w:r>
        <w:rPr>
          <w:i/>
          <w:spacing w:val="-8"/>
          <w:sz w:val="24"/>
        </w:rPr>
        <w:t> </w:t>
      </w:r>
      <w:r>
        <w:rPr>
          <w:i/>
          <w:sz w:val="24"/>
        </w:rPr>
        <w:t>entre</w:t>
      </w:r>
      <w:r>
        <w:rPr>
          <w:i/>
          <w:spacing w:val="-5"/>
          <w:sz w:val="24"/>
        </w:rPr>
        <w:t> </w:t>
      </w:r>
      <w:r>
        <w:rPr>
          <w:i/>
          <w:sz w:val="24"/>
        </w:rPr>
        <w:t>sí.</w:t>
      </w:r>
      <w:r>
        <w:rPr>
          <w:i/>
          <w:spacing w:val="-7"/>
          <w:sz w:val="24"/>
        </w:rPr>
        <w:t> </w:t>
      </w:r>
      <w:r>
        <w:rPr>
          <w:i/>
          <w:sz w:val="24"/>
        </w:rPr>
        <w:t>Las </w:t>
      </w:r>
      <w:r>
        <w:rPr>
          <w:i/>
          <w:sz w:val="24"/>
        </w:rPr>
        <w:t>EFS deben ser un arquetipo de la rendición de</w:t>
      </w:r>
      <w:r>
        <w:rPr>
          <w:i/>
          <w:spacing w:val="-24"/>
          <w:sz w:val="24"/>
        </w:rPr>
        <w:t> </w:t>
      </w:r>
      <w:r>
        <w:rPr>
          <w:i/>
          <w:sz w:val="24"/>
        </w:rPr>
        <w:t>cuentas.</w:t>
      </w:r>
    </w:p>
    <w:p>
      <w:pPr>
        <w:spacing w:line="360" w:lineRule="auto" w:before="2"/>
        <w:ind w:left="102" w:right="118" w:firstLine="0"/>
        <w:jc w:val="both"/>
        <w:rPr>
          <w:i/>
          <w:sz w:val="24"/>
        </w:rPr>
      </w:pPr>
      <w:r>
        <w:rPr>
          <w:i/>
          <w:sz w:val="24"/>
        </w:rPr>
        <w:t>Desde un punto de vista global, la buena gobernanza es percibida como un </w:t>
      </w:r>
      <w:r>
        <w:rPr>
          <w:i/>
          <w:sz w:val="24"/>
        </w:rPr>
        <w:t>requisito fundamental para toda organización exitosa. Algunos de los principios rectores de la buena gobernanza son:</w:t>
      </w:r>
    </w:p>
    <w:p>
      <w:pPr>
        <w:spacing w:line="360" w:lineRule="auto" w:before="5"/>
        <w:ind w:left="102" w:right="125" w:firstLine="0"/>
        <w:jc w:val="both"/>
        <w:rPr>
          <w:i/>
          <w:sz w:val="24"/>
        </w:rPr>
      </w:pPr>
      <w:r>
        <w:rPr>
          <w:i/>
          <w:sz w:val="24"/>
        </w:rPr>
        <w:t>La creación, mandato y funcionamiento de las EFS debe regirse por un marco </w:t>
      </w:r>
      <w:r>
        <w:rPr>
          <w:i/>
          <w:sz w:val="24"/>
        </w:rPr>
        <w:t>legislativo sólido que promueva los principios de buena gobernanza.</w:t>
      </w:r>
    </w:p>
    <w:p>
      <w:pPr>
        <w:spacing w:line="360" w:lineRule="auto" w:before="5"/>
        <w:ind w:left="102" w:right="123" w:firstLine="0"/>
        <w:jc w:val="left"/>
        <w:rPr>
          <w:i/>
          <w:sz w:val="24"/>
        </w:rPr>
      </w:pPr>
      <w:r>
        <w:rPr>
          <w:i/>
          <w:sz w:val="24"/>
        </w:rPr>
        <w:t>Debe</w:t>
      </w:r>
      <w:r>
        <w:rPr>
          <w:i/>
          <w:spacing w:val="-8"/>
          <w:sz w:val="24"/>
        </w:rPr>
        <w:t> </w:t>
      </w:r>
      <w:r>
        <w:rPr>
          <w:i/>
          <w:sz w:val="24"/>
        </w:rPr>
        <w:t>formalizarse</w:t>
      </w:r>
      <w:r>
        <w:rPr>
          <w:i/>
          <w:spacing w:val="-6"/>
          <w:sz w:val="24"/>
        </w:rPr>
        <w:t> </w:t>
      </w:r>
      <w:r>
        <w:rPr>
          <w:i/>
          <w:sz w:val="24"/>
        </w:rPr>
        <w:t>un</w:t>
      </w:r>
      <w:r>
        <w:rPr>
          <w:i/>
          <w:spacing w:val="-8"/>
          <w:sz w:val="24"/>
        </w:rPr>
        <w:t> </w:t>
      </w:r>
      <w:r>
        <w:rPr>
          <w:i/>
          <w:sz w:val="24"/>
        </w:rPr>
        <w:t>proceso</w:t>
      </w:r>
      <w:r>
        <w:rPr>
          <w:i/>
          <w:spacing w:val="-8"/>
          <w:sz w:val="24"/>
        </w:rPr>
        <w:t> </w:t>
      </w:r>
      <w:r>
        <w:rPr>
          <w:i/>
          <w:sz w:val="24"/>
        </w:rPr>
        <w:t>de</w:t>
      </w:r>
      <w:r>
        <w:rPr>
          <w:i/>
          <w:spacing w:val="-6"/>
          <w:sz w:val="24"/>
        </w:rPr>
        <w:t> </w:t>
      </w:r>
      <w:r>
        <w:rPr>
          <w:i/>
          <w:sz w:val="24"/>
        </w:rPr>
        <w:t>supervisión</w:t>
      </w:r>
      <w:r>
        <w:rPr>
          <w:i/>
          <w:spacing w:val="-6"/>
          <w:sz w:val="24"/>
        </w:rPr>
        <w:t> </w:t>
      </w:r>
      <w:r>
        <w:rPr>
          <w:i/>
          <w:sz w:val="24"/>
        </w:rPr>
        <w:t>independiente</w:t>
      </w:r>
      <w:r>
        <w:rPr>
          <w:i/>
          <w:spacing w:val="-8"/>
          <w:sz w:val="24"/>
        </w:rPr>
        <w:t> </w:t>
      </w:r>
      <w:r>
        <w:rPr>
          <w:i/>
          <w:sz w:val="24"/>
        </w:rPr>
        <w:t>del</w:t>
      </w:r>
      <w:r>
        <w:rPr>
          <w:i/>
          <w:spacing w:val="-9"/>
          <w:sz w:val="24"/>
        </w:rPr>
        <w:t> </w:t>
      </w:r>
      <w:r>
        <w:rPr>
          <w:i/>
          <w:sz w:val="24"/>
        </w:rPr>
        <w:t>desempeño</w:t>
      </w:r>
      <w:r>
        <w:rPr>
          <w:i/>
          <w:spacing w:val="-6"/>
          <w:sz w:val="24"/>
        </w:rPr>
        <w:t> </w:t>
      </w:r>
      <w:r>
        <w:rPr>
          <w:i/>
          <w:sz w:val="24"/>
        </w:rPr>
        <w:t>y</w:t>
      </w:r>
      <w:r>
        <w:rPr>
          <w:i/>
          <w:spacing w:val="-9"/>
          <w:sz w:val="24"/>
        </w:rPr>
        <w:t> </w:t>
      </w:r>
      <w:r>
        <w:rPr>
          <w:i/>
          <w:sz w:val="24"/>
        </w:rPr>
        <w:t>la </w:t>
      </w:r>
      <w:r>
        <w:rPr>
          <w:i/>
          <w:sz w:val="24"/>
        </w:rPr>
        <w:t>rendición</w:t>
      </w:r>
      <w:r>
        <w:rPr>
          <w:i/>
          <w:spacing w:val="-13"/>
          <w:sz w:val="24"/>
        </w:rPr>
        <w:t> </w:t>
      </w:r>
      <w:r>
        <w:rPr>
          <w:i/>
          <w:sz w:val="24"/>
        </w:rPr>
        <w:t>de</w:t>
      </w:r>
      <w:r>
        <w:rPr>
          <w:i/>
          <w:spacing w:val="-12"/>
          <w:sz w:val="24"/>
        </w:rPr>
        <w:t> </w:t>
      </w:r>
      <w:r>
        <w:rPr>
          <w:i/>
          <w:sz w:val="24"/>
        </w:rPr>
        <w:t>cuentas</w:t>
      </w:r>
      <w:r>
        <w:rPr>
          <w:i/>
          <w:spacing w:val="-14"/>
          <w:sz w:val="24"/>
        </w:rPr>
        <w:t> </w:t>
      </w:r>
      <w:r>
        <w:rPr>
          <w:i/>
          <w:sz w:val="24"/>
        </w:rPr>
        <w:t>de</w:t>
      </w:r>
      <w:r>
        <w:rPr>
          <w:i/>
          <w:spacing w:val="-13"/>
          <w:sz w:val="24"/>
        </w:rPr>
        <w:t> </w:t>
      </w:r>
      <w:r>
        <w:rPr>
          <w:i/>
          <w:sz w:val="24"/>
        </w:rPr>
        <w:t>las</w:t>
      </w:r>
      <w:r>
        <w:rPr>
          <w:i/>
          <w:spacing w:val="-13"/>
          <w:sz w:val="24"/>
        </w:rPr>
        <w:t> </w:t>
      </w:r>
      <w:r>
        <w:rPr>
          <w:i/>
          <w:sz w:val="24"/>
        </w:rPr>
        <w:t>EFS,</w:t>
      </w:r>
      <w:r>
        <w:rPr>
          <w:i/>
          <w:spacing w:val="-13"/>
          <w:sz w:val="24"/>
        </w:rPr>
        <w:t> </w:t>
      </w:r>
      <w:r>
        <w:rPr>
          <w:i/>
          <w:sz w:val="24"/>
        </w:rPr>
        <w:t>ya</w:t>
      </w:r>
      <w:r>
        <w:rPr>
          <w:i/>
          <w:spacing w:val="-13"/>
          <w:sz w:val="24"/>
        </w:rPr>
        <w:t> </w:t>
      </w:r>
      <w:r>
        <w:rPr>
          <w:i/>
          <w:sz w:val="24"/>
        </w:rPr>
        <w:t>sea</w:t>
      </w:r>
      <w:r>
        <w:rPr>
          <w:i/>
          <w:spacing w:val="-16"/>
          <w:sz w:val="24"/>
        </w:rPr>
        <w:t> </w:t>
      </w:r>
      <w:r>
        <w:rPr>
          <w:i/>
          <w:sz w:val="24"/>
        </w:rPr>
        <w:t>a</w:t>
      </w:r>
      <w:r>
        <w:rPr>
          <w:i/>
          <w:spacing w:val="-13"/>
          <w:sz w:val="24"/>
        </w:rPr>
        <w:t> </w:t>
      </w:r>
      <w:r>
        <w:rPr>
          <w:i/>
          <w:sz w:val="24"/>
        </w:rPr>
        <w:t>través</w:t>
      </w:r>
      <w:r>
        <w:rPr>
          <w:i/>
          <w:spacing w:val="-14"/>
          <w:sz w:val="24"/>
        </w:rPr>
        <w:t> </w:t>
      </w:r>
      <w:r>
        <w:rPr>
          <w:i/>
          <w:sz w:val="24"/>
        </w:rPr>
        <w:t>de</w:t>
      </w:r>
      <w:r>
        <w:rPr>
          <w:i/>
          <w:spacing w:val="-13"/>
          <w:sz w:val="24"/>
        </w:rPr>
        <w:t> </w:t>
      </w:r>
      <w:r>
        <w:rPr>
          <w:i/>
          <w:sz w:val="24"/>
        </w:rPr>
        <w:t>un</w:t>
      </w:r>
      <w:r>
        <w:rPr>
          <w:i/>
          <w:spacing w:val="-16"/>
          <w:sz w:val="24"/>
        </w:rPr>
        <w:t> </w:t>
      </w:r>
      <w:r>
        <w:rPr>
          <w:i/>
          <w:sz w:val="24"/>
        </w:rPr>
        <w:t>organismo</w:t>
      </w:r>
      <w:r>
        <w:rPr>
          <w:i/>
          <w:spacing w:val="-13"/>
          <w:sz w:val="24"/>
        </w:rPr>
        <w:t> </w:t>
      </w:r>
      <w:r>
        <w:rPr>
          <w:i/>
          <w:sz w:val="24"/>
        </w:rPr>
        <w:t>independiente o de un comité parlamentario, sin comprometer la independencia de la EFS. Las EFS deben tener una estructura administrativa adecuada que ponga en práctica los procesos de buena</w:t>
      </w:r>
      <w:r>
        <w:rPr>
          <w:i/>
          <w:spacing w:val="-16"/>
          <w:sz w:val="24"/>
        </w:rPr>
        <w:t> </w:t>
      </w:r>
      <w:r>
        <w:rPr>
          <w:i/>
          <w:sz w:val="24"/>
        </w:rPr>
        <w:t>gobernanza.”</w:t>
      </w:r>
    </w:p>
    <w:p>
      <w:pPr>
        <w:pStyle w:val="BodyText"/>
        <w:spacing w:line="360" w:lineRule="auto" w:before="5"/>
        <w:ind w:left="102" w:right="122"/>
        <w:jc w:val="both"/>
      </w:pPr>
      <w:r>
        <w:rPr/>
        <w:t>Debido a la mayor difusión sobre los resultados de estudios nacionales e internacionales sobre la corrupción, la sociedad ha comenzado a adquirir conciencia de que la corrupción es un problema mundial. La corrupción impide el desarrollo de las economías, incide en la política y en la credibilidad de las instituciones del Estado.</w:t>
      </w:r>
    </w:p>
    <w:p>
      <w:pPr>
        <w:pStyle w:val="BodyText"/>
      </w:pPr>
    </w:p>
    <w:p>
      <w:pPr>
        <w:pStyle w:val="BodyText"/>
        <w:spacing w:line="360" w:lineRule="auto" w:before="139"/>
        <w:ind w:left="102" w:right="66" w:firstLine="707"/>
      </w:pPr>
      <w:r>
        <w:rPr/>
        <w:t>Peter Eigen (2003: 15), fundador de la ONG </w:t>
      </w:r>
      <w:r>
        <w:rPr>
          <w:i/>
        </w:rPr>
        <w:t>Transparency International</w:t>
      </w:r>
      <w:r>
        <w:rPr/>
        <w:t>, definió la corrupción como el abuso del poder en beneficio privado, un vicio</w:t>
      </w:r>
    </w:p>
    <w:p>
      <w:pPr>
        <w:spacing w:after="0" w:line="360" w:lineRule="auto"/>
        <w:sectPr>
          <w:pgSz w:w="11910" w:h="16840"/>
          <w:pgMar w:header="0" w:footer="1003" w:top="1340" w:bottom="1200" w:left="1600" w:right="1580"/>
        </w:sectPr>
      </w:pPr>
    </w:p>
    <w:p>
      <w:pPr>
        <w:pStyle w:val="BodyText"/>
        <w:spacing w:line="362" w:lineRule="auto" w:before="55"/>
        <w:ind w:left="122" w:right="52"/>
      </w:pPr>
      <w:r>
        <w:rPr/>
        <w:t>capital, que es la raíz de casi todos los problemas importantes y afecta a las zonas más pobres del mundo.</w:t>
      </w:r>
    </w:p>
    <w:p>
      <w:pPr>
        <w:pStyle w:val="BodyText"/>
        <w:spacing w:line="360" w:lineRule="auto"/>
        <w:ind w:left="122" w:right="117" w:firstLine="707"/>
        <w:jc w:val="both"/>
      </w:pPr>
      <w:r>
        <w:rPr/>
        <w:t>La UNESCO</w:t>
      </w:r>
      <w:r>
        <w:rPr>
          <w:position w:val="8"/>
          <w:sz w:val="16"/>
        </w:rPr>
        <w:t>95 </w:t>
      </w:r>
      <w:r>
        <w:rPr/>
        <w:t>(UNESCO/IIPI, 2009: 29) comentó que para el Banco Mundial la corrupción implica influir en el proceso de licitación o ejecución del contrato,</w:t>
      </w:r>
      <w:r>
        <w:rPr>
          <w:spacing w:val="-10"/>
        </w:rPr>
        <w:t> </w:t>
      </w:r>
      <w:r>
        <w:rPr/>
        <w:t>mientras</w:t>
      </w:r>
      <w:r>
        <w:rPr>
          <w:spacing w:val="-8"/>
        </w:rPr>
        <w:t> </w:t>
      </w:r>
      <w:r>
        <w:rPr/>
        <w:t>que</w:t>
      </w:r>
      <w:r>
        <w:rPr>
          <w:spacing w:val="-9"/>
        </w:rPr>
        <w:t> </w:t>
      </w:r>
      <w:r>
        <w:rPr/>
        <w:t>el</w:t>
      </w:r>
      <w:r>
        <w:rPr>
          <w:spacing w:val="-8"/>
        </w:rPr>
        <w:t> </w:t>
      </w:r>
      <w:r>
        <w:rPr/>
        <w:t>Banco</w:t>
      </w:r>
      <w:r>
        <w:rPr>
          <w:spacing w:val="-3"/>
        </w:rPr>
        <w:t> </w:t>
      </w:r>
      <w:r>
        <w:rPr/>
        <w:t>Asiático</w:t>
      </w:r>
      <w:r>
        <w:rPr>
          <w:spacing w:val="-10"/>
        </w:rPr>
        <w:t> </w:t>
      </w:r>
      <w:r>
        <w:rPr/>
        <w:t>de</w:t>
      </w:r>
      <w:r>
        <w:rPr>
          <w:spacing w:val="-7"/>
        </w:rPr>
        <w:t> </w:t>
      </w:r>
      <w:r>
        <w:rPr/>
        <w:t>Desarrollo</w:t>
      </w:r>
      <w:r>
        <w:rPr>
          <w:spacing w:val="-7"/>
        </w:rPr>
        <w:t> </w:t>
      </w:r>
      <w:r>
        <w:rPr/>
        <w:t>supone</w:t>
      </w:r>
      <w:r>
        <w:rPr>
          <w:spacing w:val="-7"/>
        </w:rPr>
        <w:t> </w:t>
      </w:r>
      <w:r>
        <w:rPr/>
        <w:t>que</w:t>
      </w:r>
      <w:r>
        <w:rPr>
          <w:spacing w:val="-7"/>
        </w:rPr>
        <w:t> </w:t>
      </w:r>
      <w:r>
        <w:rPr/>
        <w:t>la</w:t>
      </w:r>
      <w:r>
        <w:rPr>
          <w:spacing w:val="-7"/>
        </w:rPr>
        <w:t> </w:t>
      </w:r>
      <w:r>
        <w:rPr/>
        <w:t>corrupción implica</w:t>
      </w:r>
      <w:r>
        <w:rPr>
          <w:spacing w:val="-7"/>
        </w:rPr>
        <w:t> </w:t>
      </w:r>
      <w:r>
        <w:rPr/>
        <w:t>la</w:t>
      </w:r>
      <w:r>
        <w:rPr>
          <w:spacing w:val="-7"/>
        </w:rPr>
        <w:t> </w:t>
      </w:r>
      <w:r>
        <w:rPr/>
        <w:t>contratación</w:t>
      </w:r>
      <w:r>
        <w:rPr>
          <w:spacing w:val="-8"/>
        </w:rPr>
        <w:t> </w:t>
      </w:r>
      <w:r>
        <w:rPr/>
        <w:t>pública,</w:t>
      </w:r>
      <w:r>
        <w:rPr>
          <w:spacing w:val="-7"/>
        </w:rPr>
        <w:t> </w:t>
      </w:r>
      <w:r>
        <w:rPr/>
        <w:t>la</w:t>
      </w:r>
      <w:r>
        <w:rPr>
          <w:spacing w:val="-7"/>
        </w:rPr>
        <w:t> </w:t>
      </w:r>
      <w:r>
        <w:rPr/>
        <w:t>venta</w:t>
      </w:r>
      <w:r>
        <w:rPr>
          <w:spacing w:val="-7"/>
        </w:rPr>
        <w:t> </w:t>
      </w:r>
      <w:r>
        <w:rPr/>
        <w:t>de</w:t>
      </w:r>
      <w:r>
        <w:rPr>
          <w:spacing w:val="-7"/>
        </w:rPr>
        <w:t> </w:t>
      </w:r>
      <w:r>
        <w:rPr/>
        <w:t>cargos</w:t>
      </w:r>
      <w:r>
        <w:rPr>
          <w:spacing w:val="-7"/>
        </w:rPr>
        <w:t> </w:t>
      </w:r>
      <w:r>
        <w:rPr/>
        <w:t>públicos,</w:t>
      </w:r>
      <w:r>
        <w:rPr>
          <w:spacing w:val="-7"/>
        </w:rPr>
        <w:t> </w:t>
      </w:r>
      <w:r>
        <w:rPr/>
        <w:t>o</w:t>
      </w:r>
      <w:r>
        <w:rPr>
          <w:spacing w:val="-7"/>
        </w:rPr>
        <w:t> </w:t>
      </w:r>
      <w:r>
        <w:rPr/>
        <w:t>los</w:t>
      </w:r>
      <w:r>
        <w:rPr>
          <w:spacing w:val="-7"/>
        </w:rPr>
        <w:t> </w:t>
      </w:r>
      <w:r>
        <w:rPr/>
        <w:t>pagos</w:t>
      </w:r>
      <w:r>
        <w:rPr>
          <w:spacing w:val="-7"/>
        </w:rPr>
        <w:t> </w:t>
      </w:r>
      <w:r>
        <w:rPr/>
        <w:t>ilegales, que permiten un monopolio en el</w:t>
      </w:r>
      <w:r>
        <w:rPr>
          <w:spacing w:val="-18"/>
        </w:rPr>
        <w:t> </w:t>
      </w:r>
      <w:r>
        <w:rPr/>
        <w:t>mercado.</w:t>
      </w:r>
    </w:p>
    <w:p>
      <w:pPr>
        <w:pStyle w:val="BodyText"/>
        <w:spacing w:line="360" w:lineRule="auto" w:before="5"/>
        <w:ind w:left="122" w:right="170" w:firstLine="566"/>
        <w:jc w:val="both"/>
      </w:pPr>
      <w:r>
        <w:rPr/>
        <w:t>Peter Eigen (2003: 135) definió la corrupción como el abuso de confianza, una utilización fraudulenta del poder ejercido en beneficio privado.</w:t>
      </w:r>
    </w:p>
    <w:p>
      <w:pPr>
        <w:pStyle w:val="BodyText"/>
        <w:spacing w:line="360" w:lineRule="auto" w:before="5"/>
        <w:ind w:left="122" w:right="115" w:firstLine="566"/>
        <w:jc w:val="both"/>
      </w:pPr>
      <w:r>
        <w:rPr/>
        <w:t>Si bien las ONG miden la gobernanza, la rendición de cuentas y la corrupción, éstas por lo general solo fungen como diagnosticadoras de problemas e identificación de actores (a excepción del </w:t>
      </w:r>
      <w:r>
        <w:rPr>
          <w:i/>
        </w:rPr>
        <w:t>Global Integrity Report</w:t>
      </w:r>
      <w:r>
        <w:rPr/>
        <w:t>); sin embargo, los resultados de sus investigaciones han adquirido más importancia en los congresos y en las instituciones públicas.</w:t>
      </w:r>
    </w:p>
    <w:p>
      <w:pPr>
        <w:pStyle w:val="BodyText"/>
        <w:spacing w:line="360" w:lineRule="auto" w:before="2"/>
        <w:ind w:left="122" w:right="120" w:firstLine="566"/>
        <w:jc w:val="both"/>
      </w:pPr>
      <w:r>
        <w:rPr/>
        <w:t>Para reducir la corrupción se requiere de la actuación conjunta del Estado, la sociedad civil y el sector privado.Una sociedad con ciudadanos políticamente activos conocedores de sus derechos y de sus responsabilidades políticas, pueden disminuir las elevadas cifras presentadas en las estadísticas sobre la corrupción. El éxito de la gobernanza en reducir la corrupción depende de la eficiencia de la red de actores.</w:t>
      </w:r>
    </w:p>
    <w:p>
      <w:pPr>
        <w:pStyle w:val="BodyText"/>
        <w:spacing w:line="360" w:lineRule="auto" w:before="2"/>
        <w:ind w:left="122" w:right="118" w:firstLine="566"/>
        <w:jc w:val="both"/>
      </w:pPr>
      <w:r>
        <w:rPr/>
        <w:t>El poder político puede mejorar el desempeño de las instituciones que tienen como función principal elreducir la corrupción, así como de las instituciones de rendición de cuentas, y permitir la mayor participación de las ONG y la efectiva aplicación de las leyes mediante la división de poderes.</w:t>
      </w:r>
    </w:p>
    <w:p>
      <w:pPr>
        <w:pStyle w:val="BodyText"/>
        <w:spacing w:line="360" w:lineRule="auto" w:before="2"/>
        <w:ind w:left="122" w:right="117" w:firstLine="566"/>
        <w:jc w:val="both"/>
      </w:pPr>
      <w:r>
        <w:rPr/>
        <w:t>Eigen considera que los puntos en los que se debe trabajar para reducir la corrupción</w:t>
      </w:r>
      <w:r>
        <w:rPr>
          <w:spacing w:val="-13"/>
        </w:rPr>
        <w:t> </w:t>
      </w:r>
      <w:r>
        <w:rPr/>
        <w:t>son:</w:t>
      </w:r>
      <w:r>
        <w:rPr>
          <w:spacing w:val="-16"/>
        </w:rPr>
        <w:t> </w:t>
      </w:r>
      <w:r>
        <w:rPr/>
        <w:t>mejorar</w:t>
      </w:r>
      <w:r>
        <w:rPr>
          <w:spacing w:val="-15"/>
        </w:rPr>
        <w:t> </w:t>
      </w:r>
      <w:r>
        <w:rPr/>
        <w:t>la</w:t>
      </w:r>
      <w:r>
        <w:rPr>
          <w:spacing w:val="-13"/>
        </w:rPr>
        <w:t> </w:t>
      </w:r>
      <w:r>
        <w:rPr/>
        <w:t>calidad</w:t>
      </w:r>
      <w:r>
        <w:rPr>
          <w:spacing w:val="-13"/>
        </w:rPr>
        <w:t> </w:t>
      </w:r>
      <w:r>
        <w:rPr/>
        <w:t>de</w:t>
      </w:r>
      <w:r>
        <w:rPr>
          <w:spacing w:val="-13"/>
        </w:rPr>
        <w:t> </w:t>
      </w:r>
      <w:r>
        <w:rPr/>
        <w:t>la</w:t>
      </w:r>
      <w:r>
        <w:rPr>
          <w:spacing w:val="-13"/>
        </w:rPr>
        <w:t> </w:t>
      </w:r>
      <w:r>
        <w:rPr/>
        <w:t>información,</w:t>
      </w:r>
      <w:r>
        <w:rPr>
          <w:spacing w:val="-13"/>
        </w:rPr>
        <w:t> </w:t>
      </w:r>
      <w:r>
        <w:rPr/>
        <w:t>implementar</w:t>
      </w:r>
      <w:r>
        <w:rPr>
          <w:spacing w:val="-15"/>
        </w:rPr>
        <w:t> </w:t>
      </w:r>
      <w:r>
        <w:rPr/>
        <w:t>un</w:t>
      </w:r>
      <w:r>
        <w:rPr>
          <w:spacing w:val="-16"/>
        </w:rPr>
        <w:t> </w:t>
      </w:r>
      <w:r>
        <w:rPr/>
        <w:t>servicio</w:t>
      </w:r>
      <w:r>
        <w:rPr>
          <w:spacing w:val="-13"/>
        </w:rPr>
        <w:t> </w:t>
      </w:r>
      <w:r>
        <w:rPr/>
        <w:t>civil profesional, crear un marco legal efectivo, contar con poderes independientes, tener</w:t>
      </w:r>
      <w:r>
        <w:rPr>
          <w:spacing w:val="-20"/>
        </w:rPr>
        <w:t> </w:t>
      </w:r>
      <w:r>
        <w:rPr/>
        <w:t>un</w:t>
      </w:r>
      <w:r>
        <w:rPr>
          <w:spacing w:val="-19"/>
        </w:rPr>
        <w:t> </w:t>
      </w:r>
      <w:r>
        <w:rPr/>
        <w:t>control</w:t>
      </w:r>
      <w:r>
        <w:rPr>
          <w:spacing w:val="-20"/>
        </w:rPr>
        <w:t> </w:t>
      </w:r>
      <w:r>
        <w:rPr/>
        <w:t>gubernamental,</w:t>
      </w:r>
      <w:r>
        <w:rPr>
          <w:spacing w:val="-20"/>
        </w:rPr>
        <w:t> </w:t>
      </w:r>
      <w:r>
        <w:rPr/>
        <w:t>contar</w:t>
      </w:r>
      <w:r>
        <w:rPr>
          <w:spacing w:val="-20"/>
        </w:rPr>
        <w:t> </w:t>
      </w:r>
      <w:r>
        <w:rPr/>
        <w:t>con</w:t>
      </w:r>
      <w:r>
        <w:rPr>
          <w:spacing w:val="-17"/>
        </w:rPr>
        <w:t> </w:t>
      </w:r>
      <w:r>
        <w:rPr/>
        <w:t>instituciones</w:t>
      </w:r>
      <w:r>
        <w:rPr>
          <w:spacing w:val="-20"/>
        </w:rPr>
        <w:t> </w:t>
      </w:r>
      <w:r>
        <w:rPr/>
        <w:t>de</w:t>
      </w:r>
      <w:r>
        <w:rPr>
          <w:spacing w:val="-19"/>
        </w:rPr>
        <w:t> </w:t>
      </w:r>
      <w:r>
        <w:rPr/>
        <w:t>rendición</w:t>
      </w:r>
      <w:r>
        <w:rPr>
          <w:spacing w:val="-19"/>
        </w:rPr>
        <w:t> </w:t>
      </w:r>
      <w:r>
        <w:rPr/>
        <w:t>de</w:t>
      </w:r>
      <w:r>
        <w:rPr>
          <w:spacing w:val="-17"/>
        </w:rPr>
        <w:t> </w:t>
      </w:r>
      <w:r>
        <w:rPr/>
        <w:t>cuentas, proteger a denunciantes (testigos protegidos), prevenir el conflicto de interés, lograr una cooperación internacional de organizaciones contra la corrupción, y sobre todo, contar con voluntad ética y</w:t>
      </w:r>
      <w:r>
        <w:rPr>
          <w:spacing w:val="-16"/>
        </w:rPr>
        <w:t> </w:t>
      </w:r>
      <w:r>
        <w:rPr/>
        <w:t>política.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8896;mso-wrap-distance-left:0;mso-wrap-distance-right:0" from="85.103996pt,9.631845pt" to="229.123996pt,9.631845pt" stroked="true" strokeweight=".72003pt" strokecolor="#000000">
            <w10:wrap type="topAndBottom"/>
          </v:line>
        </w:pict>
      </w:r>
    </w:p>
    <w:p>
      <w:pPr>
        <w:spacing w:line="249" w:lineRule="auto" w:before="62"/>
        <w:ind w:left="122" w:right="270" w:firstLine="0"/>
        <w:jc w:val="left"/>
        <w:rPr>
          <w:sz w:val="16"/>
        </w:rPr>
      </w:pPr>
      <w:r>
        <w:rPr>
          <w:rFonts w:ascii="Times New Roman" w:hAnsi="Times New Roman"/>
          <w:position w:val="7"/>
          <w:sz w:val="13"/>
        </w:rPr>
        <w:t>95</w:t>
      </w:r>
      <w:hyperlink r:id="rId22">
        <w:r>
          <w:rPr>
            <w:sz w:val="16"/>
          </w:rPr>
          <w:t>Organización de las Naciones Unidas para la Educación, la Ciencia y la Cultura</w:t>
        </w:r>
      </w:hyperlink>
      <w:r>
        <w:rPr>
          <w:sz w:val="16"/>
        </w:rPr>
        <w:t> </w:t>
      </w:r>
      <w:hyperlink r:id="rId22">
        <w:r>
          <w:rPr>
            <w:sz w:val="16"/>
          </w:rPr>
          <w:t>(</w:t>
        </w:r>
        <w:r>
          <w:rPr>
            <w:rFonts w:ascii="Times New Roman" w:hAnsi="Times New Roman"/>
            <w:i/>
            <w:sz w:val="16"/>
          </w:rPr>
          <w:t>United Nations Educational, Scientific</w:t>
        </w:r>
      </w:hyperlink>
      <w:r>
        <w:rPr>
          <w:rFonts w:ascii="Times New Roman" w:hAnsi="Times New Roman"/>
          <w:i/>
          <w:sz w:val="16"/>
        </w:rPr>
        <w:t> </w:t>
      </w:r>
      <w:hyperlink r:id="rId22">
        <w:r>
          <w:rPr>
            <w:rFonts w:ascii="Times New Roman" w:hAnsi="Times New Roman"/>
            <w:i/>
            <w:sz w:val="16"/>
          </w:rPr>
          <w:t>and Cultural Organization)</w:t>
        </w:r>
        <w:r>
          <w:rPr>
            <w:sz w:val="16"/>
          </w:rPr>
          <w:t>.</w:t>
        </w:r>
      </w:hyperlink>
    </w:p>
    <w:p>
      <w:pPr>
        <w:spacing w:after="0" w:line="249" w:lineRule="auto"/>
        <w:jc w:val="left"/>
        <w:rPr>
          <w:sz w:val="16"/>
        </w:rPr>
        <w:sectPr>
          <w:pgSz w:w="11910" w:h="16840"/>
          <w:pgMar w:header="0" w:footer="1003" w:top="1340" w:bottom="1200" w:left="1580" w:right="1580"/>
        </w:sectPr>
      </w:pPr>
    </w:p>
    <w:p>
      <w:pPr>
        <w:pStyle w:val="Heading1"/>
        <w:spacing w:line="360" w:lineRule="auto" w:before="54"/>
        <w:ind w:left="1713" w:right="584" w:hanging="1188"/>
        <w:jc w:val="left"/>
      </w:pPr>
      <w:bookmarkStart w:name="_bookmark70" w:id="94"/>
      <w:bookmarkEnd w:id="94"/>
      <w:r>
        <w:rPr>
          <w:b w:val="0"/>
        </w:rPr>
      </w:r>
      <w:r>
        <w:rPr/>
        <w:t>CAPÍTULO CUARTO. SIGLO XXI: POLÍTICAS PÚBLICAS Y EVALUACIÓN DEL ESTADO MEXICANO</w:t>
      </w:r>
    </w:p>
    <w:p>
      <w:pPr>
        <w:pStyle w:val="BodyText"/>
        <w:spacing w:before="1"/>
        <w:rPr>
          <w:b/>
          <w:sz w:val="25"/>
        </w:rPr>
      </w:pPr>
    </w:p>
    <w:p>
      <w:pPr>
        <w:pStyle w:val="BodyText"/>
        <w:spacing w:line="357" w:lineRule="auto"/>
        <w:ind w:left="122" w:right="195"/>
        <w:jc w:val="both"/>
      </w:pPr>
      <w:r>
        <w:rPr/>
        <w:t>En la década de los años noventa la academia mexicana dio un fuerte impulso al estudio de las políticas públicas con las aportaciones de Luis Aguilar.</w:t>
      </w:r>
      <w:r>
        <w:rPr>
          <w:position w:val="8"/>
          <w:sz w:val="16"/>
        </w:rPr>
        <w:t>96 </w:t>
      </w:r>
      <w:r>
        <w:rPr/>
        <w:t>Las políticas públicas</w:t>
      </w:r>
      <w:r>
        <w:rPr>
          <w:position w:val="8"/>
          <w:sz w:val="16"/>
        </w:rPr>
        <w:t>97 </w:t>
      </w:r>
      <w:r>
        <w:rPr/>
        <w:t>son decisiones del Estado que se originan en un proceso político</w:t>
      </w:r>
      <w:r>
        <w:rPr>
          <w:spacing w:val="-14"/>
        </w:rPr>
        <w:t> </w:t>
      </w:r>
      <w:r>
        <w:rPr/>
        <w:t>previo,</w:t>
      </w:r>
      <w:r>
        <w:rPr>
          <w:spacing w:val="-14"/>
        </w:rPr>
        <w:t> </w:t>
      </w:r>
      <w:r>
        <w:rPr/>
        <w:t>mediante</w:t>
      </w:r>
      <w:r>
        <w:rPr>
          <w:spacing w:val="-13"/>
        </w:rPr>
        <w:t> </w:t>
      </w:r>
      <w:r>
        <w:rPr/>
        <w:t>el</w:t>
      </w:r>
      <w:r>
        <w:rPr>
          <w:spacing w:val="-15"/>
        </w:rPr>
        <w:t> </w:t>
      </w:r>
      <w:r>
        <w:rPr/>
        <w:t>cual</w:t>
      </w:r>
      <w:r>
        <w:rPr>
          <w:spacing w:val="-15"/>
        </w:rPr>
        <w:t> </w:t>
      </w:r>
      <w:r>
        <w:rPr/>
        <w:t>se</w:t>
      </w:r>
      <w:r>
        <w:rPr>
          <w:spacing w:val="-14"/>
        </w:rPr>
        <w:t> </w:t>
      </w:r>
      <w:r>
        <w:rPr/>
        <w:t>seleccionan</w:t>
      </w:r>
      <w:r>
        <w:rPr>
          <w:spacing w:val="-14"/>
        </w:rPr>
        <w:t> </w:t>
      </w:r>
      <w:r>
        <w:rPr/>
        <w:t>y</w:t>
      </w:r>
      <w:r>
        <w:rPr>
          <w:spacing w:val="-17"/>
        </w:rPr>
        <w:t> </w:t>
      </w:r>
      <w:r>
        <w:rPr/>
        <w:t>definen</w:t>
      </w:r>
      <w:r>
        <w:rPr>
          <w:spacing w:val="-14"/>
        </w:rPr>
        <w:t> </w:t>
      </w:r>
      <w:r>
        <w:rPr/>
        <w:t>los</w:t>
      </w:r>
      <w:r>
        <w:rPr>
          <w:spacing w:val="-15"/>
        </w:rPr>
        <w:t> </w:t>
      </w:r>
      <w:r>
        <w:rPr/>
        <w:t>problemas</w:t>
      </w:r>
      <w:r>
        <w:rPr>
          <w:spacing w:val="-15"/>
        </w:rPr>
        <w:t> </w:t>
      </w:r>
      <w:r>
        <w:rPr/>
        <w:t>públicos. Debido a que el Estado tiene el monopolio legítimo de la coerción física, en las políticas públicas hay decisiones de</w:t>
      </w:r>
      <w:r>
        <w:rPr>
          <w:spacing w:val="-17"/>
        </w:rPr>
        <w:t> </w:t>
      </w:r>
      <w:r>
        <w:rPr/>
        <w:t>poder.</w:t>
      </w:r>
    </w:p>
    <w:p>
      <w:pPr>
        <w:pStyle w:val="BodyText"/>
        <w:spacing w:line="360" w:lineRule="auto" w:before="6"/>
        <w:ind w:left="122" w:right="100" w:firstLine="427"/>
        <w:jc w:val="both"/>
      </w:pPr>
      <w:r>
        <w:rPr/>
        <w:t>En este siglo, seleccionar las políticas que adoptará el Estado supone definir los problemas por atender.</w:t>
      </w:r>
      <w:r>
        <w:rPr>
          <w:position w:val="8"/>
          <w:sz w:val="16"/>
        </w:rPr>
        <w:t>98 </w:t>
      </w:r>
      <w:r>
        <w:rPr/>
        <w:t>El momento más importante en el diseño de las políticas públicas es el de priorizar los problemas que se deben resolverse, considerando primordialmente las políticas públicas que deben atender los deberes constitucionales y, sobre todo, examinar la viabilidad de su implementación y resultados.</w:t>
      </w:r>
    </w:p>
    <w:p>
      <w:pPr>
        <w:pStyle w:val="BodyText"/>
        <w:spacing w:line="360" w:lineRule="auto" w:before="2"/>
        <w:ind w:left="122" w:right="107" w:firstLine="427"/>
        <w:jc w:val="both"/>
      </w:pPr>
      <w:r>
        <w:rPr/>
        <w:t>Definir el problema significa encontrar las causas por las que esa situación está</w:t>
      </w:r>
      <w:r>
        <w:rPr>
          <w:spacing w:val="-11"/>
        </w:rPr>
        <w:t> </w:t>
      </w:r>
      <w:r>
        <w:rPr/>
        <w:t>sucediendo</w:t>
      </w:r>
      <w:r>
        <w:rPr>
          <w:spacing w:val="-12"/>
        </w:rPr>
        <w:t> </w:t>
      </w:r>
      <w:r>
        <w:rPr/>
        <w:t>y</w:t>
      </w:r>
      <w:r>
        <w:rPr>
          <w:spacing w:val="-14"/>
        </w:rPr>
        <w:t> </w:t>
      </w:r>
      <w:r>
        <w:rPr/>
        <w:t>encontrar</w:t>
      </w:r>
      <w:r>
        <w:rPr>
          <w:spacing w:val="-12"/>
        </w:rPr>
        <w:t> </w:t>
      </w:r>
      <w:r>
        <w:rPr/>
        <w:t>soluciones</w:t>
      </w:r>
      <w:r>
        <w:rPr>
          <w:spacing w:val="-14"/>
        </w:rPr>
        <w:t> </w:t>
      </w:r>
      <w:r>
        <w:rPr/>
        <w:t>factibles.</w:t>
      </w:r>
      <w:r>
        <w:rPr>
          <w:spacing w:val="-12"/>
        </w:rPr>
        <w:t> </w:t>
      </w:r>
      <w:r>
        <w:rPr/>
        <w:t>Una</w:t>
      </w:r>
      <w:r>
        <w:rPr>
          <w:spacing w:val="-11"/>
        </w:rPr>
        <w:t> </w:t>
      </w:r>
      <w:r>
        <w:rPr/>
        <w:t>política</w:t>
      </w:r>
      <w:r>
        <w:rPr>
          <w:spacing w:val="-12"/>
        </w:rPr>
        <w:t> </w:t>
      </w:r>
      <w:r>
        <w:rPr/>
        <w:t>no</w:t>
      </w:r>
      <w:r>
        <w:rPr>
          <w:spacing w:val="-13"/>
        </w:rPr>
        <w:t> </w:t>
      </w:r>
      <w:r>
        <w:rPr/>
        <w:t>puede</w:t>
      </w:r>
      <w:r>
        <w:rPr>
          <w:spacing w:val="-12"/>
        </w:rPr>
        <w:t> </w:t>
      </w:r>
      <w:r>
        <w:rPr/>
        <w:t>reducirse a decir que la rendición de cuentas es insuficiente para reducir la corrupción y generar la confianza de la sociedad, también debe encontrar las causas de la insuficiencia de esa rendición de</w:t>
      </w:r>
      <w:r>
        <w:rPr>
          <w:spacing w:val="-13"/>
        </w:rPr>
        <w:t> </w:t>
      </w:r>
      <w:r>
        <w:rPr/>
        <w:t>cuentas.</w:t>
      </w:r>
    </w:p>
    <w:p>
      <w:pPr>
        <w:pStyle w:val="BodyText"/>
        <w:spacing w:line="360" w:lineRule="auto" w:before="5"/>
        <w:ind w:left="122" w:right="108" w:firstLine="427"/>
        <w:jc w:val="both"/>
      </w:pPr>
      <w:r>
        <w:rPr/>
        <w:t>Esta</w:t>
      </w:r>
      <w:r>
        <w:rPr>
          <w:spacing w:val="-11"/>
        </w:rPr>
        <w:t> </w:t>
      </w:r>
      <w:r>
        <w:rPr/>
        <w:t>acción</w:t>
      </w:r>
      <w:r>
        <w:rPr>
          <w:spacing w:val="-13"/>
        </w:rPr>
        <w:t> </w:t>
      </w:r>
      <w:r>
        <w:rPr/>
        <w:t>del</w:t>
      </w:r>
      <w:r>
        <w:rPr>
          <w:spacing w:val="-12"/>
        </w:rPr>
        <w:t> </w:t>
      </w:r>
      <w:r>
        <w:rPr/>
        <w:t>Estado</w:t>
      </w:r>
      <w:r>
        <w:rPr>
          <w:spacing w:val="-11"/>
        </w:rPr>
        <w:t> </w:t>
      </w:r>
      <w:r>
        <w:rPr/>
        <w:t>es</w:t>
      </w:r>
      <w:r>
        <w:rPr>
          <w:spacing w:val="-12"/>
        </w:rPr>
        <w:t> </w:t>
      </w:r>
      <w:r>
        <w:rPr/>
        <w:t>muy</w:t>
      </w:r>
      <w:r>
        <w:rPr>
          <w:spacing w:val="-12"/>
        </w:rPr>
        <w:t> </w:t>
      </w:r>
      <w:r>
        <w:rPr/>
        <w:t>amplia</w:t>
      </w:r>
      <w:r>
        <w:rPr>
          <w:spacing w:val="-11"/>
        </w:rPr>
        <w:t> </w:t>
      </w:r>
      <w:r>
        <w:rPr/>
        <w:t>y</w:t>
      </w:r>
      <w:r>
        <w:rPr>
          <w:spacing w:val="-12"/>
        </w:rPr>
        <w:t> </w:t>
      </w:r>
      <w:r>
        <w:rPr/>
        <w:t>envolvente</w:t>
      </w:r>
      <w:r>
        <w:rPr>
          <w:spacing w:val="-9"/>
        </w:rPr>
        <w:t> </w:t>
      </w:r>
      <w:r>
        <w:rPr/>
        <w:t>porque</w:t>
      </w:r>
      <w:r>
        <w:rPr>
          <w:spacing w:val="-9"/>
        </w:rPr>
        <w:t> </w:t>
      </w:r>
      <w:r>
        <w:rPr/>
        <w:t>implica</w:t>
      </w:r>
      <w:r>
        <w:rPr>
          <w:spacing w:val="-11"/>
        </w:rPr>
        <w:t> </w:t>
      </w:r>
      <w:r>
        <w:rPr/>
        <w:t>el</w:t>
      </w:r>
      <w:r>
        <w:rPr>
          <w:spacing w:val="-12"/>
        </w:rPr>
        <w:t> </w:t>
      </w:r>
      <w:r>
        <w:rPr/>
        <w:t>examen de</w:t>
      </w:r>
      <w:r>
        <w:rPr>
          <w:spacing w:val="-8"/>
        </w:rPr>
        <w:t> </w:t>
      </w:r>
      <w:r>
        <w:rPr/>
        <w:t>todas</w:t>
      </w:r>
      <w:r>
        <w:rPr>
          <w:spacing w:val="-9"/>
        </w:rPr>
        <w:t> </w:t>
      </w:r>
      <w:r>
        <w:rPr/>
        <w:t>las</w:t>
      </w:r>
      <w:r>
        <w:rPr>
          <w:spacing w:val="-11"/>
        </w:rPr>
        <w:t> </w:t>
      </w:r>
      <w:r>
        <w:rPr/>
        <w:t>políticas</w:t>
      </w:r>
      <w:r>
        <w:rPr>
          <w:spacing w:val="-9"/>
        </w:rPr>
        <w:t> </w:t>
      </w:r>
      <w:r>
        <w:rPr/>
        <w:t>públicas,</w:t>
      </w:r>
      <w:r>
        <w:rPr>
          <w:spacing w:val="-9"/>
        </w:rPr>
        <w:t> </w:t>
      </w:r>
      <w:r>
        <w:rPr/>
        <w:t>analizar</w:t>
      </w:r>
      <w:r>
        <w:rPr>
          <w:spacing w:val="-10"/>
        </w:rPr>
        <w:t> </w:t>
      </w:r>
      <w:r>
        <w:rPr/>
        <w:t>su</w:t>
      </w:r>
      <w:r>
        <w:rPr>
          <w:spacing w:val="-8"/>
        </w:rPr>
        <w:t> </w:t>
      </w:r>
      <w:r>
        <w:rPr/>
        <w:t>correcta</w:t>
      </w:r>
      <w:r>
        <w:rPr>
          <w:spacing w:val="-8"/>
        </w:rPr>
        <w:t> </w:t>
      </w:r>
      <w:r>
        <w:rPr/>
        <w:t>implementación</w:t>
      </w:r>
      <w:r>
        <w:rPr>
          <w:spacing w:val="-8"/>
        </w:rPr>
        <w:t> </w:t>
      </w:r>
      <w:r>
        <w:rPr/>
        <w:t>y</w:t>
      </w:r>
      <w:r>
        <w:rPr>
          <w:spacing w:val="-12"/>
        </w:rPr>
        <w:t> </w:t>
      </w:r>
      <w:r>
        <w:rPr/>
        <w:t>las</w:t>
      </w:r>
      <w:r>
        <w:rPr>
          <w:spacing w:val="-9"/>
        </w:rPr>
        <w:t> </w:t>
      </w:r>
      <w:r>
        <w:rPr/>
        <w:t>posibles causas de su fracaso o insuficiencia. El principio rector de toda política   </w:t>
      </w:r>
      <w:r>
        <w:rPr>
          <w:spacing w:val="16"/>
        </w:rPr>
        <w:t> </w:t>
      </w:r>
      <w:r>
        <w:rPr/>
        <w:t>pública</w:t>
      </w:r>
    </w:p>
    <w:p>
      <w:pPr>
        <w:pStyle w:val="BodyText"/>
        <w:rPr>
          <w:sz w:val="20"/>
        </w:rPr>
      </w:pP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8920;mso-wrap-distance-left:0;mso-wrap-distance-right:0" from="85.103996pt,9.776851pt" to="229.123996pt,9.776851pt" stroked="true" strokeweight=".71997pt" strokecolor="#000000">
            <w10:wrap type="topAndBottom"/>
          </v:line>
        </w:pict>
      </w:r>
    </w:p>
    <w:p>
      <w:pPr>
        <w:spacing w:line="249" w:lineRule="auto" w:before="67"/>
        <w:ind w:left="122" w:right="194" w:firstLine="0"/>
        <w:jc w:val="both"/>
        <w:rPr>
          <w:sz w:val="16"/>
        </w:rPr>
      </w:pPr>
      <w:r>
        <w:rPr>
          <w:rFonts w:ascii="Calibri" w:hAnsi="Calibri"/>
          <w:position w:val="8"/>
          <w:sz w:val="14"/>
        </w:rPr>
        <w:t>96</w:t>
      </w:r>
      <w:r>
        <w:rPr>
          <w:sz w:val="16"/>
        </w:rPr>
        <w:t>En 2011 la literatura mexicana consideró el tema </w:t>
      </w:r>
      <w:r>
        <w:rPr>
          <w:i/>
          <w:sz w:val="16"/>
        </w:rPr>
        <w:t>La evaluación de las Políticas Públicas en México</w:t>
      </w:r>
      <w:r>
        <w:rPr>
          <w:sz w:val="16"/>
        </w:rPr>
        <w:t>, con las aportaciones de José Ma. Ramos, José Sosa y Félix Acosta; sin embargo la ASF mediante la AED realizó previamente la</w:t>
      </w:r>
      <w:r>
        <w:rPr>
          <w:spacing w:val="-16"/>
          <w:sz w:val="16"/>
        </w:rPr>
        <w:t> </w:t>
      </w:r>
      <w:r>
        <w:rPr>
          <w:sz w:val="16"/>
        </w:rPr>
        <w:t>metodología</w:t>
      </w:r>
      <w:r>
        <w:rPr>
          <w:spacing w:val="-14"/>
          <w:sz w:val="16"/>
        </w:rPr>
        <w:t> </w:t>
      </w:r>
      <w:r>
        <w:rPr>
          <w:sz w:val="16"/>
        </w:rPr>
        <w:t>de</w:t>
      </w:r>
      <w:r>
        <w:rPr>
          <w:spacing w:val="-14"/>
          <w:sz w:val="16"/>
        </w:rPr>
        <w:t> </w:t>
      </w:r>
      <w:r>
        <w:rPr>
          <w:sz w:val="16"/>
        </w:rPr>
        <w:t>evaluación</w:t>
      </w:r>
      <w:r>
        <w:rPr>
          <w:spacing w:val="-14"/>
          <w:sz w:val="16"/>
        </w:rPr>
        <w:t> </w:t>
      </w:r>
      <w:r>
        <w:rPr>
          <w:sz w:val="16"/>
        </w:rPr>
        <w:t>de</w:t>
      </w:r>
      <w:r>
        <w:rPr>
          <w:spacing w:val="-14"/>
          <w:sz w:val="16"/>
        </w:rPr>
        <w:t> </w:t>
      </w:r>
      <w:r>
        <w:rPr>
          <w:sz w:val="16"/>
        </w:rPr>
        <w:t>políticas</w:t>
      </w:r>
      <w:r>
        <w:rPr>
          <w:spacing w:val="-12"/>
          <w:sz w:val="16"/>
        </w:rPr>
        <w:t> </w:t>
      </w:r>
      <w:r>
        <w:rPr>
          <w:sz w:val="16"/>
        </w:rPr>
        <w:t>públicas</w:t>
      </w:r>
      <w:r>
        <w:rPr>
          <w:spacing w:val="-12"/>
          <w:sz w:val="16"/>
        </w:rPr>
        <w:t> </w:t>
      </w:r>
      <w:r>
        <w:rPr>
          <w:sz w:val="16"/>
        </w:rPr>
        <w:t>en</w:t>
      </w:r>
      <w:r>
        <w:rPr>
          <w:spacing w:val="-14"/>
          <w:sz w:val="16"/>
        </w:rPr>
        <w:t> </w:t>
      </w:r>
      <w:r>
        <w:rPr>
          <w:sz w:val="16"/>
        </w:rPr>
        <w:t>el</w:t>
      </w:r>
      <w:r>
        <w:rPr>
          <w:spacing w:val="-13"/>
          <w:sz w:val="16"/>
        </w:rPr>
        <w:t> </w:t>
      </w:r>
      <w:r>
        <w:rPr>
          <w:sz w:val="16"/>
        </w:rPr>
        <w:t>año</w:t>
      </w:r>
      <w:r>
        <w:rPr>
          <w:spacing w:val="-14"/>
          <w:sz w:val="16"/>
        </w:rPr>
        <w:t> </w:t>
      </w:r>
      <w:r>
        <w:rPr>
          <w:sz w:val="16"/>
        </w:rPr>
        <w:t>2000</w:t>
      </w:r>
      <w:r>
        <w:rPr>
          <w:spacing w:val="-11"/>
          <w:sz w:val="16"/>
        </w:rPr>
        <w:t> </w:t>
      </w:r>
      <w:r>
        <w:rPr>
          <w:sz w:val="16"/>
        </w:rPr>
        <w:t>y</w:t>
      </w:r>
      <w:r>
        <w:rPr>
          <w:spacing w:val="-14"/>
          <w:sz w:val="16"/>
        </w:rPr>
        <w:t> </w:t>
      </w:r>
      <w:r>
        <w:rPr>
          <w:sz w:val="16"/>
        </w:rPr>
        <w:t>las</w:t>
      </w:r>
      <w:r>
        <w:rPr>
          <w:spacing w:val="-13"/>
          <w:sz w:val="16"/>
        </w:rPr>
        <w:t> </w:t>
      </w:r>
      <w:r>
        <w:rPr>
          <w:sz w:val="16"/>
        </w:rPr>
        <w:t>primeras</w:t>
      </w:r>
      <w:r>
        <w:rPr>
          <w:spacing w:val="-12"/>
          <w:sz w:val="16"/>
        </w:rPr>
        <w:t> </w:t>
      </w:r>
      <w:r>
        <w:rPr>
          <w:sz w:val="16"/>
        </w:rPr>
        <w:t>auditorías</w:t>
      </w:r>
      <w:r>
        <w:rPr>
          <w:spacing w:val="-12"/>
          <w:sz w:val="16"/>
        </w:rPr>
        <w:t> </w:t>
      </w:r>
      <w:r>
        <w:rPr>
          <w:sz w:val="16"/>
        </w:rPr>
        <w:t>de</w:t>
      </w:r>
      <w:r>
        <w:rPr>
          <w:spacing w:val="-14"/>
          <w:sz w:val="16"/>
        </w:rPr>
        <w:t> </w:t>
      </w:r>
      <w:r>
        <w:rPr>
          <w:sz w:val="16"/>
        </w:rPr>
        <w:t>desempeño;</w:t>
      </w:r>
      <w:r>
        <w:rPr>
          <w:spacing w:val="-13"/>
          <w:sz w:val="16"/>
        </w:rPr>
        <w:t> </w:t>
      </w:r>
      <w:r>
        <w:rPr>
          <w:sz w:val="16"/>
        </w:rPr>
        <w:t>la</w:t>
      </w:r>
      <w:r>
        <w:rPr>
          <w:spacing w:val="-16"/>
          <w:sz w:val="16"/>
        </w:rPr>
        <w:t> </w:t>
      </w:r>
      <w:r>
        <w:rPr>
          <w:sz w:val="16"/>
        </w:rPr>
        <w:t>metodología se</w:t>
      </w:r>
      <w:r>
        <w:rPr>
          <w:spacing w:val="12"/>
          <w:sz w:val="16"/>
        </w:rPr>
        <w:t> </w:t>
      </w:r>
      <w:r>
        <w:rPr>
          <w:sz w:val="16"/>
        </w:rPr>
        <w:t>ha</w:t>
      </w:r>
      <w:r>
        <w:rPr>
          <w:spacing w:val="10"/>
          <w:sz w:val="16"/>
        </w:rPr>
        <w:t> </w:t>
      </w:r>
      <w:r>
        <w:rPr>
          <w:sz w:val="16"/>
        </w:rPr>
        <w:t>ido</w:t>
      </w:r>
      <w:r>
        <w:rPr>
          <w:spacing w:val="10"/>
          <w:sz w:val="16"/>
        </w:rPr>
        <w:t> </w:t>
      </w:r>
      <w:r>
        <w:rPr>
          <w:sz w:val="16"/>
        </w:rPr>
        <w:t>actualizando</w:t>
      </w:r>
      <w:r>
        <w:rPr>
          <w:spacing w:val="12"/>
          <w:sz w:val="16"/>
        </w:rPr>
        <w:t> </w:t>
      </w:r>
      <w:r>
        <w:rPr>
          <w:sz w:val="16"/>
        </w:rPr>
        <w:t>y</w:t>
      </w:r>
      <w:r>
        <w:rPr>
          <w:spacing w:val="11"/>
          <w:sz w:val="16"/>
        </w:rPr>
        <w:t> </w:t>
      </w:r>
      <w:r>
        <w:rPr>
          <w:sz w:val="16"/>
        </w:rPr>
        <w:t>mejorando</w:t>
      </w:r>
      <w:r>
        <w:rPr>
          <w:spacing w:val="12"/>
          <w:sz w:val="16"/>
        </w:rPr>
        <w:t> </w:t>
      </w:r>
      <w:r>
        <w:rPr>
          <w:sz w:val="16"/>
        </w:rPr>
        <w:t>anualmente</w:t>
      </w:r>
      <w:r>
        <w:rPr>
          <w:spacing w:val="11"/>
          <w:sz w:val="16"/>
        </w:rPr>
        <w:t> </w:t>
      </w:r>
      <w:r>
        <w:rPr>
          <w:sz w:val="16"/>
        </w:rPr>
        <w:t>con</w:t>
      </w:r>
      <w:r>
        <w:rPr>
          <w:spacing w:val="10"/>
          <w:sz w:val="16"/>
        </w:rPr>
        <w:t> </w:t>
      </w:r>
      <w:r>
        <w:rPr>
          <w:sz w:val="16"/>
        </w:rPr>
        <w:t>base</w:t>
      </w:r>
      <w:r>
        <w:rPr>
          <w:spacing w:val="10"/>
          <w:sz w:val="16"/>
        </w:rPr>
        <w:t> </w:t>
      </w:r>
      <w:r>
        <w:rPr>
          <w:sz w:val="16"/>
        </w:rPr>
        <w:t>en</w:t>
      </w:r>
      <w:r>
        <w:rPr>
          <w:spacing w:val="10"/>
          <w:sz w:val="16"/>
        </w:rPr>
        <w:t> </w:t>
      </w:r>
      <w:r>
        <w:rPr>
          <w:sz w:val="16"/>
        </w:rPr>
        <w:t>nuevos</w:t>
      </w:r>
      <w:r>
        <w:rPr>
          <w:spacing w:val="11"/>
          <w:sz w:val="16"/>
        </w:rPr>
        <w:t> </w:t>
      </w:r>
      <w:r>
        <w:rPr>
          <w:sz w:val="16"/>
        </w:rPr>
        <w:t>conocimientos</w:t>
      </w:r>
      <w:r>
        <w:rPr>
          <w:spacing w:val="12"/>
          <w:sz w:val="16"/>
        </w:rPr>
        <w:t> </w:t>
      </w:r>
      <w:r>
        <w:rPr>
          <w:sz w:val="16"/>
        </w:rPr>
        <w:t>en</w:t>
      </w:r>
      <w:r>
        <w:rPr>
          <w:spacing w:val="12"/>
          <w:sz w:val="16"/>
        </w:rPr>
        <w:t> </w:t>
      </w:r>
      <w:r>
        <w:rPr>
          <w:sz w:val="16"/>
        </w:rPr>
        <w:t>la</w:t>
      </w:r>
      <w:r>
        <w:rPr>
          <w:spacing w:val="8"/>
          <w:sz w:val="16"/>
        </w:rPr>
        <w:t> </w:t>
      </w:r>
      <w:r>
        <w:rPr>
          <w:sz w:val="16"/>
        </w:rPr>
        <w:t>materia:</w:t>
      </w:r>
      <w:r>
        <w:rPr>
          <w:spacing w:val="11"/>
          <w:sz w:val="16"/>
        </w:rPr>
        <w:t> </w:t>
      </w:r>
      <w:r>
        <w:rPr>
          <w:sz w:val="16"/>
        </w:rPr>
        <w:t>en</w:t>
      </w:r>
      <w:r>
        <w:rPr>
          <w:spacing w:val="15"/>
          <w:sz w:val="16"/>
        </w:rPr>
        <w:t> </w:t>
      </w:r>
      <w:r>
        <w:rPr>
          <w:sz w:val="16"/>
        </w:rPr>
        <w:t>las</w:t>
      </w:r>
      <w:r>
        <w:rPr>
          <w:spacing w:val="12"/>
          <w:sz w:val="16"/>
        </w:rPr>
        <w:t> </w:t>
      </w:r>
      <w:r>
        <w:rPr>
          <w:sz w:val="16"/>
        </w:rPr>
        <w:t>normas</w:t>
      </w:r>
      <w:r>
        <w:rPr>
          <w:spacing w:val="11"/>
          <w:sz w:val="16"/>
        </w:rPr>
        <w:t> </w:t>
      </w:r>
      <w:r>
        <w:rPr>
          <w:sz w:val="16"/>
        </w:rPr>
        <w:t>las</w:t>
      </w:r>
    </w:p>
    <w:p>
      <w:pPr>
        <w:spacing w:line="240" w:lineRule="auto" w:before="0"/>
        <w:ind w:left="122" w:right="194" w:firstLine="0"/>
        <w:jc w:val="both"/>
        <w:rPr>
          <w:sz w:val="16"/>
        </w:rPr>
      </w:pPr>
      <w:r>
        <w:rPr>
          <w:sz w:val="16"/>
        </w:rPr>
        <w:t>experiencias nacionales e internacionales y de las entidades de fiscalización superior; en la INTOSAI, en </w:t>
      </w:r>
      <w:r>
        <w:rPr>
          <w:i/>
          <w:sz w:val="16"/>
        </w:rPr>
        <w:t>The Global </w:t>
      </w:r>
      <w:r>
        <w:rPr>
          <w:i/>
          <w:sz w:val="16"/>
        </w:rPr>
        <w:t>Working Group</w:t>
      </w:r>
      <w:r>
        <w:rPr>
          <w:sz w:val="16"/>
        </w:rPr>
        <w:t>, en la Organización Latinoaméricana y del Caribe de Entidades Fiscalizadoras Superiores, en la Asociación Nacional de Organismos de Fiscalización Superior y Control Gubernamental y, con base en sus propias experiencias prácticas. ASF/AED. </w:t>
      </w:r>
      <w:r>
        <w:rPr>
          <w:i/>
          <w:sz w:val="16"/>
        </w:rPr>
        <w:t>Marco operativo </w:t>
      </w:r>
      <w:r>
        <w:rPr>
          <w:sz w:val="16"/>
        </w:rPr>
        <w:t>(2006:10 y 156)</w:t>
      </w:r>
    </w:p>
    <w:p>
      <w:pPr>
        <w:spacing w:line="216" w:lineRule="exact" w:before="0"/>
        <w:ind w:left="122" w:right="0" w:firstLine="0"/>
        <w:jc w:val="both"/>
        <w:rPr>
          <w:sz w:val="16"/>
        </w:rPr>
      </w:pPr>
      <w:r>
        <w:rPr>
          <w:rFonts w:ascii="Times New Roman" w:hAnsi="Times New Roman"/>
          <w:position w:val="7"/>
          <w:sz w:val="13"/>
        </w:rPr>
        <w:t>97</w:t>
      </w:r>
      <w:r>
        <w:rPr>
          <w:sz w:val="16"/>
        </w:rPr>
        <w:t>“Las políticas públicas son aquellas decisiones de las autoridades jurídicamente reconocidas como públicas, así como</w:t>
      </w:r>
    </w:p>
    <w:p>
      <w:pPr>
        <w:spacing w:before="13"/>
        <w:ind w:left="122" w:right="202" w:firstLine="0"/>
        <w:jc w:val="both"/>
        <w:rPr>
          <w:sz w:val="16"/>
        </w:rPr>
      </w:pPr>
      <w:r>
        <w:rPr>
          <w:sz w:val="16"/>
        </w:rPr>
        <w:t>las estrategias y acciones de gobierno que atienden al interés público teniendo como criterio la decisión al mejor argumento esgrimido en discusión pública, […] una política gubernamental corresponde al funcionamiento de la estructura ejecutora.”</w:t>
      </w:r>
    </w:p>
    <w:p>
      <w:pPr>
        <w:spacing w:before="0"/>
        <w:ind w:left="122" w:right="22" w:firstLine="0"/>
        <w:jc w:val="left"/>
        <w:rPr>
          <w:sz w:val="16"/>
        </w:rPr>
      </w:pPr>
      <w:r>
        <w:rPr>
          <w:sz w:val="16"/>
        </w:rPr>
        <w:t>“[las políticas públicas son] los lineamientos, directrices y las acciones implementadas por el gobierno a través de instituciones, materializándose en programas y proyectos, que buscan atender las demandas de la sociedad. Incluyen el debate público en su proceso de conformación, formulación y evaluación; y son constituidas por recursos públicos.” (Salazar, 2008: 229-230)</w:t>
      </w:r>
    </w:p>
    <w:p>
      <w:pPr>
        <w:spacing w:line="256" w:lineRule="auto" w:before="0"/>
        <w:ind w:left="122" w:right="203" w:firstLine="0"/>
        <w:jc w:val="both"/>
        <w:rPr>
          <w:sz w:val="16"/>
        </w:rPr>
      </w:pPr>
      <w:r>
        <w:rPr>
          <w:rFonts w:ascii="Times New Roman" w:hAnsi="Times New Roman"/>
          <w:position w:val="7"/>
          <w:sz w:val="13"/>
        </w:rPr>
        <w:t>98</w:t>
      </w:r>
      <w:r>
        <w:rPr>
          <w:sz w:val="16"/>
        </w:rPr>
        <w:t>Problemas derivados del cumplimiento constitucional sobre provisión de bienes públicos y la prestación de servicios públicos.</w:t>
      </w:r>
    </w:p>
    <w:p>
      <w:pPr>
        <w:spacing w:after="0" w:line="256" w:lineRule="auto"/>
        <w:jc w:val="both"/>
        <w:rPr>
          <w:sz w:val="16"/>
        </w:rPr>
        <w:sectPr>
          <w:pgSz w:w="11910" w:h="16840"/>
          <w:pgMar w:header="0" w:footer="1003" w:top="1340" w:bottom="1200" w:left="1580" w:right="1500"/>
        </w:sectPr>
      </w:pPr>
    </w:p>
    <w:p>
      <w:pPr>
        <w:pStyle w:val="BodyText"/>
        <w:spacing w:line="362" w:lineRule="auto" w:before="55"/>
        <w:ind w:left="122" w:right="22"/>
      </w:pPr>
      <w:r>
        <w:rPr/>
        <w:t>está</w:t>
      </w:r>
      <w:r>
        <w:rPr>
          <w:spacing w:val="-11"/>
        </w:rPr>
        <w:t> </w:t>
      </w:r>
      <w:r>
        <w:rPr/>
        <w:t>basado</w:t>
      </w:r>
      <w:r>
        <w:rPr>
          <w:spacing w:val="-12"/>
        </w:rPr>
        <w:t> </w:t>
      </w:r>
      <w:r>
        <w:rPr/>
        <w:t>en</w:t>
      </w:r>
      <w:r>
        <w:rPr>
          <w:spacing w:val="-12"/>
        </w:rPr>
        <w:t> </w:t>
      </w:r>
      <w:r>
        <w:rPr/>
        <w:t>la</w:t>
      </w:r>
      <w:r>
        <w:rPr>
          <w:spacing w:val="-14"/>
        </w:rPr>
        <w:t> </w:t>
      </w:r>
      <w:r>
        <w:rPr/>
        <w:t>filosofía</w:t>
      </w:r>
      <w:r>
        <w:rPr>
          <w:spacing w:val="-12"/>
        </w:rPr>
        <w:t> </w:t>
      </w:r>
      <w:r>
        <w:rPr/>
        <w:t>política:</w:t>
      </w:r>
      <w:r>
        <w:rPr>
          <w:spacing w:val="-12"/>
        </w:rPr>
        <w:t> </w:t>
      </w:r>
      <w:r>
        <w:rPr/>
        <w:t>cualquiera</w:t>
      </w:r>
      <w:r>
        <w:rPr>
          <w:spacing w:val="-14"/>
        </w:rPr>
        <w:t> </w:t>
      </w:r>
      <w:r>
        <w:rPr/>
        <w:t>que</w:t>
      </w:r>
      <w:r>
        <w:rPr>
          <w:spacing w:val="-12"/>
        </w:rPr>
        <w:t> </w:t>
      </w:r>
      <w:r>
        <w:rPr/>
        <w:t>proponga</w:t>
      </w:r>
      <w:r>
        <w:rPr>
          <w:spacing w:val="-12"/>
        </w:rPr>
        <w:t> </w:t>
      </w:r>
      <w:r>
        <w:rPr/>
        <w:t>algo</w:t>
      </w:r>
      <w:r>
        <w:rPr>
          <w:spacing w:val="-12"/>
        </w:rPr>
        <w:t> </w:t>
      </w:r>
      <w:r>
        <w:rPr/>
        <w:t>cuya</w:t>
      </w:r>
      <w:r>
        <w:rPr>
          <w:spacing w:val="-12"/>
        </w:rPr>
        <w:t> </w:t>
      </w:r>
      <w:r>
        <w:rPr/>
        <w:t>factibilidad se sabe imposible, comete un acto de</w:t>
      </w:r>
      <w:r>
        <w:rPr>
          <w:spacing w:val="-13"/>
        </w:rPr>
        <w:t> </w:t>
      </w:r>
      <w:r>
        <w:rPr/>
        <w:t>corrupción.</w:t>
      </w:r>
    </w:p>
    <w:p>
      <w:pPr>
        <w:pStyle w:val="BodyText"/>
      </w:pPr>
    </w:p>
    <w:p>
      <w:pPr>
        <w:pStyle w:val="BodyText"/>
        <w:spacing w:line="360" w:lineRule="auto" w:before="139"/>
        <w:ind w:left="122" w:right="206" w:firstLine="427"/>
        <w:jc w:val="both"/>
      </w:pPr>
      <w:r>
        <w:rPr/>
        <w:t>La política pública no es sólo una serie de procedimientos o rutinas, es una definición precisa sobre lo que el Estado quiere obtener. Si el Estado desea avanzar hacia la democracia y legitimarse, entonces debe mejorar la situación actual de gobernabilidad y el control de la corrupción.</w:t>
      </w:r>
    </w:p>
    <w:p>
      <w:pPr>
        <w:pStyle w:val="BodyText"/>
        <w:spacing w:line="360" w:lineRule="auto" w:before="5"/>
        <w:ind w:left="122" w:right="197" w:firstLine="427"/>
        <w:jc w:val="both"/>
        <w:rPr>
          <w:sz w:val="16"/>
        </w:rPr>
      </w:pPr>
      <w:r>
        <w:rPr/>
        <w:t>Por lo anterior, una política pública eficiente siempre debe buscar no sólo la mejor solución a los problemas, sino una mejor condición social, por lo que una política</w:t>
      </w:r>
      <w:r>
        <w:rPr>
          <w:spacing w:val="-18"/>
        </w:rPr>
        <w:t> </w:t>
      </w:r>
      <w:r>
        <w:rPr/>
        <w:t>pública</w:t>
      </w:r>
      <w:r>
        <w:rPr>
          <w:spacing w:val="-18"/>
        </w:rPr>
        <w:t> </w:t>
      </w:r>
      <w:r>
        <w:rPr/>
        <w:t>debe</w:t>
      </w:r>
      <w:r>
        <w:rPr>
          <w:spacing w:val="-18"/>
        </w:rPr>
        <w:t> </w:t>
      </w:r>
      <w:r>
        <w:rPr/>
        <w:t>revelar</w:t>
      </w:r>
      <w:r>
        <w:rPr>
          <w:spacing w:val="-16"/>
        </w:rPr>
        <w:t> </w:t>
      </w:r>
      <w:r>
        <w:rPr/>
        <w:t>tanto</w:t>
      </w:r>
      <w:r>
        <w:rPr>
          <w:spacing w:val="-18"/>
        </w:rPr>
        <w:t> </w:t>
      </w:r>
      <w:r>
        <w:rPr/>
        <w:t>el</w:t>
      </w:r>
      <w:r>
        <w:rPr>
          <w:spacing w:val="-19"/>
        </w:rPr>
        <w:t> </w:t>
      </w:r>
      <w:r>
        <w:rPr/>
        <w:t>objetivo</w:t>
      </w:r>
      <w:r>
        <w:rPr>
          <w:spacing w:val="-18"/>
        </w:rPr>
        <w:t> </w:t>
      </w:r>
      <w:r>
        <w:rPr/>
        <w:t>de</w:t>
      </w:r>
      <w:r>
        <w:rPr>
          <w:spacing w:val="-18"/>
        </w:rPr>
        <w:t> </w:t>
      </w:r>
      <w:r>
        <w:rPr/>
        <w:t>lo</w:t>
      </w:r>
      <w:r>
        <w:rPr>
          <w:spacing w:val="-18"/>
        </w:rPr>
        <w:t> </w:t>
      </w:r>
      <w:r>
        <w:rPr/>
        <w:t>que</w:t>
      </w:r>
      <w:r>
        <w:rPr>
          <w:spacing w:val="-18"/>
        </w:rPr>
        <w:t> </w:t>
      </w:r>
      <w:r>
        <w:rPr/>
        <w:t>persigue,</w:t>
      </w:r>
      <w:r>
        <w:rPr>
          <w:spacing w:val="-18"/>
        </w:rPr>
        <w:t> </w:t>
      </w:r>
      <w:r>
        <w:rPr/>
        <w:t>como</w:t>
      </w:r>
      <w:r>
        <w:rPr>
          <w:spacing w:val="-18"/>
        </w:rPr>
        <w:t> </w:t>
      </w:r>
      <w:r>
        <w:rPr/>
        <w:t>los</w:t>
      </w:r>
      <w:r>
        <w:rPr>
          <w:spacing w:val="-18"/>
        </w:rPr>
        <w:t> </w:t>
      </w:r>
      <w:r>
        <w:rPr/>
        <w:t>valores éticos</w:t>
      </w:r>
      <w:r>
        <w:rPr>
          <w:spacing w:val="-13"/>
        </w:rPr>
        <w:t> </w:t>
      </w:r>
      <w:r>
        <w:rPr/>
        <w:t>a</w:t>
      </w:r>
      <w:r>
        <w:rPr>
          <w:spacing w:val="-9"/>
        </w:rPr>
        <w:t> </w:t>
      </w:r>
      <w:r>
        <w:rPr/>
        <w:t>los</w:t>
      </w:r>
      <w:r>
        <w:rPr>
          <w:spacing w:val="-10"/>
        </w:rPr>
        <w:t> </w:t>
      </w:r>
      <w:r>
        <w:rPr/>
        <w:t>que</w:t>
      </w:r>
      <w:r>
        <w:rPr>
          <w:spacing w:val="-9"/>
        </w:rPr>
        <w:t> </w:t>
      </w:r>
      <w:r>
        <w:rPr/>
        <w:t>se</w:t>
      </w:r>
      <w:r>
        <w:rPr>
          <w:spacing w:val="-12"/>
        </w:rPr>
        <w:t> </w:t>
      </w:r>
      <w:r>
        <w:rPr/>
        <w:t>adscribe.</w:t>
      </w:r>
      <w:r>
        <w:rPr>
          <w:spacing w:val="-10"/>
        </w:rPr>
        <w:t> </w:t>
      </w:r>
      <w:r>
        <w:rPr/>
        <w:t>De</w:t>
      </w:r>
      <w:r>
        <w:rPr>
          <w:spacing w:val="-12"/>
        </w:rPr>
        <w:t> </w:t>
      </w:r>
      <w:r>
        <w:rPr/>
        <w:t>ello</w:t>
      </w:r>
      <w:r>
        <w:rPr>
          <w:spacing w:val="-9"/>
        </w:rPr>
        <w:t> </w:t>
      </w:r>
      <w:r>
        <w:rPr/>
        <w:t>se</w:t>
      </w:r>
      <w:r>
        <w:rPr>
          <w:spacing w:val="-9"/>
        </w:rPr>
        <w:t> </w:t>
      </w:r>
      <w:r>
        <w:rPr/>
        <w:t>desprende</w:t>
      </w:r>
      <w:r>
        <w:rPr>
          <w:spacing w:val="-9"/>
        </w:rPr>
        <w:t> </w:t>
      </w:r>
      <w:r>
        <w:rPr/>
        <w:t>que</w:t>
      </w:r>
      <w:r>
        <w:rPr>
          <w:spacing w:val="-9"/>
        </w:rPr>
        <w:t> </w:t>
      </w:r>
      <w:r>
        <w:rPr/>
        <w:t>la</w:t>
      </w:r>
      <w:r>
        <w:rPr>
          <w:spacing w:val="-9"/>
        </w:rPr>
        <w:t> </w:t>
      </w:r>
      <w:r>
        <w:rPr/>
        <w:t>política</w:t>
      </w:r>
      <w:r>
        <w:rPr>
          <w:spacing w:val="-9"/>
        </w:rPr>
        <w:t> </w:t>
      </w:r>
      <w:r>
        <w:rPr/>
        <w:t>de</w:t>
      </w:r>
      <w:r>
        <w:rPr>
          <w:spacing w:val="-14"/>
        </w:rPr>
        <w:t> </w:t>
      </w:r>
      <w:r>
        <w:rPr/>
        <w:t>rendición</w:t>
      </w:r>
      <w:r>
        <w:rPr>
          <w:spacing w:val="-12"/>
        </w:rPr>
        <w:t> </w:t>
      </w:r>
      <w:r>
        <w:rPr/>
        <w:t>de cuentas debe regirse por valores</w:t>
      </w:r>
      <w:r>
        <w:rPr>
          <w:spacing w:val="-13"/>
        </w:rPr>
        <w:t> </w:t>
      </w:r>
      <w:r>
        <w:rPr/>
        <w:t>éticos.</w:t>
      </w:r>
      <w:r>
        <w:rPr>
          <w:position w:val="8"/>
          <w:sz w:val="16"/>
        </w:rPr>
        <w:t>99</w:t>
      </w:r>
    </w:p>
    <w:p>
      <w:pPr>
        <w:pStyle w:val="BodyText"/>
        <w:spacing w:line="360" w:lineRule="auto"/>
        <w:ind w:left="122" w:right="196" w:firstLine="427"/>
        <w:jc w:val="both"/>
      </w:pPr>
      <w:r>
        <w:rPr/>
        <w:t>Las políticas públicas deben orientarse hacia la legalidad y seguir reglas estrictas; sin embargo, la repetición mecánica de trámites y procedimientos sin una</w:t>
      </w:r>
      <w:r>
        <w:rPr>
          <w:spacing w:val="-12"/>
        </w:rPr>
        <w:t> </w:t>
      </w:r>
      <w:r>
        <w:rPr/>
        <w:t>relación</w:t>
      </w:r>
      <w:r>
        <w:rPr>
          <w:spacing w:val="-11"/>
        </w:rPr>
        <w:t> </w:t>
      </w:r>
      <w:r>
        <w:rPr/>
        <w:t>con</w:t>
      </w:r>
      <w:r>
        <w:rPr>
          <w:spacing w:val="-12"/>
        </w:rPr>
        <w:t> </w:t>
      </w:r>
      <w:r>
        <w:rPr/>
        <w:t>los</w:t>
      </w:r>
      <w:r>
        <w:rPr>
          <w:spacing w:val="-14"/>
        </w:rPr>
        <w:t> </w:t>
      </w:r>
      <w:r>
        <w:rPr/>
        <w:t>problemas</w:t>
      </w:r>
      <w:r>
        <w:rPr>
          <w:spacing w:val="-15"/>
        </w:rPr>
        <w:t> </w:t>
      </w:r>
      <w:r>
        <w:rPr/>
        <w:t>públicos</w:t>
      </w:r>
      <w:r>
        <w:rPr>
          <w:spacing w:val="-13"/>
        </w:rPr>
        <w:t> </w:t>
      </w:r>
      <w:r>
        <w:rPr/>
        <w:t>que</w:t>
      </w:r>
      <w:r>
        <w:rPr>
          <w:spacing w:val="-14"/>
        </w:rPr>
        <w:t> </w:t>
      </w:r>
      <w:r>
        <w:rPr/>
        <w:t>enfrenta,</w:t>
      </w:r>
      <w:r>
        <w:rPr>
          <w:spacing w:val="-14"/>
        </w:rPr>
        <w:t> </w:t>
      </w:r>
      <w:r>
        <w:rPr/>
        <w:t>hace</w:t>
      </w:r>
      <w:r>
        <w:rPr>
          <w:spacing w:val="-12"/>
        </w:rPr>
        <w:t> </w:t>
      </w:r>
      <w:r>
        <w:rPr/>
        <w:t>que</w:t>
      </w:r>
      <w:r>
        <w:rPr>
          <w:spacing w:val="-12"/>
        </w:rPr>
        <w:t> </w:t>
      </w:r>
      <w:r>
        <w:rPr/>
        <w:t>la</w:t>
      </w:r>
      <w:r>
        <w:rPr>
          <w:spacing w:val="-14"/>
        </w:rPr>
        <w:t> </w:t>
      </w:r>
      <w:r>
        <w:rPr/>
        <w:t>política</w:t>
      </w:r>
      <w:r>
        <w:rPr>
          <w:spacing w:val="-12"/>
        </w:rPr>
        <w:t> </w:t>
      </w:r>
      <w:r>
        <w:rPr/>
        <w:t>pierda lo</w:t>
      </w:r>
      <w:r>
        <w:rPr>
          <w:spacing w:val="-14"/>
        </w:rPr>
        <w:t> </w:t>
      </w:r>
      <w:r>
        <w:rPr/>
        <w:t>fundamental:</w:t>
      </w:r>
      <w:r>
        <w:rPr>
          <w:spacing w:val="-13"/>
        </w:rPr>
        <w:t> </w:t>
      </w:r>
      <w:r>
        <w:rPr/>
        <w:t>la</w:t>
      </w:r>
      <w:r>
        <w:rPr>
          <w:spacing w:val="-12"/>
        </w:rPr>
        <w:t> </w:t>
      </w:r>
      <w:r>
        <w:rPr/>
        <w:t>atención</w:t>
      </w:r>
      <w:r>
        <w:rPr>
          <w:spacing w:val="-11"/>
        </w:rPr>
        <w:t> </w:t>
      </w:r>
      <w:r>
        <w:rPr/>
        <w:t>de</w:t>
      </w:r>
      <w:r>
        <w:rPr>
          <w:spacing w:val="-12"/>
        </w:rPr>
        <w:t> </w:t>
      </w:r>
      <w:r>
        <w:rPr/>
        <w:t>la</w:t>
      </w:r>
      <w:r>
        <w:rPr>
          <w:spacing w:val="-12"/>
        </w:rPr>
        <w:t> </w:t>
      </w:r>
      <w:r>
        <w:rPr/>
        <w:t>población</w:t>
      </w:r>
      <w:r>
        <w:rPr>
          <w:spacing w:val="-14"/>
        </w:rPr>
        <w:t> </w:t>
      </w:r>
      <w:r>
        <w:rPr/>
        <w:t>objetivo</w:t>
      </w:r>
      <w:r>
        <w:rPr>
          <w:spacing w:val="-12"/>
        </w:rPr>
        <w:t> </w:t>
      </w:r>
      <w:r>
        <w:rPr/>
        <w:t>y,</w:t>
      </w:r>
      <w:r>
        <w:rPr>
          <w:spacing w:val="-7"/>
        </w:rPr>
        <w:t> </w:t>
      </w:r>
      <w:r>
        <w:rPr/>
        <w:t>en</w:t>
      </w:r>
      <w:r>
        <w:rPr>
          <w:spacing w:val="-12"/>
        </w:rPr>
        <w:t> </w:t>
      </w:r>
      <w:r>
        <w:rPr/>
        <w:t>consecuencia,</w:t>
      </w:r>
      <w:r>
        <w:rPr>
          <w:spacing w:val="-12"/>
        </w:rPr>
        <w:t> </w:t>
      </w:r>
      <w:r>
        <w:rPr/>
        <w:t>la</w:t>
      </w:r>
      <w:r>
        <w:rPr>
          <w:spacing w:val="-12"/>
        </w:rPr>
        <w:t> </w:t>
      </w:r>
      <w:r>
        <w:rPr/>
        <w:t>propia legitimación del</w:t>
      </w:r>
      <w:r>
        <w:rPr>
          <w:spacing w:val="-7"/>
        </w:rPr>
        <w:t> </w:t>
      </w:r>
      <w:r>
        <w:rPr/>
        <w:t>Estado.</w:t>
      </w:r>
    </w:p>
    <w:p>
      <w:pPr>
        <w:pStyle w:val="BodyText"/>
        <w:spacing w:line="357" w:lineRule="auto"/>
        <w:ind w:left="122" w:right="196" w:firstLine="427"/>
        <w:jc w:val="both"/>
        <w:rPr>
          <w:sz w:val="16"/>
        </w:rPr>
      </w:pPr>
      <w:r>
        <w:rPr/>
        <w:t>La</w:t>
      </w:r>
      <w:r>
        <w:rPr>
          <w:spacing w:val="-8"/>
        </w:rPr>
        <w:t> </w:t>
      </w:r>
      <w:r>
        <w:rPr/>
        <w:t>rendición</w:t>
      </w:r>
      <w:r>
        <w:rPr>
          <w:spacing w:val="-8"/>
        </w:rPr>
        <w:t> </w:t>
      </w:r>
      <w:r>
        <w:rPr/>
        <w:t>de</w:t>
      </w:r>
      <w:r>
        <w:rPr>
          <w:spacing w:val="-8"/>
        </w:rPr>
        <w:t> </w:t>
      </w:r>
      <w:r>
        <w:rPr/>
        <w:t>cuentas,</w:t>
      </w:r>
      <w:r>
        <w:rPr>
          <w:spacing w:val="-9"/>
        </w:rPr>
        <w:t> </w:t>
      </w:r>
      <w:r>
        <w:rPr/>
        <w:t>mediante</w:t>
      </w:r>
      <w:r>
        <w:rPr>
          <w:spacing w:val="-8"/>
        </w:rPr>
        <w:t> </w:t>
      </w:r>
      <w:r>
        <w:rPr/>
        <w:t>las</w:t>
      </w:r>
      <w:r>
        <w:rPr>
          <w:spacing w:val="-9"/>
        </w:rPr>
        <w:t> </w:t>
      </w:r>
      <w:r>
        <w:rPr/>
        <w:t>evaluaciones</w:t>
      </w:r>
      <w:r>
        <w:rPr>
          <w:spacing w:val="-9"/>
        </w:rPr>
        <w:t> </w:t>
      </w:r>
      <w:r>
        <w:rPr/>
        <w:t>al</w:t>
      </w:r>
      <w:r>
        <w:rPr>
          <w:spacing w:val="-10"/>
        </w:rPr>
        <w:t> </w:t>
      </w:r>
      <w:r>
        <w:rPr/>
        <w:t>desempeño</w:t>
      </w:r>
      <w:r>
        <w:rPr>
          <w:position w:val="8"/>
          <w:sz w:val="16"/>
        </w:rPr>
        <w:t>100</w:t>
      </w:r>
      <w:r>
        <w:rPr>
          <w:spacing w:val="12"/>
          <w:position w:val="8"/>
          <w:sz w:val="16"/>
        </w:rPr>
        <w:t> </w:t>
      </w:r>
      <w:r>
        <w:rPr/>
        <w:t>es</w:t>
      </w:r>
      <w:r>
        <w:rPr>
          <w:spacing w:val="-9"/>
        </w:rPr>
        <w:t> </w:t>
      </w:r>
      <w:r>
        <w:rPr/>
        <w:t>una herramienta evaluadora</w:t>
      </w:r>
      <w:r>
        <w:rPr>
          <w:position w:val="8"/>
          <w:sz w:val="16"/>
        </w:rPr>
        <w:t>101 </w:t>
      </w:r>
      <w:r>
        <w:rPr/>
        <w:t>de las políticas públicas, ya que no se remite a establecer algoritmos de cumplimiento de metas y objetivos, sino a medir el impacto de la política en la sociedad, mejorar la calidad del gasto público y coadyuvar en una mejor asignación de recursos, lo cual ayuda al Estado a orientarse hacia la</w:t>
      </w:r>
      <w:r>
        <w:rPr>
          <w:spacing w:val="-10"/>
        </w:rPr>
        <w:t> </w:t>
      </w:r>
      <w:r>
        <w:rPr/>
        <w:t>eficiencia.</w:t>
      </w:r>
      <w:r>
        <w:rPr>
          <w:position w:val="8"/>
          <w:sz w:val="16"/>
        </w:rPr>
        <w:t>102</w:t>
      </w:r>
    </w:p>
    <w:p>
      <w:pPr>
        <w:pStyle w:val="BodyText"/>
        <w:spacing w:before="3"/>
        <w:rPr>
          <w:sz w:val="21"/>
        </w:rPr>
      </w:pPr>
      <w:r>
        <w:rPr/>
        <w:pict>
          <v:line style="position:absolute;mso-position-horizontal-relative:page;mso-position-vertical-relative:paragraph;z-index:8944;mso-wrap-distance-left:0;mso-wrap-distance-right:0" from="85.103996pt,14.58231pt" to="229.123996pt,14.58231pt" stroked="true" strokeweight=".71997pt" strokecolor="#000000">
            <w10:wrap type="topAndBottom"/>
          </v:line>
        </w:pict>
      </w:r>
    </w:p>
    <w:p>
      <w:pPr>
        <w:spacing w:line="247" w:lineRule="auto" w:before="62"/>
        <w:ind w:left="122" w:right="199" w:firstLine="0"/>
        <w:jc w:val="both"/>
        <w:rPr>
          <w:sz w:val="16"/>
        </w:rPr>
      </w:pPr>
      <w:r>
        <w:rPr>
          <w:rFonts w:ascii="Times New Roman" w:hAnsi="Times New Roman"/>
          <w:position w:val="7"/>
          <w:sz w:val="13"/>
        </w:rPr>
        <w:t>99</w:t>
      </w:r>
      <w:r>
        <w:rPr>
          <w:sz w:val="16"/>
        </w:rPr>
        <w:t>La política de rendición de cuentas es el articulado institucional, normativo y pragmático orientado hacia el buen gobierno, que se requiere el Estado para lograr la confianza de la sociedad en su gobierno. La política de rendición de cuentas requiere de un marco legal, operacional y ético.</w:t>
      </w:r>
    </w:p>
    <w:p>
      <w:pPr>
        <w:spacing w:line="249" w:lineRule="auto" w:before="0"/>
        <w:ind w:left="122" w:right="195" w:firstLine="0"/>
        <w:jc w:val="both"/>
        <w:rPr>
          <w:sz w:val="16"/>
        </w:rPr>
      </w:pPr>
      <w:r>
        <w:rPr>
          <w:rFonts w:ascii="Calibri" w:hAnsi="Calibri"/>
          <w:position w:val="8"/>
          <w:sz w:val="14"/>
        </w:rPr>
        <w:t>100</w:t>
      </w:r>
      <w:r>
        <w:rPr>
          <w:sz w:val="16"/>
        </w:rPr>
        <w:t>La ASF considera que: “La auditoría de desempeño es una evaluación del quehacer público; en la que se mide la eficacia</w:t>
      </w:r>
      <w:r>
        <w:rPr>
          <w:spacing w:val="-9"/>
          <w:sz w:val="16"/>
        </w:rPr>
        <w:t> </w:t>
      </w:r>
      <w:r>
        <w:rPr>
          <w:sz w:val="16"/>
        </w:rPr>
        <w:t>(a</w:t>
      </w:r>
      <w:r>
        <w:rPr>
          <w:spacing w:val="-13"/>
          <w:sz w:val="16"/>
        </w:rPr>
        <w:t> </w:t>
      </w:r>
      <w:r>
        <w:rPr>
          <w:sz w:val="16"/>
        </w:rPr>
        <w:t>través</w:t>
      </w:r>
      <w:r>
        <w:rPr>
          <w:spacing w:val="-11"/>
          <w:sz w:val="16"/>
        </w:rPr>
        <w:t> </w:t>
      </w:r>
      <w:r>
        <w:rPr>
          <w:sz w:val="16"/>
        </w:rPr>
        <w:t>de</w:t>
      </w:r>
      <w:r>
        <w:rPr>
          <w:spacing w:val="-10"/>
          <w:sz w:val="16"/>
        </w:rPr>
        <w:t> </w:t>
      </w:r>
      <w:r>
        <w:rPr>
          <w:sz w:val="16"/>
        </w:rPr>
        <w:t>resultados,</w:t>
      </w:r>
      <w:r>
        <w:rPr>
          <w:spacing w:val="-11"/>
          <w:sz w:val="16"/>
        </w:rPr>
        <w:t> </w:t>
      </w:r>
      <w:r>
        <w:rPr>
          <w:sz w:val="16"/>
        </w:rPr>
        <w:t>con</w:t>
      </w:r>
      <w:r>
        <w:rPr>
          <w:spacing w:val="-10"/>
          <w:sz w:val="16"/>
        </w:rPr>
        <w:t> </w:t>
      </w:r>
      <w:r>
        <w:rPr>
          <w:sz w:val="16"/>
        </w:rPr>
        <w:t>base</w:t>
      </w:r>
      <w:r>
        <w:rPr>
          <w:spacing w:val="-10"/>
          <w:sz w:val="16"/>
        </w:rPr>
        <w:t> </w:t>
      </w:r>
      <w:r>
        <w:rPr>
          <w:sz w:val="16"/>
        </w:rPr>
        <w:t>en</w:t>
      </w:r>
      <w:r>
        <w:rPr>
          <w:spacing w:val="-13"/>
          <w:sz w:val="16"/>
        </w:rPr>
        <w:t> </w:t>
      </w:r>
      <w:r>
        <w:rPr>
          <w:sz w:val="16"/>
        </w:rPr>
        <w:t>indicadores</w:t>
      </w:r>
      <w:r>
        <w:rPr>
          <w:spacing w:val="-9"/>
          <w:sz w:val="16"/>
        </w:rPr>
        <w:t> </w:t>
      </w:r>
      <w:r>
        <w:rPr>
          <w:sz w:val="16"/>
        </w:rPr>
        <w:t>estratégicos),</w:t>
      </w:r>
      <w:r>
        <w:rPr>
          <w:spacing w:val="-9"/>
          <w:sz w:val="16"/>
        </w:rPr>
        <w:t> </w:t>
      </w:r>
      <w:r>
        <w:rPr>
          <w:sz w:val="16"/>
        </w:rPr>
        <w:t>la</w:t>
      </w:r>
      <w:r>
        <w:rPr>
          <w:spacing w:val="-10"/>
          <w:sz w:val="16"/>
        </w:rPr>
        <w:t> </w:t>
      </w:r>
      <w:r>
        <w:rPr>
          <w:sz w:val="16"/>
        </w:rPr>
        <w:t>eficiencia</w:t>
      </w:r>
      <w:r>
        <w:rPr>
          <w:spacing w:val="-10"/>
          <w:sz w:val="16"/>
        </w:rPr>
        <w:t> </w:t>
      </w:r>
      <w:r>
        <w:rPr>
          <w:sz w:val="16"/>
        </w:rPr>
        <w:t>(mediante</w:t>
      </w:r>
      <w:r>
        <w:rPr>
          <w:spacing w:val="-10"/>
          <w:sz w:val="16"/>
        </w:rPr>
        <w:t> </w:t>
      </w:r>
      <w:r>
        <w:rPr>
          <w:sz w:val="16"/>
        </w:rPr>
        <w:t>la</w:t>
      </w:r>
      <w:r>
        <w:rPr>
          <w:spacing w:val="-12"/>
          <w:sz w:val="16"/>
        </w:rPr>
        <w:t> </w:t>
      </w:r>
      <w:r>
        <w:rPr>
          <w:sz w:val="16"/>
        </w:rPr>
        <w:t>fidelidad</w:t>
      </w:r>
      <w:r>
        <w:rPr>
          <w:spacing w:val="-10"/>
          <w:sz w:val="16"/>
        </w:rPr>
        <w:t> </w:t>
      </w:r>
      <w:r>
        <w:rPr>
          <w:sz w:val="16"/>
        </w:rPr>
        <w:t>de</w:t>
      </w:r>
      <w:r>
        <w:rPr>
          <w:spacing w:val="-10"/>
          <w:sz w:val="16"/>
        </w:rPr>
        <w:t> </w:t>
      </w:r>
      <w:r>
        <w:rPr>
          <w:sz w:val="16"/>
        </w:rPr>
        <w:t>la</w:t>
      </w:r>
      <w:r>
        <w:rPr>
          <w:spacing w:val="-10"/>
          <w:sz w:val="16"/>
        </w:rPr>
        <w:t> </w:t>
      </w:r>
      <w:r>
        <w:rPr>
          <w:sz w:val="16"/>
        </w:rPr>
        <w:t>operación del programa, y con apoyo en indicadores de gestión) y la economía (medida por el costo de la política o programa público comparado contra los resultados obtenidos). Además, la auditoría de desempeño comprueba el impacto de</w:t>
      </w:r>
      <w:r>
        <w:rPr>
          <w:spacing w:val="43"/>
          <w:sz w:val="16"/>
        </w:rPr>
        <w:t> </w:t>
      </w:r>
      <w:r>
        <w:rPr>
          <w:sz w:val="16"/>
        </w:rPr>
        <w:t>los</w:t>
      </w:r>
    </w:p>
    <w:p>
      <w:pPr>
        <w:spacing w:line="240" w:lineRule="auto" w:before="0"/>
        <w:ind w:left="122" w:right="199" w:firstLine="0"/>
        <w:jc w:val="both"/>
        <w:rPr>
          <w:sz w:val="16"/>
        </w:rPr>
      </w:pPr>
      <w:r>
        <w:rPr>
          <w:sz w:val="16"/>
        </w:rPr>
        <w:t>resultados</w:t>
      </w:r>
      <w:r>
        <w:rPr>
          <w:spacing w:val="-12"/>
          <w:sz w:val="16"/>
        </w:rPr>
        <w:t> </w:t>
      </w:r>
      <w:r>
        <w:rPr>
          <w:sz w:val="16"/>
        </w:rPr>
        <w:t>en</w:t>
      </w:r>
      <w:r>
        <w:rPr>
          <w:spacing w:val="-14"/>
          <w:sz w:val="16"/>
        </w:rPr>
        <w:t> </w:t>
      </w:r>
      <w:r>
        <w:rPr>
          <w:sz w:val="16"/>
        </w:rPr>
        <w:t>la</w:t>
      </w:r>
      <w:r>
        <w:rPr>
          <w:spacing w:val="-11"/>
          <w:sz w:val="16"/>
        </w:rPr>
        <w:t> </w:t>
      </w:r>
      <w:r>
        <w:rPr>
          <w:sz w:val="16"/>
        </w:rPr>
        <w:t>población</w:t>
      </w:r>
      <w:r>
        <w:rPr>
          <w:spacing w:val="-12"/>
          <w:sz w:val="16"/>
        </w:rPr>
        <w:t> </w:t>
      </w:r>
      <w:r>
        <w:rPr>
          <w:sz w:val="16"/>
        </w:rPr>
        <w:t>objetivo</w:t>
      </w:r>
      <w:r>
        <w:rPr>
          <w:spacing w:val="-14"/>
          <w:sz w:val="16"/>
        </w:rPr>
        <w:t> </w:t>
      </w:r>
      <w:r>
        <w:rPr>
          <w:sz w:val="16"/>
        </w:rPr>
        <w:t>a</w:t>
      </w:r>
      <w:r>
        <w:rPr>
          <w:spacing w:val="-12"/>
          <w:sz w:val="16"/>
        </w:rPr>
        <w:t> </w:t>
      </w:r>
      <w:r>
        <w:rPr>
          <w:sz w:val="16"/>
        </w:rPr>
        <w:t>través</w:t>
      </w:r>
      <w:r>
        <w:rPr>
          <w:spacing w:val="-12"/>
          <w:sz w:val="16"/>
        </w:rPr>
        <w:t> </w:t>
      </w:r>
      <w:r>
        <w:rPr>
          <w:sz w:val="16"/>
        </w:rPr>
        <w:t>de</w:t>
      </w:r>
      <w:r>
        <w:rPr>
          <w:spacing w:val="-12"/>
          <w:sz w:val="16"/>
        </w:rPr>
        <w:t> </w:t>
      </w:r>
      <w:r>
        <w:rPr>
          <w:sz w:val="16"/>
        </w:rPr>
        <w:t>indicadores</w:t>
      </w:r>
      <w:r>
        <w:rPr>
          <w:spacing w:val="-12"/>
          <w:sz w:val="16"/>
        </w:rPr>
        <w:t> </w:t>
      </w:r>
      <w:r>
        <w:rPr>
          <w:sz w:val="16"/>
        </w:rPr>
        <w:t>de</w:t>
      </w:r>
      <w:r>
        <w:rPr>
          <w:spacing w:val="-14"/>
          <w:sz w:val="16"/>
        </w:rPr>
        <w:t> </w:t>
      </w:r>
      <w:r>
        <w:rPr>
          <w:sz w:val="16"/>
        </w:rPr>
        <w:t>calidad</w:t>
      </w:r>
      <w:r>
        <w:rPr>
          <w:spacing w:val="-14"/>
          <w:sz w:val="16"/>
        </w:rPr>
        <w:t> </w:t>
      </w:r>
      <w:r>
        <w:rPr>
          <w:sz w:val="16"/>
        </w:rPr>
        <w:t>y</w:t>
      </w:r>
      <w:r>
        <w:rPr>
          <w:spacing w:val="-12"/>
          <w:sz w:val="16"/>
        </w:rPr>
        <w:t> </w:t>
      </w:r>
      <w:r>
        <w:rPr>
          <w:sz w:val="16"/>
        </w:rPr>
        <w:t>de</w:t>
      </w:r>
      <w:r>
        <w:rPr>
          <w:spacing w:val="-12"/>
          <w:sz w:val="16"/>
        </w:rPr>
        <w:t> </w:t>
      </w:r>
      <w:r>
        <w:rPr>
          <w:sz w:val="16"/>
        </w:rPr>
        <w:t>satisfacción</w:t>
      </w:r>
      <w:r>
        <w:rPr>
          <w:spacing w:val="-12"/>
          <w:sz w:val="16"/>
        </w:rPr>
        <w:t> </w:t>
      </w:r>
      <w:r>
        <w:rPr>
          <w:sz w:val="16"/>
        </w:rPr>
        <w:t>del</w:t>
      </w:r>
      <w:r>
        <w:rPr>
          <w:spacing w:val="-13"/>
          <w:sz w:val="16"/>
        </w:rPr>
        <w:t> </w:t>
      </w:r>
      <w:r>
        <w:rPr>
          <w:sz w:val="16"/>
        </w:rPr>
        <w:t>ciudadano.</w:t>
      </w:r>
      <w:r>
        <w:rPr>
          <w:spacing w:val="-12"/>
          <w:sz w:val="16"/>
        </w:rPr>
        <w:t> </w:t>
      </w:r>
      <w:r>
        <w:rPr>
          <w:sz w:val="16"/>
        </w:rPr>
        <w:t>Finalmente,</w:t>
      </w:r>
      <w:r>
        <w:rPr>
          <w:spacing w:val="-12"/>
          <w:sz w:val="16"/>
        </w:rPr>
        <w:t> </w:t>
      </w:r>
      <w:r>
        <w:rPr>
          <w:sz w:val="16"/>
        </w:rPr>
        <w:t>analiza el</w:t>
      </w:r>
      <w:r>
        <w:rPr>
          <w:spacing w:val="-9"/>
          <w:sz w:val="16"/>
        </w:rPr>
        <w:t> </w:t>
      </w:r>
      <w:r>
        <w:rPr>
          <w:sz w:val="16"/>
        </w:rPr>
        <w:t>comportamiento</w:t>
      </w:r>
      <w:r>
        <w:rPr>
          <w:spacing w:val="-12"/>
          <w:sz w:val="16"/>
        </w:rPr>
        <w:t> </w:t>
      </w:r>
      <w:r>
        <w:rPr>
          <w:sz w:val="16"/>
        </w:rPr>
        <w:t>de</w:t>
      </w:r>
      <w:r>
        <w:rPr>
          <w:spacing w:val="-9"/>
          <w:sz w:val="16"/>
        </w:rPr>
        <w:t> </w:t>
      </w:r>
      <w:r>
        <w:rPr>
          <w:sz w:val="16"/>
        </w:rPr>
        <w:t>los</w:t>
      </w:r>
      <w:r>
        <w:rPr>
          <w:spacing w:val="-9"/>
          <w:sz w:val="16"/>
        </w:rPr>
        <w:t> </w:t>
      </w:r>
      <w:r>
        <w:rPr>
          <w:sz w:val="16"/>
        </w:rPr>
        <w:t>actores</w:t>
      </w:r>
      <w:r>
        <w:rPr>
          <w:spacing w:val="-10"/>
          <w:sz w:val="16"/>
        </w:rPr>
        <w:t> </w:t>
      </w:r>
      <w:r>
        <w:rPr>
          <w:sz w:val="16"/>
        </w:rPr>
        <w:t>o</w:t>
      </w:r>
      <w:r>
        <w:rPr>
          <w:spacing w:val="-12"/>
          <w:sz w:val="16"/>
        </w:rPr>
        <w:t> </w:t>
      </w:r>
      <w:r>
        <w:rPr>
          <w:sz w:val="16"/>
        </w:rPr>
        <w:t>servidores</w:t>
      </w:r>
      <w:r>
        <w:rPr>
          <w:spacing w:val="-9"/>
          <w:sz w:val="16"/>
        </w:rPr>
        <w:t> </w:t>
      </w:r>
      <w:r>
        <w:rPr>
          <w:sz w:val="16"/>
        </w:rPr>
        <w:t>públicos,</w:t>
      </w:r>
      <w:r>
        <w:rPr>
          <w:spacing w:val="-10"/>
          <w:sz w:val="16"/>
        </w:rPr>
        <w:t> </w:t>
      </w:r>
      <w:r>
        <w:rPr>
          <w:sz w:val="16"/>
        </w:rPr>
        <w:t>tanto</w:t>
      </w:r>
      <w:r>
        <w:rPr>
          <w:spacing w:val="-9"/>
          <w:sz w:val="16"/>
        </w:rPr>
        <w:t> </w:t>
      </w:r>
      <w:r>
        <w:rPr>
          <w:sz w:val="16"/>
        </w:rPr>
        <w:t>de</w:t>
      </w:r>
      <w:r>
        <w:rPr>
          <w:spacing w:val="-12"/>
          <w:sz w:val="16"/>
        </w:rPr>
        <w:t> </w:t>
      </w:r>
      <w:r>
        <w:rPr>
          <w:sz w:val="16"/>
        </w:rPr>
        <w:t>la</w:t>
      </w:r>
      <w:r>
        <w:rPr>
          <w:spacing w:val="-9"/>
          <w:sz w:val="16"/>
        </w:rPr>
        <w:t> </w:t>
      </w:r>
      <w:r>
        <w:rPr>
          <w:sz w:val="16"/>
        </w:rPr>
        <w:t>entidad</w:t>
      </w:r>
      <w:r>
        <w:rPr>
          <w:spacing w:val="-9"/>
          <w:sz w:val="16"/>
        </w:rPr>
        <w:t> </w:t>
      </w:r>
      <w:r>
        <w:rPr>
          <w:sz w:val="16"/>
        </w:rPr>
        <w:t>responsable</w:t>
      </w:r>
      <w:r>
        <w:rPr>
          <w:spacing w:val="-9"/>
          <w:sz w:val="16"/>
        </w:rPr>
        <w:t> </w:t>
      </w:r>
      <w:r>
        <w:rPr>
          <w:sz w:val="16"/>
        </w:rPr>
        <w:t>de</w:t>
      </w:r>
      <w:r>
        <w:rPr>
          <w:spacing w:val="-9"/>
          <w:sz w:val="16"/>
        </w:rPr>
        <w:t> </w:t>
      </w:r>
      <w:r>
        <w:rPr>
          <w:sz w:val="16"/>
        </w:rPr>
        <w:t>poner</w:t>
      </w:r>
      <w:r>
        <w:rPr>
          <w:spacing w:val="-9"/>
          <w:sz w:val="16"/>
        </w:rPr>
        <w:t> </w:t>
      </w:r>
      <w:r>
        <w:rPr>
          <w:sz w:val="16"/>
        </w:rPr>
        <w:t>en</w:t>
      </w:r>
      <w:r>
        <w:rPr>
          <w:spacing w:val="-9"/>
          <w:sz w:val="16"/>
        </w:rPr>
        <w:t> </w:t>
      </w:r>
      <w:r>
        <w:rPr>
          <w:sz w:val="16"/>
        </w:rPr>
        <w:t>práctica</w:t>
      </w:r>
      <w:r>
        <w:rPr>
          <w:spacing w:val="-9"/>
          <w:sz w:val="16"/>
        </w:rPr>
        <w:t> </w:t>
      </w:r>
      <w:r>
        <w:rPr>
          <w:sz w:val="16"/>
        </w:rPr>
        <w:t>el</w:t>
      </w:r>
      <w:r>
        <w:rPr>
          <w:spacing w:val="-11"/>
          <w:sz w:val="16"/>
        </w:rPr>
        <w:t> </w:t>
      </w:r>
      <w:r>
        <w:rPr>
          <w:sz w:val="16"/>
        </w:rPr>
        <w:t>programa o política pública como de los operadores de la misma.” (ASF/AED,</w:t>
      </w:r>
      <w:r>
        <w:rPr>
          <w:spacing w:val="-31"/>
          <w:sz w:val="16"/>
        </w:rPr>
        <w:t> </w:t>
      </w:r>
      <w:r>
        <w:rPr>
          <w:sz w:val="16"/>
        </w:rPr>
        <w:t>2009:149).</w:t>
      </w:r>
    </w:p>
    <w:p>
      <w:pPr>
        <w:spacing w:line="244" w:lineRule="auto" w:before="0"/>
        <w:ind w:left="122" w:right="202" w:firstLine="0"/>
        <w:jc w:val="both"/>
        <w:rPr>
          <w:sz w:val="16"/>
        </w:rPr>
      </w:pPr>
      <w:r>
        <w:rPr>
          <w:rFonts w:ascii="Times New Roman" w:hAnsi="Times New Roman"/>
          <w:position w:val="7"/>
          <w:sz w:val="13"/>
        </w:rPr>
        <w:t>101</w:t>
      </w:r>
      <w:r>
        <w:rPr>
          <w:sz w:val="16"/>
        </w:rPr>
        <w:t>“Evaluación:</w:t>
      </w:r>
      <w:r>
        <w:rPr>
          <w:spacing w:val="-10"/>
          <w:sz w:val="16"/>
        </w:rPr>
        <w:t> </w:t>
      </w:r>
      <w:r>
        <w:rPr>
          <w:sz w:val="16"/>
        </w:rPr>
        <w:t>Apreciación</w:t>
      </w:r>
      <w:r>
        <w:rPr>
          <w:spacing w:val="-12"/>
          <w:sz w:val="16"/>
        </w:rPr>
        <w:t> </w:t>
      </w:r>
      <w:r>
        <w:rPr>
          <w:sz w:val="16"/>
        </w:rPr>
        <w:t>sistemática</w:t>
      </w:r>
      <w:r>
        <w:rPr>
          <w:spacing w:val="-9"/>
          <w:sz w:val="16"/>
        </w:rPr>
        <w:t> </w:t>
      </w:r>
      <w:r>
        <w:rPr>
          <w:sz w:val="16"/>
        </w:rPr>
        <w:t>y</w:t>
      </w:r>
      <w:r>
        <w:rPr>
          <w:spacing w:val="-12"/>
          <w:sz w:val="16"/>
        </w:rPr>
        <w:t> </w:t>
      </w:r>
      <w:r>
        <w:rPr>
          <w:sz w:val="16"/>
        </w:rPr>
        <w:t>objetiva</w:t>
      </w:r>
      <w:r>
        <w:rPr>
          <w:spacing w:val="-12"/>
          <w:sz w:val="16"/>
        </w:rPr>
        <w:t> </w:t>
      </w:r>
      <w:r>
        <w:rPr>
          <w:sz w:val="16"/>
        </w:rPr>
        <w:t>de</w:t>
      </w:r>
      <w:r>
        <w:rPr>
          <w:spacing w:val="-9"/>
          <w:sz w:val="16"/>
        </w:rPr>
        <w:t> </w:t>
      </w:r>
      <w:r>
        <w:rPr>
          <w:sz w:val="16"/>
        </w:rPr>
        <w:t>un</w:t>
      </w:r>
      <w:r>
        <w:rPr>
          <w:spacing w:val="-12"/>
          <w:sz w:val="16"/>
        </w:rPr>
        <w:t> </w:t>
      </w:r>
      <w:r>
        <w:rPr>
          <w:sz w:val="16"/>
        </w:rPr>
        <w:t>proyecto,</w:t>
      </w:r>
      <w:r>
        <w:rPr>
          <w:spacing w:val="-10"/>
          <w:sz w:val="16"/>
        </w:rPr>
        <w:t> </w:t>
      </w:r>
      <w:r>
        <w:rPr>
          <w:sz w:val="16"/>
        </w:rPr>
        <w:t>programa</w:t>
      </w:r>
      <w:r>
        <w:rPr>
          <w:spacing w:val="-12"/>
          <w:sz w:val="16"/>
        </w:rPr>
        <w:t> </w:t>
      </w:r>
      <w:r>
        <w:rPr>
          <w:sz w:val="16"/>
        </w:rPr>
        <w:t>o</w:t>
      </w:r>
      <w:r>
        <w:rPr>
          <w:spacing w:val="-12"/>
          <w:sz w:val="16"/>
        </w:rPr>
        <w:t> </w:t>
      </w:r>
      <w:r>
        <w:rPr>
          <w:sz w:val="16"/>
        </w:rPr>
        <w:t>política</w:t>
      </w:r>
      <w:r>
        <w:rPr>
          <w:spacing w:val="-12"/>
          <w:sz w:val="16"/>
        </w:rPr>
        <w:t> </w:t>
      </w:r>
      <w:r>
        <w:rPr>
          <w:sz w:val="16"/>
        </w:rPr>
        <w:t>en</w:t>
      </w:r>
      <w:r>
        <w:rPr>
          <w:spacing w:val="-12"/>
          <w:sz w:val="16"/>
        </w:rPr>
        <w:t> </w:t>
      </w:r>
      <w:r>
        <w:rPr>
          <w:sz w:val="16"/>
        </w:rPr>
        <w:t>curso</w:t>
      </w:r>
      <w:r>
        <w:rPr>
          <w:spacing w:val="-9"/>
          <w:sz w:val="16"/>
        </w:rPr>
        <w:t> </w:t>
      </w:r>
      <w:r>
        <w:rPr>
          <w:sz w:val="16"/>
        </w:rPr>
        <w:t>o</w:t>
      </w:r>
      <w:r>
        <w:rPr>
          <w:spacing w:val="-14"/>
          <w:sz w:val="16"/>
        </w:rPr>
        <w:t> </w:t>
      </w:r>
      <w:r>
        <w:rPr>
          <w:sz w:val="16"/>
        </w:rPr>
        <w:t>concluido,</w:t>
      </w:r>
      <w:r>
        <w:rPr>
          <w:spacing w:val="-8"/>
          <w:sz w:val="16"/>
        </w:rPr>
        <w:t> </w:t>
      </w:r>
      <w:r>
        <w:rPr>
          <w:sz w:val="16"/>
        </w:rPr>
        <w:t>de</w:t>
      </w:r>
      <w:r>
        <w:rPr>
          <w:spacing w:val="-12"/>
          <w:sz w:val="16"/>
        </w:rPr>
        <w:t> </w:t>
      </w:r>
      <w:r>
        <w:rPr>
          <w:sz w:val="16"/>
        </w:rPr>
        <w:t>su</w:t>
      </w:r>
      <w:r>
        <w:rPr>
          <w:spacing w:val="-12"/>
          <w:sz w:val="16"/>
        </w:rPr>
        <w:t> </w:t>
      </w:r>
      <w:r>
        <w:rPr>
          <w:sz w:val="16"/>
        </w:rPr>
        <w:t>diseño, su puesta en práctica y sus resultados. El objetivo es determinar la pertinencia y el logro de los objetivos, así como la eficiencia, la eficacia, el impacto y la sostenibilidad para el desarrollo. Una evaluación deberá proporcionar información creíble y útil, que permita incorporar las enseñanzas aprendidas en el proceso de toma de decisiones de beneficiarios y donantes. […].</w:t>
      </w:r>
      <w:r>
        <w:rPr>
          <w:spacing w:val="-5"/>
          <w:sz w:val="16"/>
        </w:rPr>
        <w:t> </w:t>
      </w:r>
      <w:r>
        <w:rPr>
          <w:sz w:val="16"/>
        </w:rPr>
        <w:t>“</w:t>
      </w:r>
    </w:p>
    <w:p>
      <w:pPr>
        <w:spacing w:line="240" w:lineRule="auto" w:before="0"/>
        <w:ind w:left="122" w:right="3699" w:firstLine="0"/>
        <w:jc w:val="left"/>
        <w:rPr>
          <w:sz w:val="16"/>
        </w:rPr>
      </w:pPr>
      <w:r>
        <w:rPr>
          <w:sz w:val="16"/>
        </w:rPr>
        <w:t>OCDE (s.f.). Disponible en: </w:t>
      </w:r>
      <w:hyperlink r:id="rId54">
        <w:r>
          <w:rPr>
            <w:color w:val="0000FF"/>
            <w:sz w:val="16"/>
            <w:u w:val="single" w:color="0000FF"/>
          </w:rPr>
          <w:t>http://www.comminit.com/es/node/209185</w:t>
        </w:r>
        <w:r>
          <w:rPr>
            <w:sz w:val="16"/>
          </w:rPr>
          <w:t>.</w:t>
        </w:r>
      </w:hyperlink>
      <w:r>
        <w:rPr>
          <w:sz w:val="16"/>
        </w:rPr>
        <w:t> [Fecha de consulta: 25 de septiembre, 2015]</w:t>
      </w:r>
    </w:p>
    <w:p>
      <w:pPr>
        <w:spacing w:line="254" w:lineRule="auto" w:before="0"/>
        <w:ind w:left="122" w:right="215" w:firstLine="0"/>
        <w:jc w:val="both"/>
        <w:rPr>
          <w:sz w:val="16"/>
        </w:rPr>
      </w:pPr>
      <w:r>
        <w:rPr>
          <w:rFonts w:ascii="Times New Roman" w:hAnsi="Times New Roman"/>
          <w:position w:val="7"/>
          <w:sz w:val="13"/>
        </w:rPr>
        <w:t>102</w:t>
      </w:r>
      <w:r>
        <w:rPr>
          <w:sz w:val="16"/>
        </w:rPr>
        <w:t>A partir del Informe del Resultado de la Fiscalización Superior de la Cuenta Pública 2011, la ASF presentó auditorías de evaluación de políticas públicas.</w:t>
      </w:r>
    </w:p>
    <w:p>
      <w:pPr>
        <w:spacing w:line="240" w:lineRule="auto" w:before="0"/>
        <w:ind w:left="122" w:right="1714" w:firstLine="0"/>
        <w:jc w:val="left"/>
        <w:rPr>
          <w:sz w:val="16"/>
        </w:rPr>
      </w:pPr>
      <w:r>
        <w:rPr>
          <w:sz w:val="16"/>
        </w:rPr>
        <w:t>Disponible en: </w:t>
      </w:r>
      <w:hyperlink r:id="rId183">
        <w:r>
          <w:rPr>
            <w:sz w:val="16"/>
          </w:rPr>
          <w:t>http://www.asf.gob.mx/uploads/55_Informes_de_auditoria/Mensaje_IRCP_2011.pdf</w:t>
        </w:r>
      </w:hyperlink>
      <w:r>
        <w:rPr>
          <w:sz w:val="16"/>
        </w:rPr>
        <w:t> [Fecha de consulta: 25 de septiembre, 2015]</w:t>
      </w:r>
    </w:p>
    <w:p>
      <w:pPr>
        <w:spacing w:after="0" w:line="240" w:lineRule="auto"/>
        <w:jc w:val="left"/>
        <w:rPr>
          <w:sz w:val="16"/>
        </w:rPr>
        <w:sectPr>
          <w:pgSz w:w="11910" w:h="16840"/>
          <w:pgMar w:header="0" w:footer="1003" w:top="1340" w:bottom="1200" w:left="1580" w:right="1500"/>
        </w:sectPr>
      </w:pPr>
    </w:p>
    <w:p>
      <w:pPr>
        <w:spacing w:before="57"/>
        <w:ind w:left="2395" w:right="52" w:firstLine="0"/>
        <w:jc w:val="left"/>
        <w:rPr>
          <w:sz w:val="20"/>
        </w:rPr>
      </w:pPr>
      <w:r>
        <w:rPr/>
        <w:pict>
          <v:group style="position:absolute;margin-left:168.712372pt;margin-top:77.077896pt;width:96.7pt;height:74.45pt;mso-position-horizontal-relative:page;mso-position-vertical-relative:paragraph;z-index:-346936" coordorigin="3374,1542" coordsize="1934,1489">
            <v:shape style="position:absolute;left:4010;top:1542;width:1247;height:1489" type="#_x0000_t75" stroked="false">
              <v:imagedata r:id="rId184" o:title=""/>
            </v:shape>
            <v:shape style="position:absolute;left:4612;top:1995;width:695;height:592" type="#_x0000_t75" stroked="false">
              <v:imagedata r:id="rId185" o:title=""/>
            </v:shape>
            <v:shape style="position:absolute;left:4070;top:1561;width:1127;height:1352" coordorigin="4070,1561" coordsize="1127,1352" path="m4642,1561l4560,1569,4481,1591,4405,1625,4334,1670,4269,1727,4211,1795,4161,1872,4121,1959,4091,2054,4074,2150,4070,2247,4072,2295,4084,2389,4108,2479,4142,2564,4187,2643,4240,2715,4303,2778,4373,2830,4452,2871,4535,2899,4618,2911,4659,2912,4700,2910,4781,2895,4859,2867,4932,2828,5000,2776,5062,2714,5116,2641,5161,2559,5196,2468,4651,2237,5196,2006,5162,1915,5116,1833,5061,1759,4998,1695,4927,1643,4849,1602,4766,1575,4683,1562,4642,1561xe" filled="true" fillcolor="#4f81bc" stroked="false">
              <v:path arrowok="t"/>
              <v:fill type="solid"/>
            </v:shape>
            <v:shape style="position:absolute;left:4672;top:2007;width:577;height:460" coordorigin="4672,2007" coordsize="577,460" path="m5214,2007l4672,2237,5214,2466,5228,2416,5238,2366,5245,2314,5248,2263,5248,2211,5245,2159,5238,2108,5228,2057,5214,2007xe" filled="true" fillcolor="#bebebe" stroked="false">
              <v:path arrowok="t"/>
              <v:fill type="solid"/>
            </v:shape>
            <v:shape style="position:absolute;left:3374;top:1660;width:568;height:1173" type="#_x0000_t75" stroked="false">
              <v:imagedata r:id="rId186" o:title=""/>
            </v:shape>
            <v:shape style="position:absolute;left:3511;top:1924;width:455;height:508" coordorigin="3511,1924" coordsize="455,508" path="m3966,2096l3809,2096,3809,1924,3669,1924,3669,2096,3511,2096,3511,2259,3669,2259,3669,2431,3809,2431,3809,2259,3966,2259,3966,2096e" filled="true" fillcolor="#4f81bc" stroked="false">
              <v:path arrowok="t"/>
              <v:fill type="solid"/>
            </v:shape>
            <v:shape style="position:absolute;left:3499;top:1909;width:481;height:537" coordorigin="3499,1909" coordsize="481,537" path="m3656,2259l3656,2446,3821,2446,3821,2431,3682,2431,3669,2416,3682,2416,3682,2274,3669,2274,3656,2259xm3682,2416l3669,2416,3682,2431,3682,2416xm3796,2416l3682,2416,3682,2431,3796,2431,3796,2416xm3954,2244l3796,2244,3796,2431,3809,2416,3821,2416,3821,2274,3809,2274,3821,2259,3954,2259,3954,2244xm3821,2416l3809,2416,3796,2431,3821,2431,3821,2416xm3656,2082l3499,2082,3499,2274,3656,2274,3656,2259,3524,2259,3511,2244,3524,2244,3524,2111,3511,2111,3524,2096,3656,2096,3656,2082xm3682,2244l3524,2244,3524,2259,3656,2259,3669,2274,3682,2274,3682,2244xm3821,2259l3809,2274,3821,2274,3821,2259xm3979,2244l3966,2244,3954,2259,3821,2259,3821,2274,3979,2274,3979,2244xm3524,2244l3511,2244,3524,2259,3524,2244xm3954,2096l3954,2259,3966,2244,3979,2244,3979,2111,3966,2111,3954,2096xm3524,2096l3511,2111,3524,2111,3524,2096xm3682,2082l3669,2082,3656,2096,3524,2096,3524,2111,3682,2111,3682,2082xm3796,1924l3796,2111,3954,2111,3954,2096,3821,2096,3809,2082,3821,2082,3821,1939,3809,1939,3796,1924xm3979,2082l3821,2082,3821,2096,3954,2096,3966,2111,3979,2111,3979,2082xm3821,1909l3656,1909,3656,2096,3669,2082,3682,2082,3682,1939,3669,1939,3682,1924,3821,1924,3821,1909xm3821,2082l3809,2082,3821,2096,3821,2082xm3682,1924l3669,1939,3682,1939,3682,1924xm3796,1924l3682,1924,3682,1939,3796,1939,3796,1924xm3821,1924l3796,1924,3809,1939,3821,1939,3821,1924xe" filled="true" fillcolor="#385d89" stroked="false">
              <v:path arrowok="t"/>
              <v:fill type="solid"/>
            </v:shape>
            <w10:wrap type="none"/>
          </v:group>
        </w:pict>
      </w:r>
      <w:r>
        <w:rPr/>
        <w:pict>
          <v:group style="position:absolute;margin-left:274.294098pt;margin-top:51.439548pt;width:131.0500pt;height:110.2pt;mso-position-horizontal-relative:page;mso-position-vertical-relative:paragraph;z-index:-346912" coordorigin="5486,1029" coordsize="2621,2204">
            <v:shape style="position:absolute;left:5486;top:1699;width:500;height:1173" type="#_x0000_t75" stroked="false">
              <v:imagedata r:id="rId187" o:title=""/>
            </v:shape>
            <v:rect style="position:absolute;left:5834;top:1029;width:2273;height:2204" filled="true" fillcolor="#ffffff" stroked="false">
              <v:fill type="solid"/>
            </v:rect>
            <v:shape style="position:absolute;left:6012;top:1482;width:1323;height:1578" type="#_x0000_t75" stroked="false">
              <v:imagedata r:id="rId188" o:title=""/>
            </v:shape>
            <v:shape style="position:absolute;left:7581;top:1650;width:526;height:1233" type="#_x0000_t75" stroked="false">
              <v:imagedata r:id="rId189" o:title=""/>
            </v:shape>
            <v:shape style="position:absolute;left:6656;top:1956;width:738;height:641" type="#_x0000_t75" stroked="false">
              <v:imagedata r:id="rId190" o:title=""/>
            </v:shape>
            <v:shape style="position:absolute;left:6075;top:1507;width:1193;height:1431" coordorigin="6075,1507" coordsize="1193,1431" path="m6699,1507l6619,1512,6541,1528,6466,1556,6395,1595,6329,1644,6268,1702,6213,1770,6166,1847,6128,1932,6099,2024,6082,2118,6075,2212,6076,2258,6085,2350,6104,2439,6133,2524,6171,2604,6217,2679,6271,2746,6334,2805,6403,2854,6480,2894,6560,2921,6641,2935,6681,2937,6721,2936,6800,2925,6877,2903,6950,2870,7019,2826,7083,2772,7141,2709,7191,2636,7234,2555,7268,2466,6690,2222,7268,1977,7231,1882,7183,1794,7125,1716,7058,1649,6983,1593,6900,1550,6820,1523,6739,1509,6699,1507xe" filled="true" fillcolor="#548ed4" stroked="false">
              <v:path arrowok="t"/>
              <v:fill type="solid"/>
            </v:shape>
            <v:shape style="position:absolute;left:6075;top:1507;width:1193;height:1431" coordorigin="6075,1507" coordsize="1193,1431" path="m7268,2466l7234,2555,7191,2636,7141,2709,7083,2772,7019,2826,6950,2870,6877,2903,6800,2925,6721,2936,6681,2937,6641,2935,6560,2921,6480,2894,6403,2854,6334,2805,6271,2746,6217,2679,6171,2604,6133,2524,6104,2439,6085,2350,6076,2258,6075,2212,6077,2165,6089,2071,6112,1977,6146,1889,6189,1808,6240,1735,6297,1672,6361,1618,6430,1574,6504,1541,6580,1519,6659,1508,6699,1507,6739,1509,6820,1523,6900,1550,6983,1593,7058,1649,7125,1716,7183,1794,7231,1882,7268,1977,6690,2222,7268,2466xe" filled="false" stroked="true" strokeweight=".452794pt" strokecolor="#000000">
              <v:path arrowok="t"/>
            </v:shape>
            <v:shape style="position:absolute;left:6716;top:1977;width:615;height:490" coordorigin="6716,1977" coordsize="615,490" path="m7293,1977l6716,2222,7293,2466,7307,2419,7317,2370,7324,2321,7329,2272,7330,2222,7329,2172,7324,2123,7317,2074,7307,2025,7293,1977xe" filled="true" fillcolor="#548ed4" stroked="false">
              <v:path arrowok="t"/>
              <v:fill type="solid"/>
            </v:shape>
            <v:shape style="position:absolute;left:6716;top:1977;width:615;height:490" coordorigin="6716,1977" coordsize="615,490" path="m7293,1977l7317,2074,7329,2172,7330,2222,7329,2272,7324,2321,7317,2370,7307,2419,7293,2466,6716,2222,7293,1977xe" filled="false" stroked="true" strokeweight=".466767pt" strokecolor="#000000">
              <v:path arrowok="t"/>
            </v:shape>
            <v:shape style="position:absolute;left:5617;top:1911;width:289;height:602" coordorigin="5617,1911" coordsize="289,602" path="m5626,2062l5617,2062,5617,2362,5626,2362,5626,2062xm5653,2062l5635,2062,5635,2362,5653,2362,5653,2062xm5761,1911l5761,2062,5662,2062,5662,2362,5761,2362,5761,2513,5906,2212,5761,1911xe" filled="true" fillcolor="#4f81bc" stroked="false">
              <v:path arrowok="t"/>
              <v:fill type="solid"/>
            </v:shape>
            <v:shape style="position:absolute;left:5605;top:1854;width:316;height:716" coordorigin="5605,1854" coordsize="316,716" path="m5749,2362l5749,2570,5776,2513,5774,2513,5750,2506,5774,2456,5774,2377,5761,2377,5749,2362xm5774,2456l5750,2506,5774,2513,5774,2456xm5891,2212l5774,2456,5774,2513,5776,2513,5917,2219,5895,2219,5891,2212xm5623,2047l5605,2047,5605,2377,5623,2377,5623,2362,5614,2362,5614,2062,5623,2062,5623,2047xm5623,2354l5623,2377,5639,2377,5639,2362,5630,2362,5623,2354xm5639,2352l5639,2377,5650,2377,5650,2362,5641,2362,5641,2354,5639,2352xm5662,2348l5653,2348,5650,2352,5650,2377,5666,2377,5666,2352,5662,2348xm5666,2352l5666,2377,5749,2377,5749,2362,5675,2362,5666,2352xm5774,2348l5675,2348,5675,2362,5749,2362,5761,2377,5774,2377,5774,2348xm5614,2062l5614,2362,5622,2353,5617,2348,5623,2348,5623,2077,5617,2077,5622,2071,5614,2062xm5622,2353l5614,2362,5623,2362,5623,2354,5622,2353xm5630,2348l5626,2348,5623,2352,5623,2354,5630,2362,5630,2348xm5639,2062l5630,2062,5630,2362,5639,2362,5639,2352,5635,2348,5639,2348,5639,2077,5635,2077,5639,2072,5639,2062xm5641,2354l5641,2362,5644,2358,5641,2354xm5644,2358l5641,2362,5648,2362,5644,2358xm5648,2354l5644,2358,5648,2362,5648,2354xm5650,2352l5648,2354,5648,2362,5650,2362,5650,2352xm5675,2062l5666,2072,5666,2352,5675,2362,5675,2062xm5644,2066l5641,2070,5641,2354,5644,2358,5648,2354,5648,2070,5644,2066xm5641,2070l5639,2072,5639,2352,5641,2354,5641,2070xm5648,2070l5648,2354,5650,2352,5650,2072,5648,2070xm5623,2352l5622,2353,5623,2354,5623,2352xm5623,2348l5617,2348,5622,2353,5623,2352,5623,2348xm5623,2072l5623,2352,5626,2348,5630,2348,5630,2077,5626,2077,5623,2072xm5639,2348l5635,2348,5639,2352,5639,2348xm5650,2072l5650,2352,5653,2348,5666,2348,5666,2077,5653,2077,5650,2072xm5666,2348l5662,2348,5666,2352,5666,2348xm5895,2205l5891,2212,5895,2219,5895,2205xm5917,2205l5895,2205,5895,2219,5917,2219,5920,2212,5917,2205xm5776,1911l5774,1911,5774,1968,5891,2212,5895,2205,5917,2205,5776,1911xm5622,2071l5617,2077,5623,2077,5623,2072,5622,2071xm5630,2062l5623,2070,5623,2072,5626,2077,5630,2077,5630,2062xm5639,2072l5635,2077,5639,2077,5639,2072xm5666,2047l5650,2047,5650,2072,5653,2077,5662,2077,5666,2072,5666,2047xm5666,2072l5662,2077,5666,2077,5666,2072xm5774,2047l5761,2047,5749,2062,5675,2062,5675,2077,5774,2077,5774,2047xm5623,2070l5622,2071,5623,2072,5623,2070xm5650,2047l5639,2047,5639,2072,5641,2070,5641,2062,5650,2062,5650,2047xm5650,2062l5648,2062,5648,2070,5650,2072,5650,2062xm5749,2047l5666,2047,5666,2072,5675,2062,5749,2062,5749,2047xm5623,2062l5614,2062,5622,2071,5623,2070,5623,2062xm5639,2047l5623,2047,5623,2070,5630,2062,5639,2062,5639,2047xm5641,2062l5641,2070,5644,2066,5641,2062xm5648,2062l5644,2066,5648,2070,5648,2062xm5648,2062l5641,2062,5644,2066,5648,2062xm5749,1854l5749,2062,5761,2047,5774,2047,5774,1968,5750,1919,5774,1911,5776,1911,5749,1854xm5774,1911l5750,1919,5774,1968,5774,1911xe" filled="true" fillcolor="#385d89" stroked="false">
              <v:path arrowok="t"/>
              <v:fill type="solid"/>
            </v:shape>
            <w10:wrap type="none"/>
          </v:group>
        </w:pict>
      </w:r>
      <w:r>
        <w:rPr/>
        <w:pict>
          <v:group style="position:absolute;margin-left:94.08403pt;margin-top:74.119614pt;width:65.75pt;height:76.45pt;mso-position-horizontal-relative:page;mso-position-vertical-relative:paragraph;z-index:-346888" coordorigin="1882,1482" coordsize="1315,1529">
            <v:shape style="position:absolute;left:1882;top:1482;width:1281;height:1528" type="#_x0000_t75" stroked="false">
              <v:imagedata r:id="rId191" o:title=""/>
            </v:shape>
            <v:shape style="position:absolute;left:2484;top:1946;width:712;height:611" type="#_x0000_t75" stroked="false">
              <v:imagedata r:id="rId192" o:title=""/>
            </v:shape>
            <v:shape style="position:absolute;left:1941;top:1502;width:1160;height:1391" coordorigin="1941,1502" coordsize="1160,1391" path="m2539,1502l2458,1508,2380,1527,2304,1558,2233,1600,2167,1652,2108,1715,2056,1788,2012,1869,1977,1960,1954,2054,1942,2150,1941,2197,1942,2244,1953,2337,1974,2427,2006,2512,2047,2592,2096,2665,2155,2730,2221,2786,2295,2832,2375,2866,2457,2886,2539,2893,2579,2891,2659,2878,2736,2854,2810,2817,2878,2770,2941,2712,2997,2644,3045,2567,3085,2481,3101,2435,2539,2197,3101,1960,3065,1867,3018,1782,2962,1706,2896,1640,2823,1586,2743,1544,2662,1517,2580,1504,2539,1502xe" filled="true" fillcolor="#bebebe" stroked="false">
              <v:path arrowok="t"/>
              <v:fill type="solid"/>
            </v:shape>
            <v:shape style="position:absolute;left:2539;top:1960;width:598;height:476" coordorigin="2539,1960" coordsize="598,476" path="m3101,1960l2539,2197,3101,2435,3115,2383,3126,2331,3133,2278,3136,2224,3136,2170,3133,2117,3126,2064,3115,2011,3101,1960xe" filled="true" fillcolor="#548ed4" stroked="false">
              <v:path arrowok="t"/>
              <v:fill type="solid"/>
            </v:shape>
            <w10:wrap type="none"/>
          </v:group>
        </w:pict>
      </w:r>
      <w:r>
        <w:rPr/>
        <w:pict>
          <v:group style="position:absolute;margin-left:416.699066pt;margin-top:68.243996pt;width:76.05pt;height:82.3pt;mso-position-horizontal-relative:page;mso-position-vertical-relative:paragraph;z-index:-346864" coordorigin="8334,1365" coordsize="1521,1646">
            <v:shape style="position:absolute;left:8420;top:1482;width:1281;height:1528" type="#_x0000_t75" stroked="false">
              <v:imagedata r:id="rId193" o:title=""/>
            </v:shape>
            <v:shape style="position:absolute;left:9031;top:1936;width:721;height:621" type="#_x0000_t75" stroked="false">
              <v:imagedata r:id="rId194" o:title=""/>
            </v:shape>
            <v:shape style="position:absolute;left:8484;top:1507;width:1152;height:1381" coordorigin="8484,1507" coordsize="1152,1381" path="m9078,1507l8997,1513,8919,1532,8845,1562,8774,1604,8708,1656,8649,1719,8597,1791,8554,1872,8520,1961,8496,2055,8485,2150,8484,2197,8485,2244,8496,2336,8517,2425,8548,2510,8588,2589,8638,2662,8696,2726,8762,2782,8835,2827,8915,2861,8996,2881,9077,2888,9117,2886,9197,2874,9273,2849,9346,2813,9414,2766,9477,2708,9532,2641,9580,2564,9619,2479,9635,2433,9077,2197,9635,1961,9600,1869,9553,1785,9497,1709,9432,1644,9360,1590,9280,1549,9199,1522,9118,1508,9078,1507xe" filled="true" fillcolor="#548ed4" stroked="false">
              <v:path arrowok="t"/>
              <v:fill type="solid"/>
            </v:shape>
            <v:shape style="position:absolute;left:8484;top:1507;width:1152;height:1381" coordorigin="8484,1507" coordsize="1152,1381" path="m9635,2433l9601,2523,9557,2604,9505,2676,9446,2738,9381,2791,9310,2832,9235,2863,9157,2881,9077,2888,9037,2886,8955,2873,8874,2846,8797,2806,8728,2755,8666,2695,8612,2626,8567,2550,8531,2468,8505,2381,8489,2290,8484,2197,8485,2150,8496,2055,8520,1961,8554,1872,8597,1791,8649,1719,8708,1656,8774,1604,8845,1562,8919,1532,8997,1513,9078,1507,9118,1508,9199,1522,9280,1549,9360,1590,9432,1644,9497,1709,9553,1785,9600,1869,9635,1961,9077,2197,9635,2433xe" filled="false" stroked="true" strokeweight=".45279pt" strokecolor="#000000">
              <v:path arrowok="t"/>
            </v:shape>
            <v:shape style="position:absolute;left:9094;top:1961;width:594;height:473" coordorigin="9094,1961" coordsize="594,473" path="m9652,1961l9094,2197,9652,2433,9666,2382,9677,2330,9684,2277,9688,2224,9688,2171,9684,2118,9677,2065,9666,2013,9652,1961xe" filled="true" fillcolor="#548ed4" stroked="false">
              <v:path arrowok="t"/>
              <v:fill type="solid"/>
            </v:shape>
            <v:shape style="position:absolute;left:9094;top:1961;width:594;height:473" coordorigin="9094,1961" coordsize="594,473" path="m9652,1961l9677,2065,9688,2171,9688,2224,9684,2277,9677,2330,9666,2382,9652,2433,9094,2197,9652,1961xe" filled="false" stroked="true" strokeweight=".466745pt" strokecolor="#000000">
              <v:path arrowok="t"/>
            </v:shape>
            <v:shape style="position:absolute;left:8348;top:1379;width:1493;height:1608" coordorigin="8348,1379" coordsize="1493,1608" path="m8348,2183l8353,2089,8368,1998,8391,1911,8424,1829,8464,1752,8512,1680,8567,1614,8628,1555,8694,1504,8766,1461,8843,1426,8923,1400,9007,1384,9094,1379,9138,1380,9224,1391,9306,1412,9385,1442,9459,1481,9528,1529,9592,1584,9650,1646,9701,1715,9746,1790,9782,1870,9810,1954,9829,2043,9839,2135,9841,2183,9839,2230,9829,2322,9810,2411,9782,2495,9746,2575,9701,2650,9650,2719,9592,2781,9528,2836,9459,2884,9385,2923,9306,2953,9224,2974,9138,2985,9094,2986,9050,2985,8965,2974,8882,2953,8804,2923,8730,2884,8660,2836,8596,2781,8538,2719,8487,2650,8443,2575,8407,2495,8378,2411,8359,2322,8349,2230,8348,2183xe" filled="false" stroked="true" strokeweight="1.367949pt" strokecolor="#385d89">
              <v:path arrowok="t"/>
              <v:stroke dashstyle="longDash"/>
            </v:shape>
            <w10:wrap type="none"/>
          </v:group>
        </w:pict>
      </w:r>
      <w:bookmarkStart w:name="_bookmark71" w:id="95"/>
      <w:bookmarkEnd w:id="95"/>
      <w:r>
        <w:rPr/>
      </w:r>
      <w:r>
        <w:rPr>
          <w:sz w:val="20"/>
        </w:rPr>
        <w:t>Esquema 4. 1. Ciclo de las políticas públicas</w:t>
      </w:r>
    </w:p>
    <w:p>
      <w:pPr>
        <w:pStyle w:val="BodyText"/>
        <w:spacing w:before="5"/>
        <w:rPr>
          <w:sz w:val="15"/>
        </w:rPr>
      </w:pPr>
      <w:r>
        <w:rPr/>
        <w:pict>
          <v:group style="position:absolute;margin-left:88.425003pt;margin-top:10.82587pt;width:419.2pt;height:137.2pt;mso-position-horizontal-relative:page;mso-position-vertical-relative:paragraph;z-index:8992;mso-wrap-distance-left:0;mso-wrap-distance-right:0" coordorigin="1769,217" coordsize="8384,2744">
            <v:shape style="position:absolute;left:9930;top:1353;width:208;height:1193" type="#_x0000_t75" stroked="false">
              <v:imagedata r:id="rId195" o:title=""/>
            </v:shape>
            <v:shape style="position:absolute;left:1776;top:224;width:8369;height:2729" type="#_x0000_t202" filled="false" stroked="true" strokeweight=".72pt" strokecolor="#000000">
              <v:textbox inset="0,0,0,0">
                <w:txbxContent>
                  <w:p>
                    <w:pPr>
                      <w:spacing w:line="240" w:lineRule="auto" w:before="8"/>
                      <w:rPr>
                        <w:sz w:val="11"/>
                      </w:rPr>
                    </w:pPr>
                  </w:p>
                  <w:p>
                    <w:pPr>
                      <w:tabs>
                        <w:tab w:pos="2526" w:val="left" w:leader="none"/>
                        <w:tab w:pos="4691" w:val="left" w:leader="none"/>
                        <w:tab w:pos="6685" w:val="left" w:leader="none"/>
                      </w:tabs>
                      <w:spacing w:before="0"/>
                      <w:ind w:left="735" w:right="0" w:firstLine="0"/>
                      <w:jc w:val="left"/>
                      <w:rPr>
                        <w:sz w:val="15"/>
                      </w:rPr>
                    </w:pPr>
                    <w:r>
                      <w:rPr>
                        <w:w w:val="95"/>
                        <w:sz w:val="15"/>
                      </w:rPr>
                      <w:t>Diseño</w:t>
                      <w:tab/>
                    </w:r>
                    <w:r>
                      <w:rPr>
                        <w:spacing w:val="-3"/>
                        <w:w w:val="90"/>
                        <w:sz w:val="15"/>
                      </w:rPr>
                      <w:t>Implementación</w:t>
                      <w:tab/>
                      <w:t>Resultados</w:t>
                      <w:tab/>
                    </w:r>
                    <w:r>
                      <w:rPr>
                        <w:spacing w:val="-3"/>
                        <w:w w:val="85"/>
                        <w:sz w:val="15"/>
                      </w:rPr>
                      <w:t>Evaluación </w:t>
                    </w:r>
                    <w:r>
                      <w:rPr>
                        <w:w w:val="85"/>
                        <w:sz w:val="15"/>
                      </w:rPr>
                      <w:t>de</w:t>
                    </w:r>
                    <w:r>
                      <w:rPr>
                        <w:spacing w:val="3"/>
                        <w:w w:val="85"/>
                        <w:sz w:val="15"/>
                      </w:rPr>
                      <w:t> </w:t>
                    </w:r>
                    <w:r>
                      <w:rPr>
                        <w:spacing w:val="-3"/>
                        <w:w w:val="85"/>
                        <w:sz w:val="15"/>
                      </w:rPr>
                      <w:t>resultados</w:t>
                    </w:r>
                  </w:p>
                </w:txbxContent>
              </v:textbox>
              <w10:wrap type="none"/>
            </v:shape>
            <w10:wrap type="topAndBottom"/>
          </v:group>
        </w:pict>
      </w:r>
    </w:p>
    <w:p>
      <w:pPr>
        <w:spacing w:before="105"/>
        <w:ind w:left="549" w:right="52" w:firstLine="0"/>
        <w:jc w:val="left"/>
        <w:rPr>
          <w:sz w:val="12"/>
        </w:rPr>
      </w:pPr>
      <w:r>
        <w:rPr>
          <w:sz w:val="12"/>
        </w:rPr>
        <w:t>FUENTE: Elaboración propia con  base a  Aguilar F. Luis. (2010).</w:t>
      </w:r>
    </w:p>
    <w:p>
      <w:pPr>
        <w:pStyle w:val="BodyText"/>
        <w:spacing w:line="360" w:lineRule="auto" w:before="68"/>
        <w:ind w:left="122" w:right="124" w:firstLine="427"/>
        <w:jc w:val="both"/>
      </w:pPr>
      <w:r>
        <w:rPr/>
        <w:t>Más allá de cumplimiento o incumplimiento de las políticas públicas, el trasfondo de la implementación de las políticas públicas, es que el Estado logre su legitimación y el avance hacia la democracia.</w:t>
      </w:r>
    </w:p>
    <w:p>
      <w:pPr>
        <w:pStyle w:val="BodyText"/>
        <w:spacing w:line="360" w:lineRule="auto" w:before="2"/>
        <w:ind w:left="122" w:right="116" w:firstLine="427"/>
        <w:jc w:val="both"/>
      </w:pPr>
      <w:r>
        <w:rPr/>
        <w:t>Un sistema democrático se basa principalmente en dos principios políticos: el primero consiste en una división de poderes, con el cual Montesquieu, al considerar las funciones ejecutiva, legislativa y judicial, estableció el pensamiento</w:t>
      </w:r>
      <w:r>
        <w:rPr>
          <w:spacing w:val="-13"/>
        </w:rPr>
        <w:t> </w:t>
      </w:r>
      <w:r>
        <w:rPr/>
        <w:t>político,</w:t>
      </w:r>
      <w:r>
        <w:rPr>
          <w:spacing w:val="-11"/>
        </w:rPr>
        <w:t> </w:t>
      </w:r>
      <w:r>
        <w:rPr/>
        <w:t>relativo</w:t>
      </w:r>
      <w:r>
        <w:rPr>
          <w:spacing w:val="-11"/>
        </w:rPr>
        <w:t> </w:t>
      </w:r>
      <w:r>
        <w:rPr/>
        <w:t>a</w:t>
      </w:r>
      <w:r>
        <w:rPr>
          <w:spacing w:val="-11"/>
        </w:rPr>
        <w:t> </w:t>
      </w:r>
      <w:r>
        <w:rPr/>
        <w:t>que</w:t>
      </w:r>
      <w:r>
        <w:rPr>
          <w:spacing w:val="-11"/>
        </w:rPr>
        <w:t> </w:t>
      </w:r>
      <w:r>
        <w:rPr/>
        <w:t>el</w:t>
      </w:r>
      <w:r>
        <w:rPr>
          <w:spacing w:val="-14"/>
        </w:rPr>
        <w:t> </w:t>
      </w:r>
      <w:r>
        <w:rPr/>
        <w:t>poder</w:t>
      </w:r>
      <w:r>
        <w:rPr>
          <w:spacing w:val="-12"/>
        </w:rPr>
        <w:t> </w:t>
      </w:r>
      <w:r>
        <w:rPr/>
        <w:t>debe</w:t>
      </w:r>
      <w:r>
        <w:rPr>
          <w:spacing w:val="-11"/>
        </w:rPr>
        <w:t> </w:t>
      </w:r>
      <w:r>
        <w:rPr/>
        <w:t>controlarse</w:t>
      </w:r>
      <w:r>
        <w:rPr>
          <w:spacing w:val="-11"/>
        </w:rPr>
        <w:t> </w:t>
      </w:r>
      <w:r>
        <w:rPr/>
        <w:t>así</w:t>
      </w:r>
      <w:r>
        <w:rPr>
          <w:spacing w:val="-13"/>
        </w:rPr>
        <w:t> </w:t>
      </w:r>
      <w:r>
        <w:rPr/>
        <w:t>mismo.</w:t>
      </w:r>
      <w:r>
        <w:rPr>
          <w:spacing w:val="-13"/>
        </w:rPr>
        <w:t> </w:t>
      </w:r>
      <w:r>
        <w:rPr/>
        <w:t>El</w:t>
      </w:r>
      <w:r>
        <w:rPr>
          <w:spacing w:val="-12"/>
        </w:rPr>
        <w:t> </w:t>
      </w:r>
      <w:r>
        <w:rPr/>
        <w:t>gran peso del Poder Ejecutivo debe contrarrestarse por los otros dos poderes. La rendición de cuentas es uno de los elementos que evidencia la existencia del contrapeso.</w:t>
      </w:r>
    </w:p>
    <w:p>
      <w:pPr>
        <w:pStyle w:val="BodyText"/>
        <w:spacing w:line="355" w:lineRule="auto" w:before="5"/>
        <w:ind w:left="122" w:right="117" w:firstLine="359"/>
        <w:jc w:val="both"/>
        <w:rPr>
          <w:sz w:val="16"/>
        </w:rPr>
      </w:pPr>
      <w:r>
        <w:rPr/>
        <w:t>El segundo principio político de que “la soberanía nacional reside esencial y originalmente</w:t>
      </w:r>
      <w:r>
        <w:rPr>
          <w:spacing w:val="-4"/>
        </w:rPr>
        <w:t> </w:t>
      </w:r>
      <w:r>
        <w:rPr/>
        <w:t>en</w:t>
      </w:r>
      <w:r>
        <w:rPr>
          <w:spacing w:val="-6"/>
        </w:rPr>
        <w:t> </w:t>
      </w:r>
      <w:r>
        <w:rPr/>
        <w:t>el</w:t>
      </w:r>
      <w:r>
        <w:rPr>
          <w:spacing w:val="-5"/>
        </w:rPr>
        <w:t> </w:t>
      </w:r>
      <w:r>
        <w:rPr/>
        <w:t>pueblo”</w:t>
      </w:r>
      <w:r>
        <w:rPr>
          <w:position w:val="8"/>
          <w:sz w:val="16"/>
        </w:rPr>
        <w:t>103</w:t>
      </w:r>
      <w:r>
        <w:rPr/>
        <w:t>la</w:t>
      </w:r>
      <w:r>
        <w:rPr>
          <w:spacing w:val="-4"/>
        </w:rPr>
        <w:t> </w:t>
      </w:r>
      <w:r>
        <w:rPr/>
        <w:t>cual</w:t>
      </w:r>
      <w:r>
        <w:rPr>
          <w:spacing w:val="-5"/>
        </w:rPr>
        <w:t> </w:t>
      </w:r>
      <w:r>
        <w:rPr/>
        <w:t>se</w:t>
      </w:r>
      <w:r>
        <w:rPr>
          <w:spacing w:val="-4"/>
        </w:rPr>
        <w:t> </w:t>
      </w:r>
      <w:r>
        <w:rPr/>
        <w:t>ejerce</w:t>
      </w:r>
      <w:r>
        <w:rPr>
          <w:spacing w:val="-5"/>
        </w:rPr>
        <w:t> </w:t>
      </w:r>
      <w:r>
        <w:rPr/>
        <w:t>mediante</w:t>
      </w:r>
      <w:r>
        <w:rPr>
          <w:spacing w:val="-4"/>
        </w:rPr>
        <w:t> </w:t>
      </w:r>
      <w:r>
        <w:rPr/>
        <w:t>la</w:t>
      </w:r>
      <w:r>
        <w:rPr>
          <w:spacing w:val="-4"/>
        </w:rPr>
        <w:t> </w:t>
      </w:r>
      <w:r>
        <w:rPr/>
        <w:t>revisión</w:t>
      </w:r>
      <w:r>
        <w:rPr>
          <w:spacing w:val="-4"/>
        </w:rPr>
        <w:t> </w:t>
      </w:r>
      <w:r>
        <w:rPr/>
        <w:t>de</w:t>
      </w:r>
      <w:r>
        <w:rPr>
          <w:spacing w:val="-4"/>
        </w:rPr>
        <w:t> </w:t>
      </w:r>
      <w:r>
        <w:rPr/>
        <w:t>la</w:t>
      </w:r>
      <w:r>
        <w:rPr>
          <w:spacing w:val="-4"/>
        </w:rPr>
        <w:t> </w:t>
      </w:r>
      <w:r>
        <w:rPr/>
        <w:t>Cuenta Pública, atribución exclusiva de la Cámara de Diputados,</w:t>
      </w:r>
      <w:r>
        <w:rPr>
          <w:position w:val="8"/>
          <w:sz w:val="16"/>
        </w:rPr>
        <w:t>104</w:t>
      </w:r>
      <w:r>
        <w:rPr/>
        <w:t>es el acto soberano por el cual el pueblo actúa, mediante los diputados, para verificar y garantizar que la acción del Estado se oriente al beneficio social.</w:t>
      </w:r>
      <w:r>
        <w:rPr>
          <w:position w:val="8"/>
          <w:sz w:val="16"/>
        </w:rPr>
        <w:t>105</w:t>
      </w:r>
      <w:r>
        <w:rPr/>
        <w:t>La revisión la realiza la Cámara de Diputados</w:t>
      </w:r>
      <w:r>
        <w:rPr>
          <w:position w:val="8"/>
          <w:sz w:val="16"/>
        </w:rPr>
        <w:t>106</w:t>
      </w:r>
      <w:r>
        <w:rPr/>
        <w:t>a través de la entidad de Fiscalización Superior de la Federación,</w:t>
      </w:r>
      <w:r>
        <w:rPr>
          <w:position w:val="8"/>
          <w:sz w:val="16"/>
        </w:rPr>
        <w:t>107</w:t>
      </w:r>
      <w:r>
        <w:rPr/>
        <w:t>denominada</w:t>
      </w:r>
      <w:r>
        <w:rPr>
          <w:spacing w:val="-8"/>
        </w:rPr>
        <w:t> </w:t>
      </w:r>
      <w:r>
        <w:rPr/>
        <w:t>Auditoría</w:t>
      </w:r>
      <w:r>
        <w:rPr>
          <w:spacing w:val="-8"/>
        </w:rPr>
        <w:t> </w:t>
      </w:r>
      <w:r>
        <w:rPr/>
        <w:t>Superior</w:t>
      </w:r>
      <w:r>
        <w:rPr>
          <w:spacing w:val="-11"/>
        </w:rPr>
        <w:t> </w:t>
      </w:r>
      <w:r>
        <w:rPr/>
        <w:t>de</w:t>
      </w:r>
      <w:r>
        <w:rPr>
          <w:spacing w:val="-9"/>
        </w:rPr>
        <w:t> </w:t>
      </w:r>
      <w:r>
        <w:rPr/>
        <w:t>la</w:t>
      </w:r>
      <w:r>
        <w:rPr>
          <w:spacing w:val="-8"/>
        </w:rPr>
        <w:t> </w:t>
      </w:r>
      <w:r>
        <w:rPr/>
        <w:t>Federación</w:t>
      </w:r>
      <w:r>
        <w:rPr>
          <w:position w:val="8"/>
          <w:sz w:val="16"/>
        </w:rPr>
        <w:t>108</w:t>
      </w:r>
      <w:r>
        <w:rPr>
          <w:spacing w:val="13"/>
          <w:position w:val="8"/>
          <w:sz w:val="16"/>
        </w:rPr>
        <w:t> </w:t>
      </w:r>
      <w:r>
        <w:rPr/>
        <w:t>que</w:t>
      </w:r>
      <w:r>
        <w:rPr>
          <w:spacing w:val="-8"/>
        </w:rPr>
        <w:t> </w:t>
      </w:r>
      <w:r>
        <w:rPr/>
        <w:t>tiene</w:t>
      </w:r>
      <w:r>
        <w:rPr>
          <w:spacing w:val="-8"/>
        </w:rPr>
        <w:t> </w:t>
      </w:r>
      <w:r>
        <w:rPr/>
        <w:t>a</w:t>
      </w:r>
      <w:r>
        <w:rPr>
          <w:spacing w:val="-9"/>
        </w:rPr>
        <w:t> </w:t>
      </w:r>
      <w:r>
        <w:rPr/>
        <w:t>su cargo la fiscalización</w:t>
      </w:r>
      <w:r>
        <w:rPr>
          <w:position w:val="8"/>
          <w:sz w:val="16"/>
        </w:rPr>
        <w:t>109 </w:t>
      </w:r>
      <w:r>
        <w:rPr/>
        <w:t>de la Cuenta</w:t>
      </w:r>
      <w:r>
        <w:rPr>
          <w:spacing w:val="7"/>
        </w:rPr>
        <w:t> </w:t>
      </w:r>
      <w:r>
        <w:rPr/>
        <w:t>Pública.</w:t>
      </w:r>
      <w:r>
        <w:rPr>
          <w:position w:val="8"/>
          <w:sz w:val="16"/>
        </w:rPr>
        <w:t>110</w:t>
      </w:r>
    </w:p>
    <w:p>
      <w:pPr>
        <w:pStyle w:val="BodyText"/>
        <w:rPr>
          <w:sz w:val="20"/>
        </w:rPr>
      </w:pPr>
    </w:p>
    <w:p>
      <w:pPr>
        <w:pStyle w:val="BodyText"/>
        <w:spacing w:before="9"/>
        <w:rPr>
          <w:sz w:val="21"/>
        </w:rPr>
      </w:pPr>
      <w:r>
        <w:rPr/>
        <w:pict>
          <v:line style="position:absolute;mso-position-horizontal-relative:page;mso-position-vertical-relative:paragraph;z-index:9016;mso-wrap-distance-left:0;mso-wrap-distance-right:0" from="85.103996pt,14.891122pt" to="229.123996pt,14.891122pt" stroked="true" strokeweight=".72003pt" strokecolor="#000000">
            <w10:wrap type="topAndBottom"/>
          </v:line>
        </w:pict>
      </w:r>
    </w:p>
    <w:p>
      <w:pPr>
        <w:spacing w:before="62"/>
        <w:ind w:left="122" w:right="0" w:firstLine="0"/>
        <w:jc w:val="both"/>
        <w:rPr>
          <w:sz w:val="16"/>
        </w:rPr>
      </w:pPr>
      <w:r>
        <w:rPr>
          <w:rFonts w:ascii="Times New Roman" w:hAnsi="Times New Roman"/>
          <w:position w:val="7"/>
          <w:sz w:val="13"/>
        </w:rPr>
        <w:t>103</w:t>
      </w:r>
      <w:r>
        <w:rPr>
          <w:sz w:val="16"/>
        </w:rPr>
        <w:t>Artículo 39 de la CPEUM.</w:t>
      </w:r>
    </w:p>
    <w:p>
      <w:pPr>
        <w:spacing w:before="5"/>
        <w:ind w:left="122" w:right="0" w:firstLine="0"/>
        <w:jc w:val="both"/>
        <w:rPr>
          <w:sz w:val="16"/>
        </w:rPr>
      </w:pPr>
      <w:r>
        <w:rPr>
          <w:rFonts w:ascii="Times New Roman" w:hAnsi="Times New Roman"/>
          <w:position w:val="7"/>
          <w:sz w:val="13"/>
        </w:rPr>
        <w:t>104</w:t>
      </w:r>
      <w:r>
        <w:rPr>
          <w:sz w:val="16"/>
        </w:rPr>
        <w:t>Artículo 74, fracción IV, párrafo segundo de la CPEUM.</w:t>
      </w:r>
    </w:p>
    <w:p>
      <w:pPr>
        <w:spacing w:before="2"/>
        <w:ind w:left="122" w:right="0" w:firstLine="0"/>
        <w:jc w:val="both"/>
        <w:rPr>
          <w:sz w:val="16"/>
        </w:rPr>
      </w:pPr>
      <w:r>
        <w:rPr>
          <w:rFonts w:ascii="Times New Roman" w:hAnsi="Times New Roman"/>
          <w:position w:val="7"/>
          <w:sz w:val="13"/>
        </w:rPr>
        <w:t>105</w:t>
      </w:r>
      <w:r>
        <w:rPr>
          <w:sz w:val="16"/>
        </w:rPr>
        <w:t>Artículo 134 de la CPEUM.</w:t>
      </w:r>
    </w:p>
    <w:p>
      <w:pPr>
        <w:spacing w:line="249" w:lineRule="auto" w:before="5"/>
        <w:ind w:left="122" w:right="114" w:firstLine="0"/>
        <w:jc w:val="both"/>
        <w:rPr>
          <w:sz w:val="16"/>
        </w:rPr>
      </w:pPr>
      <w:r>
        <w:rPr>
          <w:rFonts w:ascii="Times New Roman" w:hAnsi="Times New Roman"/>
          <w:position w:val="7"/>
          <w:sz w:val="13"/>
        </w:rPr>
        <w:t>106</w:t>
      </w:r>
      <w:r>
        <w:rPr>
          <w:sz w:val="16"/>
        </w:rPr>
        <w:t>El 9 de agosto de 2012 fue publicada en el DOF la reforma al artículo 73 fracción VI, párrafo tercero de la ley fundamental, que amplía el plazo de revisión de la Cuenta Pública por parte de la Cámara de Diputados, del 30 de septiembre al 31 de octubre, del año siguiente al de su presentación por parte del Poder Ejecutivo.</w:t>
      </w:r>
    </w:p>
    <w:p>
      <w:pPr>
        <w:spacing w:line="209" w:lineRule="exact" w:before="0"/>
        <w:ind w:left="122" w:right="0" w:firstLine="0"/>
        <w:jc w:val="both"/>
        <w:rPr>
          <w:sz w:val="16"/>
        </w:rPr>
      </w:pPr>
      <w:r>
        <w:rPr>
          <w:rFonts w:ascii="Times New Roman" w:hAnsi="Times New Roman"/>
          <w:position w:val="7"/>
          <w:sz w:val="13"/>
        </w:rPr>
        <w:t>107</w:t>
      </w:r>
      <w:r>
        <w:rPr>
          <w:sz w:val="16"/>
        </w:rPr>
        <w:t>Artículos 74, fracciones II y VI, y 79 de la CPEUM.</w:t>
      </w:r>
    </w:p>
    <w:p>
      <w:pPr>
        <w:spacing w:before="5"/>
        <w:ind w:left="122" w:right="0" w:firstLine="0"/>
        <w:jc w:val="both"/>
        <w:rPr>
          <w:sz w:val="16"/>
        </w:rPr>
      </w:pPr>
      <w:r>
        <w:rPr>
          <w:rFonts w:ascii="Times New Roman" w:hAnsi="Times New Roman"/>
          <w:position w:val="7"/>
          <w:sz w:val="13"/>
        </w:rPr>
        <w:t>108</w:t>
      </w:r>
      <w:r>
        <w:rPr>
          <w:sz w:val="16"/>
        </w:rPr>
        <w:t>Artículo 2, fracción I de la LFRCF.</w:t>
      </w:r>
    </w:p>
    <w:p>
      <w:pPr>
        <w:spacing w:line="256" w:lineRule="auto" w:before="5"/>
        <w:ind w:left="122" w:right="52" w:firstLine="0"/>
        <w:jc w:val="left"/>
        <w:rPr>
          <w:sz w:val="16"/>
        </w:rPr>
      </w:pPr>
      <w:r>
        <w:rPr>
          <w:rFonts w:ascii="Times New Roman" w:hAnsi="Times New Roman"/>
          <w:position w:val="7"/>
          <w:sz w:val="13"/>
        </w:rPr>
        <w:t>109</w:t>
      </w:r>
      <w:r>
        <w:rPr>
          <w:sz w:val="16"/>
        </w:rPr>
        <w:t>El artículo 2, fracción X de la LFRCF considera que la fiscalización es una facultad de la ASF para revisar y evaluar el contenido de la Cuenta Pública.</w:t>
      </w:r>
    </w:p>
    <w:p>
      <w:pPr>
        <w:spacing w:line="206" w:lineRule="exact" w:before="0"/>
        <w:ind w:left="122" w:right="0" w:firstLine="0"/>
        <w:jc w:val="both"/>
        <w:rPr>
          <w:sz w:val="16"/>
        </w:rPr>
      </w:pPr>
      <w:r>
        <w:rPr>
          <w:rFonts w:ascii="Times New Roman" w:hAnsi="Times New Roman"/>
          <w:position w:val="7"/>
          <w:sz w:val="13"/>
        </w:rPr>
        <w:t>110</w:t>
      </w:r>
      <w:r>
        <w:rPr>
          <w:sz w:val="16"/>
        </w:rPr>
        <w:t>Artículo 3, primer párrafo de la LFRCF.</w:t>
      </w:r>
    </w:p>
    <w:p>
      <w:pPr>
        <w:spacing w:after="0" w:line="206" w:lineRule="exact"/>
        <w:jc w:val="both"/>
        <w:rPr>
          <w:sz w:val="16"/>
        </w:rPr>
        <w:sectPr>
          <w:pgSz w:w="11910" w:h="16840"/>
          <w:pgMar w:header="0" w:footer="1003" w:top="1340" w:bottom="1200" w:left="1580" w:right="1580"/>
        </w:sectPr>
      </w:pPr>
    </w:p>
    <w:p>
      <w:pPr>
        <w:pStyle w:val="BodyText"/>
        <w:spacing w:line="360" w:lineRule="auto" w:before="55"/>
        <w:ind w:left="102" w:right="122" w:firstLine="427"/>
        <w:jc w:val="both"/>
      </w:pPr>
      <w:r>
        <w:rPr/>
        <w:t>Las condiciones necesarias para garantizar ambos principios son la vigilancia permanente sobre las funciones del Estado y la existencia de un mecanismo que asegure que las actividades del Estado se reflejen en mejores condiciones de vida de la población. En este sentido, la entidad de fiscalización superior de la Federación y las demás instituciones del Estado dispuestas para la rendición de cuentas, deben convertirse en un garante del equilibrio de poderes al darle un sentido de obligatoriedad a la rendición de cuentas ante los representantes de la sociedad.</w:t>
      </w:r>
    </w:p>
    <w:p>
      <w:pPr>
        <w:pStyle w:val="BodyText"/>
        <w:spacing w:line="360" w:lineRule="auto" w:before="2"/>
        <w:ind w:left="102" w:right="117" w:firstLine="427"/>
        <w:jc w:val="both"/>
      </w:pPr>
      <w:r>
        <w:rPr/>
        <w:t>Referente</w:t>
      </w:r>
      <w:r>
        <w:rPr>
          <w:spacing w:val="-14"/>
        </w:rPr>
        <w:t> </w:t>
      </w:r>
      <w:r>
        <w:rPr/>
        <w:t>a</w:t>
      </w:r>
      <w:r>
        <w:rPr>
          <w:spacing w:val="-14"/>
        </w:rPr>
        <w:t> </w:t>
      </w:r>
      <w:r>
        <w:rPr/>
        <w:t>esta</w:t>
      </w:r>
      <w:r>
        <w:rPr>
          <w:spacing w:val="-14"/>
        </w:rPr>
        <w:t> </w:t>
      </w:r>
      <w:r>
        <w:rPr/>
        <w:t>nueva</w:t>
      </w:r>
      <w:r>
        <w:rPr>
          <w:spacing w:val="-12"/>
        </w:rPr>
        <w:t> </w:t>
      </w:r>
      <w:r>
        <w:rPr/>
        <w:t>perspectiva</w:t>
      </w:r>
      <w:r>
        <w:rPr>
          <w:spacing w:val="-12"/>
        </w:rPr>
        <w:t> </w:t>
      </w:r>
      <w:r>
        <w:rPr/>
        <w:t>de</w:t>
      </w:r>
      <w:r>
        <w:rPr>
          <w:spacing w:val="-12"/>
        </w:rPr>
        <w:t> </w:t>
      </w:r>
      <w:r>
        <w:rPr/>
        <w:t>la</w:t>
      </w:r>
      <w:r>
        <w:rPr>
          <w:spacing w:val="-14"/>
        </w:rPr>
        <w:t> </w:t>
      </w:r>
      <w:r>
        <w:rPr/>
        <w:t>institución</w:t>
      </w:r>
      <w:r>
        <w:rPr>
          <w:spacing w:val="-14"/>
        </w:rPr>
        <w:t> </w:t>
      </w:r>
      <w:r>
        <w:rPr/>
        <w:t>de</w:t>
      </w:r>
      <w:r>
        <w:rPr>
          <w:spacing w:val="-14"/>
        </w:rPr>
        <w:t> </w:t>
      </w:r>
      <w:r>
        <w:rPr/>
        <w:t>rendición</w:t>
      </w:r>
      <w:r>
        <w:rPr>
          <w:spacing w:val="-14"/>
        </w:rPr>
        <w:t> </w:t>
      </w:r>
      <w:r>
        <w:rPr/>
        <w:t>de</w:t>
      </w:r>
      <w:r>
        <w:rPr>
          <w:spacing w:val="-16"/>
        </w:rPr>
        <w:t> </w:t>
      </w:r>
      <w:r>
        <w:rPr/>
        <w:t>cuentas, en</w:t>
      </w:r>
      <w:r>
        <w:rPr>
          <w:spacing w:val="-17"/>
        </w:rPr>
        <w:t> </w:t>
      </w:r>
      <w:r>
        <w:rPr/>
        <w:t>los</w:t>
      </w:r>
      <w:r>
        <w:rPr>
          <w:spacing w:val="-19"/>
        </w:rPr>
        <w:t> </w:t>
      </w:r>
      <w:r>
        <w:rPr/>
        <w:t>regímenes</w:t>
      </w:r>
      <w:r>
        <w:rPr>
          <w:spacing w:val="-17"/>
        </w:rPr>
        <w:t> </w:t>
      </w:r>
      <w:r>
        <w:rPr/>
        <w:t>presidencialistas,</w:t>
      </w:r>
      <w:r>
        <w:rPr>
          <w:spacing w:val="-17"/>
        </w:rPr>
        <w:t> </w:t>
      </w:r>
      <w:r>
        <w:rPr/>
        <w:t>como</w:t>
      </w:r>
      <w:r>
        <w:rPr>
          <w:spacing w:val="-16"/>
        </w:rPr>
        <w:t> </w:t>
      </w:r>
      <w:r>
        <w:rPr/>
        <w:t>es</w:t>
      </w:r>
      <w:r>
        <w:rPr>
          <w:spacing w:val="-19"/>
        </w:rPr>
        <w:t> </w:t>
      </w:r>
      <w:r>
        <w:rPr/>
        <w:t>el</w:t>
      </w:r>
      <w:r>
        <w:rPr>
          <w:spacing w:val="-18"/>
        </w:rPr>
        <w:t> </w:t>
      </w:r>
      <w:r>
        <w:rPr/>
        <w:t>mexicano,</w:t>
      </w:r>
      <w:r>
        <w:rPr>
          <w:spacing w:val="-17"/>
        </w:rPr>
        <w:t> </w:t>
      </w:r>
      <w:r>
        <w:rPr/>
        <w:t>la</w:t>
      </w:r>
      <w:r>
        <w:rPr>
          <w:spacing w:val="-19"/>
        </w:rPr>
        <w:t> </w:t>
      </w:r>
      <w:r>
        <w:rPr/>
        <w:t>rendición</w:t>
      </w:r>
      <w:r>
        <w:rPr>
          <w:spacing w:val="-17"/>
        </w:rPr>
        <w:t> </w:t>
      </w:r>
      <w:r>
        <w:rPr/>
        <w:t>de</w:t>
      </w:r>
      <w:r>
        <w:rPr>
          <w:spacing w:val="-17"/>
        </w:rPr>
        <w:t> </w:t>
      </w:r>
      <w:r>
        <w:rPr/>
        <w:t>cuentas puede coadyuvar en evidenciar el contrapeso requerido y avanzar hacia una democracia.</w:t>
      </w:r>
    </w:p>
    <w:p>
      <w:pPr>
        <w:pStyle w:val="BodyText"/>
        <w:spacing w:line="360" w:lineRule="auto" w:before="2"/>
        <w:ind w:left="102" w:right="119" w:firstLine="427"/>
        <w:jc w:val="both"/>
      </w:pPr>
      <w:r>
        <w:rPr/>
        <w:t>La</w:t>
      </w:r>
      <w:r>
        <w:rPr>
          <w:spacing w:val="-9"/>
        </w:rPr>
        <w:t> </w:t>
      </w:r>
      <w:r>
        <w:rPr/>
        <w:t>ciencia</w:t>
      </w:r>
      <w:r>
        <w:rPr>
          <w:spacing w:val="-10"/>
        </w:rPr>
        <w:t> </w:t>
      </w:r>
      <w:r>
        <w:rPr/>
        <w:t>política</w:t>
      </w:r>
      <w:r>
        <w:rPr>
          <w:spacing w:val="-9"/>
        </w:rPr>
        <w:t> </w:t>
      </w:r>
      <w:r>
        <w:rPr/>
        <w:t>denomina</w:t>
      </w:r>
      <w:r>
        <w:rPr>
          <w:spacing w:val="-9"/>
        </w:rPr>
        <w:t> </w:t>
      </w:r>
      <w:r>
        <w:rPr/>
        <w:t>déficit</w:t>
      </w:r>
      <w:r>
        <w:rPr>
          <w:spacing w:val="-10"/>
        </w:rPr>
        <w:t> </w:t>
      </w:r>
      <w:r>
        <w:rPr/>
        <w:t>democrático</w:t>
      </w:r>
      <w:r>
        <w:rPr>
          <w:spacing w:val="-9"/>
        </w:rPr>
        <w:t> </w:t>
      </w:r>
      <w:r>
        <w:rPr/>
        <w:t>a</w:t>
      </w:r>
      <w:r>
        <w:rPr>
          <w:spacing w:val="-9"/>
        </w:rPr>
        <w:t> </w:t>
      </w:r>
      <w:r>
        <w:rPr/>
        <w:t>los</w:t>
      </w:r>
      <w:r>
        <w:rPr>
          <w:spacing w:val="-12"/>
        </w:rPr>
        <w:t> </w:t>
      </w:r>
      <w:r>
        <w:rPr/>
        <w:t>elementos</w:t>
      </w:r>
      <w:r>
        <w:rPr>
          <w:spacing w:val="-13"/>
        </w:rPr>
        <w:t> </w:t>
      </w:r>
      <w:r>
        <w:rPr/>
        <w:t>que</w:t>
      </w:r>
      <w:r>
        <w:rPr>
          <w:spacing w:val="-12"/>
        </w:rPr>
        <w:t> </w:t>
      </w:r>
      <w:r>
        <w:rPr/>
        <w:t>causan el debilitamiento de la legitimidad política, escasez del control político ejercido por las instituciones y la falta de atención a las demandas de la sociedad (Cancela,</w:t>
      </w:r>
      <w:r>
        <w:rPr>
          <w:spacing w:val="-5"/>
        </w:rPr>
        <w:t> </w:t>
      </w:r>
      <w:r>
        <w:rPr/>
        <w:t>s.f.).</w:t>
      </w:r>
    </w:p>
    <w:p>
      <w:pPr>
        <w:pStyle w:val="BodyText"/>
        <w:spacing w:line="360" w:lineRule="auto" w:before="2"/>
        <w:ind w:left="102" w:right="124" w:firstLine="283"/>
        <w:jc w:val="both"/>
      </w:pPr>
      <w:r>
        <w:rPr/>
        <w:t>Los resultados de las políticas públicas son objeto de examen minucioso por parte</w:t>
      </w:r>
      <w:r>
        <w:rPr>
          <w:spacing w:val="-7"/>
        </w:rPr>
        <w:t> </w:t>
      </w:r>
      <w:r>
        <w:rPr/>
        <w:t>de</w:t>
      </w:r>
      <w:r>
        <w:rPr>
          <w:spacing w:val="-7"/>
        </w:rPr>
        <w:t> </w:t>
      </w:r>
      <w:r>
        <w:rPr/>
        <w:t>las</w:t>
      </w:r>
      <w:r>
        <w:rPr>
          <w:spacing w:val="-7"/>
        </w:rPr>
        <w:t> </w:t>
      </w:r>
      <w:r>
        <w:rPr/>
        <w:t>instituciones</w:t>
      </w:r>
      <w:r>
        <w:rPr>
          <w:spacing w:val="-8"/>
        </w:rPr>
        <w:t> </w:t>
      </w:r>
      <w:r>
        <w:rPr/>
        <w:t>de</w:t>
      </w:r>
      <w:r>
        <w:rPr>
          <w:spacing w:val="-7"/>
        </w:rPr>
        <w:t> </w:t>
      </w:r>
      <w:r>
        <w:rPr/>
        <w:t>rendición</w:t>
      </w:r>
      <w:r>
        <w:rPr>
          <w:spacing w:val="-9"/>
        </w:rPr>
        <w:t> </w:t>
      </w:r>
      <w:r>
        <w:rPr/>
        <w:t>de</w:t>
      </w:r>
      <w:r>
        <w:rPr>
          <w:spacing w:val="-7"/>
        </w:rPr>
        <w:t> </w:t>
      </w:r>
      <w:r>
        <w:rPr/>
        <w:t>cuentas</w:t>
      </w:r>
      <w:r>
        <w:rPr>
          <w:spacing w:val="-8"/>
        </w:rPr>
        <w:t> </w:t>
      </w:r>
      <w:r>
        <w:rPr/>
        <w:t>integrantes</w:t>
      </w:r>
      <w:r>
        <w:rPr>
          <w:spacing w:val="-10"/>
        </w:rPr>
        <w:t> </w:t>
      </w:r>
      <w:r>
        <w:rPr/>
        <w:t>de</w:t>
      </w:r>
      <w:r>
        <w:rPr>
          <w:spacing w:val="-7"/>
        </w:rPr>
        <w:t> </w:t>
      </w:r>
      <w:r>
        <w:rPr/>
        <w:t>INTOSAI,</w:t>
      </w:r>
      <w:r>
        <w:rPr>
          <w:spacing w:val="-9"/>
        </w:rPr>
        <w:t> </w:t>
      </w:r>
      <w:r>
        <w:rPr/>
        <w:t>entre ellas la</w:t>
      </w:r>
      <w:r>
        <w:rPr>
          <w:spacing w:val="-4"/>
        </w:rPr>
        <w:t> </w:t>
      </w:r>
      <w:r>
        <w:rPr/>
        <w:t>ASF.</w:t>
      </w:r>
    </w:p>
    <w:p>
      <w:pPr>
        <w:pStyle w:val="BodyText"/>
        <w:spacing w:line="360" w:lineRule="auto" w:before="5"/>
        <w:ind w:left="102" w:right="122" w:firstLine="427"/>
        <w:jc w:val="both"/>
      </w:pPr>
      <w:r>
        <w:rPr/>
        <w:t>Arpad Kóvacs, ex presidente de la INTOSAI, consideró que la rendición de cuentas puede ser un instrumento para hacer frente al déficit democrático mediante la transparencia, la fiscalización y el establecimiento del imperio de la ley.</w:t>
      </w:r>
    </w:p>
    <w:p>
      <w:pPr>
        <w:pStyle w:val="BodyText"/>
        <w:spacing w:line="360" w:lineRule="auto" w:before="5"/>
        <w:ind w:left="102" w:right="117" w:firstLine="427"/>
        <w:jc w:val="both"/>
      </w:pPr>
      <w:r>
        <w:rPr/>
        <w:t>Con</w:t>
      </w:r>
      <w:r>
        <w:rPr>
          <w:spacing w:val="-15"/>
        </w:rPr>
        <w:t> </w:t>
      </w:r>
      <w:r>
        <w:rPr/>
        <w:t>fundamento</w:t>
      </w:r>
      <w:r>
        <w:rPr>
          <w:spacing w:val="-16"/>
        </w:rPr>
        <w:t> </w:t>
      </w:r>
      <w:r>
        <w:rPr/>
        <w:t>en</w:t>
      </w:r>
      <w:r>
        <w:rPr>
          <w:spacing w:val="-15"/>
        </w:rPr>
        <w:t> </w:t>
      </w:r>
      <w:r>
        <w:rPr/>
        <w:t>las</w:t>
      </w:r>
      <w:r>
        <w:rPr>
          <w:spacing w:val="-16"/>
        </w:rPr>
        <w:t> </w:t>
      </w:r>
      <w:r>
        <w:rPr/>
        <w:t>aportaciones</w:t>
      </w:r>
      <w:r>
        <w:rPr>
          <w:spacing w:val="-16"/>
        </w:rPr>
        <w:t> </w:t>
      </w:r>
      <w:r>
        <w:rPr/>
        <w:t>de</w:t>
      </w:r>
      <w:r>
        <w:rPr>
          <w:spacing w:val="-15"/>
        </w:rPr>
        <w:t> </w:t>
      </w:r>
      <w:r>
        <w:rPr/>
        <w:t>la</w:t>
      </w:r>
      <w:r>
        <w:rPr>
          <w:spacing w:val="-12"/>
        </w:rPr>
        <w:t> </w:t>
      </w:r>
      <w:r>
        <w:rPr/>
        <w:t>INTOSAI,</w:t>
      </w:r>
      <w:r>
        <w:rPr>
          <w:spacing w:val="-15"/>
        </w:rPr>
        <w:t> </w:t>
      </w:r>
      <w:r>
        <w:rPr/>
        <w:t>en</w:t>
      </w:r>
      <w:r>
        <w:rPr>
          <w:spacing w:val="-13"/>
        </w:rPr>
        <w:t> </w:t>
      </w:r>
      <w:r>
        <w:rPr/>
        <w:t>Europa</w:t>
      </w:r>
      <w:r>
        <w:rPr>
          <w:spacing w:val="-13"/>
        </w:rPr>
        <w:t> </w:t>
      </w:r>
      <w:r>
        <w:rPr/>
        <w:t>se</w:t>
      </w:r>
      <w:r>
        <w:rPr>
          <w:spacing w:val="-15"/>
        </w:rPr>
        <w:t> </w:t>
      </w:r>
      <w:r>
        <w:rPr/>
        <w:t>realizaron cambios sustanciales en la fiscalización superior: auditorías entre pares (EFS)</w:t>
      </w:r>
      <w:r>
        <w:rPr>
          <w:spacing w:val="-30"/>
        </w:rPr>
        <w:t> </w:t>
      </w:r>
      <w:r>
        <w:rPr/>
        <w:t>y la realización de auditorías de desempeño (evaluación del impacto de las políticas públicas), junto con ello, el uso de indicadores del desempeño. Con base en las directrices de la INTOSAI, </w:t>
      </w:r>
      <w:r>
        <w:rPr>
          <w:spacing w:val="2"/>
        </w:rPr>
        <w:t>en </w:t>
      </w:r>
      <w:r>
        <w:rPr/>
        <w:t>México las auditorías de desempeño realizadas por la ASF se iniciaron considerando 6 dimensiones de</w:t>
      </w:r>
      <w:r>
        <w:rPr>
          <w:spacing w:val="-25"/>
        </w:rPr>
        <w:t> </w:t>
      </w:r>
      <w:r>
        <w:rPr/>
        <w:t>indicadores:</w:t>
      </w:r>
    </w:p>
    <w:p>
      <w:pPr>
        <w:pStyle w:val="BodyText"/>
      </w:pPr>
    </w:p>
    <w:p>
      <w:pPr>
        <w:pStyle w:val="BodyText"/>
      </w:pPr>
    </w:p>
    <w:p>
      <w:pPr>
        <w:pStyle w:val="BodyText"/>
        <w:spacing w:before="2"/>
      </w:pPr>
    </w:p>
    <w:p>
      <w:pPr>
        <w:pStyle w:val="ListParagraph"/>
        <w:numPr>
          <w:ilvl w:val="1"/>
          <w:numId w:val="68"/>
        </w:numPr>
        <w:tabs>
          <w:tab w:pos="822" w:val="left" w:leader="none"/>
        </w:tabs>
        <w:spacing w:line="240" w:lineRule="auto" w:before="1" w:after="0"/>
        <w:ind w:left="822" w:right="0" w:hanging="360"/>
        <w:jc w:val="left"/>
        <w:rPr>
          <w:sz w:val="24"/>
        </w:rPr>
      </w:pPr>
      <w:r>
        <w:rPr>
          <w:sz w:val="24"/>
        </w:rPr>
        <w:t>De resultados o estratégicos:</w:t>
      </w:r>
      <w:r>
        <w:rPr>
          <w:spacing w:val="-9"/>
          <w:sz w:val="24"/>
        </w:rPr>
        <w:t> </w:t>
      </w:r>
      <w:r>
        <w:rPr>
          <w:sz w:val="24"/>
        </w:rPr>
        <w:t>eficacia.</w:t>
      </w:r>
    </w:p>
    <w:p>
      <w:pPr>
        <w:pStyle w:val="ListParagraph"/>
        <w:numPr>
          <w:ilvl w:val="1"/>
          <w:numId w:val="68"/>
        </w:numPr>
        <w:tabs>
          <w:tab w:pos="822" w:val="left" w:leader="none"/>
        </w:tabs>
        <w:spacing w:line="240" w:lineRule="auto" w:before="139" w:after="0"/>
        <w:ind w:left="822" w:right="0" w:hanging="360"/>
        <w:jc w:val="left"/>
        <w:rPr>
          <w:sz w:val="24"/>
        </w:rPr>
      </w:pPr>
      <w:r>
        <w:rPr>
          <w:sz w:val="24"/>
        </w:rPr>
        <w:t>De gestión o de procesos:</w:t>
      </w:r>
      <w:r>
        <w:rPr>
          <w:spacing w:val="-12"/>
          <w:sz w:val="24"/>
        </w:rPr>
        <w:t> </w:t>
      </w:r>
      <w:r>
        <w:rPr>
          <w:sz w:val="24"/>
        </w:rPr>
        <w:t>eficiencia.</w:t>
      </w:r>
    </w:p>
    <w:p>
      <w:pPr>
        <w:pStyle w:val="ListParagraph"/>
        <w:numPr>
          <w:ilvl w:val="1"/>
          <w:numId w:val="68"/>
        </w:numPr>
        <w:tabs>
          <w:tab w:pos="822" w:val="left" w:leader="none"/>
        </w:tabs>
        <w:spacing w:line="240" w:lineRule="auto" w:before="137" w:after="0"/>
        <w:ind w:left="822" w:right="0" w:hanging="360"/>
        <w:jc w:val="left"/>
        <w:rPr>
          <w:sz w:val="24"/>
        </w:rPr>
      </w:pPr>
      <w:r>
        <w:rPr>
          <w:sz w:val="24"/>
        </w:rPr>
        <w:t>De costos:</w:t>
      </w:r>
      <w:r>
        <w:rPr>
          <w:spacing w:val="-8"/>
          <w:sz w:val="24"/>
        </w:rPr>
        <w:t> </w:t>
      </w:r>
      <w:r>
        <w:rPr>
          <w:sz w:val="24"/>
        </w:rPr>
        <w:t>economía.</w:t>
      </w:r>
    </w:p>
    <w:p>
      <w:pPr>
        <w:spacing w:after="0" w:line="240" w:lineRule="auto"/>
        <w:jc w:val="left"/>
        <w:rPr>
          <w:sz w:val="24"/>
        </w:rPr>
        <w:sectPr>
          <w:footerReference w:type="even" r:id="rId196"/>
          <w:footerReference w:type="default" r:id="rId197"/>
          <w:pgSz w:w="11910" w:h="16840"/>
          <w:pgMar w:footer="1003" w:header="0" w:top="1340" w:bottom="1200" w:left="1600" w:right="1580"/>
          <w:pgNumType w:start="120"/>
        </w:sectPr>
      </w:pPr>
    </w:p>
    <w:p>
      <w:pPr>
        <w:pStyle w:val="ListParagraph"/>
        <w:numPr>
          <w:ilvl w:val="1"/>
          <w:numId w:val="68"/>
        </w:numPr>
        <w:tabs>
          <w:tab w:pos="842" w:val="left" w:leader="none"/>
        </w:tabs>
        <w:spacing w:line="240" w:lineRule="auto" w:before="55" w:after="0"/>
        <w:ind w:left="842" w:right="0" w:hanging="360"/>
        <w:jc w:val="left"/>
        <w:rPr>
          <w:sz w:val="24"/>
        </w:rPr>
      </w:pPr>
      <w:r>
        <w:rPr>
          <w:sz w:val="24"/>
        </w:rPr>
        <w:t>De</w:t>
      </w:r>
      <w:r>
        <w:rPr>
          <w:spacing w:val="-4"/>
          <w:sz w:val="24"/>
        </w:rPr>
        <w:t> </w:t>
      </w:r>
      <w:r>
        <w:rPr>
          <w:sz w:val="24"/>
        </w:rPr>
        <w:t>calidad.</w:t>
      </w:r>
    </w:p>
    <w:p>
      <w:pPr>
        <w:pStyle w:val="ListParagraph"/>
        <w:numPr>
          <w:ilvl w:val="1"/>
          <w:numId w:val="68"/>
        </w:numPr>
        <w:tabs>
          <w:tab w:pos="842" w:val="left" w:leader="none"/>
        </w:tabs>
        <w:spacing w:line="240" w:lineRule="auto" w:before="139" w:after="0"/>
        <w:ind w:left="842" w:right="0" w:hanging="360"/>
        <w:jc w:val="left"/>
        <w:rPr>
          <w:sz w:val="24"/>
        </w:rPr>
      </w:pPr>
      <w:r>
        <w:rPr>
          <w:sz w:val="24"/>
        </w:rPr>
        <w:t>De satisfacción del</w:t>
      </w:r>
      <w:r>
        <w:rPr>
          <w:spacing w:val="-12"/>
          <w:sz w:val="24"/>
        </w:rPr>
        <w:t> </w:t>
      </w:r>
      <w:r>
        <w:rPr>
          <w:sz w:val="24"/>
        </w:rPr>
        <w:t>ciudadano-usuario.</w:t>
      </w:r>
    </w:p>
    <w:p>
      <w:pPr>
        <w:pStyle w:val="ListParagraph"/>
        <w:numPr>
          <w:ilvl w:val="1"/>
          <w:numId w:val="68"/>
        </w:numPr>
        <w:tabs>
          <w:tab w:pos="842" w:val="left" w:leader="none"/>
        </w:tabs>
        <w:spacing w:line="240" w:lineRule="auto" w:before="137" w:after="0"/>
        <w:ind w:left="842" w:right="0" w:hanging="360"/>
        <w:jc w:val="left"/>
        <w:rPr>
          <w:sz w:val="24"/>
        </w:rPr>
      </w:pPr>
      <w:r>
        <w:rPr>
          <w:sz w:val="24"/>
        </w:rPr>
        <w:t>Sobre la competencia de los</w:t>
      </w:r>
      <w:r>
        <w:rPr>
          <w:spacing w:val="-13"/>
          <w:sz w:val="24"/>
        </w:rPr>
        <w:t> </w:t>
      </w:r>
      <w:r>
        <w:rPr>
          <w:sz w:val="24"/>
        </w:rPr>
        <w:t>actores.</w:t>
      </w:r>
    </w:p>
    <w:p>
      <w:pPr>
        <w:pStyle w:val="BodyText"/>
      </w:pPr>
    </w:p>
    <w:p>
      <w:pPr>
        <w:pStyle w:val="BodyText"/>
      </w:pPr>
    </w:p>
    <w:p>
      <w:pPr>
        <w:pStyle w:val="BodyText"/>
        <w:spacing w:line="360" w:lineRule="auto"/>
        <w:ind w:left="122" w:right="124" w:firstLine="427"/>
        <w:jc w:val="both"/>
        <w:rPr>
          <w:sz w:val="16"/>
        </w:rPr>
      </w:pPr>
      <w:r>
        <w:rPr/>
        <w:t>La evaluación del desempeño es un examen que puede realizarse en los tres ámbitos del gobierno, por lo que la elaboración de indicadores del desempeño se ha convertido en una actividad que permite analizar el grado de cumplimiento de las políticas y programas públicos, así como su calidad y su cobertura en todas las esferas gubernamentales.</w:t>
      </w:r>
      <w:r>
        <w:rPr>
          <w:position w:val="8"/>
          <w:sz w:val="16"/>
        </w:rPr>
        <w:t>111</w:t>
      </w:r>
    </w:p>
    <w:p>
      <w:pPr>
        <w:pStyle w:val="BodyText"/>
        <w:spacing w:line="360" w:lineRule="auto" w:before="2"/>
        <w:ind w:left="122" w:right="122" w:firstLine="427"/>
        <w:jc w:val="both"/>
      </w:pPr>
      <w:r>
        <w:rPr/>
        <w:t>El déficit democrático se puede disminuir mediante el establecimiento efectivo del imperio de la ley, junto con el nuevo enfoque de fiscalización que evalúe</w:t>
      </w:r>
      <w:r>
        <w:rPr>
          <w:spacing w:val="-3"/>
        </w:rPr>
        <w:t> </w:t>
      </w:r>
      <w:r>
        <w:rPr/>
        <w:t>no</w:t>
      </w:r>
      <w:r>
        <w:rPr>
          <w:spacing w:val="-6"/>
        </w:rPr>
        <w:t> </w:t>
      </w:r>
      <w:r>
        <w:rPr/>
        <w:t>sólo</w:t>
      </w:r>
      <w:r>
        <w:rPr>
          <w:spacing w:val="-6"/>
        </w:rPr>
        <w:t> </w:t>
      </w:r>
      <w:r>
        <w:rPr/>
        <w:t>los</w:t>
      </w:r>
      <w:r>
        <w:rPr>
          <w:spacing w:val="-4"/>
        </w:rPr>
        <w:t> </w:t>
      </w:r>
      <w:r>
        <w:rPr/>
        <w:t>resultados</w:t>
      </w:r>
      <w:r>
        <w:rPr>
          <w:spacing w:val="-7"/>
        </w:rPr>
        <w:t> </w:t>
      </w:r>
      <w:r>
        <w:rPr/>
        <w:t>de</w:t>
      </w:r>
      <w:r>
        <w:rPr>
          <w:spacing w:val="-6"/>
        </w:rPr>
        <w:t> </w:t>
      </w:r>
      <w:r>
        <w:rPr/>
        <w:t>las</w:t>
      </w:r>
      <w:r>
        <w:rPr>
          <w:spacing w:val="-6"/>
        </w:rPr>
        <w:t> </w:t>
      </w:r>
      <w:r>
        <w:rPr/>
        <w:t>políticas</w:t>
      </w:r>
      <w:r>
        <w:rPr>
          <w:spacing w:val="-7"/>
        </w:rPr>
        <w:t> </w:t>
      </w:r>
      <w:r>
        <w:rPr/>
        <w:t>públicas,</w:t>
      </w:r>
      <w:r>
        <w:rPr>
          <w:spacing w:val="-6"/>
        </w:rPr>
        <w:t> </w:t>
      </w:r>
      <w:r>
        <w:rPr/>
        <w:t>sino</w:t>
      </w:r>
      <w:r>
        <w:rPr>
          <w:spacing w:val="-5"/>
        </w:rPr>
        <w:t> </w:t>
      </w:r>
      <w:r>
        <w:rPr/>
        <w:t>también</w:t>
      </w:r>
      <w:r>
        <w:rPr>
          <w:spacing w:val="-6"/>
        </w:rPr>
        <w:t> </w:t>
      </w:r>
      <w:r>
        <w:rPr/>
        <w:t>sus</w:t>
      </w:r>
      <w:r>
        <w:rPr>
          <w:spacing w:val="-4"/>
        </w:rPr>
        <w:t> </w:t>
      </w:r>
      <w:r>
        <w:rPr/>
        <w:t>riesgos. El nuevo enfoque de fiscalización superior debe orientarse a los siguientes elementos:</w:t>
      </w:r>
    </w:p>
    <w:p>
      <w:pPr>
        <w:pStyle w:val="BodyText"/>
      </w:pPr>
    </w:p>
    <w:p>
      <w:pPr>
        <w:pStyle w:val="ListParagraph"/>
        <w:numPr>
          <w:ilvl w:val="2"/>
          <w:numId w:val="68"/>
        </w:numPr>
        <w:tabs>
          <w:tab w:pos="842" w:val="left" w:leader="none"/>
        </w:tabs>
        <w:spacing w:line="360" w:lineRule="auto" w:before="142" w:after="0"/>
        <w:ind w:left="842" w:right="121" w:hanging="360"/>
        <w:jc w:val="both"/>
        <w:rPr>
          <w:sz w:val="24"/>
        </w:rPr>
      </w:pPr>
      <w:r>
        <w:rPr>
          <w:sz w:val="24"/>
        </w:rPr>
        <w:t>Análisis</w:t>
      </w:r>
      <w:r>
        <w:rPr>
          <w:spacing w:val="-4"/>
          <w:sz w:val="24"/>
        </w:rPr>
        <w:t> </w:t>
      </w:r>
      <w:r>
        <w:rPr>
          <w:sz w:val="24"/>
        </w:rPr>
        <w:t>de</w:t>
      </w:r>
      <w:r>
        <w:rPr>
          <w:spacing w:val="-4"/>
          <w:sz w:val="24"/>
        </w:rPr>
        <w:t> </w:t>
      </w:r>
      <w:r>
        <w:rPr>
          <w:sz w:val="24"/>
        </w:rPr>
        <w:t>los</w:t>
      </w:r>
      <w:r>
        <w:rPr>
          <w:spacing w:val="-6"/>
          <w:sz w:val="24"/>
        </w:rPr>
        <w:t> </w:t>
      </w:r>
      <w:r>
        <w:rPr>
          <w:sz w:val="24"/>
        </w:rPr>
        <w:t>programas</w:t>
      </w:r>
      <w:r>
        <w:rPr>
          <w:spacing w:val="-7"/>
          <w:sz w:val="24"/>
        </w:rPr>
        <w:t> </w:t>
      </w:r>
      <w:r>
        <w:rPr>
          <w:sz w:val="24"/>
        </w:rPr>
        <w:t>y</w:t>
      </w:r>
      <w:r>
        <w:rPr>
          <w:spacing w:val="-7"/>
          <w:sz w:val="24"/>
        </w:rPr>
        <w:t> </w:t>
      </w:r>
      <w:r>
        <w:rPr>
          <w:sz w:val="24"/>
        </w:rPr>
        <w:t>las</w:t>
      </w:r>
      <w:r>
        <w:rPr>
          <w:spacing w:val="-4"/>
          <w:sz w:val="24"/>
        </w:rPr>
        <w:t> </w:t>
      </w:r>
      <w:r>
        <w:rPr>
          <w:sz w:val="24"/>
        </w:rPr>
        <w:t>políticas</w:t>
      </w:r>
      <w:r>
        <w:rPr>
          <w:spacing w:val="-7"/>
          <w:sz w:val="24"/>
        </w:rPr>
        <w:t> </w:t>
      </w:r>
      <w:r>
        <w:rPr>
          <w:sz w:val="24"/>
        </w:rPr>
        <w:t>públicas</w:t>
      </w:r>
      <w:r>
        <w:rPr>
          <w:spacing w:val="-4"/>
          <w:sz w:val="24"/>
        </w:rPr>
        <w:t> </w:t>
      </w:r>
      <w:r>
        <w:rPr>
          <w:sz w:val="24"/>
        </w:rPr>
        <w:t>de</w:t>
      </w:r>
      <w:r>
        <w:rPr>
          <w:spacing w:val="-6"/>
          <w:sz w:val="24"/>
        </w:rPr>
        <w:t> </w:t>
      </w:r>
      <w:r>
        <w:rPr>
          <w:sz w:val="24"/>
        </w:rPr>
        <w:t>alto</w:t>
      </w:r>
      <w:r>
        <w:rPr>
          <w:spacing w:val="-6"/>
          <w:sz w:val="24"/>
        </w:rPr>
        <w:t> </w:t>
      </w:r>
      <w:r>
        <w:rPr>
          <w:sz w:val="24"/>
        </w:rPr>
        <w:t>riesgo</w:t>
      </w:r>
      <w:r>
        <w:rPr>
          <w:spacing w:val="-6"/>
          <w:sz w:val="24"/>
        </w:rPr>
        <w:t> </w:t>
      </w:r>
      <w:r>
        <w:rPr>
          <w:sz w:val="24"/>
        </w:rPr>
        <w:t>financiero que afectan la función económica del</w:t>
      </w:r>
      <w:r>
        <w:rPr>
          <w:spacing w:val="-17"/>
          <w:sz w:val="24"/>
        </w:rPr>
        <w:t> </w:t>
      </w:r>
      <w:r>
        <w:rPr>
          <w:sz w:val="24"/>
        </w:rPr>
        <w:t>Estado.</w:t>
      </w:r>
    </w:p>
    <w:p>
      <w:pPr>
        <w:pStyle w:val="ListParagraph"/>
        <w:numPr>
          <w:ilvl w:val="2"/>
          <w:numId w:val="68"/>
        </w:numPr>
        <w:tabs>
          <w:tab w:pos="842" w:val="left" w:leader="none"/>
        </w:tabs>
        <w:spacing w:line="360" w:lineRule="auto" w:before="5" w:after="0"/>
        <w:ind w:left="842" w:right="116" w:hanging="360"/>
        <w:jc w:val="both"/>
        <w:rPr>
          <w:sz w:val="24"/>
        </w:rPr>
      </w:pPr>
      <w:r>
        <w:rPr>
          <w:sz w:val="24"/>
        </w:rPr>
        <w:t>La fiscalización debe orientarse hacia el logro de un efecto multiplicador del gasto público, traducido en maximizar el empleo del gasto en áreas prioritarias de desarrollo</w:t>
      </w:r>
      <w:r>
        <w:rPr>
          <w:spacing w:val="-15"/>
          <w:sz w:val="24"/>
        </w:rPr>
        <w:t> </w:t>
      </w:r>
      <w:r>
        <w:rPr>
          <w:sz w:val="24"/>
        </w:rPr>
        <w:t>humano.</w:t>
      </w:r>
    </w:p>
    <w:p>
      <w:pPr>
        <w:pStyle w:val="ListParagraph"/>
        <w:numPr>
          <w:ilvl w:val="2"/>
          <w:numId w:val="68"/>
        </w:numPr>
        <w:tabs>
          <w:tab w:pos="842" w:val="left" w:leader="none"/>
        </w:tabs>
        <w:spacing w:line="360" w:lineRule="auto" w:before="2" w:after="0"/>
        <w:ind w:left="842" w:right="124" w:hanging="360"/>
        <w:jc w:val="both"/>
        <w:rPr>
          <w:sz w:val="24"/>
        </w:rPr>
      </w:pPr>
      <w:r>
        <w:rPr>
          <w:sz w:val="24"/>
        </w:rPr>
        <w:t>Trabajar en aquellas áreas requeridas para incentivar el crecimiento económico.</w:t>
      </w:r>
    </w:p>
    <w:p>
      <w:pPr>
        <w:pStyle w:val="ListParagraph"/>
        <w:numPr>
          <w:ilvl w:val="2"/>
          <w:numId w:val="68"/>
        </w:numPr>
        <w:tabs>
          <w:tab w:pos="842" w:val="left" w:leader="none"/>
        </w:tabs>
        <w:spacing w:line="360" w:lineRule="auto" w:before="2" w:after="0"/>
        <w:ind w:left="842" w:right="117" w:hanging="360"/>
        <w:jc w:val="both"/>
        <w:rPr>
          <w:sz w:val="24"/>
        </w:rPr>
      </w:pPr>
      <w:r>
        <w:rPr>
          <w:sz w:val="24"/>
        </w:rPr>
        <w:t>Dar prioridad en atención a aquellos programas y políticas públicas que inhiben el cumplimiento de la ley y la aplicación efectiva </w:t>
      </w:r>
      <w:r>
        <w:rPr>
          <w:spacing w:val="2"/>
          <w:sz w:val="24"/>
        </w:rPr>
        <w:t>del </w:t>
      </w:r>
      <w:r>
        <w:rPr>
          <w:sz w:val="24"/>
        </w:rPr>
        <w:t>Estado de derecho.</w:t>
      </w:r>
    </w:p>
    <w:p>
      <w:pPr>
        <w:pStyle w:val="ListParagraph"/>
        <w:numPr>
          <w:ilvl w:val="2"/>
          <w:numId w:val="68"/>
        </w:numPr>
        <w:tabs>
          <w:tab w:pos="842" w:val="left" w:leader="none"/>
        </w:tabs>
        <w:spacing w:line="360" w:lineRule="auto" w:before="5" w:after="0"/>
        <w:ind w:left="842" w:right="124" w:hanging="360"/>
        <w:jc w:val="both"/>
        <w:rPr>
          <w:sz w:val="24"/>
        </w:rPr>
      </w:pPr>
      <w:r>
        <w:rPr>
          <w:sz w:val="24"/>
        </w:rPr>
        <w:t>Orientar la evaluación de las políticas públicas con base en las metas macroeconómicas.</w:t>
      </w:r>
    </w:p>
    <w:p>
      <w:pPr>
        <w:pStyle w:val="ListParagraph"/>
        <w:numPr>
          <w:ilvl w:val="2"/>
          <w:numId w:val="68"/>
        </w:numPr>
        <w:tabs>
          <w:tab w:pos="842" w:val="left" w:leader="none"/>
        </w:tabs>
        <w:spacing w:line="360" w:lineRule="auto" w:before="5" w:after="0"/>
        <w:ind w:left="842" w:right="125" w:hanging="360"/>
        <w:jc w:val="both"/>
        <w:rPr>
          <w:sz w:val="24"/>
        </w:rPr>
      </w:pPr>
      <w:r>
        <w:rPr>
          <w:sz w:val="24"/>
        </w:rPr>
        <w:t>Incorporación de los resultados de las auditorías de desempeño en el análisis presupuestario del</w:t>
      </w:r>
      <w:r>
        <w:rPr>
          <w:spacing w:val="-13"/>
          <w:sz w:val="24"/>
        </w:rPr>
        <w:t> </w:t>
      </w:r>
      <w:r>
        <w:rPr>
          <w:sz w:val="24"/>
        </w:rPr>
        <w:t>Congreso.</w:t>
      </w:r>
    </w:p>
    <w:p>
      <w:pPr>
        <w:pStyle w:val="ListParagraph"/>
        <w:numPr>
          <w:ilvl w:val="2"/>
          <w:numId w:val="68"/>
        </w:numPr>
        <w:tabs>
          <w:tab w:pos="842" w:val="left" w:leader="none"/>
        </w:tabs>
        <w:spacing w:line="360" w:lineRule="auto" w:before="2" w:after="0"/>
        <w:ind w:left="842" w:right="119" w:hanging="360"/>
        <w:jc w:val="both"/>
        <w:rPr>
          <w:sz w:val="24"/>
        </w:rPr>
      </w:pPr>
      <w:r>
        <w:rPr>
          <w:sz w:val="24"/>
        </w:rPr>
        <w:t>Medir el cumplimiento sustantivo de los entes mediante indicadores de desempeño que analicen el impacto real de las políticas</w:t>
      </w:r>
      <w:r>
        <w:rPr>
          <w:spacing w:val="-26"/>
          <w:sz w:val="24"/>
        </w:rPr>
        <w:t> </w:t>
      </w:r>
      <w:r>
        <w:rPr>
          <w:sz w:val="24"/>
        </w:rPr>
        <w:t>públicas.</w:t>
      </w:r>
    </w:p>
    <w:p>
      <w:pPr>
        <w:pStyle w:val="BodyText"/>
        <w:rPr>
          <w:sz w:val="20"/>
        </w:rPr>
      </w:pPr>
    </w:p>
    <w:p>
      <w:pPr>
        <w:pStyle w:val="BodyText"/>
        <w:spacing w:before="3"/>
        <w:rPr>
          <w:sz w:val="13"/>
        </w:rPr>
      </w:pPr>
      <w:r>
        <w:rPr/>
        <w:pict>
          <v:line style="position:absolute;mso-position-horizontal-relative:page;mso-position-vertical-relative:paragraph;z-index:9136;mso-wrap-distance-left:0;mso-wrap-distance-right:0" from="85.103996pt,9.974898pt" to="229.123996pt,9.974898pt" stroked="true" strokeweight=".71997pt" strokecolor="#000000">
            <w10:wrap type="topAndBottom"/>
          </v:line>
        </w:pict>
      </w:r>
    </w:p>
    <w:p>
      <w:pPr>
        <w:spacing w:line="256" w:lineRule="auto" w:before="67"/>
        <w:ind w:left="122" w:right="119" w:firstLine="0"/>
        <w:jc w:val="both"/>
        <w:rPr>
          <w:sz w:val="16"/>
        </w:rPr>
      </w:pPr>
      <w:r>
        <w:rPr>
          <w:rFonts w:ascii="Calibri" w:hAnsi="Calibri"/>
          <w:position w:val="8"/>
          <w:sz w:val="14"/>
        </w:rPr>
        <w:t>111 </w:t>
      </w:r>
      <w:r>
        <w:rPr>
          <w:sz w:val="16"/>
        </w:rPr>
        <w:t>Si bien la metodología rigurosa que rige las auditorías realizadas por la ASF, basadas en la norma internacional de la</w:t>
      </w:r>
      <w:r>
        <w:rPr>
          <w:spacing w:val="-9"/>
          <w:sz w:val="16"/>
        </w:rPr>
        <w:t> </w:t>
      </w:r>
      <w:r>
        <w:rPr>
          <w:sz w:val="16"/>
        </w:rPr>
        <w:t>INTOSAI,</w:t>
      </w:r>
      <w:r>
        <w:rPr>
          <w:spacing w:val="-8"/>
          <w:sz w:val="16"/>
        </w:rPr>
        <w:t> </w:t>
      </w:r>
      <w:r>
        <w:rPr>
          <w:sz w:val="16"/>
        </w:rPr>
        <w:t>ha</w:t>
      </w:r>
      <w:r>
        <w:rPr>
          <w:spacing w:val="-12"/>
          <w:sz w:val="16"/>
        </w:rPr>
        <w:t> </w:t>
      </w:r>
      <w:r>
        <w:rPr>
          <w:sz w:val="16"/>
        </w:rPr>
        <w:t>coadyuvado</w:t>
      </w:r>
      <w:r>
        <w:rPr>
          <w:spacing w:val="-9"/>
          <w:sz w:val="16"/>
        </w:rPr>
        <w:t> </w:t>
      </w:r>
      <w:r>
        <w:rPr>
          <w:sz w:val="16"/>
        </w:rPr>
        <w:t>en</w:t>
      </w:r>
      <w:r>
        <w:rPr>
          <w:spacing w:val="-9"/>
          <w:sz w:val="16"/>
        </w:rPr>
        <w:t> </w:t>
      </w:r>
      <w:r>
        <w:rPr>
          <w:sz w:val="16"/>
        </w:rPr>
        <w:t>mejorar</w:t>
      </w:r>
      <w:r>
        <w:rPr>
          <w:spacing w:val="-9"/>
          <w:sz w:val="16"/>
        </w:rPr>
        <w:t> </w:t>
      </w:r>
      <w:r>
        <w:rPr>
          <w:sz w:val="16"/>
        </w:rPr>
        <w:t>la</w:t>
      </w:r>
      <w:r>
        <w:rPr>
          <w:spacing w:val="-9"/>
          <w:sz w:val="16"/>
        </w:rPr>
        <w:t> </w:t>
      </w:r>
      <w:r>
        <w:rPr>
          <w:sz w:val="16"/>
        </w:rPr>
        <w:t>calidad</w:t>
      </w:r>
      <w:r>
        <w:rPr>
          <w:spacing w:val="-9"/>
          <w:sz w:val="16"/>
        </w:rPr>
        <w:t> </w:t>
      </w:r>
      <w:r>
        <w:rPr>
          <w:sz w:val="16"/>
        </w:rPr>
        <w:t>de</w:t>
      </w:r>
      <w:r>
        <w:rPr>
          <w:spacing w:val="-9"/>
          <w:sz w:val="16"/>
        </w:rPr>
        <w:t> </w:t>
      </w:r>
      <w:r>
        <w:rPr>
          <w:sz w:val="16"/>
        </w:rPr>
        <w:t>la</w:t>
      </w:r>
      <w:r>
        <w:rPr>
          <w:spacing w:val="-9"/>
          <w:sz w:val="16"/>
        </w:rPr>
        <w:t> </w:t>
      </w:r>
      <w:r>
        <w:rPr>
          <w:sz w:val="16"/>
        </w:rPr>
        <w:t>fiscalización,</w:t>
      </w:r>
      <w:r>
        <w:rPr>
          <w:spacing w:val="-7"/>
          <w:sz w:val="16"/>
        </w:rPr>
        <w:t> </w:t>
      </w:r>
      <w:r>
        <w:rPr>
          <w:sz w:val="16"/>
        </w:rPr>
        <w:t>a</w:t>
      </w:r>
      <w:r>
        <w:rPr>
          <w:spacing w:val="-9"/>
          <w:sz w:val="16"/>
        </w:rPr>
        <w:t> </w:t>
      </w:r>
      <w:r>
        <w:rPr>
          <w:sz w:val="16"/>
        </w:rPr>
        <w:t>la</w:t>
      </w:r>
      <w:r>
        <w:rPr>
          <w:spacing w:val="-9"/>
          <w:sz w:val="16"/>
        </w:rPr>
        <w:t> </w:t>
      </w:r>
      <w:r>
        <w:rPr>
          <w:sz w:val="16"/>
        </w:rPr>
        <w:t>fecha</w:t>
      </w:r>
      <w:r>
        <w:rPr>
          <w:spacing w:val="-9"/>
          <w:sz w:val="16"/>
        </w:rPr>
        <w:t> </w:t>
      </w:r>
      <w:r>
        <w:rPr>
          <w:sz w:val="16"/>
        </w:rPr>
        <w:t>no</w:t>
      </w:r>
      <w:r>
        <w:rPr>
          <w:spacing w:val="-9"/>
          <w:sz w:val="16"/>
        </w:rPr>
        <w:t> </w:t>
      </w:r>
      <w:r>
        <w:rPr>
          <w:sz w:val="16"/>
        </w:rPr>
        <w:t>existe</w:t>
      </w:r>
      <w:r>
        <w:rPr>
          <w:spacing w:val="-9"/>
          <w:sz w:val="16"/>
        </w:rPr>
        <w:t> </w:t>
      </w:r>
      <w:r>
        <w:rPr>
          <w:sz w:val="16"/>
        </w:rPr>
        <w:t>una</w:t>
      </w:r>
      <w:r>
        <w:rPr>
          <w:spacing w:val="-9"/>
          <w:sz w:val="16"/>
        </w:rPr>
        <w:t> </w:t>
      </w:r>
      <w:r>
        <w:rPr>
          <w:sz w:val="16"/>
        </w:rPr>
        <w:t>evaluación</w:t>
      </w:r>
      <w:r>
        <w:rPr>
          <w:spacing w:val="-9"/>
          <w:sz w:val="16"/>
        </w:rPr>
        <w:t> </w:t>
      </w:r>
      <w:r>
        <w:rPr>
          <w:sz w:val="16"/>
        </w:rPr>
        <w:t>de</w:t>
      </w:r>
      <w:r>
        <w:rPr>
          <w:spacing w:val="-9"/>
          <w:sz w:val="16"/>
        </w:rPr>
        <w:t> </w:t>
      </w:r>
      <w:r>
        <w:rPr>
          <w:sz w:val="16"/>
        </w:rPr>
        <w:t>la</w:t>
      </w:r>
      <w:r>
        <w:rPr>
          <w:spacing w:val="-9"/>
          <w:sz w:val="16"/>
        </w:rPr>
        <w:t> </w:t>
      </w:r>
      <w:r>
        <w:rPr>
          <w:sz w:val="16"/>
        </w:rPr>
        <w:t>adherencia de los estándares internacionales de la ASF por parte de la Unidad de Evaluación y Control</w:t>
      </w:r>
      <w:r>
        <w:rPr>
          <w:spacing w:val="-24"/>
          <w:sz w:val="16"/>
        </w:rPr>
        <w:t> </w:t>
      </w:r>
      <w:r>
        <w:rPr>
          <w:sz w:val="16"/>
        </w:rPr>
        <w:t>(UEC).</w:t>
      </w:r>
    </w:p>
    <w:p>
      <w:pPr>
        <w:spacing w:after="0" w:line="256" w:lineRule="auto"/>
        <w:jc w:val="both"/>
        <w:rPr>
          <w:sz w:val="16"/>
        </w:rPr>
        <w:sectPr>
          <w:pgSz w:w="11910" w:h="16840"/>
          <w:pgMar w:header="0" w:footer="1003" w:top="1340" w:bottom="1200" w:left="1580" w:right="1580"/>
        </w:sectPr>
      </w:pPr>
    </w:p>
    <w:p>
      <w:pPr>
        <w:pStyle w:val="ListParagraph"/>
        <w:numPr>
          <w:ilvl w:val="2"/>
          <w:numId w:val="68"/>
        </w:numPr>
        <w:tabs>
          <w:tab w:pos="842" w:val="left" w:leader="none"/>
        </w:tabs>
        <w:spacing w:line="362" w:lineRule="auto" w:before="55" w:after="0"/>
        <w:ind w:left="842" w:right="126" w:hanging="360"/>
        <w:jc w:val="left"/>
        <w:rPr>
          <w:sz w:val="24"/>
        </w:rPr>
      </w:pPr>
      <w:r>
        <w:rPr>
          <w:sz w:val="24"/>
        </w:rPr>
        <w:t>Medir los resultados (avances y retrocesos) con respecto a los ejercicios fiscales</w:t>
      </w:r>
      <w:r>
        <w:rPr>
          <w:spacing w:val="-4"/>
          <w:sz w:val="24"/>
        </w:rPr>
        <w:t> </w:t>
      </w:r>
      <w:r>
        <w:rPr>
          <w:sz w:val="24"/>
        </w:rPr>
        <w:t>anteriores.</w:t>
      </w:r>
    </w:p>
    <w:p>
      <w:pPr>
        <w:pStyle w:val="BodyText"/>
      </w:pPr>
    </w:p>
    <w:p>
      <w:pPr>
        <w:pStyle w:val="BodyText"/>
      </w:pPr>
    </w:p>
    <w:p>
      <w:pPr>
        <w:pStyle w:val="BodyText"/>
        <w:spacing w:before="10"/>
        <w:rPr>
          <w:sz w:val="25"/>
        </w:rPr>
      </w:pPr>
    </w:p>
    <w:p>
      <w:pPr>
        <w:pStyle w:val="Heading2"/>
        <w:numPr>
          <w:ilvl w:val="1"/>
          <w:numId w:val="69"/>
        </w:numPr>
        <w:tabs>
          <w:tab w:pos="555" w:val="left" w:leader="none"/>
        </w:tabs>
        <w:spacing w:line="240" w:lineRule="auto" w:before="0" w:after="0"/>
        <w:ind w:left="554" w:right="0" w:hanging="432"/>
        <w:jc w:val="both"/>
      </w:pPr>
      <w:bookmarkStart w:name="_bookmark72" w:id="96"/>
      <w:bookmarkEnd w:id="96"/>
      <w:r>
        <w:rPr>
          <w:b w:val="0"/>
        </w:rPr>
      </w:r>
      <w:bookmarkStart w:name="_bookmark72" w:id="97"/>
      <w:bookmarkEnd w:id="97"/>
      <w:r>
        <w:rPr/>
        <w:t>E</w:t>
      </w:r>
      <w:r>
        <w:rPr/>
        <w:t>valuación de las políticas</w:t>
      </w:r>
      <w:r>
        <w:rPr>
          <w:spacing w:val="-13"/>
        </w:rPr>
        <w:t> </w:t>
      </w:r>
      <w:r>
        <w:rPr/>
        <w:t>públicas</w:t>
      </w:r>
    </w:p>
    <w:p>
      <w:pPr>
        <w:pStyle w:val="BodyText"/>
        <w:rPr>
          <w:b/>
          <w:sz w:val="26"/>
        </w:rPr>
      </w:pPr>
    </w:p>
    <w:p>
      <w:pPr>
        <w:pStyle w:val="BodyText"/>
        <w:rPr>
          <w:b/>
          <w:sz w:val="26"/>
        </w:rPr>
      </w:pPr>
    </w:p>
    <w:p>
      <w:pPr>
        <w:pStyle w:val="BodyText"/>
        <w:spacing w:line="360" w:lineRule="auto" w:before="166"/>
        <w:ind w:left="122" w:right="117"/>
        <w:jc w:val="both"/>
      </w:pPr>
      <w:r>
        <w:rPr/>
        <w:t>El examen de los resultados de la política pública conlleva objetivos múltiples y algunos de ellos contradictorios, ausencia de objetivos alcanzables, productos no conmensurables (en calidad y eficiencia), ausencia de correlación entre objetivos</w:t>
      </w:r>
      <w:r>
        <w:rPr>
          <w:spacing w:val="-10"/>
        </w:rPr>
        <w:t> </w:t>
      </w:r>
      <w:r>
        <w:rPr/>
        <w:t>generales</w:t>
      </w:r>
      <w:r>
        <w:rPr>
          <w:spacing w:val="-10"/>
        </w:rPr>
        <w:t> </w:t>
      </w:r>
      <w:r>
        <w:rPr/>
        <w:t>con</w:t>
      </w:r>
      <w:r>
        <w:rPr>
          <w:spacing w:val="-9"/>
        </w:rPr>
        <w:t> </w:t>
      </w:r>
      <w:r>
        <w:rPr/>
        <w:t>los</w:t>
      </w:r>
      <w:r>
        <w:rPr>
          <w:spacing w:val="-11"/>
        </w:rPr>
        <w:t> </w:t>
      </w:r>
      <w:r>
        <w:rPr/>
        <w:t>objetivos</w:t>
      </w:r>
      <w:r>
        <w:rPr>
          <w:spacing w:val="-10"/>
        </w:rPr>
        <w:t> </w:t>
      </w:r>
      <w:r>
        <w:rPr/>
        <w:t>específicos</w:t>
      </w:r>
      <w:r>
        <w:rPr>
          <w:spacing w:val="-10"/>
        </w:rPr>
        <w:t> </w:t>
      </w:r>
      <w:r>
        <w:rPr/>
        <w:t>y</w:t>
      </w:r>
      <w:r>
        <w:rPr>
          <w:spacing w:val="-12"/>
        </w:rPr>
        <w:t> </w:t>
      </w:r>
      <w:r>
        <w:rPr/>
        <w:t>metas,</w:t>
      </w:r>
      <w:r>
        <w:rPr>
          <w:spacing w:val="-11"/>
        </w:rPr>
        <w:t> </w:t>
      </w:r>
      <w:r>
        <w:rPr/>
        <w:t>la</w:t>
      </w:r>
      <w:r>
        <w:rPr>
          <w:spacing w:val="-11"/>
        </w:rPr>
        <w:t> </w:t>
      </w:r>
      <w:r>
        <w:rPr/>
        <w:t>inexperiencia</w:t>
      </w:r>
      <w:r>
        <w:rPr>
          <w:spacing w:val="-11"/>
        </w:rPr>
        <w:t> </w:t>
      </w:r>
      <w:r>
        <w:rPr/>
        <w:t>de</w:t>
      </w:r>
      <w:r>
        <w:rPr>
          <w:spacing w:val="-11"/>
        </w:rPr>
        <w:t> </w:t>
      </w:r>
      <w:r>
        <w:rPr/>
        <w:t>los servidores públicos, indeterminación de la población objetivo a atender,</w:t>
      </w:r>
      <w:r>
        <w:rPr>
          <w:position w:val="8"/>
          <w:sz w:val="16"/>
        </w:rPr>
        <w:t>112</w:t>
      </w:r>
      <w:r>
        <w:rPr/>
        <w:t>corrupción y, sobre todo, la ausencia generalizada de interés por los resultados de las evaluaciones a las políticas</w:t>
      </w:r>
      <w:r>
        <w:rPr>
          <w:spacing w:val="-18"/>
        </w:rPr>
        <w:t> </w:t>
      </w:r>
      <w:r>
        <w:rPr/>
        <w:t>públicas.</w:t>
      </w:r>
    </w:p>
    <w:p>
      <w:pPr>
        <w:pStyle w:val="BodyText"/>
        <w:spacing w:line="360" w:lineRule="auto" w:before="2"/>
        <w:ind w:left="48" w:right="117" w:firstLine="427"/>
        <w:jc w:val="right"/>
      </w:pPr>
      <w:r>
        <w:rPr/>
        <w:t>El Estado mexicano ha realizado serios esfuerzos por subsanar estos</w:t>
      </w:r>
      <w:r>
        <w:rPr>
          <w:w w:val="100"/>
        </w:rPr>
        <w:t> </w:t>
      </w:r>
      <w:r>
        <w:rPr/>
        <w:t>aspectos, pero los resultados distan mucho de un avance tangible en materia de</w:t>
      </w:r>
      <w:r>
        <w:rPr>
          <w:w w:val="99"/>
        </w:rPr>
        <w:t> </w:t>
      </w:r>
      <w:r>
        <w:rPr/>
        <w:t>combate a la corrupción. Un aspecto político muy destacado a inicios del Siglo</w:t>
      </w:r>
      <w:r>
        <w:rPr>
          <w:w w:val="99"/>
        </w:rPr>
        <w:t> </w:t>
      </w:r>
      <w:r>
        <w:rPr/>
        <w:t>XXI fue la apertura del Estado mexicano hacia el logro de la división de poderes,</w:t>
      </w:r>
      <w:r>
        <w:rPr>
          <w:w w:val="100"/>
        </w:rPr>
        <w:t> </w:t>
      </w:r>
      <w:r>
        <w:rPr/>
        <w:t>que hasta el momento no ha reducido el déficit democrático en forma sustancial.</w:t>
      </w:r>
    </w:p>
    <w:p>
      <w:pPr>
        <w:pStyle w:val="BodyText"/>
      </w:pPr>
    </w:p>
    <w:p>
      <w:pPr>
        <w:pStyle w:val="BodyText"/>
        <w:spacing w:line="360" w:lineRule="auto" w:before="142"/>
        <w:ind w:left="122" w:right="117" w:firstLine="427"/>
        <w:jc w:val="both"/>
      </w:pPr>
      <w:r>
        <w:rPr/>
        <w:t>En 1997, el PRI perdió la mayoría absoluta en la Cámara de Diputados, y al perder</w:t>
      </w:r>
      <w:r>
        <w:rPr>
          <w:spacing w:val="-7"/>
        </w:rPr>
        <w:t> </w:t>
      </w:r>
      <w:r>
        <w:rPr/>
        <w:t>la</w:t>
      </w:r>
      <w:r>
        <w:rPr>
          <w:spacing w:val="-9"/>
        </w:rPr>
        <w:t> </w:t>
      </w:r>
      <w:r>
        <w:rPr/>
        <w:t>Presidencia</w:t>
      </w:r>
      <w:r>
        <w:rPr>
          <w:spacing w:val="-6"/>
        </w:rPr>
        <w:t> </w:t>
      </w:r>
      <w:r>
        <w:rPr/>
        <w:t>de</w:t>
      </w:r>
      <w:r>
        <w:rPr>
          <w:spacing w:val="-6"/>
        </w:rPr>
        <w:t> </w:t>
      </w:r>
      <w:r>
        <w:rPr/>
        <w:t>la</w:t>
      </w:r>
      <w:r>
        <w:rPr>
          <w:spacing w:val="-6"/>
        </w:rPr>
        <w:t> </w:t>
      </w:r>
      <w:r>
        <w:rPr/>
        <w:t>República</w:t>
      </w:r>
      <w:r>
        <w:rPr>
          <w:spacing w:val="-8"/>
        </w:rPr>
        <w:t> </w:t>
      </w:r>
      <w:r>
        <w:rPr/>
        <w:t>en</w:t>
      </w:r>
      <w:r>
        <w:rPr>
          <w:spacing w:val="-8"/>
        </w:rPr>
        <w:t> </w:t>
      </w:r>
      <w:r>
        <w:rPr/>
        <w:t>el</w:t>
      </w:r>
      <w:r>
        <w:rPr>
          <w:spacing w:val="-7"/>
        </w:rPr>
        <w:t> </w:t>
      </w:r>
      <w:r>
        <w:rPr/>
        <w:t>año</w:t>
      </w:r>
      <w:r>
        <w:rPr>
          <w:spacing w:val="-6"/>
        </w:rPr>
        <w:t> </w:t>
      </w:r>
      <w:r>
        <w:rPr/>
        <w:t>2000,</w:t>
      </w:r>
      <w:r>
        <w:rPr>
          <w:spacing w:val="-9"/>
        </w:rPr>
        <w:t> </w:t>
      </w:r>
      <w:r>
        <w:rPr/>
        <w:t>la</w:t>
      </w:r>
      <w:r>
        <w:rPr>
          <w:spacing w:val="-6"/>
        </w:rPr>
        <w:t> </w:t>
      </w:r>
      <w:r>
        <w:rPr/>
        <w:t>pluralidad</w:t>
      </w:r>
      <w:r>
        <w:rPr>
          <w:spacing w:val="-8"/>
        </w:rPr>
        <w:t> </w:t>
      </w:r>
      <w:r>
        <w:rPr/>
        <w:t>del</w:t>
      </w:r>
      <w:r>
        <w:rPr>
          <w:spacing w:val="-7"/>
        </w:rPr>
        <w:t> </w:t>
      </w:r>
      <w:r>
        <w:rPr/>
        <w:t>Congreso inhibió las decisiones unilaterales que se venían tomando desde el Ejecutivo.</w:t>
      </w:r>
      <w:r>
        <w:rPr>
          <w:position w:val="8"/>
          <w:sz w:val="16"/>
        </w:rPr>
        <w:t>113 </w:t>
      </w:r>
      <w:r>
        <w:rPr/>
        <w:t>A partir del cambio de poder, los medios de comunicación, la opinión pública, y los partidos de izquierda comenzaron a analizar más detalladamente el cumplimiento de los objetivos de política</w:t>
      </w:r>
      <w:r>
        <w:rPr>
          <w:spacing w:val="-17"/>
        </w:rPr>
        <w:t> </w:t>
      </w:r>
      <w:r>
        <w:rPr/>
        <w:t>pública.</w:t>
      </w:r>
    </w:p>
    <w:p>
      <w:pPr>
        <w:pStyle w:val="BodyText"/>
        <w:spacing w:line="360" w:lineRule="auto" w:before="5"/>
        <w:ind w:left="122" w:right="116" w:firstLine="427"/>
        <w:jc w:val="both"/>
      </w:pPr>
      <w:r>
        <w:rPr/>
        <w:t>Los objetivos que se diseñaron al iniciar el Siglo XXI tienen más enfoque macroeconómico, el cual comprende principalmente el alcanzar las metas de crecimiento   económico,   finanzas   públicas,   política   monetaria,   seguridad</w:t>
      </w: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9160;mso-wrap-distance-left:0;mso-wrap-distance-right:0" from="85.103996pt,8.336814pt" to="229.123996pt,8.336814pt" stroked="true" strokeweight=".72003pt" strokecolor="#000000">
            <w10:wrap type="topAndBottom"/>
          </v:line>
        </w:pict>
      </w:r>
    </w:p>
    <w:p>
      <w:pPr>
        <w:spacing w:before="62"/>
        <w:ind w:left="122" w:right="52" w:firstLine="0"/>
        <w:jc w:val="left"/>
        <w:rPr>
          <w:sz w:val="16"/>
        </w:rPr>
      </w:pPr>
      <w:r>
        <w:rPr>
          <w:rFonts w:ascii="Times New Roman" w:hAnsi="Times New Roman"/>
          <w:position w:val="7"/>
          <w:sz w:val="13"/>
        </w:rPr>
        <w:t>112</w:t>
      </w:r>
      <w:r>
        <w:rPr>
          <w:sz w:val="16"/>
        </w:rPr>
        <w:t>El Índice de Desempeño de los Programas Públicos Federales (INDEP), publicado por Gestión Social y Cooperación</w:t>
      </w:r>
    </w:p>
    <w:p>
      <w:pPr>
        <w:pStyle w:val="ListParagraph"/>
        <w:numPr>
          <w:ilvl w:val="1"/>
          <w:numId w:val="70"/>
        </w:numPr>
        <w:tabs>
          <w:tab w:pos="475" w:val="left" w:leader="none"/>
        </w:tabs>
        <w:spacing w:line="240" w:lineRule="auto" w:before="13" w:after="0"/>
        <w:ind w:left="122" w:right="119" w:firstLine="0"/>
        <w:jc w:val="left"/>
        <w:rPr>
          <w:sz w:val="16"/>
        </w:rPr>
      </w:pPr>
      <w:r>
        <w:rPr>
          <w:sz w:val="16"/>
        </w:rPr>
        <w:t>(Gesoc</w:t>
      </w:r>
      <w:r>
        <w:rPr>
          <w:spacing w:val="-9"/>
          <w:sz w:val="16"/>
        </w:rPr>
        <w:t> </w:t>
      </w:r>
      <w:r>
        <w:rPr>
          <w:sz w:val="16"/>
        </w:rPr>
        <w:t>A.C.),</w:t>
      </w:r>
      <w:r>
        <w:rPr>
          <w:spacing w:val="-9"/>
          <w:sz w:val="16"/>
        </w:rPr>
        <w:t> </w:t>
      </w:r>
      <w:r>
        <w:rPr>
          <w:sz w:val="16"/>
        </w:rPr>
        <w:t>en</w:t>
      </w:r>
      <w:r>
        <w:rPr>
          <w:spacing w:val="-10"/>
          <w:sz w:val="16"/>
        </w:rPr>
        <w:t> </w:t>
      </w:r>
      <w:r>
        <w:rPr>
          <w:sz w:val="16"/>
        </w:rPr>
        <w:t>noviembre</w:t>
      </w:r>
      <w:r>
        <w:rPr>
          <w:spacing w:val="-10"/>
          <w:sz w:val="16"/>
        </w:rPr>
        <w:t> </w:t>
      </w:r>
      <w:r>
        <w:rPr>
          <w:sz w:val="16"/>
        </w:rPr>
        <w:t>de</w:t>
      </w:r>
      <w:r>
        <w:rPr>
          <w:spacing w:val="-10"/>
          <w:sz w:val="16"/>
        </w:rPr>
        <w:t> </w:t>
      </w:r>
      <w:r>
        <w:rPr>
          <w:sz w:val="16"/>
        </w:rPr>
        <w:t>2012</w:t>
      </w:r>
      <w:r>
        <w:rPr>
          <w:spacing w:val="-10"/>
          <w:sz w:val="16"/>
        </w:rPr>
        <w:t> </w:t>
      </w:r>
      <w:r>
        <w:rPr>
          <w:sz w:val="16"/>
        </w:rPr>
        <w:t>difundió</w:t>
      </w:r>
      <w:r>
        <w:rPr>
          <w:spacing w:val="-10"/>
          <w:sz w:val="16"/>
        </w:rPr>
        <w:t> </w:t>
      </w:r>
      <w:r>
        <w:rPr>
          <w:sz w:val="16"/>
        </w:rPr>
        <w:t>en</w:t>
      </w:r>
      <w:r>
        <w:rPr>
          <w:spacing w:val="-10"/>
          <w:sz w:val="16"/>
        </w:rPr>
        <w:t> </w:t>
      </w:r>
      <w:r>
        <w:rPr>
          <w:sz w:val="16"/>
        </w:rPr>
        <w:t>INDEP,</w:t>
      </w:r>
      <w:r>
        <w:rPr>
          <w:spacing w:val="-7"/>
          <w:sz w:val="16"/>
        </w:rPr>
        <w:t> </w:t>
      </w:r>
      <w:r>
        <w:rPr>
          <w:sz w:val="16"/>
        </w:rPr>
        <w:t>donde</w:t>
      </w:r>
      <w:r>
        <w:rPr>
          <w:spacing w:val="-11"/>
          <w:sz w:val="16"/>
        </w:rPr>
        <w:t> </w:t>
      </w:r>
      <w:r>
        <w:rPr>
          <w:sz w:val="16"/>
        </w:rPr>
        <w:t>se</w:t>
      </w:r>
      <w:r>
        <w:rPr>
          <w:spacing w:val="-10"/>
          <w:sz w:val="16"/>
        </w:rPr>
        <w:t> </w:t>
      </w:r>
      <w:r>
        <w:rPr>
          <w:sz w:val="16"/>
        </w:rPr>
        <w:t>clasifican</w:t>
      </w:r>
      <w:r>
        <w:rPr>
          <w:spacing w:val="-10"/>
          <w:sz w:val="16"/>
        </w:rPr>
        <w:t> </w:t>
      </w:r>
      <w:r>
        <w:rPr>
          <w:sz w:val="16"/>
        </w:rPr>
        <w:t>163</w:t>
      </w:r>
      <w:r>
        <w:rPr>
          <w:spacing w:val="-10"/>
          <w:sz w:val="16"/>
        </w:rPr>
        <w:t> </w:t>
      </w:r>
      <w:r>
        <w:rPr>
          <w:sz w:val="16"/>
        </w:rPr>
        <w:t>programas</w:t>
      </w:r>
      <w:r>
        <w:rPr>
          <w:spacing w:val="-9"/>
          <w:sz w:val="16"/>
        </w:rPr>
        <w:t> </w:t>
      </w:r>
      <w:r>
        <w:rPr>
          <w:sz w:val="16"/>
        </w:rPr>
        <w:t>federales,</w:t>
      </w:r>
      <w:r>
        <w:rPr>
          <w:spacing w:val="-9"/>
          <w:sz w:val="16"/>
        </w:rPr>
        <w:t> </w:t>
      </w:r>
      <w:r>
        <w:rPr>
          <w:sz w:val="16"/>
        </w:rPr>
        <w:t>de</w:t>
      </w:r>
      <w:r>
        <w:rPr>
          <w:spacing w:val="-10"/>
          <w:sz w:val="16"/>
        </w:rPr>
        <w:t> </w:t>
      </w:r>
      <w:r>
        <w:rPr>
          <w:sz w:val="16"/>
        </w:rPr>
        <w:t>los</w:t>
      </w:r>
      <w:r>
        <w:rPr>
          <w:spacing w:val="-11"/>
          <w:sz w:val="16"/>
        </w:rPr>
        <w:t> </w:t>
      </w:r>
      <w:r>
        <w:rPr>
          <w:sz w:val="16"/>
        </w:rPr>
        <w:t>cuales 74 no presentan la cobertura de la población potencialmente</w:t>
      </w:r>
      <w:r>
        <w:rPr>
          <w:spacing w:val="-27"/>
          <w:sz w:val="16"/>
        </w:rPr>
        <w:t> </w:t>
      </w:r>
      <w:r>
        <w:rPr>
          <w:sz w:val="16"/>
        </w:rPr>
        <w:t>beneficiaria.</w:t>
      </w:r>
    </w:p>
    <w:p>
      <w:pPr>
        <w:spacing w:line="216" w:lineRule="exact" w:before="0"/>
        <w:ind w:left="122" w:right="52" w:firstLine="0"/>
        <w:jc w:val="left"/>
        <w:rPr>
          <w:sz w:val="16"/>
        </w:rPr>
      </w:pPr>
      <w:r>
        <w:rPr>
          <w:rFonts w:ascii="Times New Roman" w:hAnsi="Times New Roman"/>
          <w:position w:val="7"/>
          <w:sz w:val="13"/>
        </w:rPr>
        <w:t>113</w:t>
      </w:r>
      <w:r>
        <w:rPr>
          <w:sz w:val="16"/>
        </w:rPr>
        <w:t>Aunque esta situación fue usada también como argumento del Poder Ejecutivo para acusar al Legislativo de invalidar</w:t>
      </w:r>
    </w:p>
    <w:p>
      <w:pPr>
        <w:spacing w:before="13"/>
        <w:ind w:left="122" w:right="52" w:firstLine="0"/>
        <w:jc w:val="left"/>
        <w:rPr>
          <w:sz w:val="16"/>
        </w:rPr>
      </w:pPr>
      <w:r>
        <w:rPr>
          <w:sz w:val="16"/>
        </w:rPr>
        <w:t>sus reformas o propuestas que, de acuerdo con el Presidente de la República, éstas podrían haber sido de utilidad a la sociedad.</w:t>
      </w:r>
    </w:p>
    <w:p>
      <w:pPr>
        <w:spacing w:after="0"/>
        <w:jc w:val="left"/>
        <w:rPr>
          <w:sz w:val="16"/>
        </w:rPr>
        <w:sectPr>
          <w:pgSz w:w="11910" w:h="16840"/>
          <w:pgMar w:header="0" w:footer="1003" w:top="1340" w:bottom="1200" w:left="1580" w:right="1580"/>
        </w:sectPr>
      </w:pPr>
    </w:p>
    <w:p>
      <w:pPr>
        <w:pStyle w:val="BodyText"/>
        <w:spacing w:line="362" w:lineRule="auto" w:before="55"/>
        <w:ind w:left="122" w:right="52"/>
      </w:pPr>
      <w:r>
        <w:rPr/>
        <w:t>nacional, nivel de empleo, disminución de la pobreza extrema y reservas internacionales.</w:t>
      </w:r>
    </w:p>
    <w:p>
      <w:pPr>
        <w:pStyle w:val="BodyText"/>
      </w:pPr>
    </w:p>
    <w:p>
      <w:pPr>
        <w:pStyle w:val="BodyText"/>
        <w:spacing w:line="360" w:lineRule="auto" w:before="139"/>
        <w:ind w:left="122" w:right="124" w:firstLine="427"/>
        <w:jc w:val="both"/>
      </w:pPr>
      <w:r>
        <w:rPr/>
        <w:t>El Estado mexicano de inicios de este siglo, se orientó hacia el logro de la legitimidad y democracia mediante tres políticas: terminar con la inseguridad nacional, mejorar la imagen exterior del país y promover la transparencia y la rendición de cuentas.</w:t>
      </w:r>
    </w:p>
    <w:p>
      <w:pPr>
        <w:pStyle w:val="BodyText"/>
      </w:pPr>
    </w:p>
    <w:p>
      <w:pPr>
        <w:pStyle w:val="BodyText"/>
        <w:spacing w:line="360" w:lineRule="auto" w:before="142"/>
        <w:ind w:left="122" w:right="116" w:firstLine="427"/>
        <w:jc w:val="both"/>
        <w:rPr>
          <w:sz w:val="16"/>
        </w:rPr>
      </w:pPr>
      <w:r>
        <w:rPr/>
        <w:t>La política exterior priorizó la relación estratégica con Estados Unidos y a fortalecer</w:t>
      </w:r>
      <w:r>
        <w:rPr>
          <w:spacing w:val="-17"/>
        </w:rPr>
        <w:t> </w:t>
      </w:r>
      <w:r>
        <w:rPr/>
        <w:t>la</w:t>
      </w:r>
      <w:r>
        <w:rPr>
          <w:spacing w:val="-18"/>
        </w:rPr>
        <w:t> </w:t>
      </w:r>
      <w:r>
        <w:rPr/>
        <w:t>presencia</w:t>
      </w:r>
      <w:r>
        <w:rPr>
          <w:spacing w:val="-18"/>
        </w:rPr>
        <w:t> </w:t>
      </w:r>
      <w:r>
        <w:rPr/>
        <w:t>de</w:t>
      </w:r>
      <w:r>
        <w:rPr>
          <w:spacing w:val="-16"/>
        </w:rPr>
        <w:t> </w:t>
      </w:r>
      <w:r>
        <w:rPr/>
        <w:t>nuestro</w:t>
      </w:r>
      <w:r>
        <w:rPr>
          <w:spacing w:val="-18"/>
        </w:rPr>
        <w:t> </w:t>
      </w:r>
      <w:r>
        <w:rPr/>
        <w:t>país.</w:t>
      </w:r>
      <w:r>
        <w:rPr>
          <w:spacing w:val="-16"/>
        </w:rPr>
        <w:t> </w:t>
      </w:r>
      <w:r>
        <w:rPr/>
        <w:t>El</w:t>
      </w:r>
      <w:r>
        <w:rPr>
          <w:spacing w:val="-17"/>
        </w:rPr>
        <w:t> </w:t>
      </w:r>
      <w:r>
        <w:rPr/>
        <w:t>Estado</w:t>
      </w:r>
      <w:r>
        <w:rPr>
          <w:spacing w:val="-18"/>
        </w:rPr>
        <w:t> </w:t>
      </w:r>
      <w:r>
        <w:rPr/>
        <w:t>mexicano</w:t>
      </w:r>
      <w:r>
        <w:rPr>
          <w:spacing w:val="-16"/>
        </w:rPr>
        <w:t> </w:t>
      </w:r>
      <w:r>
        <w:rPr/>
        <w:t>logró</w:t>
      </w:r>
      <w:r>
        <w:rPr>
          <w:spacing w:val="-16"/>
        </w:rPr>
        <w:t> </w:t>
      </w:r>
      <w:r>
        <w:rPr/>
        <w:t>tener</w:t>
      </w:r>
      <w:r>
        <w:rPr>
          <w:spacing w:val="-10"/>
        </w:rPr>
        <w:t> </w:t>
      </w:r>
      <w:r>
        <w:rPr/>
        <w:t>presencia en los principales foros multilaterales, pero no concretó el acuerdo migratorio,</w:t>
      </w:r>
      <w:r>
        <w:rPr>
          <w:spacing w:val="-35"/>
        </w:rPr>
        <w:t> </w:t>
      </w:r>
      <w:r>
        <w:rPr/>
        <w:t>la integración con América del Norte, ni tampoco posicionar al ombudsman mexicano en la Secretaría General de la Organización de Estados Americanos (OEA).</w:t>
      </w:r>
      <w:r>
        <w:rPr>
          <w:position w:val="8"/>
          <w:sz w:val="16"/>
        </w:rPr>
        <w:t>114</w:t>
      </w:r>
    </w:p>
    <w:p>
      <w:pPr>
        <w:pStyle w:val="BodyText"/>
        <w:rPr>
          <w:sz w:val="36"/>
        </w:rPr>
      </w:pPr>
    </w:p>
    <w:p>
      <w:pPr>
        <w:pStyle w:val="BodyText"/>
        <w:spacing w:line="360" w:lineRule="auto"/>
        <w:ind w:left="122" w:right="119" w:firstLine="427"/>
        <w:jc w:val="both"/>
        <w:rPr>
          <w:sz w:val="16"/>
        </w:rPr>
      </w:pPr>
      <w:r>
        <w:rPr/>
        <w:t>En diciembre de 2009, el Jefe del Ejecutivo emitió 10 iniciativas de reforma para</w:t>
      </w:r>
      <w:r>
        <w:rPr>
          <w:spacing w:val="-14"/>
        </w:rPr>
        <w:t> </w:t>
      </w:r>
      <w:r>
        <w:rPr/>
        <w:t>otorgar</w:t>
      </w:r>
      <w:r>
        <w:rPr>
          <w:spacing w:val="-15"/>
        </w:rPr>
        <w:t> </w:t>
      </w:r>
      <w:r>
        <w:rPr/>
        <w:t>a</w:t>
      </w:r>
      <w:r>
        <w:rPr>
          <w:spacing w:val="-13"/>
        </w:rPr>
        <w:t> </w:t>
      </w:r>
      <w:r>
        <w:rPr/>
        <w:t>los</w:t>
      </w:r>
      <w:r>
        <w:rPr>
          <w:spacing w:val="-13"/>
        </w:rPr>
        <w:t> </w:t>
      </w:r>
      <w:r>
        <w:rPr/>
        <w:t>ciudadanos</w:t>
      </w:r>
      <w:r>
        <w:rPr>
          <w:spacing w:val="-14"/>
        </w:rPr>
        <w:t> </w:t>
      </w:r>
      <w:r>
        <w:rPr/>
        <w:t>un</w:t>
      </w:r>
      <w:r>
        <w:rPr>
          <w:spacing w:val="-16"/>
        </w:rPr>
        <w:t> </w:t>
      </w:r>
      <w:r>
        <w:rPr/>
        <w:t>mayor</w:t>
      </w:r>
      <w:r>
        <w:rPr>
          <w:spacing w:val="-15"/>
        </w:rPr>
        <w:t> </w:t>
      </w:r>
      <w:r>
        <w:rPr/>
        <w:t>peso</w:t>
      </w:r>
      <w:r>
        <w:rPr>
          <w:spacing w:val="-15"/>
        </w:rPr>
        <w:t> </w:t>
      </w:r>
      <w:r>
        <w:rPr/>
        <w:t>para</w:t>
      </w:r>
      <w:r>
        <w:rPr>
          <w:spacing w:val="-14"/>
        </w:rPr>
        <w:t> </w:t>
      </w:r>
      <w:r>
        <w:rPr/>
        <w:t>incidir</w:t>
      </w:r>
      <w:r>
        <w:rPr>
          <w:spacing w:val="-15"/>
        </w:rPr>
        <w:t> </w:t>
      </w:r>
      <w:r>
        <w:rPr/>
        <w:t>sobre</w:t>
      </w:r>
      <w:r>
        <w:rPr>
          <w:spacing w:val="-14"/>
        </w:rPr>
        <w:t> </w:t>
      </w:r>
      <w:r>
        <w:rPr/>
        <w:t>sus</w:t>
      </w:r>
      <w:r>
        <w:rPr>
          <w:spacing w:val="-16"/>
        </w:rPr>
        <w:t> </w:t>
      </w:r>
      <w:r>
        <w:rPr/>
        <w:t>gobernantes. De entre ellas resalta la inclusión de una figura denominada "iniciativa ciudadana" para que las personas puedan hacer propuestas de ley sobre</w:t>
      </w:r>
      <w:r>
        <w:rPr>
          <w:spacing w:val="-41"/>
        </w:rPr>
        <w:t> </w:t>
      </w:r>
      <w:r>
        <w:rPr/>
        <w:t>temas de su interés que no se encuentren en la agenda legislativa. Este hecho evidenció la intención del Poder Ejecutivo para ser más incluyente y avanzar hacia la legitimidad y</w:t>
      </w:r>
      <w:r>
        <w:rPr>
          <w:spacing w:val="-11"/>
        </w:rPr>
        <w:t> </w:t>
      </w:r>
      <w:r>
        <w:rPr/>
        <w:t>democracia.</w:t>
      </w:r>
      <w:r>
        <w:rPr>
          <w:position w:val="8"/>
          <w:sz w:val="16"/>
        </w:rPr>
        <w:t>115</w:t>
      </w:r>
    </w:p>
    <w:p>
      <w:pPr>
        <w:pStyle w:val="BodyText"/>
        <w:rPr>
          <w:sz w:val="36"/>
        </w:rPr>
      </w:pPr>
    </w:p>
    <w:p>
      <w:pPr>
        <w:pStyle w:val="BodyText"/>
        <w:spacing w:line="360" w:lineRule="auto"/>
        <w:ind w:left="122" w:right="116" w:firstLine="427"/>
        <w:jc w:val="both"/>
      </w:pPr>
      <w:r>
        <w:rPr/>
        <w:t>En</w:t>
      </w:r>
      <w:r>
        <w:rPr>
          <w:spacing w:val="-18"/>
        </w:rPr>
        <w:t> </w:t>
      </w:r>
      <w:r>
        <w:rPr/>
        <w:t>relación</w:t>
      </w:r>
      <w:r>
        <w:rPr>
          <w:spacing w:val="-20"/>
        </w:rPr>
        <w:t> </w:t>
      </w:r>
      <w:r>
        <w:rPr/>
        <w:t>con</w:t>
      </w:r>
      <w:r>
        <w:rPr>
          <w:spacing w:val="-18"/>
        </w:rPr>
        <w:t> </w:t>
      </w:r>
      <w:r>
        <w:rPr/>
        <w:t>los</w:t>
      </w:r>
      <w:r>
        <w:rPr>
          <w:spacing w:val="-21"/>
        </w:rPr>
        <w:t> </w:t>
      </w:r>
      <w:r>
        <w:rPr/>
        <w:t>avances</w:t>
      </w:r>
      <w:r>
        <w:rPr>
          <w:spacing w:val="-16"/>
        </w:rPr>
        <w:t> </w:t>
      </w:r>
      <w:r>
        <w:rPr/>
        <w:t>de</w:t>
      </w:r>
      <w:r>
        <w:rPr>
          <w:spacing w:val="-18"/>
        </w:rPr>
        <w:t> </w:t>
      </w:r>
      <w:r>
        <w:rPr/>
        <w:t>la</w:t>
      </w:r>
      <w:r>
        <w:rPr>
          <w:spacing w:val="-18"/>
        </w:rPr>
        <w:t> </w:t>
      </w:r>
      <w:r>
        <w:rPr/>
        <w:t>administración</w:t>
      </w:r>
      <w:r>
        <w:rPr>
          <w:spacing w:val="-18"/>
        </w:rPr>
        <w:t> </w:t>
      </w:r>
      <w:r>
        <w:rPr/>
        <w:t>pública,</w:t>
      </w:r>
      <w:r>
        <w:rPr>
          <w:spacing w:val="-18"/>
        </w:rPr>
        <w:t> </w:t>
      </w:r>
      <w:r>
        <w:rPr/>
        <w:t>el</w:t>
      </w:r>
      <w:r>
        <w:rPr>
          <w:spacing w:val="-22"/>
        </w:rPr>
        <w:t> </w:t>
      </w:r>
      <w:r>
        <w:rPr/>
        <w:t>Ejecutivo</w:t>
      </w:r>
      <w:r>
        <w:rPr>
          <w:spacing w:val="-20"/>
        </w:rPr>
        <w:t> </w:t>
      </w:r>
      <w:r>
        <w:rPr/>
        <w:t>Federal definió la “Agenda de Buen Gobierno”, la cual se basó en 6 estrategias: calidad de los servicios, disminución de los costos, mejora regulatoria, gobierno digital, profesionalización del servicio público, y honestidad y</w:t>
      </w:r>
      <w:r>
        <w:rPr>
          <w:spacing w:val="-25"/>
        </w:rPr>
        <w:t> </w:t>
      </w:r>
      <w:r>
        <w:rPr/>
        <w:t>transparencia.</w:t>
      </w:r>
    </w:p>
    <w:p>
      <w:pPr>
        <w:pStyle w:val="BodyText"/>
      </w:pPr>
    </w:p>
    <w:p>
      <w:pPr>
        <w:pStyle w:val="BodyText"/>
        <w:spacing w:line="355" w:lineRule="auto" w:before="142"/>
        <w:ind w:left="122" w:right="120" w:firstLine="427"/>
        <w:jc w:val="both"/>
      </w:pPr>
      <w:r>
        <w:rPr/>
        <w:t>La</w:t>
      </w:r>
      <w:r>
        <w:rPr>
          <w:spacing w:val="-19"/>
        </w:rPr>
        <w:t> </w:t>
      </w:r>
      <w:r>
        <w:rPr/>
        <w:t>primera</w:t>
      </w:r>
      <w:r>
        <w:rPr>
          <w:spacing w:val="-20"/>
        </w:rPr>
        <w:t> </w:t>
      </w:r>
      <w:r>
        <w:rPr/>
        <w:t>legislación</w:t>
      </w:r>
      <w:r>
        <w:rPr>
          <w:spacing w:val="-16"/>
        </w:rPr>
        <w:t> </w:t>
      </w:r>
      <w:r>
        <w:rPr/>
        <w:t>relativa</w:t>
      </w:r>
      <w:r>
        <w:rPr>
          <w:spacing w:val="-17"/>
        </w:rPr>
        <w:t> </w:t>
      </w:r>
      <w:r>
        <w:rPr/>
        <w:t>al</w:t>
      </w:r>
      <w:r>
        <w:rPr>
          <w:spacing w:val="-18"/>
        </w:rPr>
        <w:t> </w:t>
      </w:r>
      <w:r>
        <w:rPr/>
        <w:t>acceso</w:t>
      </w:r>
      <w:r>
        <w:rPr>
          <w:spacing w:val="-19"/>
        </w:rPr>
        <w:t> </w:t>
      </w:r>
      <w:r>
        <w:rPr/>
        <w:t>a</w:t>
      </w:r>
      <w:r>
        <w:rPr>
          <w:spacing w:val="-17"/>
        </w:rPr>
        <w:t> </w:t>
      </w:r>
      <w:r>
        <w:rPr/>
        <w:t>la</w:t>
      </w:r>
      <w:r>
        <w:rPr>
          <w:spacing w:val="-17"/>
        </w:rPr>
        <w:t> </w:t>
      </w:r>
      <w:r>
        <w:rPr/>
        <w:t>información</w:t>
      </w:r>
      <w:r>
        <w:rPr>
          <w:spacing w:val="-17"/>
        </w:rPr>
        <w:t> </w:t>
      </w:r>
      <w:r>
        <w:rPr/>
        <w:t>se</w:t>
      </w:r>
      <w:r>
        <w:rPr>
          <w:spacing w:val="-19"/>
        </w:rPr>
        <w:t> </w:t>
      </w:r>
      <w:r>
        <w:rPr/>
        <w:t>originó</w:t>
      </w:r>
      <w:r>
        <w:rPr>
          <w:spacing w:val="-16"/>
        </w:rPr>
        <w:t> </w:t>
      </w:r>
      <w:r>
        <w:rPr/>
        <w:t>en</w:t>
      </w:r>
      <w:r>
        <w:rPr>
          <w:spacing w:val="-19"/>
        </w:rPr>
        <w:t> </w:t>
      </w:r>
      <w:r>
        <w:rPr/>
        <w:t>Suecia en</w:t>
      </w:r>
      <w:r>
        <w:rPr>
          <w:spacing w:val="-11"/>
        </w:rPr>
        <w:t> </w:t>
      </w:r>
      <w:r>
        <w:rPr/>
        <w:t>1776.</w:t>
      </w:r>
      <w:r>
        <w:rPr>
          <w:position w:val="8"/>
          <w:sz w:val="16"/>
        </w:rPr>
        <w:t>116</w:t>
      </w:r>
      <w:r>
        <w:rPr>
          <w:spacing w:val="10"/>
          <w:position w:val="8"/>
          <w:sz w:val="16"/>
        </w:rPr>
        <w:t> </w:t>
      </w:r>
      <w:r>
        <w:rPr/>
        <w:t>El</w:t>
      </w:r>
      <w:r>
        <w:rPr>
          <w:spacing w:val="-12"/>
        </w:rPr>
        <w:t> </w:t>
      </w:r>
      <w:r>
        <w:rPr/>
        <w:t>acceso</w:t>
      </w:r>
      <w:r>
        <w:rPr>
          <w:spacing w:val="-11"/>
        </w:rPr>
        <w:t> </w:t>
      </w:r>
      <w:r>
        <w:rPr/>
        <w:t>a</w:t>
      </w:r>
      <w:r>
        <w:rPr>
          <w:spacing w:val="-13"/>
        </w:rPr>
        <w:t> </w:t>
      </w:r>
      <w:r>
        <w:rPr/>
        <w:t>la</w:t>
      </w:r>
      <w:r>
        <w:rPr>
          <w:spacing w:val="-13"/>
        </w:rPr>
        <w:t> </w:t>
      </w:r>
      <w:r>
        <w:rPr/>
        <w:t>información,</w:t>
      </w:r>
      <w:r>
        <w:rPr>
          <w:spacing w:val="-11"/>
        </w:rPr>
        <w:t> </w:t>
      </w:r>
      <w:r>
        <w:rPr/>
        <w:t>la</w:t>
      </w:r>
      <w:r>
        <w:rPr>
          <w:spacing w:val="-13"/>
        </w:rPr>
        <w:t> </w:t>
      </w:r>
      <w:r>
        <w:rPr/>
        <w:t>transparencia</w:t>
      </w:r>
      <w:r>
        <w:rPr>
          <w:spacing w:val="-11"/>
        </w:rPr>
        <w:t> </w:t>
      </w:r>
      <w:r>
        <w:rPr/>
        <w:t>y</w:t>
      </w:r>
      <w:r>
        <w:rPr>
          <w:spacing w:val="-14"/>
        </w:rPr>
        <w:t> </w:t>
      </w:r>
      <w:r>
        <w:rPr/>
        <w:t>la</w:t>
      </w:r>
      <w:r>
        <w:rPr>
          <w:spacing w:val="-11"/>
        </w:rPr>
        <w:t> </w:t>
      </w:r>
      <w:r>
        <w:rPr/>
        <w:t>rendición</w:t>
      </w:r>
      <w:r>
        <w:rPr>
          <w:spacing w:val="-13"/>
        </w:rPr>
        <w:t> </w:t>
      </w:r>
      <w:r>
        <w:rPr/>
        <w:t>de</w:t>
      </w:r>
      <w:r>
        <w:rPr>
          <w:spacing w:val="-11"/>
        </w:rPr>
        <w:t> </w:t>
      </w:r>
      <w:r>
        <w:rPr/>
        <w:t>cuentas</w:t>
      </w:r>
    </w:p>
    <w:p>
      <w:pPr>
        <w:pStyle w:val="BodyText"/>
        <w:spacing w:before="8"/>
        <w:rPr>
          <w:sz w:val="29"/>
        </w:rPr>
      </w:pPr>
      <w:r>
        <w:rPr/>
        <w:pict>
          <v:line style="position:absolute;mso-position-horizontal-relative:page;mso-position-vertical-relative:paragraph;z-index:9184;mso-wrap-distance-left:0;mso-wrap-distance-right:0" from="85.103996pt,19.400166pt" to="229.123996pt,19.400166pt" stroked="true" strokeweight=".71997pt" strokecolor="#000000">
            <w10:wrap type="topAndBottom"/>
          </v:line>
        </w:pict>
      </w:r>
    </w:p>
    <w:p>
      <w:pPr>
        <w:spacing w:line="268" w:lineRule="auto" w:before="67"/>
        <w:ind w:left="122" w:right="52" w:firstLine="0"/>
        <w:jc w:val="left"/>
        <w:rPr>
          <w:sz w:val="16"/>
        </w:rPr>
      </w:pPr>
      <w:r>
        <w:rPr>
          <w:rFonts w:ascii="Calibri"/>
          <w:position w:val="8"/>
          <w:sz w:val="14"/>
        </w:rPr>
        <w:t>114</w:t>
      </w:r>
      <w:r>
        <w:rPr>
          <w:sz w:val="16"/>
        </w:rPr>
        <w:t>Disponible en: </w:t>
      </w:r>
      <w:hyperlink r:id="rId198">
        <w:r>
          <w:rPr>
            <w:color w:val="0000FF"/>
            <w:sz w:val="16"/>
            <w:u w:val="single" w:color="0000FF"/>
          </w:rPr>
          <w:t>http://www.uia.mx/web/html/actividades/sexenio/LaPoliticaExterior.</w:t>
        </w:r>
      </w:hyperlink>
      <w:r>
        <w:rPr>
          <w:color w:val="0000FF"/>
          <w:sz w:val="16"/>
          <w:u w:val="single" w:color="0000FF"/>
        </w:rPr>
        <w:t> </w:t>
      </w:r>
      <w:r>
        <w:rPr>
          <w:sz w:val="16"/>
        </w:rPr>
        <w:t>[Fecha de consulta: 25 de septiembre, 2015]</w:t>
      </w:r>
    </w:p>
    <w:p>
      <w:pPr>
        <w:tabs>
          <w:tab w:pos="1266" w:val="left" w:leader="none"/>
          <w:tab w:pos="1691" w:val="left" w:leader="none"/>
        </w:tabs>
        <w:spacing w:line="196" w:lineRule="exact" w:before="6"/>
        <w:ind w:left="122" w:right="116" w:firstLine="0"/>
        <w:jc w:val="left"/>
        <w:rPr>
          <w:sz w:val="16"/>
        </w:rPr>
      </w:pPr>
      <w:r>
        <w:rPr>
          <w:rFonts w:ascii="Times New Roman"/>
          <w:position w:val="7"/>
          <w:sz w:val="13"/>
        </w:rPr>
        <w:t>115</w:t>
      </w:r>
      <w:r>
        <w:rPr>
          <w:sz w:val="16"/>
        </w:rPr>
        <w:t>Disponible</w:t>
        <w:tab/>
        <w:t>en:</w:t>
        <w:tab/>
      </w:r>
      <w:hyperlink r:id="rId199">
        <w:r>
          <w:rPr>
            <w:color w:val="0000FF"/>
            <w:spacing w:val="-1"/>
            <w:sz w:val="16"/>
            <w:u w:val="single" w:color="0000FF"/>
          </w:rPr>
          <w:t>http://www.informador.com.mx/mexico/2009/162966/6/las-diez-propuestas-de-reforma-politica-de-</w:t>
        </w:r>
      </w:hyperlink>
      <w:r>
        <w:rPr>
          <w:color w:val="0000FF"/>
          <w:spacing w:val="-1"/>
          <w:sz w:val="16"/>
          <w:u w:val="single" w:color="0000FF"/>
        </w:rPr>
        <w:t> </w:t>
      </w:r>
      <w:hyperlink r:id="rId199">
        <w:r>
          <w:rPr>
            <w:color w:val="0000FF"/>
            <w:sz w:val="16"/>
            <w:u w:val="single" w:color="0000FF"/>
          </w:rPr>
          <w:t>felipe-calderon.htm</w:t>
        </w:r>
        <w:r>
          <w:rPr>
            <w:sz w:val="16"/>
          </w:rPr>
          <w:t>[</w:t>
        </w:r>
      </w:hyperlink>
      <w:r>
        <w:rPr>
          <w:sz w:val="16"/>
        </w:rPr>
        <w:t>Fecha de consulta: 25 de septiembre,</w:t>
      </w:r>
      <w:r>
        <w:rPr>
          <w:spacing w:val="-19"/>
          <w:sz w:val="16"/>
        </w:rPr>
        <w:t> </w:t>
      </w:r>
      <w:r>
        <w:rPr>
          <w:sz w:val="16"/>
        </w:rPr>
        <w:t>2015]</w:t>
      </w:r>
    </w:p>
    <w:p>
      <w:pPr>
        <w:spacing w:line="213" w:lineRule="exact" w:before="0"/>
        <w:ind w:left="122" w:right="52" w:firstLine="0"/>
        <w:jc w:val="left"/>
        <w:rPr>
          <w:sz w:val="16"/>
        </w:rPr>
      </w:pPr>
      <w:r>
        <w:rPr>
          <w:rFonts w:ascii="Times New Roman" w:hAnsi="Times New Roman"/>
          <w:position w:val="7"/>
          <w:sz w:val="13"/>
        </w:rPr>
        <w:t>116</w:t>
      </w:r>
      <w:r>
        <w:rPr>
          <w:sz w:val="16"/>
        </w:rPr>
        <w:t>Año en que Suecia aprobó la libertad de prensa.</w:t>
      </w:r>
    </w:p>
    <w:p>
      <w:pPr>
        <w:spacing w:after="0" w:line="213" w:lineRule="exact"/>
        <w:jc w:val="left"/>
        <w:rPr>
          <w:sz w:val="16"/>
        </w:rPr>
        <w:sectPr>
          <w:pgSz w:w="11910" w:h="16840"/>
          <w:pgMar w:header="0" w:footer="1003" w:top="1340" w:bottom="1200" w:left="1580" w:right="1580"/>
        </w:sectPr>
      </w:pPr>
    </w:p>
    <w:p>
      <w:pPr>
        <w:pStyle w:val="BodyText"/>
        <w:spacing w:line="360" w:lineRule="auto" w:before="55"/>
        <w:ind w:left="142" w:right="124"/>
        <w:jc w:val="both"/>
      </w:pPr>
      <w:r>
        <w:rPr/>
        <w:t>comenzaron</w:t>
      </w:r>
      <w:r>
        <w:rPr>
          <w:spacing w:val="-3"/>
        </w:rPr>
        <w:t> </w:t>
      </w:r>
      <w:r>
        <w:rPr/>
        <w:t>a</w:t>
      </w:r>
      <w:r>
        <w:rPr>
          <w:spacing w:val="-6"/>
        </w:rPr>
        <w:t> </w:t>
      </w:r>
      <w:r>
        <w:rPr/>
        <w:t>tomar</w:t>
      </w:r>
      <w:r>
        <w:rPr>
          <w:spacing w:val="-5"/>
        </w:rPr>
        <w:t> </w:t>
      </w:r>
      <w:r>
        <w:rPr/>
        <w:t>auge</w:t>
      </w:r>
      <w:r>
        <w:rPr>
          <w:spacing w:val="-4"/>
        </w:rPr>
        <w:t> </w:t>
      </w:r>
      <w:r>
        <w:rPr/>
        <w:t>en</w:t>
      </w:r>
      <w:r>
        <w:rPr>
          <w:spacing w:val="-6"/>
        </w:rPr>
        <w:t> </w:t>
      </w:r>
      <w:r>
        <w:rPr/>
        <w:t>Europa,</w:t>
      </w:r>
      <w:r>
        <w:rPr>
          <w:spacing w:val="-6"/>
        </w:rPr>
        <w:t> </w:t>
      </w:r>
      <w:r>
        <w:rPr/>
        <w:t>pero</w:t>
      </w:r>
      <w:r>
        <w:rPr>
          <w:spacing w:val="-7"/>
        </w:rPr>
        <w:t> </w:t>
      </w:r>
      <w:r>
        <w:rPr/>
        <w:t>fue</w:t>
      </w:r>
      <w:r>
        <w:rPr>
          <w:spacing w:val="-4"/>
        </w:rPr>
        <w:t> </w:t>
      </w:r>
      <w:r>
        <w:rPr/>
        <w:t>a</w:t>
      </w:r>
      <w:r>
        <w:rPr>
          <w:spacing w:val="-6"/>
        </w:rPr>
        <w:t> </w:t>
      </w:r>
      <w:r>
        <w:rPr/>
        <w:t>partir</w:t>
      </w:r>
      <w:r>
        <w:rPr>
          <w:spacing w:val="-5"/>
        </w:rPr>
        <w:t> </w:t>
      </w:r>
      <w:r>
        <w:rPr/>
        <w:t>de</w:t>
      </w:r>
      <w:r>
        <w:rPr>
          <w:spacing w:val="-4"/>
        </w:rPr>
        <w:t> </w:t>
      </w:r>
      <w:r>
        <w:rPr/>
        <w:t>la</w:t>
      </w:r>
      <w:r>
        <w:rPr>
          <w:spacing w:val="-4"/>
        </w:rPr>
        <w:t> </w:t>
      </w:r>
      <w:r>
        <w:rPr/>
        <w:t>década</w:t>
      </w:r>
      <w:r>
        <w:rPr>
          <w:spacing w:val="-6"/>
        </w:rPr>
        <w:t> </w:t>
      </w:r>
      <w:r>
        <w:rPr/>
        <w:t>de</w:t>
      </w:r>
      <w:r>
        <w:rPr>
          <w:spacing w:val="-4"/>
        </w:rPr>
        <w:t> </w:t>
      </w:r>
      <w:r>
        <w:rPr/>
        <w:t>los</w:t>
      </w:r>
      <w:r>
        <w:rPr>
          <w:spacing w:val="-6"/>
        </w:rPr>
        <w:t> </w:t>
      </w:r>
      <w:r>
        <w:rPr/>
        <w:t>años noventa</w:t>
      </w:r>
      <w:r>
        <w:rPr>
          <w:spacing w:val="-11"/>
        </w:rPr>
        <w:t> </w:t>
      </w:r>
      <w:r>
        <w:rPr/>
        <w:t>cuando</w:t>
      </w:r>
      <w:r>
        <w:rPr>
          <w:spacing w:val="-14"/>
        </w:rPr>
        <w:t> </w:t>
      </w:r>
      <w:r>
        <w:rPr/>
        <w:t>en</w:t>
      </w:r>
      <w:r>
        <w:rPr>
          <w:spacing w:val="-12"/>
        </w:rPr>
        <w:t> </w:t>
      </w:r>
      <w:r>
        <w:rPr/>
        <w:t>México</w:t>
      </w:r>
      <w:r>
        <w:rPr>
          <w:spacing w:val="-12"/>
        </w:rPr>
        <w:t> </w:t>
      </w:r>
      <w:r>
        <w:rPr/>
        <w:t>estos</w:t>
      </w:r>
      <w:r>
        <w:rPr>
          <w:spacing w:val="-13"/>
        </w:rPr>
        <w:t> </w:t>
      </w:r>
      <w:r>
        <w:rPr/>
        <w:t>elementos</w:t>
      </w:r>
      <w:r>
        <w:rPr>
          <w:spacing w:val="-15"/>
        </w:rPr>
        <w:t> </w:t>
      </w:r>
      <w:r>
        <w:rPr/>
        <w:t>formaron</w:t>
      </w:r>
      <w:r>
        <w:rPr>
          <w:spacing w:val="-12"/>
        </w:rPr>
        <w:t> </w:t>
      </w:r>
      <w:r>
        <w:rPr/>
        <w:t>parte</w:t>
      </w:r>
      <w:r>
        <w:rPr>
          <w:spacing w:val="-12"/>
        </w:rPr>
        <w:t> </w:t>
      </w:r>
      <w:r>
        <w:rPr/>
        <w:t>de</w:t>
      </w:r>
      <w:r>
        <w:rPr>
          <w:spacing w:val="-12"/>
        </w:rPr>
        <w:t> </w:t>
      </w:r>
      <w:r>
        <w:rPr/>
        <w:t>la</w:t>
      </w:r>
      <w:r>
        <w:rPr>
          <w:spacing w:val="-12"/>
        </w:rPr>
        <w:t> </w:t>
      </w:r>
      <w:r>
        <w:rPr/>
        <w:t>agenda</w:t>
      </w:r>
      <w:r>
        <w:rPr>
          <w:spacing w:val="-12"/>
        </w:rPr>
        <w:t> </w:t>
      </w:r>
      <w:r>
        <w:rPr/>
        <w:t>política nacional.</w:t>
      </w:r>
    </w:p>
    <w:p>
      <w:pPr>
        <w:pStyle w:val="BodyText"/>
      </w:pPr>
    </w:p>
    <w:p>
      <w:pPr>
        <w:pStyle w:val="BodyText"/>
        <w:spacing w:line="360" w:lineRule="auto" w:before="142"/>
        <w:ind w:left="142" w:right="122" w:firstLine="427"/>
        <w:jc w:val="both"/>
      </w:pPr>
      <w:r>
        <w:rPr/>
        <w:t>El</w:t>
      </w:r>
      <w:r>
        <w:rPr>
          <w:spacing w:val="-15"/>
        </w:rPr>
        <w:t> </w:t>
      </w:r>
      <w:r>
        <w:rPr/>
        <w:t>Estado</w:t>
      </w:r>
      <w:r>
        <w:rPr>
          <w:spacing w:val="-16"/>
        </w:rPr>
        <w:t> </w:t>
      </w:r>
      <w:r>
        <w:rPr/>
        <w:t>mexicano</w:t>
      </w:r>
      <w:r>
        <w:rPr>
          <w:spacing w:val="-14"/>
        </w:rPr>
        <w:t> </w:t>
      </w:r>
      <w:r>
        <w:rPr/>
        <w:t>consideró</w:t>
      </w:r>
      <w:r>
        <w:rPr>
          <w:spacing w:val="-17"/>
        </w:rPr>
        <w:t> </w:t>
      </w:r>
      <w:r>
        <w:rPr/>
        <w:t>que,</w:t>
      </w:r>
      <w:r>
        <w:rPr>
          <w:spacing w:val="-17"/>
        </w:rPr>
        <w:t> </w:t>
      </w:r>
      <w:r>
        <w:rPr/>
        <w:t>de</w:t>
      </w:r>
      <w:r>
        <w:rPr>
          <w:spacing w:val="-16"/>
        </w:rPr>
        <w:t> </w:t>
      </w:r>
      <w:r>
        <w:rPr/>
        <w:t>acuerdo</w:t>
      </w:r>
      <w:r>
        <w:rPr>
          <w:spacing w:val="-14"/>
        </w:rPr>
        <w:t> </w:t>
      </w:r>
      <w:r>
        <w:rPr/>
        <w:t>con</w:t>
      </w:r>
      <w:r>
        <w:rPr>
          <w:spacing w:val="-17"/>
        </w:rPr>
        <w:t> </w:t>
      </w:r>
      <w:r>
        <w:rPr/>
        <w:t>el</w:t>
      </w:r>
      <w:r>
        <w:rPr>
          <w:spacing w:val="-15"/>
        </w:rPr>
        <w:t> </w:t>
      </w:r>
      <w:r>
        <w:rPr/>
        <w:t>contexto</w:t>
      </w:r>
      <w:r>
        <w:rPr>
          <w:spacing w:val="-14"/>
        </w:rPr>
        <w:t> </w:t>
      </w:r>
      <w:r>
        <w:rPr/>
        <w:t>internacional, se exigía que el país contara con un proyecto hacia la democracia, por lo que emprendió esfuerzos para orientarse hacia la legitimidad y el buen</w:t>
      </w:r>
      <w:r>
        <w:rPr>
          <w:spacing w:val="-30"/>
        </w:rPr>
        <w:t> </w:t>
      </w:r>
      <w:r>
        <w:rPr/>
        <w:t>gobierno.</w:t>
      </w:r>
    </w:p>
    <w:p>
      <w:pPr>
        <w:pStyle w:val="BodyText"/>
      </w:pPr>
    </w:p>
    <w:p>
      <w:pPr>
        <w:pStyle w:val="BodyText"/>
        <w:spacing w:before="5"/>
        <w:rPr>
          <w:sz w:val="35"/>
        </w:rPr>
      </w:pPr>
    </w:p>
    <w:p>
      <w:pPr>
        <w:spacing w:before="0"/>
        <w:ind w:left="1385" w:right="0" w:firstLine="0"/>
        <w:jc w:val="left"/>
        <w:rPr>
          <w:sz w:val="20"/>
        </w:rPr>
      </w:pPr>
      <w:bookmarkStart w:name="_bookmark73" w:id="98"/>
      <w:bookmarkEnd w:id="98"/>
      <w:r>
        <w:rPr/>
      </w:r>
      <w:r>
        <w:rPr>
          <w:sz w:val="20"/>
        </w:rPr>
        <w:t>Esquema 4. 2. Antecedentes del acceso a la información en México</w:t>
      </w:r>
    </w:p>
    <w:p>
      <w:pPr>
        <w:pStyle w:val="BodyText"/>
        <w:spacing w:before="2"/>
        <w:rPr>
          <w:sz w:val="14"/>
        </w:rPr>
      </w:pPr>
      <w:r>
        <w:rPr/>
        <w:pict>
          <v:group style="position:absolute;margin-left:83.160004pt;margin-top:10.100862pt;width:427.35pt;height:252.15pt;mso-position-horizontal-relative:page;mso-position-vertical-relative:paragraph;z-index:9424;mso-wrap-distance-left:0;mso-wrap-distance-right:0" coordorigin="1663,202" coordsize="8547,5043">
            <v:shape style="position:absolute;left:1663;top:202;width:8546;height:5042" type="#_x0000_t75" stroked="false">
              <v:imagedata r:id="rId200" o:title=""/>
            </v:shape>
            <v:rect style="position:absolute;left:1790;top:231;width:8378;height:4886" filled="true" fillcolor="#edebe0" stroked="false">
              <v:fill type="solid"/>
            </v:rect>
            <v:rect style="position:absolute;left:1803;top:294;width:2002;height:1354" filled="true" fillcolor="#ffffff" stroked="false">
              <v:fill type="solid"/>
            </v:rect>
            <v:rect style="position:absolute;left:1803;top:294;width:2002;height:1354" filled="false" stroked="true" strokeweight="1.052424pt" strokecolor="#4f81bc"/>
            <v:shape style="position:absolute;left:3897;top:3913;width:617;height:470" coordorigin="3897,3913" coordsize="617,470" path="m3914,4148l3897,4156,4084,4382,4100,4374,3914,4148xm3963,4124l3930,4140,4116,4366,4149,4350,3963,4124xm4462,4252l4345,4252,4438,4365,4462,4252xm4066,3913l4159,4026,3979,4116,4166,4342,4345,4252,4462,4252,4514,4009,4066,3913xe" filled="true" fillcolor="#4f81bc" stroked="false">
              <v:path arrowok="t"/>
              <v:fill type="solid"/>
            </v:shape>
            <v:shape style="position:absolute;left:3881;top:3897;width:647;height:499" coordorigin="3881,3897" coordsize="647,499" path="m3918,4135l3881,4154,4080,4395,4112,4379,4090,4379,4087,4376,4077,4374,4083,4371,3913,4164,3904,4164,3906,4157,3904,4153,3907,4153,3908,4151,3925,4151,3913,4137,3918,4135,3918,4135xm4364,4257l4335,4257,4352,4260,4342,4265,4445,4391,4451,4363,4426,4363,4432,4339,4364,4257xm4087,4376l4090,4379,4091,4377,4087,4376xm4091,4377l4090,4379,4112,4379,4113,4379,4111,4377,4094,4377,4091,4377xm3966,4111l3918,4135,4117,4377,4113,4379,4113,4379,4149,4361,4127,4361,4110,4358,4120,4353,3951,4148,3937,4148,3940,4135,3958,4135,3953,4129,3976,4129,3962,4113,3966,4111,3966,4111xm3918,4135l3913,4137,4113,4379,4117,4377,3918,4135xm4091,4374l4091,4377,4094,4377,4091,4374xm4102,4366l4094,4366,4091,4374,4094,4377,4111,4377,4102,4366xm4087,4369l4083,4371,4087,4376,4091,4377,4091,4374,4087,4369xm4083,4371l4077,4374,4087,4376,4083,4371xm4094,4366l4087,4369,4091,4374,4094,4366xm3914,4159l3910,4161,4083,4371,4087,4369,3914,4159xm3925,4151l3908,4151,3910,4154,3920,4156,3914,4159,4087,4369,4094,4366,4102,4366,3925,4151xm4432,4339l4426,4363,4449,4360,4432,4339xm4526,4007l4502,4007,4511,4018,4499,4018,4432,4339,4449,4360,4426,4363,4451,4363,4524,4018,4511,4018,4500,4016,4525,4016,4526,4007xm4120,4353l4110,4358,4127,4361,4120,4353xm4132,4347l4120,4353,4127,4361,4149,4361,4162,4355,4139,4355,4132,4347xm4143,4342l4132,4347,4139,4355,4143,4342xm4151,4342l4143,4342,4139,4355,4162,4355,4162,4355,4162,4355,4151,4342xm3966,4111l3962,4113,4162,4355,4166,4353,3966,4111xm4166,4353l4162,4355,4162,4355,4166,4353,4166,4353xm4142,4023l3966,4111,4166,4353,4198,4336,4176,4336,4159,4334,4169,4329,4000,4124,3986,4124,3989,4111,4012,4111,4171,4031,4149,4031,4142,4023xm3976,4129l3953,4129,3969,4132,3959,4137,4132,4347,4143,4342,4151,4342,3976,4129xm4169,4329l4159,4334,4176,4336,4169,4329xm4349,4239l4169,4329,4176,4336,4198,4336,4342,4265,4335,4257,4364,4257,4349,4239xm4335,4257l4342,4265,4352,4260,4335,4257xm3906,4157l3904,4164,3910,4161,3906,4157xm3910,4161l3904,4164,3913,4164,3910,4161xm3907,4154l3906,4157,3910,4161,3914,4159,3910,4154,3907,4154xm3910,4154l3914,4159,3920,4156,3910,4154xm3904,4153l3906,4157,3907,4154,3904,4153xm3908,4151l3907,4154,3910,4154,3908,4151xm3907,4153l3904,4153,3907,4154,3907,4153xm3940,4135l3937,4148,3947,4143,3940,4135xm3947,4143l3937,4148,3951,4148,3947,4143xm3958,4135l3940,4135,3947,4143,3959,4137,3958,4135xm3953,4129l3959,4137,3969,4132,3953,4129xm3989,4111l3986,4124,3996,4118,3989,4111xm3996,4118l3986,4124,4000,4124,3996,4118xm4012,4111l3989,4111,3996,4118,4012,4111xm4152,4018l4142,4023,4149,4031,4152,4018xm4167,4018l4152,4018,4149,4031,4171,4031,4176,4029,4167,4018xm4038,3897l4142,4023,4152,4018,4167,4018,4093,3929,4063,3922,4076,3908,4088,3908,4038,3897xm4502,4007l4500,4016,4511,4018,4502,4007xm4088,3908l4076,3908,4093,3929,4500,4016,4502,4007,4526,4007,4527,4002,4088,3908xm4076,3908l4063,3922,4093,3929,4076,3908xe" filled="true" fillcolor="#385d89" stroked="false">
              <v:path arrowok="t"/>
              <v:fill type="solid"/>
            </v:shape>
            <v:rect style="position:absolute;left:4909;top:2280;width:2002;height:1836" filled="true" fillcolor="#ffffff" stroked="false">
              <v:fill type="solid"/>
            </v:rect>
            <v:shape style="position:absolute;left:7182;top:3818;width:642;height:499" coordorigin="7182,3818" coordsize="642,499" path="m7400,3882l7272,4131,7471,4192,7407,4317,7823,4157,7721,3943,7598,3943,7400,3882xm7345,3865l7218,4114,7254,4125,7382,3876,7345,3865xm7309,3854l7182,4103,7200,4109,7327,3859,7309,3854xm7662,3818l7598,3943,7721,3943,7662,3818xe" filled="true" fillcolor="#4f81bc" stroked="false">
              <v:path arrowok="t"/>
              <v:fill type="solid"/>
            </v:shape>
            <v:shape style="position:absolute;left:7166;top:3792;width:673;height:545" coordorigin="7166,3792" coordsize="673,545" path="m7455,4198l7384,4336,7425,4321,7418,4321,7402,4309,7430,4298,7479,4201,7466,4201,7455,4198xm7430,4298l7402,4309,7418,4321,7430,4298xm7808,4152l7430,4298,7418,4321,7425,4321,7838,4161,7838,4160,7812,4160,7808,4152xm7459,4189l7455,4198,7466,4201,7459,4189xm7486,4189l7459,4189,7466,4201,7479,4201,7486,4189xm7397,3871l7261,4138,7261,4138,7455,4198,7459,4189,7486,4189,7486,4187,7317,4135,7283,4135,7277,4122,7290,4122,7406,3894,7395,3890,7411,3885,7444,3885,7397,3871xm7818,4148l7808,4152,7812,4160,7818,4148xm7832,4148l7818,4148,7812,4160,7838,4160,7832,4148xm7676,3821l7650,3821,7673,3822,7661,3845,7808,4152,7818,4148,7832,4148,7676,3821xm7256,4136l7261,4138,7261,4138,7256,4136xm7393,3869l7256,4136,7261,4138,7397,3871,7393,3869xm7202,4120l7202,4120,7256,4136,7264,4122,7243,4122,7243,4121,7207,4121,7202,4120xm7277,4122l7283,4135,7288,4126,7277,4122xm7288,4126l7283,4135,7317,4135,7288,4126xm7290,4122l7277,4122,7288,4126,7290,4122xm7247,4113l7243,4122,7259,4117,7247,4113xm7366,3881l7247,4113,7259,4117,7243,4122,7264,4122,7385,3885,7377,3885,7366,3881xm7339,3853l7202,4120,7207,4121,7343,3854,7339,3853xm7343,3854l7207,4121,7243,4121,7245,4118,7229,4118,7222,4106,7236,4106,7352,3877,7341,3874,7357,3868,7390,3868,7343,3854xm7302,3841l7166,4108,7202,4120,7209,4107,7193,4107,7192,4105,7189,4105,7190,4102,7186,4094,7194,4094,7312,3865,7305,3863,7314,3859,7316,3856,7337,3856,7339,3853,7339,3853,7302,3841xm7222,4106l7229,4118,7234,4109,7222,4106xm7234,4109l7229,4118,7245,4118,7247,4113,7234,4109xm7236,4106l7222,4106,7234,4109,7236,4106xm7195,4103l7192,4104,7193,4107,7195,4103xm7316,3866l7198,4098,7204,4100,7195,4103,7193,4107,7209,4107,7331,3868,7323,3868,7316,3866xm7190,4102l7189,4105,7192,4104,7190,4102xm7192,4104l7189,4105,7192,4105,7192,4104xm7193,4096l7190,4102,7192,4104,7195,4103,7198,4098,7193,4096xm7198,4098l7195,4103,7204,4100,7198,4098xm7186,4094l7190,4102,7193,4096,7186,4094xm7312,3865l7193,4096,7198,4098,7316,3866,7312,3865xm7194,4094l7186,4094,7193,4096,7194,4094xm7444,3885l7411,3885,7406,3894,7605,3955,7613,3939,7587,3939,7591,3931,7444,3885xm7591,3931l7587,3939,7603,3934,7591,3931xm7662,3792l7591,3931,7603,3934,7587,3939,7613,3939,7661,3845,7650,3821,7676,3821,7662,3792xm7411,3885l7395,3890,7406,3894,7411,3885xm7370,3873l7366,3881,7377,3885,7370,3873xm7391,3873l7370,3873,7377,3885,7385,3885,7391,3873xm7390,3868l7357,3868,7352,3877,7366,3881,7370,3873,7391,3873,7393,3869,7393,3869,7390,3868xm7357,3868l7341,3874,7352,3877,7357,3868xm7393,3869l7393,3869,7397,3871,7393,3869xm7319,3861l7316,3866,7323,3868,7319,3861xm7336,3857l7321,3857,7319,3861,7323,3868,7331,3868,7336,3857xm7317,3858l7314,3859,7312,3865,7316,3866,7319,3861,7317,3858xm7314,3859l7305,3863,7312,3865,7314,3859xm7321,3857l7317,3858,7319,3861,7321,3857xm7316,3856l7314,3859,7317,3858,7316,3856xm7337,3856l7316,3856,7317,3858,7321,3857,7336,3857,7337,3856xm7339,3853l7339,3853,7343,3854,7339,3853xm7650,3821l7661,3845,7673,3822,7650,3821xe" filled="true" fillcolor="#385d89" stroked="false">
              <v:path arrowok="t"/>
              <v:fill type="solid"/>
            </v:shape>
            <v:rect style="position:absolute;left:7947;top:3891;width:2002;height:1193" filled="true" fillcolor="#ffffff" stroked="false">
              <v:fill type="solid"/>
            </v:rect>
            <v:rect style="position:absolute;left:7947;top:3891;width:2002;height:1193" filled="false" stroked="true" strokeweight="1.038079pt" strokecolor="#4f81bc"/>
            <v:shape style="position:absolute;left:8499;top:3354;width:692;height:483" coordorigin="8499,3354" coordsize="692,483" path="m9018,3821l8672,3821,8672,3836,9018,3836,9018,3821xm9018,3776l8672,3776,8672,3806,9018,3806,9018,3776xm9018,3595l8672,3595,8672,3761,9018,3761,9018,3595xm8845,3354l8499,3595,9191,3595,8845,3354xe" filled="true" fillcolor="#4f81bc" stroked="false">
              <v:path arrowok="t"/>
              <v:fill type="solid"/>
            </v:shape>
            <v:shape style="position:absolute;left:8467;top:3341;width:756;height:506" coordorigin="8467,3341" coordsize="756,506" path="m8660,3595l8660,3846,9030,3846,9030,3836,8685,3836,8678,3831,8672,3831,8675,3829,8672,3827,8678,3827,8685,3821,9030,3821,9030,3806,8685,3806,8672,3797,8685,3797,8685,3786,8672,3786,8685,3776,9030,3776,9030,3761,8685,3761,8672,3751,8685,3751,8685,3605,8672,3605,8660,3595xm8685,3821l8675,3829,8685,3836,8685,3821xm9005,3821l8685,3821,8685,3836,9005,3836,9005,3821xm9005,3821l9005,3836,9015,3829,9005,3821xm9015,3829l9005,3836,9030,3836,9030,3831,9018,3831,9015,3829xm8675,3829l8672,3831,8678,3831,8675,3829xm9030,3827l9018,3827,9015,3829,9018,3831,9030,3831,9030,3827xm8678,3827l8672,3827,8675,3829,8678,3827xm9030,3821l9005,3821,9015,3829,9018,3827,9030,3827,9030,3821xm8685,3797l8672,3797,8685,3806,8685,3797xm9005,3797l8685,3797,8685,3806,9005,3806,9005,3797xm9005,3776l9005,3806,9018,3797,9030,3797,9030,3786,9018,3786,9005,3776xm9030,3797l9018,3797,9005,3806,9030,3806,9030,3797xm8685,3776l8672,3786,8685,3786,8685,3776xm9005,3776l8685,3776,8685,3786,9005,3786,9005,3776xm9030,3776l9005,3776,9018,3786,9030,3786,9030,3776xm8685,3751l8672,3751,8685,3761,8685,3751xm9005,3751l8685,3751,8685,3761,9005,3761,9005,3751xm9158,3585l9005,3585,9005,3761,9018,3751,9030,3751,9030,3605,9018,3605,9030,3595,9172,3595,9158,3585xm9030,3751l9018,3751,9005,3761,9030,3761,9030,3751xm8845,3341l8467,3605,8660,3605,8660,3602,8508,3602,8499,3585,8532,3585,8845,3367,8837,3361,8874,3361,8845,3341xm8685,3595l8660,3595,8672,3605,8685,3605,8685,3595xm9030,3595l9018,3605,9030,3605,9030,3595xm9172,3595l9030,3595,9030,3605,9223,3605,9219,3602,9182,3602,9172,3595xm8532,3585l8499,3585,8508,3602,8532,3585xm8685,3585l8532,3585,8508,3602,8660,3602,8660,3595,8685,3595,8685,3585xm8874,3361l8853,3361,8845,3367,9182,3602,9191,3585,9195,3585,8874,3361xm9195,3585l9191,3585,9182,3602,9219,3602,9195,3585xm8853,3361l8837,3361,8845,3367,8853,3361xe" filled="true" fillcolor="#385d89" stroked="false">
              <v:path arrowok="t"/>
              <v:fill type="solid"/>
            </v:shape>
            <v:rect style="position:absolute;left:7671;top:241;width:2485;height:1675" filled="true" fillcolor="#ffffff" stroked="false">
              <v:fill type="solid"/>
            </v:rect>
            <v:rect style="position:absolute;left:7671;top:241;width:2485;height:1675" filled="false" stroked="true" strokeweight="1.051942pt" strokecolor="#4f81bc"/>
            <v:shape style="position:absolute;left:2424;top:1905;width:692;height:483" coordorigin="2424,1905" coordsize="692,483" path="m2942,1905l2597,1905,2597,1920,2942,1920,2942,1905xm2942,1935l2597,1935,2597,1965,2942,1965,2942,1935xm3115,2146l2424,2146,2769,2388,3115,2146xm2942,1981l2597,1981,2597,2146,2942,2146,2942,1981xe" filled="true" fillcolor="#4f81bc" stroked="false">
              <v:path arrowok="t"/>
              <v:fill type="solid"/>
            </v:shape>
            <v:shape style="position:absolute;left:2391;top:1895;width:756;height:506" coordorigin="2391,1895" coordsize="756,506" path="m2584,2137l2391,2137,2769,2401,2798,2381,2761,2381,2769,2375,2456,2156,2424,2156,2432,2139,2584,2139,2584,2137xm2769,2375l2761,2381,2778,2381,2769,2375xm3107,2139l2769,2375,2778,2381,2798,2381,3120,2156,3115,2156,3107,2139xm2432,2139l2424,2156,2456,2156,2432,2139xm2584,2139l2432,2139,2456,2156,2609,2156,2609,2146,2584,2146,2584,2139xm2930,1981l2930,2156,3083,2156,3096,2146,2955,2146,2942,2137,2955,2137,2955,1990,2942,1990,2930,1981xm3144,2139l3107,2139,3115,2156,3120,2156,3144,2139xm2955,1895l2584,1895,2584,2146,2597,2137,2609,2137,2609,1990,2597,1990,2609,1981,2955,1981,2955,1965,2609,1965,2597,1956,2609,1956,2609,1945,2597,1945,2609,1935,2955,1935,2955,1920,2609,1920,2602,1915,2597,1915,2599,1913,2597,1910,2602,1910,2609,1905,2955,1905,2955,1895xm2609,2137l2597,2137,2584,2146,2609,2146,2609,2137xm2955,2137l2942,2137,2955,2146,2955,2137xm3147,2137l2955,2137,2955,2146,3096,2146,3107,2139,3144,2139,3147,2137xm2609,1981l2597,1990,2609,1990,2609,1981xm2930,1981l2609,1981,2609,1990,2930,1990,2930,1981xm2955,1981l2930,1981,2942,1990,2955,1990,2955,1981xm2609,1956l2597,1956,2609,1965,2609,1956xm2930,1956l2609,1956,2609,1965,2930,1965,2930,1956xm2930,1935l2930,1965,2942,1956,2955,1956,2955,1945,2942,1945,2930,1935xm2955,1956l2942,1956,2930,1965,2955,1965,2955,1956xm2609,1935l2597,1945,2609,1945,2609,1935xm2930,1935l2609,1935,2609,1945,2930,1945,2930,1935xm2955,1935l2930,1935,2942,1945,2955,1945,2955,1935xm2609,1905l2599,1913,2609,1920,2609,1905xm2930,1905l2609,1905,2609,1920,2930,1920,2930,1905xm2930,1905l2930,1920,2939,1913,2930,1905xm2939,1913l2930,1920,2955,1920,2955,1915,2942,1915,2939,1913xm2599,1913l2597,1915,2602,1915,2599,1913xm2955,1910l2942,1910,2939,1913,2942,1915,2955,1915,2955,1910xm2602,1910l2597,1910,2599,1913,2602,1910xm2955,1905l2930,1905,2939,1913,2942,1910,2955,1910,2955,1905xe" filled="true" fillcolor="#385d89" stroked="false">
              <v:path arrowok="t"/>
              <v:fill type="solid"/>
            </v:shape>
            <v:shape style="position:absolute;left:8568;top:1905;width:692;height:483" coordorigin="8568,1905" coordsize="692,483" path="m9086,2373l8741,2373,8741,2388,9086,2388,9086,2373xm9086,2327l8741,2327,8741,2358,9086,2358,9086,2327xm9086,2146l8741,2146,8741,2312,9086,2312,9086,2146xm8914,1905l8568,2146,9259,2146,8914,1905xe" filled="true" fillcolor="#4f81bc" stroked="false">
              <v:path arrowok="t"/>
              <v:fill type="solid"/>
            </v:shape>
            <v:shape style="position:absolute;left:8536;top:1892;width:756;height:506" coordorigin="8536,1892" coordsize="756,506" path="m8728,2146l8728,2398,9099,2398,9099,2388,8753,2388,8746,2382,8741,2382,8744,2380,8741,2378,8746,2378,8753,2373,9099,2373,9099,2358,8753,2358,8741,2348,8753,2348,8753,2337,8741,2337,8753,2327,9099,2327,9099,2312,8753,2312,8741,2303,8753,2303,8753,2156,8741,2156,8728,2146xm8753,2373l8744,2380,8753,2388,8753,2373xm9074,2373l8753,2373,8753,2388,9074,2388,9074,2373xm9074,2373l9074,2388,9084,2380,9074,2373xm9084,2380l9074,2388,9099,2388,9099,2382,9086,2382,9084,2380xm8744,2380l8741,2382,8746,2382,8744,2380xm9099,2378l9086,2378,9084,2380,9086,2382,9099,2382,9099,2378xm8746,2378l8741,2378,8744,2380,8746,2378xm9099,2373l9074,2373,9084,2380,9086,2378,9099,2378,9099,2373xm8753,2348l8741,2348,8753,2358,8753,2348xm9074,2348l8753,2348,8753,2358,9074,2358,9074,2348xm9074,2327l9074,2358,9086,2348,9099,2348,9099,2337,9086,2337,9074,2327xm9099,2348l9086,2348,9074,2358,9099,2358,9099,2348xm8753,2327l8741,2337,8753,2337,8753,2327xm9074,2327l8753,2327,8753,2337,9074,2337,9074,2327xm9099,2327l9074,2327,9086,2337,9099,2337,9099,2327xm8753,2303l8741,2303,8753,2312,8753,2303xm9074,2303l8753,2303,8753,2312,9074,2312,9074,2303xm9227,2137l9074,2137,9074,2312,9086,2303,9099,2303,9099,2156,9086,2156,9099,2146,9241,2146,9227,2137xm9099,2303l9086,2303,9074,2312,9099,2312,9099,2303xm8914,1892l8536,2156,8728,2156,8728,2154,8576,2154,8568,2137,8601,2137,8914,1918,8905,1912,8943,1912,8914,1892xm8753,2146l8728,2146,8741,2156,8753,2156,8753,2146xm9099,2146l9086,2156,9099,2156,9099,2146xm9241,2146l9099,2146,9099,2156,9292,2156,9288,2154,9251,2154,9241,2146xm8601,2137l8568,2137,8576,2154,8601,2137xm8753,2137l8601,2137,8576,2154,8728,2154,8728,2146,8753,2146,8753,2137xm8943,1912l8922,1912,8914,1918,9251,2154,9259,2137,9264,2137,8943,1912xm9264,2137l9259,2137,9251,2154,9288,2154,9264,2137xm8922,1912l8905,1912,8914,1918,8922,1912xe" filled="true" fillcolor="#385d89" stroked="false">
              <v:path arrowok="t"/>
              <v:fill type="solid"/>
            </v:shape>
            <v:shape style="position:absolute;left:2424;top:3247;width:692;height:483" coordorigin="2424,3247" coordsize="692,483" path="m2942,3247l2597,3247,2597,3262,2942,3262,2942,3247xm2942,3277l2597,3277,2597,3307,2942,3307,2942,3277xm3115,3488l2424,3488,2769,3730,3115,3488xm2942,3322l2597,3322,2597,3488,2942,3488,2942,3322xe" filled="true" fillcolor="#4f81bc" stroked="false">
              <v:path arrowok="t"/>
              <v:fill type="solid"/>
            </v:shape>
            <v:shape style="position:absolute;left:2391;top:3237;width:756;height:506" coordorigin="2391,3237" coordsize="756,506" path="m2584,3479l2391,3479,2769,3743,2798,3722,2761,3722,2769,3717,2456,3498,2424,3498,2432,3481,2584,3481,2584,3479xm2769,3717l2761,3722,2778,3722,2769,3717xm3107,3481l2769,3717,2778,3722,2798,3722,3120,3498,3115,3498,3107,3481xm2432,3481l2424,3498,2456,3498,2432,3481xm2584,3481l2432,3481,2456,3498,2609,3498,2609,3488,2584,3488,2584,3481xm2930,3322l2930,3498,3083,3498,3096,3488,2955,3488,2942,3479,2955,3479,2955,3332,2942,3332,2930,3322xm3144,3481l3107,3481,3115,3498,3120,3498,3144,3481xm2955,3237l2584,3237,2584,3488,2597,3479,2609,3479,2609,3332,2597,3332,2609,3322,2955,3322,2955,3307,2609,3307,2597,3297,2609,3297,2609,3287,2597,3287,2609,3277,2955,3277,2955,3262,2609,3262,2602,3256,2597,3256,2599,3254,2597,3252,2602,3252,2609,3247,2955,3247,2955,3237xm2609,3479l2597,3479,2584,3488,2609,3488,2609,3479xm2955,3479l2942,3479,2955,3488,2955,3479xm3147,3479l2955,3479,2955,3488,3096,3488,3107,3481,3144,3481,3147,3479xm2609,3322l2597,3332,2609,3332,2609,3322xm2930,3322l2609,3322,2609,3332,2930,3332,2930,3322xm2955,3322l2930,3322,2942,3332,2955,3332,2955,3322xm2609,3297l2597,3297,2609,3307,2609,3297xm2930,3297l2609,3297,2609,3307,2930,3307,2930,3297xm2930,3277l2930,3307,2942,3297,2955,3297,2955,3287,2942,3287,2930,3277xm2955,3297l2942,3297,2930,3307,2955,3307,2955,3297xm2609,3277l2597,3287,2609,3287,2609,3277xm2930,3277l2609,3277,2609,3287,2930,3287,2930,3277xm2955,3277l2930,3277,2942,3287,2955,3287,2955,3277xm2609,3247l2599,3254,2609,3262,2609,3247xm2930,3247l2609,3247,2609,3262,2930,3262,2930,3247xm2930,3247l2930,3262,2939,3254,2930,3247xm2939,3254l2930,3262,2955,3262,2955,3256,2942,3256,2939,3254xm2599,3254l2597,3256,2602,3256,2599,3254xm2955,3252l2942,3252,2939,3254,2942,3256,2955,3256,2955,3252xm2602,3252l2597,3252,2599,3254,2602,3252xm2955,3247l2930,3247,2939,3254,2942,3252,2955,3252,2955,3247xe" filled="true" fillcolor="#385d89" stroked="false">
              <v:path arrowok="t"/>
              <v:fill type="solid"/>
            </v:shape>
            <v:rect style="position:absolute;left:1803;top:2441;width:2002;height:711" filled="true" fillcolor="#ffffff" stroked="false">
              <v:fill type="solid"/>
            </v:rect>
            <v:rect style="position:absolute;left:1803;top:2441;width:2002;height:711" filled="false" stroked="true" strokeweight=".996635pt" strokecolor="#4f81bc"/>
            <v:rect style="position:absolute;left:1803;top:3891;width:2002;height:871" filled="true" fillcolor="#ffffff" stroked="false">
              <v:fill type="solid"/>
            </v:rect>
            <v:rect style="position:absolute;left:1803;top:3891;width:2002;height:871" filled="false" stroked="true" strokeweight="1.009685pt" strokecolor="#4f81bc"/>
            <v:shape style="position:absolute;left:2354;top:401;width:897;height:486" type="#_x0000_t75" stroked="false">
              <v:imagedata r:id="rId201" o:title=""/>
            </v:shape>
            <v:shape style="position:absolute;left:5737;top:2441;width:1105;height:536" type="#_x0000_t75" stroked="false">
              <v:imagedata r:id="rId202" o:title=""/>
            </v:shape>
            <v:shape style="position:absolute;left:3921;top:2245;width:604;height:481" coordorigin="3921,2245" coordsize="604,481" path="m3931,2569l3921,2581,4213,2725,4223,2712,3931,2569xm3962,2530l3942,2556,4233,2699,4254,2674,3962,2530xm4399,2245l3941,2305,4087,2377,3973,2517,4264,2661,4379,2520,4499,2520,4399,2245xm4499,2520l4379,2520,4525,2592,4499,2520xe" filled="true" fillcolor="#4f81bc" stroked="false">
              <v:path arrowok="t"/>
              <v:fill type="solid"/>
            </v:shape>
            <v:shape style="position:absolute;left:3904;top:2234;width:641;height:504" coordorigin="3904,2234" coordsize="641,504" path="m3925,2559l3904,2584,4216,2738,4231,2720,4216,2720,4216,2720,4202,2720,4206,2715,3945,2586,3931,2586,3929,2579,3925,2576,3928,2576,3927,2573,3954,2573,3925,2559xm4216,2717l4212,2718,4216,2720,4216,2717xm4226,2707l4213,2707,4215,2715,4219,2717,4216,2717,4216,2720,4231,2720,4237,2712,4226,2707xm4206,2715l4202,2720,4212,2718,4206,2715xm4212,2718l4202,2720,4216,2720,4212,2718xm4209,2712l4206,2715,4212,2718,4216,2717,4215,2715,4209,2712xm4215,2715l4216,2717,4219,2717,4215,2715xm3938,2578l3935,2582,4206,2715,4209,2712,3938,2578xm4213,2707l4209,2712,4215,2715,4213,2707xm3950,2555l3927,2555,4240,2709,4237,2712,4237,2712,4252,2694,4223,2694,4230,2686,3975,2561,3952,2561,3950,2555xm3927,2555l3925,2559,4237,2712,4240,2709,3927,2555xm3955,2574l3941,2574,3938,2578,4209,2712,4213,2707,4226,2707,3955,2574xm4230,2686l4223,2694,4240,2691,4230,2686xm4237,2676l4230,2686,4240,2691,4223,2694,4252,2694,4262,2682,4248,2682,4237,2676xm4244,2668l4237,2676,4248,2682,4244,2668xm4257,2668l4244,2668,4248,2682,4262,2682,4268,2674,4268,2674,4257,2668xm3986,2535l3973,2535,3966,2543,4237,2676,4244,2668,4257,2668,3986,2535xm3959,2517l3956,2520,4268,2674,4271,2671,3959,2517xm4271,2671l4268,2674,4268,2674,4271,2671,4271,2671xm4070,2380l3959,2517,4271,2671,4283,2656,4254,2656,4261,2648,4006,2523,3983,2523,3979,2509,3994,2509,4095,2385,4080,2385,4070,2380xm4261,2648l4254,2656,4271,2653,4261,2648xm4375,2507l4261,2648,4271,2653,4254,2656,4283,2656,4382,2534,4372,2528,4389,2525,4412,2525,4375,2507xm4412,2525l4389,2525,4382,2534,4545,2613,4538,2595,4513,2595,4504,2571,4412,2525xm4504,2571l4513,2595,4531,2584,4504,2571xm4412,2247l4387,2247,4401,2254,4390,2255,4504,2571,4531,2584,4513,2595,4538,2595,4412,2247xm3929,2579l3931,2586,3935,2582,3929,2579xm3935,2582l3931,2586,3945,2586,3935,2582xm3931,2575l3928,2576,3929,2579,3935,2582,3938,2578,3931,2575xm3928,2576l3925,2576,3929,2579,3928,2576xm3941,2574l3931,2575,3938,2578,3941,2574xm3927,2573l3928,2576,3931,2575,3927,2573xm3954,2573l3927,2573,3931,2575,3941,2574,3955,2574,3954,2573xm3948,2548l3952,2561,3958,2553,3948,2548xm3958,2553l3952,2561,3975,2561,3958,2553xm3958,2517l3925,2559,3925,2559,3927,2555,3950,2555,3948,2548,3962,2548,3966,2543,3956,2538,3973,2535,3986,2535,3956,2520,3959,2517,3958,2517xm3962,2548l3948,2548,3958,2553,3962,2548xm3973,2535l3956,2538,3966,2543,3973,2535xm4389,2525l4372,2528,4382,2534,4389,2525xm3979,2509l3983,2523,3989,2514,3979,2509xm3989,2514l3983,2523,4006,2523,3989,2514xm3994,2509l3979,2509,3989,2514,3994,2509xm4076,2372l4070,2380,4080,2385,4076,2372xm4099,2372l4076,2372,4080,2385,4095,2385,4104,2374,4099,2372xm4407,2234l3908,2300,4070,2380,4076,2372,4099,2372,3983,2315,3943,2315,3947,2297,4073,2297,4390,2255,4387,2247,4412,2247,4407,2234xm3947,2297l3943,2315,3974,2311,3947,2297xm3974,2311l3943,2315,3983,2315,3974,2311xm4073,2297l3947,2297,3974,2311,4073,2297xm4387,2247l4390,2255,4401,2254,4387,2247xe" filled="true" fillcolor="#385d89" stroked="false">
              <v:path arrowok="t"/>
              <v:fill type="solid"/>
            </v:shape>
            <v:shape style="position:absolute;left:1790;top:231;width:2015;height:1418" type="#_x0000_t202" filled="false" stroked="false">
              <v:textbox inset="0,0,0,0">
                <w:txbxContent>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3"/>
                      <w:rPr>
                        <w:sz w:val="16"/>
                      </w:rPr>
                    </w:pPr>
                  </w:p>
                  <w:p>
                    <w:pPr>
                      <w:spacing w:before="0"/>
                      <w:ind w:left="121" w:right="110" w:firstLine="0"/>
                      <w:jc w:val="center"/>
                      <w:rPr>
                        <w:b/>
                        <w:sz w:val="13"/>
                      </w:rPr>
                    </w:pPr>
                    <w:r>
                      <w:rPr>
                        <w:b/>
                        <w:w w:val="130"/>
                        <w:sz w:val="13"/>
                      </w:rPr>
                      <w:t>1776</w:t>
                    </w:r>
                  </w:p>
                  <w:p>
                    <w:pPr>
                      <w:spacing w:before="9"/>
                      <w:ind w:left="120" w:right="110" w:firstLine="0"/>
                      <w:jc w:val="center"/>
                      <w:rPr>
                        <w:b/>
                        <w:sz w:val="13"/>
                      </w:rPr>
                    </w:pPr>
                    <w:r>
                      <w:rPr>
                        <w:b/>
                        <w:w w:val="130"/>
                        <w:sz w:val="13"/>
                      </w:rPr>
                      <w:t>Suecia</w:t>
                    </w:r>
                  </w:p>
                  <w:p>
                    <w:pPr>
                      <w:spacing w:before="9"/>
                      <w:ind w:left="119" w:right="110" w:firstLine="0"/>
                      <w:jc w:val="center"/>
                      <w:rPr>
                        <w:b/>
                        <w:sz w:val="13"/>
                      </w:rPr>
                    </w:pPr>
                    <w:r>
                      <w:rPr>
                        <w:b/>
                        <w:w w:val="130"/>
                        <w:sz w:val="13"/>
                      </w:rPr>
                      <w:t>Ley de Libertad de</w:t>
                    </w:r>
                  </w:p>
                  <w:p>
                    <w:pPr>
                      <w:spacing w:before="10"/>
                      <w:ind w:left="121" w:right="110" w:firstLine="0"/>
                      <w:jc w:val="center"/>
                      <w:rPr>
                        <w:b/>
                        <w:sz w:val="13"/>
                      </w:rPr>
                    </w:pPr>
                    <w:r>
                      <w:rPr>
                        <w:b/>
                        <w:w w:val="130"/>
                        <w:sz w:val="13"/>
                      </w:rPr>
                      <w:t>Prensa</w:t>
                    </w:r>
                  </w:p>
                </w:txbxContent>
              </v:textbox>
              <w10:wrap type="none"/>
            </v:shape>
            <v:shape style="position:absolute;left:7671;top:231;width:2498;height:1685" type="#_x0000_t202" filled="false" stroked="false">
              <v:textbox inset="0,0,0,0">
                <w:txbxContent>
                  <w:p>
                    <w:pPr>
                      <w:spacing w:before="49"/>
                      <w:ind w:left="562" w:right="0" w:firstLine="0"/>
                      <w:jc w:val="left"/>
                      <w:rPr>
                        <w:b/>
                        <w:sz w:val="13"/>
                      </w:rPr>
                    </w:pPr>
                    <w:r>
                      <w:rPr>
                        <w:b/>
                        <w:w w:val="130"/>
                        <w:sz w:val="13"/>
                      </w:rPr>
                      <w:t>12 de junio, 2003</w:t>
                    </w:r>
                  </w:p>
                  <w:p>
                    <w:pPr>
                      <w:spacing w:line="240" w:lineRule="auto" w:before="7"/>
                      <w:rPr>
                        <w:sz w:val="14"/>
                      </w:rPr>
                    </w:pPr>
                  </w:p>
                  <w:p>
                    <w:pPr>
                      <w:spacing w:line="254" w:lineRule="auto" w:before="0"/>
                      <w:ind w:left="157" w:right="167" w:hanging="1"/>
                      <w:jc w:val="center"/>
                      <w:rPr>
                        <w:b/>
                        <w:sz w:val="13"/>
                      </w:rPr>
                    </w:pPr>
                    <w:r>
                      <w:rPr>
                        <w:b/>
                        <w:w w:val="130"/>
                        <w:sz w:val="13"/>
                      </w:rPr>
                      <w:t>La LIFAI obliga a las dependencias y entidades del gobierno federal a dar acceso a la información de su forma de trabajo, el ejercicio de los recursos públicos, sus resultados y su desempeño.</w:t>
                    </w:r>
                  </w:p>
                </w:txbxContent>
              </v:textbox>
              <w10:wrap type="none"/>
            </v:shape>
            <v:shape style="position:absolute;left:1790;top:2441;width:2015;height:712" type="#_x0000_t202" filled="false" stroked="false">
              <v:textbox inset="0,0,0,0">
                <w:txbxContent>
                  <w:p>
                    <w:pPr>
                      <w:spacing w:before="40"/>
                      <w:ind w:left="121" w:right="110" w:firstLine="0"/>
                      <w:jc w:val="center"/>
                      <w:rPr>
                        <w:b/>
                        <w:sz w:val="13"/>
                      </w:rPr>
                    </w:pPr>
                    <w:r>
                      <w:rPr>
                        <w:b/>
                        <w:w w:val="130"/>
                        <w:sz w:val="13"/>
                      </w:rPr>
                      <w:t>1948</w:t>
                    </w:r>
                  </w:p>
                  <w:p>
                    <w:pPr>
                      <w:spacing w:line="254" w:lineRule="auto" w:before="9"/>
                      <w:ind w:left="123" w:right="110" w:firstLine="0"/>
                      <w:jc w:val="center"/>
                      <w:rPr>
                        <w:b/>
                        <w:sz w:val="13"/>
                      </w:rPr>
                    </w:pPr>
                    <w:r>
                      <w:rPr>
                        <w:b/>
                        <w:w w:val="130"/>
                        <w:sz w:val="13"/>
                      </w:rPr>
                      <w:t>Declaración Universal de los Derechos Humanos (art. 19)</w:t>
                    </w:r>
                  </w:p>
                </w:txbxContent>
              </v:textbox>
              <w10:wrap type="none"/>
            </v:shape>
            <v:shape style="position:absolute;left:1790;top:3891;width:2015;height:872" type="#_x0000_t202" filled="false" stroked="false">
              <v:textbox inset="0,0,0,0">
                <w:txbxContent>
                  <w:p>
                    <w:pPr>
                      <w:spacing w:before="40"/>
                      <w:ind w:left="121" w:right="110" w:firstLine="0"/>
                      <w:jc w:val="center"/>
                      <w:rPr>
                        <w:b/>
                        <w:sz w:val="13"/>
                      </w:rPr>
                    </w:pPr>
                    <w:r>
                      <w:rPr>
                        <w:b/>
                        <w:w w:val="130"/>
                        <w:sz w:val="13"/>
                      </w:rPr>
                      <w:t>1969</w:t>
                    </w:r>
                  </w:p>
                  <w:p>
                    <w:pPr>
                      <w:spacing w:line="254" w:lineRule="auto" w:before="9"/>
                      <w:ind w:left="213" w:right="201" w:firstLine="2"/>
                      <w:jc w:val="center"/>
                      <w:rPr>
                        <w:b/>
                        <w:sz w:val="13"/>
                      </w:rPr>
                    </w:pPr>
                    <w:r>
                      <w:rPr>
                        <w:b/>
                        <w:w w:val="130"/>
                        <w:sz w:val="13"/>
                      </w:rPr>
                      <w:t>Convención Americana sobre Derechos Humanos (art. 13)</w:t>
                    </w:r>
                  </w:p>
                </w:txbxContent>
              </v:textbox>
              <w10:wrap type="none"/>
            </v:shape>
            <v:shape style="position:absolute;left:7947;top:3891;width:2002;height:1227" type="#_x0000_t202" filled="false" stroked="false">
              <v:textbox inset="0,0,0,0">
                <w:txbxContent>
                  <w:p>
                    <w:pPr>
                      <w:spacing w:before="40"/>
                      <w:ind w:left="106" w:right="106" w:firstLine="0"/>
                      <w:jc w:val="center"/>
                      <w:rPr>
                        <w:b/>
                        <w:sz w:val="13"/>
                      </w:rPr>
                    </w:pPr>
                    <w:r>
                      <w:rPr>
                        <w:b/>
                        <w:w w:val="130"/>
                        <w:sz w:val="13"/>
                      </w:rPr>
                      <w:t>12 de junio, 2002</w:t>
                    </w:r>
                  </w:p>
                  <w:p>
                    <w:pPr>
                      <w:spacing w:line="240" w:lineRule="auto" w:before="7"/>
                      <w:rPr>
                        <w:sz w:val="14"/>
                      </w:rPr>
                    </w:pPr>
                  </w:p>
                  <w:p>
                    <w:pPr>
                      <w:spacing w:line="254" w:lineRule="auto" w:before="0"/>
                      <w:ind w:left="107" w:right="103" w:firstLine="0"/>
                      <w:jc w:val="center"/>
                      <w:rPr>
                        <w:b/>
                        <w:sz w:val="13"/>
                      </w:rPr>
                    </w:pPr>
                    <w:r>
                      <w:rPr>
                        <w:b/>
                        <w:w w:val="130"/>
                        <w:sz w:val="13"/>
                      </w:rPr>
                      <w:t>Ley Federal de Transparencia y Acceso a la Información Pública Gubernamental</w:t>
                    </w:r>
                  </w:p>
                </w:txbxContent>
              </v:textbox>
              <w10:wrap type="none"/>
            </v:shape>
            <v:shape style="position:absolute;left:6255;top:4373;width:1451;height:660" type="#_x0000_t202" filled="false" stroked="false">
              <v:textbox inset="0,0,0,0">
                <w:txbxContent>
                  <w:p>
                    <w:pPr>
                      <w:spacing w:line="115" w:lineRule="exact" w:before="0"/>
                      <w:ind w:left="0" w:right="0" w:firstLine="0"/>
                      <w:jc w:val="center"/>
                      <w:rPr>
                        <w:b/>
                        <w:sz w:val="11"/>
                      </w:rPr>
                    </w:pPr>
                    <w:r>
                      <w:rPr>
                        <w:b/>
                        <w:w w:val="135"/>
                        <w:sz w:val="11"/>
                      </w:rPr>
                      <w:t>El Estado mexicano</w:t>
                    </w:r>
                  </w:p>
                  <w:p>
                    <w:pPr>
                      <w:spacing w:line="259" w:lineRule="auto" w:before="10"/>
                      <w:ind w:left="0" w:right="0" w:firstLine="0"/>
                      <w:jc w:val="center"/>
                      <w:rPr>
                        <w:b/>
                        <w:sz w:val="11"/>
                      </w:rPr>
                    </w:pPr>
                    <w:r>
                      <w:rPr>
                        <w:b/>
                        <w:w w:val="135"/>
                        <w:sz w:val="11"/>
                      </w:rPr>
                      <w:t>crea la ley para subsanar las deficiencias</w:t>
                    </w:r>
                    <w:r>
                      <w:rPr>
                        <w:b/>
                        <w:spacing w:val="-17"/>
                        <w:w w:val="135"/>
                        <w:sz w:val="11"/>
                      </w:rPr>
                      <w:t> </w:t>
                    </w:r>
                    <w:r>
                      <w:rPr>
                        <w:b/>
                        <w:w w:val="135"/>
                        <w:sz w:val="11"/>
                      </w:rPr>
                      <w:t>y</w:t>
                    </w:r>
                    <w:r>
                      <w:rPr>
                        <w:b/>
                        <w:spacing w:val="-15"/>
                        <w:w w:val="135"/>
                        <w:sz w:val="11"/>
                      </w:rPr>
                      <w:t> </w:t>
                    </w:r>
                    <w:r>
                      <w:rPr>
                        <w:b/>
                        <w:w w:val="135"/>
                        <w:sz w:val="11"/>
                      </w:rPr>
                      <w:t>vacíos</w:t>
                    </w:r>
                    <w:r>
                      <w:rPr>
                        <w:b/>
                        <w:w w:val="132"/>
                        <w:sz w:val="11"/>
                      </w:rPr>
                      <w:t> </w:t>
                    </w:r>
                    <w:r>
                      <w:rPr>
                        <w:b/>
                        <w:w w:val="135"/>
                        <w:sz w:val="11"/>
                      </w:rPr>
                      <w:t>legales</w:t>
                    </w:r>
                  </w:p>
                </w:txbxContent>
              </v:textbox>
              <w10:wrap type="none"/>
            </v:shape>
            <v:shape style="position:absolute;left:4012;top:1421;width:2002;height:712" type="#_x0000_t202" filled="true" fillcolor="#ffffff" stroked="true" strokeweight="1.013397pt" strokecolor="#4f81bc">
              <v:textbox inset="0,0,0,0">
                <w:txbxContent>
                  <w:p>
                    <w:pPr>
                      <w:spacing w:before="30"/>
                      <w:ind w:left="77" w:right="66" w:firstLine="0"/>
                      <w:jc w:val="left"/>
                      <w:rPr>
                        <w:b/>
                        <w:sz w:val="13"/>
                      </w:rPr>
                    </w:pPr>
                    <w:r>
                      <w:rPr>
                        <w:b/>
                        <w:w w:val="130"/>
                        <w:sz w:val="13"/>
                      </w:rPr>
                      <w:t>1951: Finlandia</w:t>
                    </w:r>
                  </w:p>
                  <w:p>
                    <w:pPr>
                      <w:spacing w:before="9"/>
                      <w:ind w:left="77" w:right="66" w:firstLine="0"/>
                      <w:jc w:val="left"/>
                      <w:rPr>
                        <w:b/>
                        <w:sz w:val="13"/>
                      </w:rPr>
                    </w:pPr>
                    <w:r>
                      <w:rPr>
                        <w:b/>
                        <w:w w:val="130"/>
                        <w:sz w:val="13"/>
                      </w:rPr>
                      <w:t>1964: Dinamarca</w:t>
                    </w:r>
                  </w:p>
                  <w:p>
                    <w:pPr>
                      <w:spacing w:before="9"/>
                      <w:ind w:left="77" w:right="66" w:firstLine="0"/>
                      <w:jc w:val="left"/>
                      <w:rPr>
                        <w:b/>
                        <w:sz w:val="13"/>
                      </w:rPr>
                    </w:pPr>
                    <w:r>
                      <w:rPr>
                        <w:b/>
                        <w:w w:val="130"/>
                        <w:sz w:val="13"/>
                      </w:rPr>
                      <w:t>1966: Estados Unidos</w:t>
                    </w:r>
                  </w:p>
                  <w:p>
                    <w:pPr>
                      <w:spacing w:before="9"/>
                      <w:ind w:left="77" w:right="66" w:firstLine="0"/>
                      <w:jc w:val="left"/>
                      <w:rPr>
                        <w:b/>
                        <w:sz w:val="13"/>
                      </w:rPr>
                    </w:pPr>
                    <w:r>
                      <w:rPr>
                        <w:b/>
                        <w:w w:val="130"/>
                        <w:sz w:val="13"/>
                      </w:rPr>
                      <w:t>1978: Francia</w:t>
                    </w:r>
                  </w:p>
                </w:txbxContent>
              </v:textbox>
              <v:fill type="solid"/>
              <w10:wrap type="none"/>
            </v:shape>
            <v:shape style="position:absolute;left:4909;top:2280;width:2002;height:1836" type="#_x0000_t202" filled="false" stroked="true" strokeweight="1.126449pt" strokecolor="#4f81bc">
              <v:textbox inset="0,0,0,0">
                <w:txbxContent>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8"/>
                      <w:rPr>
                        <w:sz w:val="11"/>
                      </w:rPr>
                    </w:pPr>
                  </w:p>
                  <w:p>
                    <w:pPr>
                      <w:spacing w:before="0"/>
                      <w:ind w:left="106" w:right="106" w:firstLine="0"/>
                      <w:jc w:val="center"/>
                      <w:rPr>
                        <w:b/>
                        <w:sz w:val="13"/>
                      </w:rPr>
                    </w:pPr>
                    <w:r>
                      <w:rPr>
                        <w:b/>
                        <w:w w:val="130"/>
                        <w:sz w:val="13"/>
                      </w:rPr>
                      <w:t>1977</w:t>
                    </w:r>
                  </w:p>
                  <w:p>
                    <w:pPr>
                      <w:spacing w:line="254" w:lineRule="auto" w:before="9"/>
                      <w:ind w:left="78" w:right="66" w:firstLine="621"/>
                      <w:jc w:val="left"/>
                      <w:rPr>
                        <w:b/>
                        <w:sz w:val="13"/>
                      </w:rPr>
                    </w:pPr>
                    <w:r>
                      <w:rPr>
                        <w:b/>
                        <w:w w:val="130"/>
                        <w:sz w:val="13"/>
                      </w:rPr>
                      <w:t>México Constitución Política de los Estados Unidos</w:t>
                    </w:r>
                  </w:p>
                  <w:p>
                    <w:pPr>
                      <w:spacing w:line="254" w:lineRule="auto" w:before="1"/>
                      <w:ind w:left="541" w:right="539" w:hanging="1"/>
                      <w:jc w:val="center"/>
                      <w:rPr>
                        <w:b/>
                        <w:sz w:val="13"/>
                      </w:rPr>
                    </w:pPr>
                    <w:r>
                      <w:rPr>
                        <w:b/>
                        <w:w w:val="130"/>
                        <w:sz w:val="13"/>
                      </w:rPr>
                      <w:t>Mexicanos (arts. 6 y 8)</w:t>
                    </w:r>
                  </w:p>
                </w:txbxContent>
              </v:textbox>
              <w10:wrap type="none"/>
            </v:shape>
            <v:shape style="position:absolute;left:7947;top:2334;width:2002;height:1032" type="#_x0000_t202" filled="true" fillcolor="#ffffff" stroked="true" strokeweight="1.050006pt" strokecolor="#4f81bc">
              <v:textbox inset="0,0,0,0">
                <w:txbxContent>
                  <w:p>
                    <w:pPr>
                      <w:spacing w:before="29"/>
                      <w:ind w:left="107" w:right="106" w:firstLine="0"/>
                      <w:jc w:val="center"/>
                      <w:rPr>
                        <w:b/>
                        <w:sz w:val="13"/>
                      </w:rPr>
                    </w:pPr>
                    <w:r>
                      <w:rPr>
                        <w:b/>
                        <w:w w:val="130"/>
                        <w:sz w:val="13"/>
                      </w:rPr>
                      <w:t>20 de diciembre, 2002</w:t>
                    </w:r>
                  </w:p>
                  <w:p>
                    <w:pPr>
                      <w:spacing w:line="240" w:lineRule="auto" w:before="7"/>
                      <w:rPr>
                        <w:sz w:val="14"/>
                      </w:rPr>
                    </w:pPr>
                  </w:p>
                  <w:p>
                    <w:pPr>
                      <w:spacing w:line="254" w:lineRule="auto" w:before="0"/>
                      <w:ind w:left="177" w:right="173" w:hanging="2"/>
                      <w:jc w:val="center"/>
                      <w:rPr>
                        <w:b/>
                        <w:sz w:val="13"/>
                      </w:rPr>
                    </w:pPr>
                    <w:r>
                      <w:rPr>
                        <w:b/>
                        <w:w w:val="130"/>
                        <w:sz w:val="13"/>
                      </w:rPr>
                      <w:t>Creación del Instituto Federal de Acceso a la Información Pública</w:t>
                    </w:r>
                  </w:p>
                </w:txbxContent>
              </v:textbox>
              <v:fill type="solid"/>
              <w10:wrap type="none"/>
            </v:shape>
            <w10:wrap type="topAndBottom"/>
          </v:group>
        </w:pict>
      </w:r>
    </w:p>
    <w:p>
      <w:pPr>
        <w:spacing w:line="276" w:lineRule="auto" w:before="136"/>
        <w:ind w:left="850" w:right="1664" w:hanging="708"/>
        <w:jc w:val="left"/>
        <w:rPr>
          <w:sz w:val="12"/>
        </w:rPr>
      </w:pPr>
      <w:r>
        <w:rPr>
          <w:sz w:val="12"/>
        </w:rPr>
        <w:t>FUENTE: Transparencia y Acceso a la Información Pública Gubernamental, Cultura de Transparencia, IFAI 2011, Módulo I. Salazar (2008: 226)</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4"/>
        <w:rPr>
          <w:sz w:val="13"/>
        </w:rPr>
      </w:pPr>
    </w:p>
    <w:p>
      <w:pPr>
        <w:pStyle w:val="BodyText"/>
        <w:spacing w:line="360" w:lineRule="auto"/>
        <w:ind w:left="142" w:right="118" w:firstLine="427"/>
        <w:jc w:val="both"/>
        <w:rPr>
          <w:sz w:val="16"/>
        </w:rPr>
      </w:pPr>
      <w:r>
        <w:rPr/>
        <w:t>A partir de 1776 el acceso a la información</w:t>
      </w:r>
      <w:r>
        <w:rPr>
          <w:position w:val="8"/>
          <w:sz w:val="16"/>
        </w:rPr>
        <w:t>117 </w:t>
      </w:r>
      <w:r>
        <w:rPr/>
        <w:t>fue imprescindible en la comunidad internacional, y en la actualidad ésta consiste en tener información confiable y completa para la toma de decisiones estratégicas y la evaluación de las políticas públicas, entre otros.</w:t>
      </w:r>
      <w:r>
        <w:rPr>
          <w:position w:val="8"/>
          <w:sz w:val="16"/>
        </w:rPr>
        <w:t>118</w:t>
      </w:r>
    </w:p>
    <w:p>
      <w:pPr>
        <w:pStyle w:val="BodyText"/>
        <w:spacing w:before="1"/>
        <w:rPr>
          <w:sz w:val="22"/>
        </w:rPr>
      </w:pPr>
      <w:r>
        <w:rPr/>
        <w:pict>
          <v:line style="position:absolute;mso-position-horizontal-relative:page;mso-position-vertical-relative:paragraph;z-index:9448;mso-wrap-distance-left:0;mso-wrap-distance-right:0" from="85.103996pt,15.044474pt" to="229.123996pt,15.044474pt" stroked="true" strokeweight=".71997pt" strokecolor="#000000">
            <w10:wrap type="topAndBottom"/>
          </v:line>
        </w:pict>
      </w:r>
    </w:p>
    <w:p>
      <w:pPr>
        <w:spacing w:line="249" w:lineRule="auto" w:before="62"/>
        <w:ind w:left="142" w:right="119" w:firstLine="0"/>
        <w:jc w:val="both"/>
        <w:rPr>
          <w:sz w:val="16"/>
        </w:rPr>
      </w:pPr>
      <w:r>
        <w:rPr>
          <w:rFonts w:ascii="Times New Roman" w:hAnsi="Times New Roman"/>
          <w:position w:val="7"/>
          <w:sz w:val="13"/>
        </w:rPr>
        <w:t>117</w:t>
      </w:r>
      <w:r>
        <w:rPr>
          <w:sz w:val="16"/>
        </w:rPr>
        <w:t>El derecho a la información está fundado en el artículo 19 de la Declaración Universal de los Derechos Humanos: “Todo</w:t>
      </w:r>
      <w:r>
        <w:rPr>
          <w:spacing w:val="-7"/>
          <w:sz w:val="16"/>
        </w:rPr>
        <w:t> </w:t>
      </w:r>
      <w:r>
        <w:rPr>
          <w:sz w:val="16"/>
        </w:rPr>
        <w:t>individuo</w:t>
      </w:r>
      <w:r>
        <w:rPr>
          <w:spacing w:val="-7"/>
          <w:sz w:val="16"/>
        </w:rPr>
        <w:t> </w:t>
      </w:r>
      <w:r>
        <w:rPr>
          <w:sz w:val="16"/>
        </w:rPr>
        <w:t>tiene</w:t>
      </w:r>
      <w:r>
        <w:rPr>
          <w:spacing w:val="-7"/>
          <w:sz w:val="16"/>
        </w:rPr>
        <w:t> </w:t>
      </w:r>
      <w:r>
        <w:rPr>
          <w:sz w:val="16"/>
        </w:rPr>
        <w:t>derecho</w:t>
      </w:r>
      <w:r>
        <w:rPr>
          <w:spacing w:val="-7"/>
          <w:sz w:val="16"/>
        </w:rPr>
        <w:t> </w:t>
      </w:r>
      <w:r>
        <w:rPr>
          <w:sz w:val="16"/>
        </w:rPr>
        <w:t>a</w:t>
      </w:r>
      <w:r>
        <w:rPr>
          <w:spacing w:val="-7"/>
          <w:sz w:val="16"/>
        </w:rPr>
        <w:t> </w:t>
      </w:r>
      <w:r>
        <w:rPr>
          <w:sz w:val="16"/>
        </w:rPr>
        <w:t>la</w:t>
      </w:r>
      <w:r>
        <w:rPr>
          <w:spacing w:val="-7"/>
          <w:sz w:val="16"/>
        </w:rPr>
        <w:t> </w:t>
      </w:r>
      <w:r>
        <w:rPr>
          <w:sz w:val="16"/>
        </w:rPr>
        <w:t>libertad</w:t>
      </w:r>
      <w:r>
        <w:rPr>
          <w:spacing w:val="-7"/>
          <w:sz w:val="16"/>
        </w:rPr>
        <w:t> </w:t>
      </w:r>
      <w:r>
        <w:rPr>
          <w:sz w:val="16"/>
        </w:rPr>
        <w:t>de</w:t>
      </w:r>
      <w:r>
        <w:rPr>
          <w:spacing w:val="-7"/>
          <w:sz w:val="16"/>
        </w:rPr>
        <w:t> </w:t>
      </w:r>
      <w:r>
        <w:rPr>
          <w:sz w:val="16"/>
        </w:rPr>
        <w:t>opinión</w:t>
      </w:r>
      <w:r>
        <w:rPr>
          <w:spacing w:val="-7"/>
          <w:sz w:val="16"/>
        </w:rPr>
        <w:t> </w:t>
      </w:r>
      <w:r>
        <w:rPr>
          <w:sz w:val="16"/>
        </w:rPr>
        <w:t>y</w:t>
      </w:r>
      <w:r>
        <w:rPr>
          <w:spacing w:val="-7"/>
          <w:sz w:val="16"/>
        </w:rPr>
        <w:t> </w:t>
      </w:r>
      <w:r>
        <w:rPr>
          <w:sz w:val="16"/>
        </w:rPr>
        <w:t>de</w:t>
      </w:r>
      <w:r>
        <w:rPr>
          <w:spacing w:val="-7"/>
          <w:sz w:val="16"/>
        </w:rPr>
        <w:t> </w:t>
      </w:r>
      <w:r>
        <w:rPr>
          <w:sz w:val="16"/>
        </w:rPr>
        <w:t>expresión;</w:t>
      </w:r>
      <w:r>
        <w:rPr>
          <w:spacing w:val="-5"/>
          <w:sz w:val="16"/>
        </w:rPr>
        <w:t> </w:t>
      </w:r>
      <w:r>
        <w:rPr>
          <w:sz w:val="16"/>
        </w:rPr>
        <w:t>[…]</w:t>
      </w:r>
      <w:r>
        <w:rPr>
          <w:spacing w:val="-7"/>
          <w:sz w:val="16"/>
        </w:rPr>
        <w:t> </w:t>
      </w:r>
      <w:r>
        <w:rPr>
          <w:sz w:val="16"/>
        </w:rPr>
        <w:t>el</w:t>
      </w:r>
      <w:r>
        <w:rPr>
          <w:spacing w:val="-6"/>
          <w:sz w:val="16"/>
        </w:rPr>
        <w:t> </w:t>
      </w:r>
      <w:r>
        <w:rPr>
          <w:sz w:val="16"/>
        </w:rPr>
        <w:t>investigar</w:t>
      </w:r>
      <w:r>
        <w:rPr>
          <w:spacing w:val="-7"/>
          <w:sz w:val="16"/>
        </w:rPr>
        <w:t> </w:t>
      </w:r>
      <w:r>
        <w:rPr>
          <w:sz w:val="16"/>
        </w:rPr>
        <w:t>y</w:t>
      </w:r>
      <w:r>
        <w:rPr>
          <w:spacing w:val="-7"/>
          <w:sz w:val="16"/>
        </w:rPr>
        <w:t> </w:t>
      </w:r>
      <w:r>
        <w:rPr>
          <w:sz w:val="16"/>
        </w:rPr>
        <w:t>recibir</w:t>
      </w:r>
      <w:r>
        <w:rPr>
          <w:spacing w:val="-8"/>
          <w:sz w:val="16"/>
        </w:rPr>
        <w:t> </w:t>
      </w:r>
      <w:r>
        <w:rPr>
          <w:sz w:val="16"/>
        </w:rPr>
        <w:t>informaciones</w:t>
      </w:r>
      <w:r>
        <w:rPr>
          <w:spacing w:val="-5"/>
          <w:sz w:val="16"/>
        </w:rPr>
        <w:t> </w:t>
      </w:r>
      <w:r>
        <w:rPr>
          <w:sz w:val="16"/>
        </w:rPr>
        <w:t>y</w:t>
      </w:r>
      <w:r>
        <w:rPr>
          <w:spacing w:val="-7"/>
          <w:sz w:val="16"/>
        </w:rPr>
        <w:t> </w:t>
      </w:r>
      <w:r>
        <w:rPr>
          <w:sz w:val="16"/>
        </w:rPr>
        <w:t>opiniones […]”</w:t>
      </w:r>
    </w:p>
    <w:p>
      <w:pPr>
        <w:spacing w:line="175" w:lineRule="exact" w:before="0"/>
        <w:ind w:left="142" w:right="0" w:firstLine="0"/>
        <w:jc w:val="both"/>
        <w:rPr>
          <w:sz w:val="16"/>
        </w:rPr>
      </w:pPr>
      <w:r>
        <w:rPr>
          <w:sz w:val="16"/>
        </w:rPr>
        <w:t>Disponible en: </w:t>
      </w:r>
      <w:hyperlink r:id="rId203">
        <w:r>
          <w:rPr>
            <w:color w:val="0000FF"/>
            <w:sz w:val="16"/>
            <w:u w:val="single" w:color="0000FF"/>
          </w:rPr>
          <w:t>http://www.un.org/es/documents/udhr/ </w:t>
        </w:r>
      </w:hyperlink>
      <w:r>
        <w:rPr>
          <w:sz w:val="16"/>
        </w:rPr>
        <w:t>[Fecha de consulta: 22 de septiembre, 2015]</w:t>
      </w:r>
    </w:p>
    <w:p>
      <w:pPr>
        <w:spacing w:line="256" w:lineRule="auto" w:before="0"/>
        <w:ind w:left="142" w:right="120" w:firstLine="0"/>
        <w:jc w:val="both"/>
        <w:rPr>
          <w:sz w:val="16"/>
        </w:rPr>
      </w:pPr>
      <w:r>
        <w:rPr>
          <w:rFonts w:ascii="Calibri" w:hAnsi="Calibri"/>
          <w:position w:val="8"/>
          <w:sz w:val="14"/>
        </w:rPr>
        <w:t>118</w:t>
      </w:r>
      <w:r>
        <w:rPr>
          <w:sz w:val="16"/>
        </w:rPr>
        <w:t>Stiglitz (2002) consideró que la escasa transparencia permite llevar a cabo intereses especiales y sirve para ocultar errores, y que aun cuando las políticas no obedezcan a intereses especiales, el secreto engendra sospechas y socaba la democracia, ya que impide una rendición de cuentas y se omite información para la toma de decisiones.</w:t>
      </w:r>
    </w:p>
    <w:p>
      <w:pPr>
        <w:spacing w:after="0" w:line="256" w:lineRule="auto"/>
        <w:jc w:val="both"/>
        <w:rPr>
          <w:sz w:val="16"/>
        </w:rPr>
        <w:sectPr>
          <w:pgSz w:w="11910" w:h="16840"/>
          <w:pgMar w:header="0" w:footer="1003" w:top="1340" w:bottom="1200" w:left="1560" w:right="1580"/>
        </w:sectPr>
      </w:pPr>
    </w:p>
    <w:p>
      <w:pPr>
        <w:pStyle w:val="BodyText"/>
        <w:spacing w:line="355" w:lineRule="auto" w:before="55"/>
        <w:ind w:left="122" w:right="121" w:firstLine="427"/>
        <w:jc w:val="both"/>
        <w:rPr>
          <w:sz w:val="16"/>
        </w:rPr>
      </w:pPr>
      <w:r>
        <w:rPr/>
        <w:t>En México el artículo 6º. Constitucional establece la garantía del derecho a la</w:t>
      </w:r>
      <w:r>
        <w:rPr>
          <w:spacing w:val="-15"/>
        </w:rPr>
        <w:t> </w:t>
      </w:r>
      <w:r>
        <w:rPr/>
        <w:t>información,</w:t>
      </w:r>
      <w:r>
        <w:rPr>
          <w:position w:val="8"/>
          <w:sz w:val="16"/>
        </w:rPr>
        <w:t>119</w:t>
      </w:r>
      <w:r>
        <w:rPr>
          <w:spacing w:val="6"/>
          <w:position w:val="8"/>
          <w:sz w:val="16"/>
        </w:rPr>
        <w:t> </w:t>
      </w:r>
      <w:r>
        <w:rPr/>
        <w:t>aunque</w:t>
      </w:r>
      <w:r>
        <w:rPr>
          <w:spacing w:val="-17"/>
        </w:rPr>
        <w:t> </w:t>
      </w:r>
      <w:r>
        <w:rPr/>
        <w:t>algunos</w:t>
      </w:r>
      <w:r>
        <w:rPr>
          <w:spacing w:val="-18"/>
        </w:rPr>
        <w:t> </w:t>
      </w:r>
      <w:r>
        <w:rPr/>
        <w:t>consideran</w:t>
      </w:r>
      <w:r>
        <w:rPr>
          <w:spacing w:val="-15"/>
        </w:rPr>
        <w:t> </w:t>
      </w:r>
      <w:r>
        <w:rPr/>
        <w:t>que</w:t>
      </w:r>
      <w:r>
        <w:rPr>
          <w:spacing w:val="-15"/>
        </w:rPr>
        <w:t> </w:t>
      </w:r>
      <w:r>
        <w:rPr/>
        <w:t>esta</w:t>
      </w:r>
      <w:r>
        <w:rPr>
          <w:spacing w:val="-17"/>
        </w:rPr>
        <w:t> </w:t>
      </w:r>
      <w:r>
        <w:rPr/>
        <w:t>disposición</w:t>
      </w:r>
      <w:r>
        <w:rPr>
          <w:spacing w:val="-15"/>
        </w:rPr>
        <w:t> </w:t>
      </w:r>
      <w:r>
        <w:rPr/>
        <w:t>careció</w:t>
      </w:r>
      <w:r>
        <w:rPr>
          <w:spacing w:val="-15"/>
        </w:rPr>
        <w:t> </w:t>
      </w:r>
      <w:r>
        <w:rPr/>
        <w:t>de</w:t>
      </w:r>
      <w:r>
        <w:rPr>
          <w:spacing w:val="-17"/>
        </w:rPr>
        <w:t> </w:t>
      </w:r>
      <w:r>
        <w:rPr/>
        <w:t>las capacidades de los incentivos a favor de la rendición de</w:t>
      </w:r>
      <w:r>
        <w:rPr>
          <w:spacing w:val="-21"/>
        </w:rPr>
        <w:t> </w:t>
      </w:r>
      <w:r>
        <w:rPr/>
        <w:t>cuentas.</w:t>
      </w:r>
      <w:r>
        <w:rPr>
          <w:position w:val="8"/>
          <w:sz w:val="16"/>
        </w:rPr>
        <w:t>120</w:t>
      </w:r>
    </w:p>
    <w:p>
      <w:pPr>
        <w:pStyle w:val="BodyText"/>
        <w:spacing w:before="5"/>
        <w:rPr>
          <w:sz w:val="36"/>
        </w:rPr>
      </w:pPr>
    </w:p>
    <w:p>
      <w:pPr>
        <w:pStyle w:val="BodyText"/>
        <w:spacing w:line="360" w:lineRule="auto"/>
        <w:ind w:left="122" w:right="119" w:firstLine="427"/>
        <w:jc w:val="both"/>
      </w:pPr>
      <w:r>
        <w:rPr/>
        <w:t>Se considera que la transparencia es un principio que “obliga” a informar a los afectados por las decisiones políticas. Otra vertiente de la transparencia es la</w:t>
      </w:r>
      <w:r>
        <w:rPr>
          <w:spacing w:val="-17"/>
        </w:rPr>
        <w:t> </w:t>
      </w:r>
      <w:r>
        <w:rPr/>
        <w:t>visibilidad,</w:t>
      </w:r>
      <w:r>
        <w:rPr>
          <w:spacing w:val="-17"/>
        </w:rPr>
        <w:t> </w:t>
      </w:r>
      <w:r>
        <w:rPr/>
        <w:t>predictibilidad</w:t>
      </w:r>
      <w:r>
        <w:rPr>
          <w:spacing w:val="-17"/>
        </w:rPr>
        <w:t> </w:t>
      </w:r>
      <w:r>
        <w:rPr/>
        <w:t>y</w:t>
      </w:r>
      <w:r>
        <w:rPr>
          <w:spacing w:val="-20"/>
        </w:rPr>
        <w:t> </w:t>
      </w:r>
      <w:r>
        <w:rPr/>
        <w:t>comprensibilidad</w:t>
      </w:r>
      <w:r>
        <w:rPr>
          <w:spacing w:val="-17"/>
        </w:rPr>
        <w:t> </w:t>
      </w:r>
      <w:r>
        <w:rPr/>
        <w:t>de</w:t>
      </w:r>
      <w:r>
        <w:rPr>
          <w:spacing w:val="-17"/>
        </w:rPr>
        <w:t> </w:t>
      </w:r>
      <w:r>
        <w:rPr/>
        <w:t>la</w:t>
      </w:r>
      <w:r>
        <w:rPr>
          <w:spacing w:val="-19"/>
        </w:rPr>
        <w:t> </w:t>
      </w:r>
      <w:r>
        <w:rPr/>
        <w:t>actuación</w:t>
      </w:r>
      <w:r>
        <w:rPr>
          <w:spacing w:val="-19"/>
        </w:rPr>
        <w:t> </w:t>
      </w:r>
      <w:r>
        <w:rPr/>
        <w:t>de</w:t>
      </w:r>
      <w:r>
        <w:rPr>
          <w:spacing w:val="-19"/>
        </w:rPr>
        <w:t> </w:t>
      </w:r>
      <w:r>
        <w:rPr/>
        <w:t>la</w:t>
      </w:r>
      <w:r>
        <w:rPr>
          <w:spacing w:val="-19"/>
        </w:rPr>
        <w:t> </w:t>
      </w:r>
      <w:r>
        <w:rPr/>
        <w:t>clase</w:t>
      </w:r>
      <w:r>
        <w:rPr>
          <w:spacing w:val="-16"/>
        </w:rPr>
        <w:t> </w:t>
      </w:r>
      <w:r>
        <w:rPr/>
        <w:t>política mexicana.</w:t>
      </w:r>
    </w:p>
    <w:p>
      <w:pPr>
        <w:pStyle w:val="BodyText"/>
      </w:pPr>
    </w:p>
    <w:p>
      <w:pPr>
        <w:pStyle w:val="BodyText"/>
        <w:spacing w:line="360" w:lineRule="auto" w:before="142"/>
        <w:ind w:left="122" w:right="115" w:firstLine="427"/>
        <w:jc w:val="both"/>
      </w:pPr>
      <w:r>
        <w:rPr/>
        <w:t>En materia de rendición de cuentas, a inicios de la década de los años ochenta, las contralorías internas</w:t>
      </w:r>
      <w:r>
        <w:rPr>
          <w:position w:val="8"/>
          <w:sz w:val="16"/>
        </w:rPr>
        <w:t>121 </w:t>
      </w:r>
      <w:r>
        <w:rPr/>
        <w:t>y de auditoría externa fueron consideradas clave</w:t>
      </w:r>
      <w:r>
        <w:rPr>
          <w:spacing w:val="-5"/>
        </w:rPr>
        <w:t> </w:t>
      </w:r>
      <w:r>
        <w:rPr/>
        <w:t>para</w:t>
      </w:r>
      <w:r>
        <w:rPr>
          <w:spacing w:val="-6"/>
        </w:rPr>
        <w:t> </w:t>
      </w:r>
      <w:r>
        <w:rPr/>
        <w:t>disminuir</w:t>
      </w:r>
      <w:r>
        <w:rPr>
          <w:spacing w:val="-7"/>
        </w:rPr>
        <w:t> </w:t>
      </w:r>
      <w:r>
        <w:rPr/>
        <w:t>la</w:t>
      </w:r>
      <w:r>
        <w:rPr>
          <w:spacing w:val="-5"/>
        </w:rPr>
        <w:t> </w:t>
      </w:r>
      <w:r>
        <w:rPr/>
        <w:t>corrupción</w:t>
      </w:r>
      <w:r>
        <w:rPr>
          <w:spacing w:val="-5"/>
        </w:rPr>
        <w:t> </w:t>
      </w:r>
      <w:r>
        <w:rPr/>
        <w:t>y</w:t>
      </w:r>
      <w:r>
        <w:rPr>
          <w:spacing w:val="-8"/>
        </w:rPr>
        <w:t> </w:t>
      </w:r>
      <w:r>
        <w:rPr/>
        <w:t>mejorar</w:t>
      </w:r>
      <w:r>
        <w:rPr>
          <w:spacing w:val="-6"/>
        </w:rPr>
        <w:t> </w:t>
      </w:r>
      <w:r>
        <w:rPr/>
        <w:t>la</w:t>
      </w:r>
      <w:r>
        <w:rPr>
          <w:spacing w:val="-5"/>
        </w:rPr>
        <w:t> </w:t>
      </w:r>
      <w:r>
        <w:rPr/>
        <w:t>rendición</w:t>
      </w:r>
      <w:r>
        <w:rPr>
          <w:spacing w:val="-5"/>
        </w:rPr>
        <w:t> </w:t>
      </w:r>
      <w:r>
        <w:rPr/>
        <w:t>de</w:t>
      </w:r>
      <w:r>
        <w:rPr>
          <w:spacing w:val="-5"/>
        </w:rPr>
        <w:t> </w:t>
      </w:r>
      <w:r>
        <w:rPr/>
        <w:t>cuentas;</w:t>
      </w:r>
      <w:r>
        <w:rPr>
          <w:spacing w:val="-1"/>
        </w:rPr>
        <w:t> </w:t>
      </w:r>
      <w:r>
        <w:rPr/>
        <w:t>y</w:t>
      </w:r>
      <w:r>
        <w:rPr>
          <w:spacing w:val="-8"/>
        </w:rPr>
        <w:t> </w:t>
      </w:r>
      <w:r>
        <w:rPr/>
        <w:t>en2008</w:t>
      </w:r>
      <w:r>
        <w:rPr>
          <w:spacing w:val="-5"/>
        </w:rPr>
        <w:t> </w:t>
      </w:r>
      <w:r>
        <w:rPr/>
        <w:t>el Estado dispuso la creación de las contralorías sociales,</w:t>
      </w:r>
      <w:r>
        <w:rPr>
          <w:position w:val="8"/>
          <w:sz w:val="16"/>
        </w:rPr>
        <w:t>122 </w:t>
      </w:r>
      <w:r>
        <w:rPr/>
        <w:t>que buscan constituirse como una práctica de transparencia y rendición de cuentas y contribuir al combate de la corrupción. De acuerdo con la Ley General de Desarrollo Social, la Contraloría Social sirve para que los beneficiarios de la política, verifiquen el cumplimiento de las metas de los programas de desarrollo social.</w:t>
      </w:r>
    </w:p>
    <w:p>
      <w:pPr>
        <w:pStyle w:val="BodyText"/>
      </w:pPr>
    </w:p>
    <w:p>
      <w:pPr>
        <w:pStyle w:val="BodyText"/>
        <w:spacing w:line="360" w:lineRule="auto" w:before="142"/>
        <w:ind w:left="122" w:right="118" w:firstLine="427"/>
        <w:jc w:val="both"/>
      </w:pPr>
      <w:r>
        <w:rPr/>
        <w:t>Las grandes expectativas nacionales que surgieron con la alternancia del poder en el año 2000 fueron mayores al promulgarse la Ley Federal de Transparencia y Acceso a la Información Pública Gubernamental (LFTAI) en2002.Un estudio realizado en 2009 por el CIDE (2011:11) mencionó que el problema</w:t>
      </w:r>
      <w:r>
        <w:rPr>
          <w:spacing w:val="-6"/>
        </w:rPr>
        <w:t> </w:t>
      </w:r>
      <w:r>
        <w:rPr/>
        <w:t>de</w:t>
      </w:r>
      <w:r>
        <w:rPr>
          <w:spacing w:val="-4"/>
        </w:rPr>
        <w:t> </w:t>
      </w:r>
      <w:r>
        <w:rPr/>
        <w:t>la</w:t>
      </w:r>
      <w:r>
        <w:rPr>
          <w:spacing w:val="-4"/>
        </w:rPr>
        <w:t> </w:t>
      </w:r>
      <w:r>
        <w:rPr/>
        <w:t>transparencia</w:t>
      </w:r>
      <w:r>
        <w:rPr>
          <w:spacing w:val="-4"/>
        </w:rPr>
        <w:t> </w:t>
      </w:r>
      <w:r>
        <w:rPr/>
        <w:t>en</w:t>
      </w:r>
      <w:r>
        <w:rPr>
          <w:spacing w:val="-6"/>
        </w:rPr>
        <w:t> </w:t>
      </w:r>
      <w:r>
        <w:rPr/>
        <w:t>México</w:t>
      </w:r>
      <w:r>
        <w:rPr>
          <w:spacing w:val="-4"/>
        </w:rPr>
        <w:t> </w:t>
      </w:r>
      <w:r>
        <w:rPr/>
        <w:t>radica</w:t>
      </w:r>
      <w:r>
        <w:rPr>
          <w:spacing w:val="-4"/>
        </w:rPr>
        <w:t> </w:t>
      </w:r>
      <w:r>
        <w:rPr/>
        <w:t>en</w:t>
      </w:r>
      <w:r>
        <w:rPr>
          <w:spacing w:val="-6"/>
        </w:rPr>
        <w:t> </w:t>
      </w:r>
      <w:r>
        <w:rPr/>
        <w:t>tres</w:t>
      </w:r>
      <w:r>
        <w:rPr>
          <w:spacing w:val="-4"/>
        </w:rPr>
        <w:t> </w:t>
      </w:r>
      <w:r>
        <w:rPr/>
        <w:t>aspectos</w:t>
      </w:r>
      <w:r>
        <w:rPr>
          <w:spacing w:val="-7"/>
        </w:rPr>
        <w:t> </w:t>
      </w:r>
      <w:r>
        <w:rPr/>
        <w:t>fundamentales: la</w:t>
      </w:r>
      <w:r>
        <w:rPr>
          <w:spacing w:val="-10"/>
        </w:rPr>
        <w:t> </w:t>
      </w:r>
      <w:r>
        <w:rPr/>
        <w:t>calidad</w:t>
      </w:r>
      <w:r>
        <w:rPr>
          <w:spacing w:val="-9"/>
        </w:rPr>
        <w:t> </w:t>
      </w:r>
      <w:r>
        <w:rPr/>
        <w:t>y</w:t>
      </w:r>
      <w:r>
        <w:rPr>
          <w:spacing w:val="-12"/>
        </w:rPr>
        <w:t> </w:t>
      </w:r>
      <w:r>
        <w:rPr/>
        <w:t>exactitud</w:t>
      </w:r>
      <w:r>
        <w:rPr>
          <w:spacing w:val="-11"/>
        </w:rPr>
        <w:t> </w:t>
      </w:r>
      <w:r>
        <w:rPr/>
        <w:t>de</w:t>
      </w:r>
      <w:r>
        <w:rPr>
          <w:spacing w:val="-9"/>
        </w:rPr>
        <w:t> </w:t>
      </w:r>
      <w:r>
        <w:rPr/>
        <w:t>la</w:t>
      </w:r>
      <w:r>
        <w:rPr>
          <w:spacing w:val="-10"/>
        </w:rPr>
        <w:t> </w:t>
      </w:r>
      <w:r>
        <w:rPr/>
        <w:t>información,</w:t>
      </w:r>
      <w:r>
        <w:rPr>
          <w:spacing w:val="-10"/>
        </w:rPr>
        <w:t> </w:t>
      </w:r>
      <w:r>
        <w:rPr/>
        <w:t>la</w:t>
      </w:r>
      <w:r>
        <w:rPr>
          <w:spacing w:val="-11"/>
        </w:rPr>
        <w:t> </w:t>
      </w:r>
      <w:r>
        <w:rPr/>
        <w:t>dificultad</w:t>
      </w:r>
      <w:r>
        <w:rPr>
          <w:spacing w:val="-11"/>
        </w:rPr>
        <w:t> </w:t>
      </w:r>
      <w:r>
        <w:rPr/>
        <w:t>para</w:t>
      </w:r>
      <w:r>
        <w:rPr>
          <w:spacing w:val="-11"/>
        </w:rPr>
        <w:t> </w:t>
      </w:r>
      <w:r>
        <w:rPr/>
        <w:t>verificar</w:t>
      </w:r>
      <w:r>
        <w:rPr>
          <w:spacing w:val="-10"/>
        </w:rPr>
        <w:t> </w:t>
      </w:r>
      <w:r>
        <w:rPr/>
        <w:t>la</w:t>
      </w:r>
      <w:r>
        <w:rPr>
          <w:spacing w:val="-13"/>
        </w:rPr>
        <w:t> </w:t>
      </w:r>
      <w:r>
        <w:rPr/>
        <w:t>veracidad</w:t>
      </w:r>
      <w:r>
        <w:rPr>
          <w:spacing w:val="-9"/>
        </w:rPr>
        <w:t> </w:t>
      </w:r>
      <w:r>
        <w:rPr/>
        <w:t>de la información por parte del usuario y la carencia de un sistema coercitivo que limite la mala calidad de la información</w:t>
      </w:r>
      <w:r>
        <w:rPr>
          <w:spacing w:val="-19"/>
        </w:rPr>
        <w:t> </w:t>
      </w:r>
      <w:r>
        <w:rPr/>
        <w:t>proporcionada.</w:t>
      </w:r>
    </w:p>
    <w:p>
      <w:pPr>
        <w:pStyle w:val="BodyText"/>
        <w:rPr>
          <w:sz w:val="20"/>
        </w:rPr>
      </w:pP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9472;mso-wrap-distance-left:0;mso-wrap-distance-right:0" from="85.103996pt,18.926853pt" to="229.123996pt,18.926853pt" stroked="true" strokeweight=".71997pt" strokecolor="#000000">
            <w10:wrap type="topAndBottom"/>
          </v:line>
        </w:pict>
      </w:r>
    </w:p>
    <w:p>
      <w:pPr>
        <w:spacing w:line="256" w:lineRule="auto" w:before="60"/>
        <w:ind w:left="122" w:right="114" w:firstLine="0"/>
        <w:jc w:val="left"/>
        <w:rPr>
          <w:sz w:val="16"/>
        </w:rPr>
      </w:pPr>
      <w:r>
        <w:rPr>
          <w:rFonts w:ascii="Times New Roman" w:hAnsi="Times New Roman"/>
          <w:position w:val="7"/>
          <w:sz w:val="13"/>
        </w:rPr>
        <w:t>119</w:t>
      </w:r>
      <w:r>
        <w:rPr>
          <w:sz w:val="16"/>
        </w:rPr>
        <w:t>Considerado como la regulación jurídica para el acceso a la población sobre la información pública, generada por las instituciones del Estado. (Salazar, 2008: 227).</w:t>
      </w:r>
    </w:p>
    <w:p>
      <w:pPr>
        <w:spacing w:line="196" w:lineRule="exact" w:before="15"/>
        <w:ind w:left="122" w:right="52" w:firstLine="0"/>
        <w:jc w:val="left"/>
        <w:rPr>
          <w:sz w:val="16"/>
        </w:rPr>
      </w:pPr>
      <w:r>
        <w:rPr>
          <w:rFonts w:ascii="Times New Roman"/>
          <w:position w:val="7"/>
          <w:sz w:val="13"/>
        </w:rPr>
        <w:t>120</w:t>
      </w:r>
      <w:r>
        <w:rPr>
          <w:sz w:val="16"/>
        </w:rPr>
        <w:t>Disponible en: </w:t>
      </w:r>
      <w:hyperlink r:id="rId204">
        <w:r>
          <w:rPr>
            <w:color w:val="0000FF"/>
            <w:sz w:val="16"/>
            <w:u w:val="single" w:color="0000FF"/>
          </w:rPr>
          <w:t>http://www.indetec.gob.mx/Publicaciones/Productos/Trimestre99.pdf</w:t>
        </w:r>
        <w:r>
          <w:rPr>
            <w:sz w:val="16"/>
          </w:rPr>
          <w:t>,</w:t>
        </w:r>
      </w:hyperlink>
      <w:r>
        <w:rPr>
          <w:sz w:val="16"/>
        </w:rPr>
        <w:t> p. 194. [Fecha de consulta: 26 de septiembre, 2015]</w:t>
      </w:r>
    </w:p>
    <w:p>
      <w:pPr>
        <w:spacing w:line="196" w:lineRule="exact" w:before="20"/>
        <w:ind w:left="122" w:right="52" w:firstLine="0"/>
        <w:jc w:val="left"/>
        <w:rPr>
          <w:sz w:val="16"/>
        </w:rPr>
      </w:pPr>
      <w:r>
        <w:rPr>
          <w:rFonts w:ascii="Times New Roman" w:hAnsi="Times New Roman"/>
          <w:position w:val="7"/>
          <w:sz w:val="13"/>
        </w:rPr>
        <w:t>121</w:t>
      </w:r>
      <w:r>
        <w:rPr>
          <w:sz w:val="16"/>
        </w:rPr>
        <w:t>En 1995se previó dar independencia a los órganos internos de control para que éstos no fueran juez y parte en la lucha contra la corrupción.</w:t>
      </w:r>
    </w:p>
    <w:p>
      <w:pPr>
        <w:spacing w:line="196" w:lineRule="exact" w:before="22"/>
        <w:ind w:left="122" w:right="52" w:firstLine="0"/>
        <w:jc w:val="left"/>
        <w:rPr>
          <w:sz w:val="16"/>
        </w:rPr>
      </w:pPr>
      <w:r>
        <w:rPr>
          <w:rFonts w:ascii="Times New Roman" w:hAnsi="Times New Roman"/>
          <w:position w:val="7"/>
          <w:sz w:val="13"/>
        </w:rPr>
        <w:t>122</w:t>
      </w:r>
      <w:r>
        <w:rPr>
          <w:sz w:val="16"/>
        </w:rPr>
        <w:t>Acuerdo por el que se establecen los lineamientos para la promoción y operación de la Contraloría Social en los programas federales de desarrollo social. Publicado el 11 de abril de 2008 en el DOF.</w:t>
      </w:r>
    </w:p>
    <w:p>
      <w:pPr>
        <w:spacing w:after="0" w:line="196" w:lineRule="exact"/>
        <w:jc w:val="left"/>
        <w:rPr>
          <w:sz w:val="16"/>
        </w:rPr>
        <w:sectPr>
          <w:pgSz w:w="11910" w:h="16840"/>
          <w:pgMar w:header="0" w:footer="1003" w:top="1340" w:bottom="1200" w:left="1580" w:right="1580"/>
        </w:sectPr>
      </w:pPr>
    </w:p>
    <w:p>
      <w:pPr>
        <w:pStyle w:val="BodyText"/>
        <w:spacing w:line="357" w:lineRule="auto" w:before="55"/>
        <w:ind w:left="122" w:right="123" w:firstLine="427"/>
        <w:jc w:val="both"/>
        <w:rPr>
          <w:sz w:val="16"/>
        </w:rPr>
      </w:pPr>
      <w:r>
        <w:rPr/>
        <w:t>De acuerdo con el estudio del CIDE, el problema de la transparencia en el país refleja un problema legal y estructural del Estado, que conlleva a fortalecer a las instituciones que aseguren una mejor calidad informativa.</w:t>
      </w:r>
      <w:r>
        <w:rPr>
          <w:position w:val="8"/>
          <w:sz w:val="16"/>
        </w:rPr>
        <w:t>123</w:t>
      </w:r>
    </w:p>
    <w:p>
      <w:pPr>
        <w:pStyle w:val="BodyText"/>
        <w:spacing w:before="2"/>
        <w:rPr>
          <w:sz w:val="36"/>
        </w:rPr>
      </w:pPr>
    </w:p>
    <w:p>
      <w:pPr>
        <w:pStyle w:val="BodyText"/>
        <w:spacing w:line="360" w:lineRule="auto" w:before="1"/>
        <w:ind w:left="122" w:right="207" w:firstLine="427"/>
        <w:jc w:val="both"/>
      </w:pPr>
      <w:r>
        <w:rPr/>
        <w:t>En</w:t>
      </w:r>
      <w:r>
        <w:rPr>
          <w:spacing w:val="-9"/>
        </w:rPr>
        <w:t> </w:t>
      </w:r>
      <w:r>
        <w:rPr/>
        <w:t>el</w:t>
      </w:r>
      <w:r>
        <w:rPr>
          <w:spacing w:val="-11"/>
        </w:rPr>
        <w:t> </w:t>
      </w:r>
      <w:r>
        <w:rPr/>
        <w:t>panorama</w:t>
      </w:r>
      <w:r>
        <w:rPr>
          <w:spacing w:val="-9"/>
        </w:rPr>
        <w:t> </w:t>
      </w:r>
      <w:r>
        <w:rPr/>
        <w:t>internacional,</w:t>
      </w:r>
      <w:r>
        <w:rPr>
          <w:spacing w:val="-10"/>
        </w:rPr>
        <w:t> </w:t>
      </w:r>
      <w:r>
        <w:rPr/>
        <w:t>los</w:t>
      </w:r>
      <w:r>
        <w:rPr>
          <w:spacing w:val="-12"/>
        </w:rPr>
        <w:t> </w:t>
      </w:r>
      <w:r>
        <w:rPr/>
        <w:t>países</w:t>
      </w:r>
      <w:r>
        <w:rPr>
          <w:spacing w:val="-10"/>
        </w:rPr>
        <w:t> </w:t>
      </w:r>
      <w:r>
        <w:rPr/>
        <w:t>americanos</w:t>
      </w:r>
      <w:r>
        <w:rPr>
          <w:spacing w:val="-10"/>
        </w:rPr>
        <w:t> </w:t>
      </w:r>
      <w:r>
        <w:rPr/>
        <w:t>avanzados</w:t>
      </w:r>
      <w:r>
        <w:rPr>
          <w:spacing w:val="-10"/>
        </w:rPr>
        <w:t> </w:t>
      </w:r>
      <w:r>
        <w:rPr/>
        <w:t>(Canadá</w:t>
      </w:r>
      <w:r>
        <w:rPr>
          <w:spacing w:val="-9"/>
        </w:rPr>
        <w:t> </w:t>
      </w:r>
      <w:r>
        <w:rPr/>
        <w:t>y Estados Unidos) y europeos (en específico los nórdicos) se anticiparon a los cambios generales: mantuvieron una disciplina en el trabajo parlamentario, establecieron</w:t>
      </w:r>
      <w:r>
        <w:rPr>
          <w:spacing w:val="-7"/>
        </w:rPr>
        <w:t> </w:t>
      </w:r>
      <w:r>
        <w:rPr/>
        <w:t>mecanismos</w:t>
      </w:r>
      <w:r>
        <w:rPr>
          <w:spacing w:val="-7"/>
        </w:rPr>
        <w:t> </w:t>
      </w:r>
      <w:r>
        <w:rPr/>
        <w:t>para</w:t>
      </w:r>
      <w:r>
        <w:rPr>
          <w:spacing w:val="-7"/>
        </w:rPr>
        <w:t> </w:t>
      </w:r>
      <w:r>
        <w:rPr/>
        <w:t>una</w:t>
      </w:r>
      <w:r>
        <w:rPr>
          <w:spacing w:val="-7"/>
        </w:rPr>
        <w:t> </w:t>
      </w:r>
      <w:r>
        <w:rPr/>
        <w:t>efectiva</w:t>
      </w:r>
      <w:r>
        <w:rPr>
          <w:spacing w:val="-7"/>
        </w:rPr>
        <w:t> </w:t>
      </w:r>
      <w:r>
        <w:rPr/>
        <w:t>división</w:t>
      </w:r>
      <w:r>
        <w:rPr>
          <w:spacing w:val="-5"/>
        </w:rPr>
        <w:t> </w:t>
      </w:r>
      <w:r>
        <w:rPr/>
        <w:t>de</w:t>
      </w:r>
      <w:r>
        <w:rPr>
          <w:spacing w:val="-7"/>
        </w:rPr>
        <w:t> </w:t>
      </w:r>
      <w:r>
        <w:rPr/>
        <w:t>poderes</w:t>
      </w:r>
      <w:r>
        <w:rPr>
          <w:spacing w:val="-7"/>
        </w:rPr>
        <w:t> </w:t>
      </w:r>
      <w:r>
        <w:rPr/>
        <w:t>y</w:t>
      </w:r>
      <w:r>
        <w:rPr>
          <w:spacing w:val="-7"/>
        </w:rPr>
        <w:t> </w:t>
      </w:r>
      <w:r>
        <w:rPr/>
        <w:t>rendición</w:t>
      </w:r>
      <w:r>
        <w:rPr>
          <w:spacing w:val="-7"/>
        </w:rPr>
        <w:t> </w:t>
      </w:r>
      <w:r>
        <w:rPr/>
        <w:t>de cuentas.</w:t>
      </w:r>
    </w:p>
    <w:p>
      <w:pPr>
        <w:pStyle w:val="BodyText"/>
      </w:pPr>
    </w:p>
    <w:p>
      <w:pPr>
        <w:pStyle w:val="BodyText"/>
        <w:spacing w:line="360" w:lineRule="auto" w:before="142"/>
        <w:ind w:left="122" w:right="207" w:firstLine="427"/>
        <w:jc w:val="both"/>
        <w:rPr>
          <w:sz w:val="16"/>
        </w:rPr>
      </w:pPr>
      <w:r>
        <w:rPr/>
        <w:t>Lo anterior les permitió a éstos países perfeccionar el alcance de las auditorías</w:t>
      </w:r>
      <w:r>
        <w:rPr>
          <w:spacing w:val="-12"/>
        </w:rPr>
        <w:t> </w:t>
      </w:r>
      <w:r>
        <w:rPr/>
        <w:t>de</w:t>
      </w:r>
      <w:r>
        <w:rPr>
          <w:spacing w:val="-12"/>
        </w:rPr>
        <w:t> </w:t>
      </w:r>
      <w:r>
        <w:rPr/>
        <w:t>desempeño</w:t>
      </w:r>
      <w:r>
        <w:rPr>
          <w:spacing w:val="-12"/>
        </w:rPr>
        <w:t> </w:t>
      </w:r>
      <w:r>
        <w:rPr/>
        <w:t>y</w:t>
      </w:r>
      <w:r>
        <w:rPr>
          <w:spacing w:val="-14"/>
        </w:rPr>
        <w:t> </w:t>
      </w:r>
      <w:r>
        <w:rPr/>
        <w:t>con</w:t>
      </w:r>
      <w:r>
        <w:rPr>
          <w:spacing w:val="-13"/>
        </w:rPr>
        <w:t> </w:t>
      </w:r>
      <w:r>
        <w:rPr/>
        <w:t>ello</w:t>
      </w:r>
      <w:r>
        <w:rPr>
          <w:spacing w:val="-12"/>
        </w:rPr>
        <w:t> </w:t>
      </w:r>
      <w:r>
        <w:rPr/>
        <w:t>una</w:t>
      </w:r>
      <w:r>
        <w:rPr>
          <w:spacing w:val="-13"/>
        </w:rPr>
        <w:t> </w:t>
      </w:r>
      <w:r>
        <w:rPr/>
        <w:t>mejor</w:t>
      </w:r>
      <w:r>
        <w:rPr>
          <w:spacing w:val="-12"/>
        </w:rPr>
        <w:t> </w:t>
      </w:r>
      <w:r>
        <w:rPr/>
        <w:t>medición</w:t>
      </w:r>
      <w:r>
        <w:rPr>
          <w:spacing w:val="-13"/>
        </w:rPr>
        <w:t> </w:t>
      </w:r>
      <w:r>
        <w:rPr/>
        <w:t>de</w:t>
      </w:r>
      <w:r>
        <w:rPr>
          <w:spacing w:val="-12"/>
        </w:rPr>
        <w:t> </w:t>
      </w:r>
      <w:r>
        <w:rPr/>
        <w:t>los</w:t>
      </w:r>
      <w:r>
        <w:rPr>
          <w:spacing w:val="-13"/>
        </w:rPr>
        <w:t> </w:t>
      </w:r>
      <w:r>
        <w:rPr/>
        <w:t>resultados</w:t>
      </w:r>
      <w:r>
        <w:rPr>
          <w:spacing w:val="-14"/>
        </w:rPr>
        <w:t> </w:t>
      </w:r>
      <w:r>
        <w:rPr/>
        <w:t>de</w:t>
      </w:r>
      <w:r>
        <w:rPr>
          <w:spacing w:val="-12"/>
        </w:rPr>
        <w:t> </w:t>
      </w:r>
      <w:r>
        <w:rPr/>
        <w:t>las políticas públicas, lo que la ONU los clasifica como naciones con muy altos índices de desarrollo</w:t>
      </w:r>
      <w:r>
        <w:rPr>
          <w:spacing w:val="-14"/>
        </w:rPr>
        <w:t> </w:t>
      </w:r>
      <w:r>
        <w:rPr/>
        <w:t>humano.</w:t>
      </w:r>
      <w:r>
        <w:rPr>
          <w:position w:val="8"/>
          <w:sz w:val="16"/>
        </w:rPr>
        <w:t>124</w:t>
      </w:r>
    </w:p>
    <w:p>
      <w:pPr>
        <w:pStyle w:val="BodyText"/>
        <w:rPr>
          <w:sz w:val="36"/>
        </w:rPr>
      </w:pPr>
    </w:p>
    <w:p>
      <w:pPr>
        <w:pStyle w:val="BodyText"/>
        <w:spacing w:line="360" w:lineRule="auto"/>
        <w:ind w:left="122" w:right="117" w:firstLine="427"/>
        <w:jc w:val="both"/>
      </w:pPr>
      <w:r>
        <w:rPr/>
        <w:t>Respecto</w:t>
      </w:r>
      <w:r>
        <w:rPr>
          <w:spacing w:val="-6"/>
        </w:rPr>
        <w:t> </w:t>
      </w:r>
      <w:r>
        <w:rPr/>
        <w:t>a</w:t>
      </w:r>
      <w:r>
        <w:rPr>
          <w:spacing w:val="-8"/>
        </w:rPr>
        <w:t> </w:t>
      </w:r>
      <w:r>
        <w:rPr/>
        <w:t>la</w:t>
      </w:r>
      <w:r>
        <w:rPr>
          <w:spacing w:val="-9"/>
        </w:rPr>
        <w:t> </w:t>
      </w:r>
      <w:r>
        <w:rPr/>
        <w:t>legislación</w:t>
      </w:r>
      <w:r>
        <w:rPr>
          <w:spacing w:val="-8"/>
        </w:rPr>
        <w:t> </w:t>
      </w:r>
      <w:r>
        <w:rPr/>
        <w:t>de</w:t>
      </w:r>
      <w:r>
        <w:rPr>
          <w:spacing w:val="-8"/>
        </w:rPr>
        <w:t> </w:t>
      </w:r>
      <w:r>
        <w:rPr/>
        <w:t>rendición</w:t>
      </w:r>
      <w:r>
        <w:rPr>
          <w:spacing w:val="-8"/>
        </w:rPr>
        <w:t> </w:t>
      </w:r>
      <w:r>
        <w:rPr/>
        <w:t>de</w:t>
      </w:r>
      <w:r>
        <w:rPr>
          <w:spacing w:val="-8"/>
        </w:rPr>
        <w:t> </w:t>
      </w:r>
      <w:r>
        <w:rPr/>
        <w:t>cuentas</w:t>
      </w:r>
      <w:r>
        <w:rPr>
          <w:spacing w:val="-9"/>
        </w:rPr>
        <w:t> </w:t>
      </w:r>
      <w:r>
        <w:rPr/>
        <w:t>en</w:t>
      </w:r>
      <w:r>
        <w:rPr>
          <w:spacing w:val="-8"/>
        </w:rPr>
        <w:t> </w:t>
      </w:r>
      <w:r>
        <w:rPr/>
        <w:t>México,</w:t>
      </w:r>
      <w:r>
        <w:rPr>
          <w:spacing w:val="-6"/>
        </w:rPr>
        <w:t> </w:t>
      </w:r>
      <w:r>
        <w:rPr/>
        <w:t>en</w:t>
      </w:r>
      <w:r>
        <w:rPr>
          <w:spacing w:val="-8"/>
        </w:rPr>
        <w:t> </w:t>
      </w:r>
      <w:r>
        <w:rPr/>
        <w:t>el</w:t>
      </w:r>
      <w:r>
        <w:rPr>
          <w:spacing w:val="-7"/>
        </w:rPr>
        <w:t> </w:t>
      </w:r>
      <w:r>
        <w:rPr/>
        <w:t>año</w:t>
      </w:r>
      <w:r>
        <w:rPr>
          <w:spacing w:val="-8"/>
        </w:rPr>
        <w:t> </w:t>
      </w:r>
      <w:r>
        <w:rPr/>
        <w:t>2000 se expidió la LFSF y se derogó en 2009 al promulgarse la LFRCF, con 18 artículos más que la anterior. Con ello se buscó sentar los principios de anualidad y posterioridad de la revisión. Entre los cambios más relevantes</w:t>
      </w:r>
      <w:r>
        <w:rPr>
          <w:spacing w:val="-41"/>
        </w:rPr>
        <w:t> </w:t>
      </w:r>
      <w:r>
        <w:rPr/>
        <w:t>entre la LFRCF y la LFSF destacan los</w:t>
      </w:r>
      <w:r>
        <w:rPr>
          <w:spacing w:val="-10"/>
        </w:rPr>
        <w:t> </w:t>
      </w:r>
      <w:r>
        <w:rPr/>
        <w:t>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9496;mso-wrap-distance-left:0;mso-wrap-distance-right:0" from="85.103996pt,18.875608pt" to="229.123996pt,18.875608pt" stroked="true" strokeweight=".72003pt" strokecolor="#000000">
            <w10:wrap type="topAndBottom"/>
          </v:line>
        </w:pict>
      </w:r>
    </w:p>
    <w:p>
      <w:pPr>
        <w:spacing w:line="244" w:lineRule="auto" w:before="62"/>
        <w:ind w:left="122" w:right="115" w:firstLine="0"/>
        <w:jc w:val="both"/>
        <w:rPr>
          <w:sz w:val="16"/>
        </w:rPr>
      </w:pPr>
      <w:bookmarkStart w:name="_bookmark74" w:id="99"/>
      <w:bookmarkEnd w:id="99"/>
      <w:r>
        <w:rPr/>
      </w:r>
      <w:r>
        <w:rPr>
          <w:rFonts w:ascii="Times New Roman" w:hAnsi="Times New Roman"/>
          <w:position w:val="7"/>
          <w:sz w:val="13"/>
        </w:rPr>
        <w:t>123</w:t>
      </w:r>
      <w:r>
        <w:rPr>
          <w:sz w:val="16"/>
        </w:rPr>
        <w:t>En mayo de 2012 el IFAI dio a conocer las escasas sanciones que ha realizado la SFP por las denuncias de este instituto</w:t>
      </w:r>
      <w:r>
        <w:rPr>
          <w:spacing w:val="-6"/>
          <w:sz w:val="16"/>
        </w:rPr>
        <w:t> </w:t>
      </w:r>
      <w:r>
        <w:rPr>
          <w:sz w:val="16"/>
        </w:rPr>
        <w:t>por</w:t>
      </w:r>
      <w:r>
        <w:rPr>
          <w:spacing w:val="-4"/>
          <w:sz w:val="16"/>
        </w:rPr>
        <w:t> </w:t>
      </w:r>
      <w:r>
        <w:rPr>
          <w:sz w:val="16"/>
        </w:rPr>
        <w:t>el</w:t>
      </w:r>
      <w:r>
        <w:rPr>
          <w:spacing w:val="-6"/>
          <w:sz w:val="16"/>
        </w:rPr>
        <w:t> </w:t>
      </w:r>
      <w:r>
        <w:rPr>
          <w:sz w:val="16"/>
        </w:rPr>
        <w:t>incumplimiento</w:t>
      </w:r>
      <w:r>
        <w:rPr>
          <w:spacing w:val="-7"/>
          <w:sz w:val="16"/>
        </w:rPr>
        <w:t> </w:t>
      </w:r>
      <w:r>
        <w:rPr>
          <w:sz w:val="16"/>
        </w:rPr>
        <w:t>de</w:t>
      </w:r>
      <w:r>
        <w:rPr>
          <w:spacing w:val="-7"/>
          <w:sz w:val="16"/>
        </w:rPr>
        <w:t> </w:t>
      </w:r>
      <w:r>
        <w:rPr>
          <w:sz w:val="16"/>
        </w:rPr>
        <w:t>entrega</w:t>
      </w:r>
      <w:r>
        <w:rPr>
          <w:spacing w:val="-4"/>
          <w:sz w:val="16"/>
        </w:rPr>
        <w:t> </w:t>
      </w:r>
      <w:r>
        <w:rPr>
          <w:sz w:val="16"/>
        </w:rPr>
        <w:t>de</w:t>
      </w:r>
      <w:r>
        <w:rPr>
          <w:spacing w:val="-4"/>
          <w:sz w:val="16"/>
        </w:rPr>
        <w:t> </w:t>
      </w:r>
      <w:r>
        <w:rPr>
          <w:sz w:val="16"/>
        </w:rPr>
        <w:t>información</w:t>
      </w:r>
      <w:r>
        <w:rPr>
          <w:spacing w:val="-5"/>
          <w:sz w:val="16"/>
        </w:rPr>
        <w:t> </w:t>
      </w:r>
      <w:r>
        <w:rPr>
          <w:sz w:val="16"/>
        </w:rPr>
        <w:t>por</w:t>
      </w:r>
      <w:r>
        <w:rPr>
          <w:spacing w:val="-7"/>
          <w:sz w:val="16"/>
        </w:rPr>
        <w:t> </w:t>
      </w:r>
      <w:r>
        <w:rPr>
          <w:sz w:val="16"/>
        </w:rPr>
        <w:t>parte</w:t>
      </w:r>
      <w:r>
        <w:rPr>
          <w:spacing w:val="-4"/>
          <w:sz w:val="16"/>
        </w:rPr>
        <w:t> </w:t>
      </w:r>
      <w:r>
        <w:rPr>
          <w:sz w:val="16"/>
        </w:rPr>
        <w:t>de</w:t>
      </w:r>
      <w:r>
        <w:rPr>
          <w:spacing w:val="-7"/>
          <w:sz w:val="16"/>
        </w:rPr>
        <w:t> </w:t>
      </w:r>
      <w:r>
        <w:rPr>
          <w:sz w:val="16"/>
        </w:rPr>
        <w:t>la</w:t>
      </w:r>
      <w:r>
        <w:rPr>
          <w:spacing w:val="-6"/>
          <w:sz w:val="16"/>
        </w:rPr>
        <w:t> </w:t>
      </w:r>
      <w:r>
        <w:rPr>
          <w:sz w:val="16"/>
        </w:rPr>
        <w:t>Procuraduría</w:t>
      </w:r>
      <w:r>
        <w:rPr>
          <w:spacing w:val="-4"/>
          <w:sz w:val="16"/>
        </w:rPr>
        <w:t> </w:t>
      </w:r>
      <w:r>
        <w:rPr>
          <w:sz w:val="16"/>
        </w:rPr>
        <w:t>General</w:t>
      </w:r>
      <w:r>
        <w:rPr>
          <w:spacing w:val="-3"/>
          <w:sz w:val="16"/>
        </w:rPr>
        <w:t> </w:t>
      </w:r>
      <w:r>
        <w:rPr>
          <w:sz w:val="16"/>
        </w:rPr>
        <w:t>de</w:t>
      </w:r>
      <w:r>
        <w:rPr>
          <w:spacing w:val="-7"/>
          <w:sz w:val="16"/>
        </w:rPr>
        <w:t> </w:t>
      </w:r>
      <w:r>
        <w:rPr>
          <w:sz w:val="16"/>
        </w:rPr>
        <w:t>la</w:t>
      </w:r>
      <w:r>
        <w:rPr>
          <w:spacing w:val="-6"/>
          <w:sz w:val="16"/>
        </w:rPr>
        <w:t> </w:t>
      </w:r>
      <w:r>
        <w:rPr>
          <w:sz w:val="16"/>
        </w:rPr>
        <w:t>República,</w:t>
      </w:r>
      <w:r>
        <w:rPr>
          <w:spacing w:val="-5"/>
          <w:sz w:val="16"/>
        </w:rPr>
        <w:t> </w:t>
      </w:r>
      <w:r>
        <w:rPr>
          <w:sz w:val="16"/>
        </w:rPr>
        <w:t>la</w:t>
      </w:r>
      <w:r>
        <w:rPr>
          <w:spacing w:val="-6"/>
          <w:sz w:val="16"/>
        </w:rPr>
        <w:t> </w:t>
      </w:r>
      <w:r>
        <w:rPr>
          <w:sz w:val="16"/>
        </w:rPr>
        <w:t>Policía Federal, el Centro de Investigación y Seguridad Nacional y el Servicio de Administración Tributaria; además de los 17 organismos y dependencias con negativa de dar</w:t>
      </w:r>
      <w:r>
        <w:rPr>
          <w:spacing w:val="-23"/>
          <w:sz w:val="16"/>
        </w:rPr>
        <w:t> </w:t>
      </w:r>
      <w:r>
        <w:rPr>
          <w:sz w:val="16"/>
        </w:rPr>
        <w:t>información.</w:t>
      </w:r>
    </w:p>
    <w:p>
      <w:pPr>
        <w:spacing w:line="212" w:lineRule="exact" w:before="0"/>
        <w:ind w:left="122" w:right="0" w:firstLine="0"/>
        <w:jc w:val="both"/>
        <w:rPr>
          <w:sz w:val="16"/>
        </w:rPr>
      </w:pPr>
      <w:r>
        <w:rPr>
          <w:rFonts w:ascii="Times New Roman"/>
          <w:position w:val="7"/>
          <w:sz w:val="13"/>
        </w:rPr>
        <w:t>124</w:t>
      </w:r>
      <w:r>
        <w:rPr>
          <w:sz w:val="16"/>
        </w:rPr>
        <w:t>El </w:t>
      </w:r>
      <w:r>
        <w:rPr>
          <w:i/>
          <w:sz w:val="16"/>
        </w:rPr>
        <w:t>Informe de Desarrollo Humano 2013. El ascenso del Sur: Progreso humano en un mundo diverso</w:t>
      </w:r>
      <w:r>
        <w:rPr>
          <w:sz w:val="16"/>
        </w:rPr>
        <w:t>, del Programa de</w:t>
      </w:r>
    </w:p>
    <w:p>
      <w:pPr>
        <w:spacing w:before="13"/>
        <w:ind w:left="122" w:right="118" w:firstLine="0"/>
        <w:jc w:val="both"/>
        <w:rPr>
          <w:sz w:val="16"/>
        </w:rPr>
      </w:pPr>
      <w:r>
        <w:rPr>
          <w:sz w:val="16"/>
        </w:rPr>
        <w:t>las Naciones Unidas para el Desarrollo, presentó el índice de desarrollo humano, en el que posiciona a 186 países de acuerdo</w:t>
      </w:r>
      <w:r>
        <w:rPr>
          <w:spacing w:val="-4"/>
          <w:sz w:val="16"/>
        </w:rPr>
        <w:t> </w:t>
      </w:r>
      <w:r>
        <w:rPr>
          <w:sz w:val="16"/>
        </w:rPr>
        <w:t>con</w:t>
      </w:r>
      <w:r>
        <w:rPr>
          <w:spacing w:val="-7"/>
          <w:sz w:val="16"/>
        </w:rPr>
        <w:t> </w:t>
      </w:r>
      <w:r>
        <w:rPr>
          <w:sz w:val="16"/>
        </w:rPr>
        <w:t>su</w:t>
      </w:r>
      <w:r>
        <w:rPr>
          <w:spacing w:val="-4"/>
          <w:sz w:val="16"/>
        </w:rPr>
        <w:t> </w:t>
      </w:r>
      <w:r>
        <w:rPr>
          <w:sz w:val="16"/>
        </w:rPr>
        <w:t>nivel</w:t>
      </w:r>
      <w:r>
        <w:rPr>
          <w:spacing w:val="-3"/>
          <w:sz w:val="16"/>
        </w:rPr>
        <w:t> </w:t>
      </w:r>
      <w:r>
        <w:rPr>
          <w:sz w:val="16"/>
        </w:rPr>
        <w:t>de</w:t>
      </w:r>
      <w:r>
        <w:rPr>
          <w:spacing w:val="-4"/>
          <w:sz w:val="16"/>
        </w:rPr>
        <w:t> </w:t>
      </w:r>
      <w:r>
        <w:rPr>
          <w:sz w:val="16"/>
        </w:rPr>
        <w:t>desarrollo</w:t>
      </w:r>
      <w:r>
        <w:rPr>
          <w:spacing w:val="-5"/>
          <w:sz w:val="16"/>
        </w:rPr>
        <w:t> </w:t>
      </w:r>
      <w:r>
        <w:rPr>
          <w:sz w:val="16"/>
        </w:rPr>
        <w:t>y</w:t>
      </w:r>
      <w:r>
        <w:rPr>
          <w:spacing w:val="-5"/>
          <w:sz w:val="16"/>
        </w:rPr>
        <w:t> </w:t>
      </w:r>
      <w:r>
        <w:rPr>
          <w:sz w:val="16"/>
        </w:rPr>
        <w:t>considera,</w:t>
      </w:r>
      <w:r>
        <w:rPr>
          <w:spacing w:val="-3"/>
          <w:sz w:val="16"/>
        </w:rPr>
        <w:t> </w:t>
      </w:r>
      <w:r>
        <w:rPr>
          <w:sz w:val="16"/>
        </w:rPr>
        <w:t>entre</w:t>
      </w:r>
      <w:r>
        <w:rPr>
          <w:spacing w:val="-4"/>
          <w:sz w:val="16"/>
        </w:rPr>
        <w:t> </w:t>
      </w:r>
      <w:r>
        <w:rPr>
          <w:sz w:val="16"/>
        </w:rPr>
        <w:t>los</w:t>
      </w:r>
      <w:r>
        <w:rPr>
          <w:spacing w:val="-2"/>
          <w:sz w:val="16"/>
        </w:rPr>
        <w:t> </w:t>
      </w:r>
      <w:r>
        <w:rPr>
          <w:sz w:val="16"/>
        </w:rPr>
        <w:t>países</w:t>
      </w:r>
      <w:r>
        <w:rPr>
          <w:spacing w:val="-3"/>
          <w:sz w:val="16"/>
        </w:rPr>
        <w:t> </w:t>
      </w:r>
      <w:r>
        <w:rPr>
          <w:sz w:val="16"/>
        </w:rPr>
        <w:t>con</w:t>
      </w:r>
      <w:r>
        <w:rPr>
          <w:spacing w:val="-7"/>
          <w:sz w:val="16"/>
        </w:rPr>
        <w:t> </w:t>
      </w:r>
      <w:r>
        <w:rPr>
          <w:sz w:val="16"/>
        </w:rPr>
        <w:t>desarrollo</w:t>
      </w:r>
      <w:r>
        <w:rPr>
          <w:spacing w:val="-4"/>
          <w:sz w:val="16"/>
        </w:rPr>
        <w:t> </w:t>
      </w:r>
      <w:r>
        <w:rPr>
          <w:sz w:val="16"/>
        </w:rPr>
        <w:t>humano</w:t>
      </w:r>
      <w:r>
        <w:rPr>
          <w:spacing w:val="-7"/>
          <w:sz w:val="16"/>
        </w:rPr>
        <w:t> </w:t>
      </w:r>
      <w:r>
        <w:rPr>
          <w:sz w:val="16"/>
        </w:rPr>
        <w:t>muy</w:t>
      </w:r>
      <w:r>
        <w:rPr>
          <w:spacing w:val="-5"/>
          <w:sz w:val="16"/>
        </w:rPr>
        <w:t> </w:t>
      </w:r>
      <w:r>
        <w:rPr>
          <w:sz w:val="16"/>
        </w:rPr>
        <w:t>alto</w:t>
      </w:r>
      <w:r>
        <w:rPr>
          <w:spacing w:val="-4"/>
          <w:sz w:val="16"/>
        </w:rPr>
        <w:t> </w:t>
      </w:r>
      <w:r>
        <w:rPr>
          <w:sz w:val="16"/>
        </w:rPr>
        <w:t>a</w:t>
      </w:r>
      <w:r>
        <w:rPr>
          <w:spacing w:val="-4"/>
          <w:sz w:val="16"/>
        </w:rPr>
        <w:t> </w:t>
      </w:r>
      <w:r>
        <w:rPr>
          <w:sz w:val="16"/>
        </w:rPr>
        <w:t>Noruega</w:t>
      </w:r>
      <w:r>
        <w:rPr>
          <w:spacing w:val="-4"/>
          <w:sz w:val="16"/>
        </w:rPr>
        <w:t> </w:t>
      </w:r>
      <w:r>
        <w:rPr>
          <w:sz w:val="16"/>
        </w:rPr>
        <w:t>(1),</w:t>
      </w:r>
      <w:r>
        <w:rPr>
          <w:spacing w:val="-3"/>
          <w:sz w:val="16"/>
        </w:rPr>
        <w:t> </w:t>
      </w:r>
      <w:r>
        <w:rPr>
          <w:sz w:val="16"/>
        </w:rPr>
        <w:t>Estados Unidos</w:t>
      </w:r>
      <w:r>
        <w:rPr>
          <w:spacing w:val="-9"/>
          <w:sz w:val="16"/>
        </w:rPr>
        <w:t> </w:t>
      </w:r>
      <w:r>
        <w:rPr>
          <w:sz w:val="16"/>
        </w:rPr>
        <w:t>(3),</w:t>
      </w:r>
      <w:r>
        <w:rPr>
          <w:spacing w:val="-9"/>
          <w:sz w:val="16"/>
        </w:rPr>
        <w:t> </w:t>
      </w:r>
      <w:r>
        <w:rPr>
          <w:sz w:val="16"/>
        </w:rPr>
        <w:t>Holanda</w:t>
      </w:r>
      <w:r>
        <w:rPr>
          <w:spacing w:val="-10"/>
          <w:sz w:val="16"/>
        </w:rPr>
        <w:t> </w:t>
      </w:r>
      <w:r>
        <w:rPr>
          <w:sz w:val="16"/>
        </w:rPr>
        <w:t>(4),</w:t>
      </w:r>
      <w:r>
        <w:rPr>
          <w:spacing w:val="-11"/>
          <w:sz w:val="16"/>
        </w:rPr>
        <w:t> </w:t>
      </w:r>
      <w:r>
        <w:rPr>
          <w:sz w:val="16"/>
        </w:rPr>
        <w:t>Suecia</w:t>
      </w:r>
      <w:r>
        <w:rPr>
          <w:spacing w:val="-10"/>
          <w:sz w:val="16"/>
        </w:rPr>
        <w:t> </w:t>
      </w:r>
      <w:r>
        <w:rPr>
          <w:sz w:val="16"/>
        </w:rPr>
        <w:t>(7),</w:t>
      </w:r>
      <w:r>
        <w:rPr>
          <w:spacing w:val="-9"/>
          <w:sz w:val="16"/>
        </w:rPr>
        <w:t> </w:t>
      </w:r>
      <w:r>
        <w:rPr>
          <w:sz w:val="16"/>
        </w:rPr>
        <w:t>Canadá</w:t>
      </w:r>
      <w:r>
        <w:rPr>
          <w:spacing w:val="-10"/>
          <w:sz w:val="16"/>
        </w:rPr>
        <w:t> </w:t>
      </w:r>
      <w:r>
        <w:rPr>
          <w:sz w:val="16"/>
        </w:rPr>
        <w:t>(11),</w:t>
      </w:r>
      <w:r>
        <w:rPr>
          <w:spacing w:val="-9"/>
          <w:sz w:val="16"/>
        </w:rPr>
        <w:t> </w:t>
      </w:r>
      <w:r>
        <w:rPr>
          <w:sz w:val="16"/>
        </w:rPr>
        <w:t>Islandia</w:t>
      </w:r>
      <w:r>
        <w:rPr>
          <w:spacing w:val="-10"/>
          <w:sz w:val="16"/>
        </w:rPr>
        <w:t> </w:t>
      </w:r>
      <w:r>
        <w:rPr>
          <w:sz w:val="16"/>
        </w:rPr>
        <w:t>(13),</w:t>
      </w:r>
      <w:r>
        <w:rPr>
          <w:spacing w:val="-9"/>
          <w:sz w:val="16"/>
        </w:rPr>
        <w:t> </w:t>
      </w:r>
      <w:r>
        <w:rPr>
          <w:sz w:val="16"/>
        </w:rPr>
        <w:t>Dinamarca</w:t>
      </w:r>
      <w:r>
        <w:rPr>
          <w:spacing w:val="-10"/>
          <w:sz w:val="16"/>
        </w:rPr>
        <w:t> </w:t>
      </w:r>
      <w:r>
        <w:rPr>
          <w:sz w:val="16"/>
        </w:rPr>
        <w:t>(15),</w:t>
      </w:r>
      <w:r>
        <w:rPr>
          <w:spacing w:val="-9"/>
          <w:sz w:val="16"/>
        </w:rPr>
        <w:t> </w:t>
      </w:r>
      <w:r>
        <w:rPr>
          <w:sz w:val="16"/>
        </w:rPr>
        <w:t>Finlandia</w:t>
      </w:r>
      <w:r>
        <w:rPr>
          <w:spacing w:val="-10"/>
          <w:sz w:val="16"/>
        </w:rPr>
        <w:t> </w:t>
      </w:r>
      <w:r>
        <w:rPr>
          <w:sz w:val="16"/>
        </w:rPr>
        <w:t>(21).</w:t>
      </w:r>
      <w:r>
        <w:rPr>
          <w:spacing w:val="-9"/>
          <w:sz w:val="16"/>
        </w:rPr>
        <w:t> </w:t>
      </w:r>
      <w:r>
        <w:rPr>
          <w:sz w:val="16"/>
        </w:rPr>
        <w:t>México</w:t>
      </w:r>
      <w:r>
        <w:rPr>
          <w:spacing w:val="-10"/>
          <w:sz w:val="16"/>
        </w:rPr>
        <w:t> </w:t>
      </w:r>
      <w:r>
        <w:rPr>
          <w:sz w:val="16"/>
        </w:rPr>
        <w:t>(61)</w:t>
      </w:r>
      <w:r>
        <w:rPr>
          <w:spacing w:val="-10"/>
          <w:sz w:val="16"/>
        </w:rPr>
        <w:t> </w:t>
      </w:r>
      <w:r>
        <w:rPr>
          <w:sz w:val="16"/>
        </w:rPr>
        <w:t>es</w:t>
      </w:r>
      <w:r>
        <w:rPr>
          <w:spacing w:val="-9"/>
          <w:sz w:val="16"/>
        </w:rPr>
        <w:t> </w:t>
      </w:r>
      <w:r>
        <w:rPr>
          <w:sz w:val="16"/>
        </w:rPr>
        <w:t>clasificado en el grupo de desarrollo humano</w:t>
      </w:r>
      <w:r>
        <w:rPr>
          <w:spacing w:val="-13"/>
          <w:sz w:val="16"/>
        </w:rPr>
        <w:t> </w:t>
      </w:r>
      <w:r>
        <w:rPr>
          <w:sz w:val="16"/>
        </w:rPr>
        <w:t>alto.</w:t>
      </w:r>
    </w:p>
    <w:p>
      <w:pPr>
        <w:spacing w:before="1"/>
        <w:ind w:left="122" w:right="158" w:firstLine="0"/>
        <w:jc w:val="left"/>
        <w:rPr>
          <w:sz w:val="16"/>
        </w:rPr>
      </w:pPr>
      <w:r>
        <w:rPr>
          <w:sz w:val="16"/>
        </w:rPr>
        <w:t>Disponible en: </w:t>
      </w:r>
      <w:hyperlink r:id="rId205">
        <w:r>
          <w:rPr>
            <w:sz w:val="16"/>
          </w:rPr>
          <w:t>http://www.undp.org/content/dam/undp/library/corporate/HDR/2013GlobalHDR/Spanish/HDR2013%20Report%20Spani</w:t>
        </w:r>
      </w:hyperlink>
      <w:r>
        <w:rPr>
          <w:sz w:val="16"/>
        </w:rPr>
        <w:t> sh.pdf</w:t>
      </w:r>
    </w:p>
    <w:p>
      <w:pPr>
        <w:spacing w:before="1"/>
        <w:ind w:left="122" w:right="0" w:firstLine="0"/>
        <w:jc w:val="both"/>
        <w:rPr>
          <w:sz w:val="16"/>
        </w:rPr>
      </w:pPr>
      <w:r>
        <w:rPr>
          <w:sz w:val="16"/>
        </w:rPr>
        <w:t>[Fecha de consulta: 27 de septiembre, 2015]</w:t>
      </w:r>
    </w:p>
    <w:p>
      <w:pPr>
        <w:spacing w:after="0"/>
        <w:jc w:val="both"/>
        <w:rPr>
          <w:sz w:val="16"/>
        </w:rPr>
        <w:sectPr>
          <w:pgSz w:w="11910" w:h="16840"/>
          <w:pgMar w:header="0" w:footer="1003" w:top="1340" w:bottom="1200" w:left="1580" w:right="1580"/>
        </w:sectPr>
      </w:pPr>
    </w:p>
    <w:p>
      <w:pPr>
        <w:spacing w:line="451" w:lineRule="auto" w:before="57" w:after="3"/>
        <w:ind w:left="1645" w:right="1183" w:hanging="447"/>
        <w:jc w:val="left"/>
        <w:rPr>
          <w:sz w:val="20"/>
        </w:rPr>
      </w:pPr>
      <w:r>
        <w:rPr>
          <w:sz w:val="20"/>
        </w:rPr>
        <w:t>Cuadro 4. 1. Cambios y adiciones a la legislación de rendición de cuentas (Ley de Fiscalización y Rendición de Cuentas de la Federación)</w:t>
      </w:r>
    </w:p>
    <w:tbl>
      <w:tblPr>
        <w:tblW w:w="0" w:type="auto"/>
        <w:jc w:val="left"/>
        <w:tblInd w:w="116" w:type="dxa"/>
        <w:tblBorders>
          <w:top w:val="single" w:sz="12" w:space="0" w:color="BEBEBE"/>
          <w:left w:val="single" w:sz="12" w:space="0" w:color="BEBEBE"/>
          <w:bottom w:val="single" w:sz="12" w:space="0" w:color="BEBEBE"/>
          <w:right w:val="single" w:sz="12" w:space="0" w:color="BEBEBE"/>
          <w:insideH w:val="single" w:sz="12" w:space="0" w:color="BEBEBE"/>
          <w:insideV w:val="single" w:sz="12" w:space="0" w:color="BEBEBE"/>
        </w:tblBorders>
        <w:tblLayout w:type="fixed"/>
        <w:tblCellMar>
          <w:top w:w="0" w:type="dxa"/>
          <w:left w:w="0" w:type="dxa"/>
          <w:bottom w:w="0" w:type="dxa"/>
          <w:right w:w="0" w:type="dxa"/>
        </w:tblCellMar>
        <w:tblLook w:val="01E0"/>
      </w:tblPr>
      <w:tblGrid>
        <w:gridCol w:w="924"/>
        <w:gridCol w:w="7761"/>
      </w:tblGrid>
      <w:tr>
        <w:trPr>
          <w:trHeight w:val="214" w:hRule="exact"/>
        </w:trPr>
        <w:tc>
          <w:tcPr>
            <w:tcW w:w="924" w:type="dxa"/>
          </w:tcPr>
          <w:p>
            <w:pPr>
              <w:pStyle w:val="TableParagraph"/>
              <w:spacing w:line="178" w:lineRule="exact"/>
              <w:ind w:left="81" w:right="168"/>
              <w:jc w:val="center"/>
              <w:rPr>
                <w:b/>
                <w:sz w:val="16"/>
              </w:rPr>
            </w:pPr>
            <w:r>
              <w:rPr>
                <w:b/>
                <w:sz w:val="16"/>
              </w:rPr>
              <w:t>Artículo</w:t>
            </w:r>
          </w:p>
        </w:tc>
        <w:tc>
          <w:tcPr>
            <w:tcW w:w="7761" w:type="dxa"/>
          </w:tcPr>
          <w:p>
            <w:pPr>
              <w:pStyle w:val="TableParagraph"/>
              <w:spacing w:line="178" w:lineRule="exact"/>
              <w:ind w:left="3426" w:right="3519"/>
              <w:jc w:val="center"/>
              <w:rPr>
                <w:b/>
                <w:sz w:val="16"/>
              </w:rPr>
            </w:pPr>
            <w:r>
              <w:rPr>
                <w:b/>
                <w:sz w:val="16"/>
              </w:rPr>
              <w:t>Abstracto</w:t>
            </w:r>
          </w:p>
        </w:tc>
      </w:tr>
      <w:tr>
        <w:trPr>
          <w:trHeight w:val="389" w:hRule="exact"/>
        </w:trPr>
        <w:tc>
          <w:tcPr>
            <w:tcW w:w="924" w:type="dxa"/>
          </w:tcPr>
          <w:p>
            <w:pPr>
              <w:pStyle w:val="TableParagraph"/>
              <w:spacing w:before="87"/>
              <w:ind w:right="88"/>
              <w:jc w:val="center"/>
              <w:rPr>
                <w:b/>
                <w:sz w:val="16"/>
              </w:rPr>
            </w:pPr>
            <w:r>
              <w:rPr>
                <w:b/>
                <w:w w:val="100"/>
                <w:sz w:val="16"/>
              </w:rPr>
              <w:t>1</w:t>
            </w:r>
          </w:p>
        </w:tc>
        <w:tc>
          <w:tcPr>
            <w:tcW w:w="7761" w:type="dxa"/>
            <w:tcBorders>
              <w:bottom w:val="single" w:sz="4" w:space="0" w:color="000000"/>
              <w:right w:val="single" w:sz="4" w:space="0" w:color="000000"/>
            </w:tcBorders>
          </w:tcPr>
          <w:p>
            <w:pPr>
              <w:pStyle w:val="TableParagraph"/>
              <w:ind w:left="93" w:right="153"/>
              <w:rPr>
                <w:sz w:val="16"/>
              </w:rPr>
            </w:pPr>
            <w:r>
              <w:rPr>
                <w:sz w:val="16"/>
              </w:rPr>
              <w:t>El</w:t>
            </w:r>
            <w:r>
              <w:rPr>
                <w:spacing w:val="-12"/>
                <w:sz w:val="16"/>
              </w:rPr>
              <w:t> </w:t>
            </w:r>
            <w:r>
              <w:rPr>
                <w:sz w:val="16"/>
              </w:rPr>
              <w:t>objeto</w:t>
            </w:r>
            <w:r>
              <w:rPr>
                <w:spacing w:val="-13"/>
                <w:sz w:val="16"/>
              </w:rPr>
              <w:t> </w:t>
            </w:r>
            <w:r>
              <w:rPr>
                <w:sz w:val="16"/>
              </w:rPr>
              <w:t>de</w:t>
            </w:r>
            <w:r>
              <w:rPr>
                <w:spacing w:val="-13"/>
                <w:sz w:val="16"/>
              </w:rPr>
              <w:t> </w:t>
            </w:r>
            <w:r>
              <w:rPr>
                <w:sz w:val="16"/>
              </w:rPr>
              <w:t>la</w:t>
            </w:r>
            <w:r>
              <w:rPr>
                <w:spacing w:val="-15"/>
                <w:sz w:val="16"/>
              </w:rPr>
              <w:t> </w:t>
            </w:r>
            <w:r>
              <w:rPr>
                <w:sz w:val="16"/>
              </w:rPr>
              <w:t>ley</w:t>
            </w:r>
            <w:r>
              <w:rPr>
                <w:spacing w:val="-14"/>
                <w:sz w:val="16"/>
              </w:rPr>
              <w:t> </w:t>
            </w:r>
            <w:r>
              <w:rPr>
                <w:sz w:val="16"/>
              </w:rPr>
              <w:t>es</w:t>
            </w:r>
            <w:r>
              <w:rPr>
                <w:spacing w:val="-11"/>
                <w:sz w:val="16"/>
              </w:rPr>
              <w:t> </w:t>
            </w:r>
            <w:r>
              <w:rPr>
                <w:sz w:val="16"/>
              </w:rPr>
              <w:t>“reglamentar”</w:t>
            </w:r>
            <w:r>
              <w:rPr>
                <w:spacing w:val="-16"/>
                <w:sz w:val="16"/>
              </w:rPr>
              <w:t> </w:t>
            </w:r>
            <w:r>
              <w:rPr>
                <w:sz w:val="16"/>
              </w:rPr>
              <w:t>(ya</w:t>
            </w:r>
            <w:r>
              <w:rPr>
                <w:spacing w:val="-13"/>
                <w:sz w:val="16"/>
              </w:rPr>
              <w:t> </w:t>
            </w:r>
            <w:r>
              <w:rPr>
                <w:sz w:val="16"/>
              </w:rPr>
              <w:t>no</w:t>
            </w:r>
            <w:r>
              <w:rPr>
                <w:spacing w:val="-13"/>
                <w:sz w:val="16"/>
              </w:rPr>
              <w:t> </w:t>
            </w:r>
            <w:r>
              <w:rPr>
                <w:sz w:val="16"/>
              </w:rPr>
              <w:t>“regular”)</w:t>
            </w:r>
            <w:r>
              <w:rPr>
                <w:spacing w:val="-13"/>
                <w:sz w:val="16"/>
              </w:rPr>
              <w:t> </w:t>
            </w:r>
            <w:r>
              <w:rPr>
                <w:sz w:val="16"/>
              </w:rPr>
              <w:t>los</w:t>
            </w:r>
            <w:r>
              <w:rPr>
                <w:spacing w:val="-12"/>
                <w:sz w:val="16"/>
              </w:rPr>
              <w:t> </w:t>
            </w:r>
            <w:r>
              <w:rPr>
                <w:sz w:val="16"/>
              </w:rPr>
              <w:t>artículos</w:t>
            </w:r>
            <w:r>
              <w:rPr>
                <w:spacing w:val="-12"/>
                <w:sz w:val="16"/>
              </w:rPr>
              <w:t> </w:t>
            </w:r>
            <w:r>
              <w:rPr>
                <w:sz w:val="16"/>
              </w:rPr>
              <w:t>74</w:t>
            </w:r>
            <w:r>
              <w:rPr>
                <w:spacing w:val="-15"/>
                <w:sz w:val="16"/>
              </w:rPr>
              <w:t> </w:t>
            </w:r>
            <w:r>
              <w:rPr>
                <w:sz w:val="16"/>
              </w:rPr>
              <w:t>fracciones</w:t>
            </w:r>
            <w:r>
              <w:rPr>
                <w:spacing w:val="-14"/>
                <w:sz w:val="16"/>
              </w:rPr>
              <w:t> </w:t>
            </w:r>
            <w:r>
              <w:rPr>
                <w:sz w:val="16"/>
              </w:rPr>
              <w:t>II</w:t>
            </w:r>
            <w:r>
              <w:rPr>
                <w:spacing w:val="-12"/>
                <w:sz w:val="16"/>
              </w:rPr>
              <w:t> </w:t>
            </w:r>
            <w:r>
              <w:rPr>
                <w:sz w:val="16"/>
              </w:rPr>
              <w:t>y</w:t>
            </w:r>
            <w:r>
              <w:rPr>
                <w:spacing w:val="-13"/>
                <w:sz w:val="16"/>
              </w:rPr>
              <w:t> </w:t>
            </w:r>
            <w:r>
              <w:rPr>
                <w:sz w:val="16"/>
              </w:rPr>
              <w:t>VI</w:t>
            </w:r>
            <w:r>
              <w:rPr>
                <w:spacing w:val="-12"/>
                <w:sz w:val="16"/>
              </w:rPr>
              <w:t> </w:t>
            </w:r>
            <w:r>
              <w:rPr>
                <w:sz w:val="16"/>
              </w:rPr>
              <w:t>y</w:t>
            </w:r>
            <w:r>
              <w:rPr>
                <w:spacing w:val="-13"/>
                <w:sz w:val="16"/>
              </w:rPr>
              <w:t> </w:t>
            </w:r>
            <w:r>
              <w:rPr>
                <w:sz w:val="16"/>
              </w:rPr>
              <w:t>79</w:t>
            </w:r>
            <w:r>
              <w:rPr>
                <w:spacing w:val="-13"/>
                <w:sz w:val="16"/>
              </w:rPr>
              <w:t> </w:t>
            </w:r>
            <w:r>
              <w:rPr>
                <w:sz w:val="16"/>
              </w:rPr>
              <w:t>de</w:t>
            </w:r>
            <w:r>
              <w:rPr>
                <w:spacing w:val="-13"/>
                <w:sz w:val="16"/>
              </w:rPr>
              <w:t> </w:t>
            </w:r>
            <w:r>
              <w:rPr>
                <w:sz w:val="16"/>
              </w:rPr>
              <w:t>la</w:t>
            </w:r>
            <w:r>
              <w:rPr>
                <w:spacing w:val="-13"/>
                <w:sz w:val="16"/>
              </w:rPr>
              <w:t> </w:t>
            </w:r>
            <w:r>
              <w:rPr>
                <w:sz w:val="16"/>
              </w:rPr>
              <w:t>Constitución Política de los Estados Unidos</w:t>
            </w:r>
            <w:r>
              <w:rPr>
                <w:spacing w:val="-14"/>
                <w:sz w:val="16"/>
              </w:rPr>
              <w:t> </w:t>
            </w:r>
            <w:r>
              <w:rPr>
                <w:sz w:val="16"/>
              </w:rPr>
              <w:t>Mexicanos.</w:t>
            </w:r>
          </w:p>
        </w:tc>
      </w:tr>
      <w:tr>
        <w:trPr>
          <w:trHeight w:val="398" w:hRule="exact"/>
        </w:trPr>
        <w:tc>
          <w:tcPr>
            <w:tcW w:w="924" w:type="dxa"/>
          </w:tcPr>
          <w:p>
            <w:pPr>
              <w:pStyle w:val="TableParagraph"/>
              <w:spacing w:before="97"/>
              <w:ind w:right="88"/>
              <w:jc w:val="center"/>
              <w:rPr>
                <w:b/>
                <w:sz w:val="16"/>
              </w:rPr>
            </w:pPr>
            <w:r>
              <w:rPr>
                <w:b/>
                <w:w w:val="100"/>
                <w:sz w:val="16"/>
              </w:rPr>
              <w:t>2</w:t>
            </w:r>
          </w:p>
        </w:tc>
        <w:tc>
          <w:tcPr>
            <w:tcW w:w="7761" w:type="dxa"/>
            <w:tcBorders>
              <w:top w:val="single" w:sz="4" w:space="0" w:color="000000"/>
              <w:bottom w:val="single" w:sz="4" w:space="0" w:color="000000"/>
              <w:right w:val="single" w:sz="4" w:space="0" w:color="000000"/>
            </w:tcBorders>
          </w:tcPr>
          <w:p>
            <w:pPr>
              <w:pStyle w:val="TableParagraph"/>
              <w:spacing w:before="15"/>
              <w:ind w:left="93" w:right="153"/>
              <w:rPr>
                <w:sz w:val="16"/>
              </w:rPr>
            </w:pPr>
            <w:r>
              <w:rPr>
                <w:sz w:val="16"/>
              </w:rPr>
              <w:t>Se amplió la definición de “entidades fiscalizadas” y las leyes y disposiciones que aplicarán supletoriamente a la Ley.</w:t>
            </w:r>
          </w:p>
        </w:tc>
      </w:tr>
      <w:tr>
        <w:trPr>
          <w:trHeight w:val="396" w:hRule="exact"/>
        </w:trPr>
        <w:tc>
          <w:tcPr>
            <w:tcW w:w="924" w:type="dxa"/>
          </w:tcPr>
          <w:p>
            <w:pPr>
              <w:pStyle w:val="TableParagraph"/>
              <w:spacing w:before="94"/>
              <w:ind w:right="88"/>
              <w:jc w:val="center"/>
              <w:rPr>
                <w:b/>
                <w:sz w:val="16"/>
              </w:rPr>
            </w:pPr>
            <w:r>
              <w:rPr>
                <w:b/>
                <w:w w:val="100"/>
                <w:sz w:val="16"/>
              </w:rPr>
              <w:t>5</w:t>
            </w:r>
          </w:p>
        </w:tc>
        <w:tc>
          <w:tcPr>
            <w:tcW w:w="7761" w:type="dxa"/>
            <w:tcBorders>
              <w:top w:val="single" w:sz="4" w:space="0" w:color="000000"/>
              <w:bottom w:val="single" w:sz="4" w:space="0" w:color="000000"/>
              <w:right w:val="single" w:sz="4" w:space="0" w:color="000000"/>
            </w:tcBorders>
          </w:tcPr>
          <w:p>
            <w:pPr>
              <w:pStyle w:val="TableParagraph"/>
              <w:spacing w:before="15"/>
              <w:ind w:left="93" w:right="153"/>
              <w:rPr>
                <w:sz w:val="16"/>
              </w:rPr>
            </w:pPr>
            <w:r>
              <w:rPr>
                <w:sz w:val="16"/>
              </w:rPr>
              <w:t>La ASF está obligada a publicar en el DOF los criterios para la ejecución de auditorías, de acuerdo con las normas profesionales de la INTOSAI.</w:t>
            </w:r>
          </w:p>
        </w:tc>
      </w:tr>
      <w:tr>
        <w:trPr>
          <w:trHeight w:val="398" w:hRule="exact"/>
        </w:trPr>
        <w:tc>
          <w:tcPr>
            <w:tcW w:w="924" w:type="dxa"/>
          </w:tcPr>
          <w:p>
            <w:pPr>
              <w:pStyle w:val="TableParagraph"/>
              <w:spacing w:before="97"/>
              <w:ind w:right="88"/>
              <w:jc w:val="center"/>
              <w:rPr>
                <w:b/>
                <w:sz w:val="16"/>
              </w:rPr>
            </w:pPr>
            <w:r>
              <w:rPr>
                <w:b/>
                <w:w w:val="100"/>
                <w:sz w:val="16"/>
              </w:rPr>
              <w:t>6</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La</w:t>
            </w:r>
            <w:r>
              <w:rPr>
                <w:spacing w:val="-8"/>
                <w:sz w:val="16"/>
              </w:rPr>
              <w:t> </w:t>
            </w:r>
            <w:r>
              <w:rPr>
                <w:sz w:val="16"/>
              </w:rPr>
              <w:t>ASF</w:t>
            </w:r>
            <w:r>
              <w:rPr>
                <w:spacing w:val="-8"/>
                <w:sz w:val="16"/>
              </w:rPr>
              <w:t> </w:t>
            </w:r>
            <w:r>
              <w:rPr>
                <w:sz w:val="16"/>
              </w:rPr>
              <w:t>está</w:t>
            </w:r>
            <w:r>
              <w:rPr>
                <w:spacing w:val="-9"/>
                <w:sz w:val="16"/>
              </w:rPr>
              <w:t> </w:t>
            </w:r>
            <w:r>
              <w:rPr>
                <w:sz w:val="16"/>
              </w:rPr>
              <w:t>facultada</w:t>
            </w:r>
            <w:r>
              <w:rPr>
                <w:spacing w:val="-9"/>
                <w:sz w:val="16"/>
              </w:rPr>
              <w:t> </w:t>
            </w:r>
            <w:r>
              <w:rPr>
                <w:sz w:val="16"/>
              </w:rPr>
              <w:t>para</w:t>
            </w:r>
            <w:r>
              <w:rPr>
                <w:spacing w:val="-9"/>
                <w:sz w:val="16"/>
              </w:rPr>
              <w:t> </w:t>
            </w:r>
            <w:r>
              <w:rPr>
                <w:sz w:val="16"/>
              </w:rPr>
              <w:t>imponer</w:t>
            </w:r>
            <w:r>
              <w:rPr>
                <w:spacing w:val="-9"/>
                <w:sz w:val="16"/>
              </w:rPr>
              <w:t> </w:t>
            </w:r>
            <w:r>
              <w:rPr>
                <w:sz w:val="16"/>
              </w:rPr>
              <w:t>multas</w:t>
            </w:r>
            <w:r>
              <w:rPr>
                <w:spacing w:val="-8"/>
                <w:sz w:val="16"/>
              </w:rPr>
              <w:t> </w:t>
            </w:r>
            <w:r>
              <w:rPr>
                <w:sz w:val="16"/>
              </w:rPr>
              <w:t>a</w:t>
            </w:r>
            <w:r>
              <w:rPr>
                <w:spacing w:val="-9"/>
                <w:sz w:val="16"/>
              </w:rPr>
              <w:t> </w:t>
            </w:r>
            <w:r>
              <w:rPr>
                <w:sz w:val="16"/>
              </w:rPr>
              <w:t>los</w:t>
            </w:r>
            <w:r>
              <w:rPr>
                <w:spacing w:val="-8"/>
                <w:sz w:val="16"/>
              </w:rPr>
              <w:t> </w:t>
            </w:r>
            <w:r>
              <w:rPr>
                <w:sz w:val="16"/>
              </w:rPr>
              <w:t>servidores</w:t>
            </w:r>
            <w:r>
              <w:rPr>
                <w:spacing w:val="-8"/>
                <w:sz w:val="16"/>
              </w:rPr>
              <w:t> </w:t>
            </w:r>
            <w:r>
              <w:rPr>
                <w:sz w:val="16"/>
              </w:rPr>
              <w:t>públicos</w:t>
            </w:r>
            <w:r>
              <w:rPr>
                <w:spacing w:val="-5"/>
                <w:sz w:val="16"/>
              </w:rPr>
              <w:t> </w:t>
            </w:r>
            <w:r>
              <w:rPr>
                <w:sz w:val="16"/>
              </w:rPr>
              <w:t>o</w:t>
            </w:r>
            <w:r>
              <w:rPr>
                <w:spacing w:val="-9"/>
                <w:sz w:val="16"/>
              </w:rPr>
              <w:t> </w:t>
            </w:r>
            <w:r>
              <w:rPr>
                <w:sz w:val="16"/>
              </w:rPr>
              <w:t>particulares</w:t>
            </w:r>
            <w:r>
              <w:rPr>
                <w:spacing w:val="-9"/>
                <w:sz w:val="16"/>
              </w:rPr>
              <w:t> </w:t>
            </w:r>
            <w:r>
              <w:rPr>
                <w:sz w:val="16"/>
              </w:rPr>
              <w:t>cuando</w:t>
            </w:r>
            <w:r>
              <w:rPr>
                <w:spacing w:val="-8"/>
                <w:sz w:val="16"/>
              </w:rPr>
              <w:t> </w:t>
            </w:r>
            <w:r>
              <w:rPr>
                <w:sz w:val="16"/>
              </w:rPr>
              <w:t>no</w:t>
            </w:r>
            <w:r>
              <w:rPr>
                <w:spacing w:val="-9"/>
                <w:sz w:val="16"/>
              </w:rPr>
              <w:t> </w:t>
            </w:r>
            <w:r>
              <w:rPr>
                <w:sz w:val="16"/>
              </w:rPr>
              <w:t>se</w:t>
            </w:r>
            <w:r>
              <w:rPr>
                <w:spacing w:val="-9"/>
                <w:sz w:val="16"/>
              </w:rPr>
              <w:t> </w:t>
            </w:r>
            <w:r>
              <w:rPr>
                <w:sz w:val="16"/>
              </w:rPr>
              <w:t>atiendan sus requerimientos de</w:t>
            </w:r>
            <w:r>
              <w:rPr>
                <w:spacing w:val="-15"/>
                <w:sz w:val="16"/>
              </w:rPr>
              <w:t> </w:t>
            </w:r>
            <w:r>
              <w:rPr>
                <w:sz w:val="16"/>
              </w:rPr>
              <w:t>información.</w:t>
            </w:r>
          </w:p>
        </w:tc>
      </w:tr>
      <w:tr>
        <w:trPr>
          <w:trHeight w:val="214" w:hRule="exact"/>
        </w:trPr>
        <w:tc>
          <w:tcPr>
            <w:tcW w:w="924" w:type="dxa"/>
          </w:tcPr>
          <w:p>
            <w:pPr>
              <w:pStyle w:val="TableParagraph"/>
              <w:spacing w:before="6"/>
              <w:ind w:left="81" w:right="167"/>
              <w:jc w:val="center"/>
              <w:rPr>
                <w:b/>
                <w:sz w:val="16"/>
              </w:rPr>
            </w:pPr>
            <w:r>
              <w:rPr>
                <w:b/>
                <w:sz w:val="16"/>
              </w:rPr>
              <w:t>12</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Se amplió y se precisó el objeto de fiscalización de la Cuenta Pública.</w:t>
            </w:r>
          </w:p>
        </w:tc>
      </w:tr>
      <w:tr>
        <w:trPr>
          <w:trHeight w:val="398" w:hRule="exact"/>
        </w:trPr>
        <w:tc>
          <w:tcPr>
            <w:tcW w:w="924" w:type="dxa"/>
          </w:tcPr>
          <w:p>
            <w:pPr>
              <w:pStyle w:val="TableParagraph"/>
              <w:spacing w:before="97"/>
              <w:ind w:left="81" w:right="167"/>
              <w:jc w:val="center"/>
              <w:rPr>
                <w:b/>
                <w:sz w:val="16"/>
              </w:rPr>
            </w:pPr>
            <w:r>
              <w:rPr>
                <w:b/>
                <w:sz w:val="16"/>
              </w:rPr>
              <w:t>13</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Se establecieron los tipos de acciones promovidas y las recomendaciones con motivo de la fiscalización superior.</w:t>
            </w:r>
          </w:p>
        </w:tc>
      </w:tr>
      <w:tr>
        <w:trPr>
          <w:trHeight w:val="1136" w:hRule="exact"/>
        </w:trPr>
        <w:tc>
          <w:tcPr>
            <w:tcW w:w="924" w:type="dxa"/>
          </w:tcPr>
          <w:p>
            <w:pPr>
              <w:pStyle w:val="TableParagraph"/>
              <w:rPr>
                <w:sz w:val="16"/>
              </w:rPr>
            </w:pPr>
          </w:p>
          <w:p>
            <w:pPr>
              <w:pStyle w:val="TableParagraph"/>
              <w:rPr>
                <w:sz w:val="16"/>
              </w:rPr>
            </w:pPr>
          </w:p>
          <w:p>
            <w:pPr>
              <w:pStyle w:val="TableParagraph"/>
              <w:spacing w:before="96"/>
              <w:ind w:left="81" w:right="167"/>
              <w:jc w:val="center"/>
              <w:rPr>
                <w:b/>
                <w:sz w:val="16"/>
              </w:rPr>
            </w:pPr>
            <w:r>
              <w:rPr>
                <w:b/>
                <w:sz w:val="16"/>
              </w:rPr>
              <w:t>15</w:t>
            </w:r>
          </w:p>
        </w:tc>
        <w:tc>
          <w:tcPr>
            <w:tcW w:w="7761" w:type="dxa"/>
            <w:tcBorders>
              <w:top w:val="single" w:sz="4" w:space="0" w:color="000000"/>
              <w:bottom w:val="single" w:sz="4" w:space="0" w:color="000000"/>
              <w:right w:val="single" w:sz="4" w:space="0" w:color="000000"/>
            </w:tcBorders>
          </w:tcPr>
          <w:p>
            <w:pPr>
              <w:pStyle w:val="TableParagraph"/>
              <w:spacing w:line="183" w:lineRule="exact" w:before="18"/>
              <w:ind w:left="93" w:right="153"/>
              <w:rPr>
                <w:sz w:val="16"/>
              </w:rPr>
            </w:pPr>
            <w:r>
              <w:rPr>
                <w:sz w:val="16"/>
              </w:rPr>
              <w:t>Se precisaron las atribuciones de la ASF para la fiscalización de la Cuenta Pública.</w:t>
            </w:r>
          </w:p>
          <w:p>
            <w:pPr>
              <w:pStyle w:val="TableParagraph"/>
              <w:ind w:left="93" w:right="153"/>
              <w:rPr>
                <w:sz w:val="16"/>
              </w:rPr>
            </w:pPr>
            <w:r>
              <w:rPr>
                <w:sz w:val="16"/>
              </w:rPr>
              <w:t>Se establecieron las atribuciones de la ASF para determinar “daños o perjuicios o ambos” a la Hacienda Pública Federal o al patrimonio de los entes públicos federales o paraestatales.</w:t>
            </w:r>
          </w:p>
          <w:p>
            <w:pPr>
              <w:pStyle w:val="TableParagraph"/>
              <w:spacing w:before="1"/>
              <w:ind w:left="93" w:right="153"/>
              <w:rPr>
                <w:sz w:val="16"/>
              </w:rPr>
            </w:pPr>
            <w:r>
              <w:rPr>
                <w:sz w:val="16"/>
              </w:rPr>
              <w:t>Se estableció el procedimiento para el finca miento de responsabilidades resarcitorias, la promoción y seguimiento ante las autoridades competentes y la presentación de denuncias y querellas penales.</w:t>
            </w:r>
          </w:p>
          <w:p>
            <w:pPr>
              <w:pStyle w:val="TableParagraph"/>
              <w:spacing w:before="1"/>
              <w:ind w:left="93" w:right="153"/>
              <w:rPr>
                <w:sz w:val="16"/>
              </w:rPr>
            </w:pPr>
            <w:r>
              <w:rPr>
                <w:sz w:val="16"/>
              </w:rPr>
              <w:t>Se precisaron las facultades de la ASF para fiscalizar la deuda pública.</w:t>
            </w:r>
          </w:p>
        </w:tc>
      </w:tr>
      <w:tr>
        <w:trPr>
          <w:trHeight w:val="396" w:hRule="exact"/>
        </w:trPr>
        <w:tc>
          <w:tcPr>
            <w:tcW w:w="924" w:type="dxa"/>
          </w:tcPr>
          <w:p>
            <w:pPr>
              <w:pStyle w:val="TableParagraph"/>
              <w:spacing w:before="94"/>
              <w:ind w:left="81" w:right="167"/>
              <w:jc w:val="center"/>
              <w:rPr>
                <w:b/>
                <w:sz w:val="16"/>
              </w:rPr>
            </w:pPr>
            <w:r>
              <w:rPr>
                <w:b/>
                <w:sz w:val="16"/>
              </w:rPr>
              <w:t>18</w:t>
            </w:r>
          </w:p>
        </w:tc>
        <w:tc>
          <w:tcPr>
            <w:tcW w:w="7761" w:type="dxa"/>
            <w:tcBorders>
              <w:top w:val="single" w:sz="4" w:space="0" w:color="000000"/>
              <w:bottom w:val="single" w:sz="4" w:space="0" w:color="000000"/>
              <w:right w:val="single" w:sz="4" w:space="0" w:color="000000"/>
            </w:tcBorders>
          </w:tcPr>
          <w:p>
            <w:pPr>
              <w:pStyle w:val="TableParagraph"/>
              <w:spacing w:before="15"/>
              <w:ind w:left="93"/>
              <w:rPr>
                <w:sz w:val="16"/>
              </w:rPr>
            </w:pPr>
            <w:r>
              <w:rPr>
                <w:sz w:val="16"/>
              </w:rPr>
              <w:t>Sin perjuicio del principio de anualidad, la ASF puede solicitar información y documentación para revisar el cumplimiento de los objetivos de los programas federales de ejercicios anteriores al de la Cuenta Pública.</w:t>
            </w:r>
          </w:p>
        </w:tc>
      </w:tr>
      <w:tr>
        <w:trPr>
          <w:trHeight w:val="398" w:hRule="exact"/>
        </w:trPr>
        <w:tc>
          <w:tcPr>
            <w:tcW w:w="924" w:type="dxa"/>
          </w:tcPr>
          <w:p>
            <w:pPr>
              <w:pStyle w:val="TableParagraph"/>
              <w:spacing w:before="97"/>
              <w:ind w:left="81" w:right="167"/>
              <w:jc w:val="center"/>
              <w:rPr>
                <w:b/>
                <w:sz w:val="16"/>
              </w:rPr>
            </w:pPr>
            <w:r>
              <w:rPr>
                <w:b/>
                <w:sz w:val="16"/>
              </w:rPr>
              <w:t>22</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Las auditorías sobre seguridad nacional únicamente podrán ser realizarse por la ASF, no por despachos externos.</w:t>
            </w:r>
          </w:p>
        </w:tc>
      </w:tr>
      <w:tr>
        <w:trPr>
          <w:trHeight w:val="583" w:hRule="exact"/>
        </w:trPr>
        <w:tc>
          <w:tcPr>
            <w:tcW w:w="924" w:type="dxa"/>
          </w:tcPr>
          <w:p>
            <w:pPr>
              <w:pStyle w:val="TableParagraph"/>
              <w:spacing w:before="4"/>
              <w:rPr>
                <w:sz w:val="16"/>
              </w:rPr>
            </w:pPr>
          </w:p>
          <w:p>
            <w:pPr>
              <w:pStyle w:val="TableParagraph"/>
              <w:ind w:left="81" w:right="167"/>
              <w:jc w:val="center"/>
              <w:rPr>
                <w:b/>
                <w:sz w:val="16"/>
              </w:rPr>
            </w:pPr>
            <w:r>
              <w:rPr>
                <w:b/>
                <w:sz w:val="16"/>
              </w:rPr>
              <w:t>27</w:t>
            </w:r>
          </w:p>
        </w:tc>
        <w:tc>
          <w:tcPr>
            <w:tcW w:w="7761" w:type="dxa"/>
            <w:tcBorders>
              <w:top w:val="single" w:sz="4" w:space="0" w:color="000000"/>
              <w:bottom w:val="single" w:sz="4" w:space="0" w:color="000000"/>
              <w:right w:val="single" w:sz="4" w:space="0" w:color="000000"/>
            </w:tcBorders>
          </w:tcPr>
          <w:p>
            <w:pPr>
              <w:pStyle w:val="TableParagraph"/>
              <w:spacing w:before="18"/>
              <w:ind w:left="93" w:right="193"/>
              <w:jc w:val="both"/>
              <w:rPr>
                <w:sz w:val="16"/>
              </w:rPr>
            </w:pPr>
            <w:r>
              <w:rPr>
                <w:sz w:val="16"/>
              </w:rPr>
              <w:t>Aún si la ASF es responsable solidario de daños o perjuicios (con sus servidores públicos o despachos externos) por violentar la reserva de la información, ella podrá promover acciones legales correspondientes</w:t>
            </w:r>
          </w:p>
        </w:tc>
      </w:tr>
      <w:tr>
        <w:trPr>
          <w:trHeight w:val="398" w:hRule="exact"/>
        </w:trPr>
        <w:tc>
          <w:tcPr>
            <w:tcW w:w="924" w:type="dxa"/>
          </w:tcPr>
          <w:p>
            <w:pPr>
              <w:pStyle w:val="TableParagraph"/>
              <w:spacing w:before="97"/>
              <w:ind w:left="81" w:right="167"/>
              <w:jc w:val="center"/>
              <w:rPr>
                <w:b/>
                <w:sz w:val="16"/>
              </w:rPr>
            </w:pPr>
            <w:r>
              <w:rPr>
                <w:b/>
                <w:sz w:val="16"/>
              </w:rPr>
              <w:t>30</w:t>
            </w:r>
          </w:p>
        </w:tc>
        <w:tc>
          <w:tcPr>
            <w:tcW w:w="7761" w:type="dxa"/>
            <w:tcBorders>
              <w:top w:val="single" w:sz="4" w:space="0" w:color="000000"/>
              <w:bottom w:val="single" w:sz="4" w:space="0" w:color="000000"/>
              <w:right w:val="single" w:sz="4" w:space="0" w:color="000000"/>
            </w:tcBorders>
          </w:tcPr>
          <w:p>
            <w:pPr>
              <w:pStyle w:val="TableParagraph"/>
              <w:spacing w:before="15"/>
              <w:ind w:left="93"/>
              <w:rPr>
                <w:sz w:val="16"/>
              </w:rPr>
            </w:pPr>
            <w:r>
              <w:rPr>
                <w:sz w:val="16"/>
              </w:rPr>
              <w:t>Se agregó la obligatoriedad de los informes semestrales, de acuerdo con la Constitución Federal, artículo 79, fracción II párrafo 6.</w:t>
            </w:r>
          </w:p>
        </w:tc>
      </w:tr>
      <w:tr>
        <w:trPr>
          <w:trHeight w:val="396" w:hRule="exact"/>
        </w:trPr>
        <w:tc>
          <w:tcPr>
            <w:tcW w:w="924" w:type="dxa"/>
          </w:tcPr>
          <w:p>
            <w:pPr>
              <w:pStyle w:val="TableParagraph"/>
              <w:spacing w:before="94"/>
              <w:ind w:left="81" w:right="167"/>
              <w:jc w:val="center"/>
              <w:rPr>
                <w:b/>
                <w:sz w:val="16"/>
              </w:rPr>
            </w:pPr>
            <w:r>
              <w:rPr>
                <w:b/>
                <w:sz w:val="16"/>
              </w:rPr>
              <w:t>32</w:t>
            </w:r>
          </w:p>
        </w:tc>
        <w:tc>
          <w:tcPr>
            <w:tcW w:w="7761" w:type="dxa"/>
            <w:tcBorders>
              <w:top w:val="single" w:sz="4" w:space="0" w:color="000000"/>
              <w:bottom w:val="single" w:sz="4" w:space="0" w:color="000000"/>
              <w:right w:val="single" w:sz="4" w:space="0" w:color="000000"/>
            </w:tcBorders>
          </w:tcPr>
          <w:p>
            <w:pPr>
              <w:pStyle w:val="TableParagraph"/>
              <w:spacing w:before="15"/>
              <w:ind w:left="93" w:right="153"/>
              <w:rPr>
                <w:sz w:val="16"/>
              </w:rPr>
            </w:pPr>
            <w:r>
              <w:rPr>
                <w:sz w:val="16"/>
              </w:rPr>
              <w:t>La</w:t>
            </w:r>
            <w:r>
              <w:rPr>
                <w:spacing w:val="-10"/>
                <w:sz w:val="16"/>
              </w:rPr>
              <w:t> </w:t>
            </w:r>
            <w:r>
              <w:rPr>
                <w:sz w:val="16"/>
              </w:rPr>
              <w:t>ASF</w:t>
            </w:r>
            <w:r>
              <w:rPr>
                <w:spacing w:val="-12"/>
                <w:sz w:val="16"/>
              </w:rPr>
              <w:t> </w:t>
            </w:r>
            <w:r>
              <w:rPr>
                <w:sz w:val="16"/>
              </w:rPr>
              <w:t>tiene</w:t>
            </w:r>
            <w:r>
              <w:rPr>
                <w:spacing w:val="-13"/>
                <w:sz w:val="16"/>
              </w:rPr>
              <w:t> </w:t>
            </w:r>
            <w:r>
              <w:rPr>
                <w:sz w:val="16"/>
              </w:rPr>
              <w:t>facultades</w:t>
            </w:r>
            <w:r>
              <w:rPr>
                <w:spacing w:val="-11"/>
                <w:sz w:val="16"/>
              </w:rPr>
              <w:t> </w:t>
            </w:r>
            <w:r>
              <w:rPr>
                <w:sz w:val="16"/>
              </w:rPr>
              <w:t>para</w:t>
            </w:r>
            <w:r>
              <w:rPr>
                <w:spacing w:val="-8"/>
                <w:sz w:val="16"/>
              </w:rPr>
              <w:t> </w:t>
            </w:r>
            <w:r>
              <w:rPr>
                <w:sz w:val="16"/>
              </w:rPr>
              <w:t>imponer</w:t>
            </w:r>
            <w:r>
              <w:rPr>
                <w:spacing w:val="-13"/>
                <w:sz w:val="16"/>
              </w:rPr>
              <w:t> </w:t>
            </w:r>
            <w:r>
              <w:rPr>
                <w:sz w:val="16"/>
              </w:rPr>
              <w:t>multas</w:t>
            </w:r>
            <w:r>
              <w:rPr>
                <w:spacing w:val="-11"/>
                <w:sz w:val="16"/>
              </w:rPr>
              <w:t> </w:t>
            </w:r>
            <w:r>
              <w:rPr>
                <w:sz w:val="16"/>
              </w:rPr>
              <w:t>a</w:t>
            </w:r>
            <w:r>
              <w:rPr>
                <w:spacing w:val="-13"/>
                <w:sz w:val="16"/>
              </w:rPr>
              <w:t> </w:t>
            </w:r>
            <w:r>
              <w:rPr>
                <w:sz w:val="16"/>
              </w:rPr>
              <w:t>los</w:t>
            </w:r>
            <w:r>
              <w:rPr>
                <w:spacing w:val="-11"/>
                <w:sz w:val="16"/>
              </w:rPr>
              <w:t> </w:t>
            </w:r>
            <w:r>
              <w:rPr>
                <w:sz w:val="16"/>
              </w:rPr>
              <w:t>titulares</w:t>
            </w:r>
            <w:r>
              <w:rPr>
                <w:spacing w:val="-11"/>
                <w:sz w:val="16"/>
              </w:rPr>
              <w:t> </w:t>
            </w:r>
            <w:r>
              <w:rPr>
                <w:sz w:val="16"/>
              </w:rPr>
              <w:t>de</w:t>
            </w:r>
            <w:r>
              <w:rPr>
                <w:spacing w:val="-13"/>
                <w:sz w:val="16"/>
              </w:rPr>
              <w:t> </w:t>
            </w:r>
            <w:r>
              <w:rPr>
                <w:sz w:val="16"/>
              </w:rPr>
              <w:t>las</w:t>
            </w:r>
            <w:r>
              <w:rPr>
                <w:spacing w:val="-9"/>
                <w:sz w:val="16"/>
              </w:rPr>
              <w:t> </w:t>
            </w:r>
            <w:r>
              <w:rPr>
                <w:sz w:val="16"/>
              </w:rPr>
              <w:t>áreas</w:t>
            </w:r>
            <w:r>
              <w:rPr>
                <w:spacing w:val="-9"/>
                <w:sz w:val="16"/>
              </w:rPr>
              <w:t> </w:t>
            </w:r>
            <w:r>
              <w:rPr>
                <w:sz w:val="16"/>
              </w:rPr>
              <w:t>administrativas</w:t>
            </w:r>
            <w:r>
              <w:rPr>
                <w:spacing w:val="-9"/>
                <w:sz w:val="16"/>
              </w:rPr>
              <w:t> </w:t>
            </w:r>
            <w:r>
              <w:rPr>
                <w:sz w:val="16"/>
              </w:rPr>
              <w:t>auditadas</w:t>
            </w:r>
            <w:r>
              <w:rPr>
                <w:spacing w:val="-11"/>
                <w:sz w:val="16"/>
              </w:rPr>
              <w:t> </w:t>
            </w:r>
            <w:r>
              <w:rPr>
                <w:sz w:val="16"/>
              </w:rPr>
              <w:t>además de promover las acciones legales correspondientes en caso de incumplimiento de</w:t>
            </w:r>
            <w:r>
              <w:rPr>
                <w:spacing w:val="-29"/>
                <w:sz w:val="16"/>
              </w:rPr>
              <w:t> </w:t>
            </w:r>
            <w:r>
              <w:rPr>
                <w:sz w:val="16"/>
              </w:rPr>
              <w:t>plazos.</w:t>
            </w:r>
          </w:p>
        </w:tc>
      </w:tr>
      <w:tr>
        <w:trPr>
          <w:trHeight w:val="398" w:hRule="exact"/>
        </w:trPr>
        <w:tc>
          <w:tcPr>
            <w:tcW w:w="924" w:type="dxa"/>
          </w:tcPr>
          <w:p>
            <w:pPr>
              <w:pStyle w:val="TableParagraph"/>
              <w:spacing w:before="97"/>
              <w:ind w:left="81" w:right="167"/>
              <w:jc w:val="center"/>
              <w:rPr>
                <w:b/>
                <w:sz w:val="16"/>
              </w:rPr>
            </w:pPr>
            <w:r>
              <w:rPr>
                <w:b/>
                <w:sz w:val="16"/>
              </w:rPr>
              <w:t>37</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La</w:t>
            </w:r>
            <w:r>
              <w:rPr>
                <w:spacing w:val="-9"/>
                <w:sz w:val="16"/>
              </w:rPr>
              <w:t> </w:t>
            </w:r>
            <w:r>
              <w:rPr>
                <w:sz w:val="16"/>
              </w:rPr>
              <w:t>ASF</w:t>
            </w:r>
            <w:r>
              <w:rPr>
                <w:spacing w:val="-8"/>
                <w:sz w:val="16"/>
              </w:rPr>
              <w:t> </w:t>
            </w:r>
            <w:r>
              <w:rPr>
                <w:sz w:val="16"/>
              </w:rPr>
              <w:t>puede</w:t>
            </w:r>
            <w:r>
              <w:rPr>
                <w:spacing w:val="-12"/>
                <w:sz w:val="16"/>
              </w:rPr>
              <w:t> </w:t>
            </w:r>
            <w:r>
              <w:rPr>
                <w:sz w:val="16"/>
              </w:rPr>
              <w:t>celebrar</w:t>
            </w:r>
            <w:r>
              <w:rPr>
                <w:spacing w:val="-9"/>
                <w:sz w:val="16"/>
              </w:rPr>
              <w:t> </w:t>
            </w:r>
            <w:r>
              <w:rPr>
                <w:sz w:val="16"/>
              </w:rPr>
              <w:t>convenios</w:t>
            </w:r>
            <w:r>
              <w:rPr>
                <w:spacing w:val="-10"/>
                <w:sz w:val="16"/>
              </w:rPr>
              <w:t> </w:t>
            </w:r>
            <w:r>
              <w:rPr>
                <w:sz w:val="16"/>
              </w:rPr>
              <w:t>con</w:t>
            </w:r>
            <w:r>
              <w:rPr>
                <w:spacing w:val="-9"/>
                <w:sz w:val="16"/>
              </w:rPr>
              <w:t> </w:t>
            </w:r>
            <w:r>
              <w:rPr>
                <w:sz w:val="16"/>
              </w:rPr>
              <w:t>las</w:t>
            </w:r>
            <w:r>
              <w:rPr>
                <w:spacing w:val="-10"/>
                <w:sz w:val="16"/>
              </w:rPr>
              <w:t> </w:t>
            </w:r>
            <w:r>
              <w:rPr>
                <w:sz w:val="16"/>
              </w:rPr>
              <w:t>legislaturas</w:t>
            </w:r>
            <w:r>
              <w:rPr>
                <w:spacing w:val="-8"/>
                <w:sz w:val="16"/>
              </w:rPr>
              <w:t> </w:t>
            </w:r>
            <w:r>
              <w:rPr>
                <w:sz w:val="16"/>
              </w:rPr>
              <w:t>locales</w:t>
            </w:r>
            <w:r>
              <w:rPr>
                <w:spacing w:val="-8"/>
                <w:sz w:val="16"/>
              </w:rPr>
              <w:t> </w:t>
            </w:r>
            <w:r>
              <w:rPr>
                <w:sz w:val="16"/>
              </w:rPr>
              <w:t>y</w:t>
            </w:r>
            <w:r>
              <w:rPr>
                <w:spacing w:val="-10"/>
                <w:sz w:val="16"/>
              </w:rPr>
              <w:t> </w:t>
            </w:r>
            <w:r>
              <w:rPr>
                <w:sz w:val="16"/>
              </w:rPr>
              <w:t>la</w:t>
            </w:r>
            <w:r>
              <w:rPr>
                <w:spacing w:val="-9"/>
                <w:sz w:val="16"/>
              </w:rPr>
              <w:t> </w:t>
            </w:r>
            <w:r>
              <w:rPr>
                <w:sz w:val="16"/>
              </w:rPr>
              <w:t>Asamblea</w:t>
            </w:r>
            <w:r>
              <w:rPr>
                <w:spacing w:val="-9"/>
                <w:sz w:val="16"/>
              </w:rPr>
              <w:t> </w:t>
            </w:r>
            <w:r>
              <w:rPr>
                <w:sz w:val="16"/>
              </w:rPr>
              <w:t>Legislativa</w:t>
            </w:r>
            <w:r>
              <w:rPr>
                <w:spacing w:val="-9"/>
                <w:sz w:val="16"/>
              </w:rPr>
              <w:t> </w:t>
            </w:r>
            <w:r>
              <w:rPr>
                <w:sz w:val="16"/>
              </w:rPr>
              <w:t>del</w:t>
            </w:r>
            <w:r>
              <w:rPr>
                <w:spacing w:val="-8"/>
                <w:sz w:val="16"/>
              </w:rPr>
              <w:t> </w:t>
            </w:r>
            <w:r>
              <w:rPr>
                <w:sz w:val="16"/>
              </w:rPr>
              <w:t>D.F.,</w:t>
            </w:r>
            <w:r>
              <w:rPr>
                <w:spacing w:val="-8"/>
                <w:sz w:val="16"/>
              </w:rPr>
              <w:t> </w:t>
            </w:r>
            <w:r>
              <w:rPr>
                <w:sz w:val="16"/>
              </w:rPr>
              <w:t>así</w:t>
            </w:r>
            <w:r>
              <w:rPr>
                <w:spacing w:val="-10"/>
                <w:sz w:val="16"/>
              </w:rPr>
              <w:t> </w:t>
            </w:r>
            <w:r>
              <w:rPr>
                <w:sz w:val="16"/>
              </w:rPr>
              <w:t>como con los gobiernos de los estados y las Entidades de Fiscalización Superior</w:t>
            </w:r>
            <w:r>
              <w:rPr>
                <w:spacing w:val="-30"/>
                <w:sz w:val="16"/>
              </w:rPr>
              <w:t> </w:t>
            </w:r>
            <w:r>
              <w:rPr>
                <w:sz w:val="16"/>
              </w:rPr>
              <w:t>Locales.</w:t>
            </w:r>
          </w:p>
        </w:tc>
      </w:tr>
      <w:tr>
        <w:trPr>
          <w:trHeight w:val="766" w:hRule="exact"/>
        </w:trPr>
        <w:tc>
          <w:tcPr>
            <w:tcW w:w="924" w:type="dxa"/>
          </w:tcPr>
          <w:p>
            <w:pPr>
              <w:pStyle w:val="TableParagraph"/>
              <w:rPr>
                <w:sz w:val="16"/>
              </w:rPr>
            </w:pPr>
          </w:p>
          <w:p>
            <w:pPr>
              <w:pStyle w:val="TableParagraph"/>
              <w:spacing w:before="98"/>
              <w:ind w:left="81" w:right="167"/>
              <w:jc w:val="center"/>
              <w:rPr>
                <w:b/>
                <w:sz w:val="16"/>
              </w:rPr>
            </w:pPr>
            <w:r>
              <w:rPr>
                <w:b/>
                <w:sz w:val="16"/>
              </w:rPr>
              <w:t>40</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La Ley precisó que la revisión de situaciones excepcionales procederá cuando se presenten denuncias fundadas con documentos o evidencias.</w:t>
            </w:r>
          </w:p>
          <w:p>
            <w:pPr>
              <w:pStyle w:val="TableParagraph"/>
              <w:spacing w:before="1"/>
              <w:ind w:left="93" w:right="153"/>
              <w:rPr>
                <w:sz w:val="16"/>
              </w:rPr>
            </w:pPr>
            <w:r>
              <w:rPr>
                <w:sz w:val="16"/>
              </w:rPr>
              <w:t>Una causal adicional para la procedencia de la revisión de situación excepcional el desvío flagrante de recursos hacia fines distintos de los autorizados y se precisa “posibles actos de corrupción”.</w:t>
            </w:r>
          </w:p>
        </w:tc>
      </w:tr>
      <w:tr>
        <w:trPr>
          <w:trHeight w:val="216" w:hRule="exact"/>
        </w:trPr>
        <w:tc>
          <w:tcPr>
            <w:tcW w:w="924" w:type="dxa"/>
          </w:tcPr>
          <w:p>
            <w:pPr>
              <w:pStyle w:val="TableParagraph"/>
              <w:spacing w:before="6"/>
              <w:ind w:left="81" w:right="167"/>
              <w:jc w:val="center"/>
              <w:rPr>
                <w:b/>
                <w:sz w:val="16"/>
              </w:rPr>
            </w:pPr>
            <w:r>
              <w:rPr>
                <w:b/>
                <w:sz w:val="16"/>
              </w:rPr>
              <w:t>52</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Se incluyó a los particulares en el finca miento de responsabilidad resarcitoria.</w:t>
            </w:r>
          </w:p>
        </w:tc>
      </w:tr>
      <w:tr>
        <w:trPr>
          <w:trHeight w:val="214" w:hRule="exact"/>
        </w:trPr>
        <w:tc>
          <w:tcPr>
            <w:tcW w:w="924" w:type="dxa"/>
          </w:tcPr>
          <w:p>
            <w:pPr>
              <w:pStyle w:val="TableParagraph"/>
              <w:spacing w:before="3"/>
              <w:ind w:left="81" w:right="167"/>
              <w:jc w:val="center"/>
              <w:rPr>
                <w:b/>
                <w:sz w:val="16"/>
              </w:rPr>
            </w:pPr>
            <w:r>
              <w:rPr>
                <w:b/>
                <w:sz w:val="16"/>
              </w:rPr>
              <w:t>55</w:t>
            </w:r>
          </w:p>
        </w:tc>
        <w:tc>
          <w:tcPr>
            <w:tcW w:w="7761" w:type="dxa"/>
            <w:tcBorders>
              <w:top w:val="single" w:sz="4" w:space="0" w:color="000000"/>
              <w:bottom w:val="single" w:sz="4" w:space="0" w:color="000000"/>
              <w:right w:val="single" w:sz="4" w:space="0" w:color="000000"/>
            </w:tcBorders>
          </w:tcPr>
          <w:p>
            <w:pPr>
              <w:pStyle w:val="TableParagraph"/>
              <w:spacing w:before="15"/>
              <w:ind w:left="93" w:right="153"/>
              <w:rPr>
                <w:sz w:val="16"/>
              </w:rPr>
            </w:pPr>
            <w:r>
              <w:rPr>
                <w:sz w:val="16"/>
              </w:rPr>
              <w:t>Se especificó el monto mínimo por el cual se puede expedir un Pliego de Observaciones.</w:t>
            </w:r>
          </w:p>
        </w:tc>
      </w:tr>
      <w:tr>
        <w:trPr>
          <w:trHeight w:val="214" w:hRule="exact"/>
        </w:trPr>
        <w:tc>
          <w:tcPr>
            <w:tcW w:w="924" w:type="dxa"/>
          </w:tcPr>
          <w:p>
            <w:pPr>
              <w:pStyle w:val="TableParagraph"/>
              <w:spacing w:before="3"/>
              <w:ind w:left="81" w:right="167"/>
              <w:jc w:val="center"/>
              <w:rPr>
                <w:b/>
                <w:sz w:val="16"/>
              </w:rPr>
            </w:pPr>
            <w:r>
              <w:rPr>
                <w:b/>
                <w:sz w:val="16"/>
              </w:rPr>
              <w:t>57</w:t>
            </w:r>
          </w:p>
        </w:tc>
        <w:tc>
          <w:tcPr>
            <w:tcW w:w="7761" w:type="dxa"/>
            <w:tcBorders>
              <w:top w:val="single" w:sz="4" w:space="0" w:color="000000"/>
              <w:bottom w:val="single" w:sz="4" w:space="0" w:color="000000"/>
              <w:right w:val="single" w:sz="4" w:space="0" w:color="000000"/>
            </w:tcBorders>
          </w:tcPr>
          <w:p>
            <w:pPr>
              <w:pStyle w:val="TableParagraph"/>
              <w:spacing w:before="15"/>
              <w:ind w:left="93" w:right="153"/>
              <w:rPr>
                <w:sz w:val="16"/>
              </w:rPr>
            </w:pPr>
            <w:r>
              <w:rPr>
                <w:sz w:val="16"/>
              </w:rPr>
              <w:t>Se precisó el Procedimiento para el finca miento de responsabilidades resarcitorias.</w:t>
            </w:r>
          </w:p>
        </w:tc>
      </w:tr>
      <w:tr>
        <w:trPr>
          <w:trHeight w:val="214" w:hRule="exact"/>
        </w:trPr>
        <w:tc>
          <w:tcPr>
            <w:tcW w:w="924" w:type="dxa"/>
          </w:tcPr>
          <w:p>
            <w:pPr>
              <w:pStyle w:val="TableParagraph"/>
              <w:spacing w:before="3"/>
              <w:ind w:left="81" w:right="167"/>
              <w:jc w:val="center"/>
              <w:rPr>
                <w:b/>
                <w:sz w:val="16"/>
              </w:rPr>
            </w:pPr>
            <w:r>
              <w:rPr>
                <w:b/>
                <w:sz w:val="16"/>
              </w:rPr>
              <w:t>76</w:t>
            </w:r>
          </w:p>
        </w:tc>
        <w:tc>
          <w:tcPr>
            <w:tcW w:w="7761" w:type="dxa"/>
            <w:tcBorders>
              <w:top w:val="single" w:sz="4" w:space="0" w:color="000000"/>
              <w:bottom w:val="single" w:sz="4" w:space="0" w:color="000000"/>
              <w:right w:val="single" w:sz="4" w:space="0" w:color="000000"/>
            </w:tcBorders>
          </w:tcPr>
          <w:p>
            <w:pPr>
              <w:pStyle w:val="TableParagraph"/>
              <w:spacing w:before="15"/>
              <w:ind w:left="93" w:right="153"/>
              <w:rPr>
                <w:sz w:val="16"/>
              </w:rPr>
            </w:pPr>
            <w:r>
              <w:rPr>
                <w:sz w:val="16"/>
              </w:rPr>
              <w:t>Se fortalecieron las atribuciones de la Comisión de Vigilancia.</w:t>
            </w:r>
          </w:p>
        </w:tc>
      </w:tr>
      <w:tr>
        <w:trPr>
          <w:trHeight w:val="1318" w:hRule="exact"/>
        </w:trPr>
        <w:tc>
          <w:tcPr>
            <w:tcW w:w="924" w:type="dxa"/>
          </w:tcPr>
          <w:p>
            <w:pPr>
              <w:pStyle w:val="TableParagraph"/>
              <w:rPr>
                <w:sz w:val="16"/>
              </w:rPr>
            </w:pPr>
          </w:p>
          <w:p>
            <w:pPr>
              <w:pStyle w:val="TableParagraph"/>
              <w:rPr>
                <w:sz w:val="16"/>
              </w:rPr>
            </w:pPr>
          </w:p>
          <w:p>
            <w:pPr>
              <w:pStyle w:val="TableParagraph"/>
              <w:spacing w:before="3"/>
              <w:rPr>
                <w:sz w:val="16"/>
              </w:rPr>
            </w:pPr>
          </w:p>
          <w:p>
            <w:pPr>
              <w:pStyle w:val="TableParagraph"/>
              <w:ind w:left="81" w:right="167"/>
              <w:jc w:val="center"/>
              <w:rPr>
                <w:b/>
                <w:sz w:val="16"/>
              </w:rPr>
            </w:pPr>
            <w:r>
              <w:rPr>
                <w:b/>
                <w:sz w:val="16"/>
              </w:rPr>
              <w:t>85</w:t>
            </w:r>
          </w:p>
        </w:tc>
        <w:tc>
          <w:tcPr>
            <w:tcW w:w="7761" w:type="dxa"/>
            <w:tcBorders>
              <w:top w:val="single" w:sz="4" w:space="0" w:color="000000"/>
              <w:bottom w:val="single" w:sz="4" w:space="0" w:color="000000"/>
              <w:right w:val="single" w:sz="4" w:space="0" w:color="000000"/>
            </w:tcBorders>
          </w:tcPr>
          <w:p>
            <w:pPr>
              <w:pStyle w:val="TableParagraph"/>
              <w:spacing w:before="15"/>
              <w:ind w:left="93" w:right="98"/>
              <w:jc w:val="both"/>
              <w:rPr>
                <w:sz w:val="16"/>
              </w:rPr>
            </w:pPr>
            <w:r>
              <w:rPr>
                <w:sz w:val="16"/>
              </w:rPr>
              <w:t>Se</w:t>
            </w:r>
            <w:r>
              <w:rPr>
                <w:spacing w:val="-4"/>
                <w:sz w:val="16"/>
              </w:rPr>
              <w:t> </w:t>
            </w:r>
            <w:r>
              <w:rPr>
                <w:sz w:val="16"/>
              </w:rPr>
              <w:t>modificó</w:t>
            </w:r>
            <w:r>
              <w:rPr>
                <w:spacing w:val="-4"/>
                <w:sz w:val="16"/>
              </w:rPr>
              <w:t> </w:t>
            </w:r>
            <w:r>
              <w:rPr>
                <w:sz w:val="16"/>
              </w:rPr>
              <w:t>la</w:t>
            </w:r>
            <w:r>
              <w:rPr>
                <w:spacing w:val="-4"/>
                <w:sz w:val="16"/>
              </w:rPr>
              <w:t> </w:t>
            </w:r>
            <w:r>
              <w:rPr>
                <w:sz w:val="16"/>
              </w:rPr>
              <w:t>fecha</w:t>
            </w:r>
            <w:r>
              <w:rPr>
                <w:spacing w:val="-4"/>
                <w:sz w:val="16"/>
              </w:rPr>
              <w:t> </w:t>
            </w:r>
            <w:r>
              <w:rPr>
                <w:sz w:val="16"/>
              </w:rPr>
              <w:t>de</w:t>
            </w:r>
            <w:r>
              <w:rPr>
                <w:spacing w:val="-2"/>
                <w:sz w:val="16"/>
              </w:rPr>
              <w:t> </w:t>
            </w:r>
            <w:r>
              <w:rPr>
                <w:sz w:val="16"/>
              </w:rPr>
              <w:t>entrega</w:t>
            </w:r>
            <w:r>
              <w:rPr>
                <w:spacing w:val="-2"/>
                <w:sz w:val="16"/>
              </w:rPr>
              <w:t> </w:t>
            </w:r>
            <w:r>
              <w:rPr>
                <w:sz w:val="16"/>
              </w:rPr>
              <w:t>del</w:t>
            </w:r>
            <w:r>
              <w:rPr>
                <w:spacing w:val="-1"/>
                <w:sz w:val="16"/>
              </w:rPr>
              <w:t> </w:t>
            </w:r>
            <w:r>
              <w:rPr>
                <w:sz w:val="16"/>
              </w:rPr>
              <w:t>Informe</w:t>
            </w:r>
            <w:r>
              <w:rPr>
                <w:spacing w:val="-4"/>
                <w:sz w:val="16"/>
              </w:rPr>
              <w:t> </w:t>
            </w:r>
            <w:r>
              <w:rPr>
                <w:sz w:val="16"/>
              </w:rPr>
              <w:t>del</w:t>
            </w:r>
            <w:r>
              <w:rPr>
                <w:spacing w:val="-4"/>
                <w:sz w:val="16"/>
              </w:rPr>
              <w:t> </w:t>
            </w:r>
            <w:r>
              <w:rPr>
                <w:sz w:val="16"/>
              </w:rPr>
              <w:t>Resultado</w:t>
            </w:r>
            <w:r>
              <w:rPr>
                <w:spacing w:val="-2"/>
                <w:sz w:val="16"/>
              </w:rPr>
              <w:t> </w:t>
            </w:r>
            <w:r>
              <w:rPr>
                <w:sz w:val="16"/>
              </w:rPr>
              <w:t>a</w:t>
            </w:r>
            <w:r>
              <w:rPr>
                <w:spacing w:val="-4"/>
                <w:sz w:val="16"/>
              </w:rPr>
              <w:t> </w:t>
            </w:r>
            <w:r>
              <w:rPr>
                <w:sz w:val="16"/>
              </w:rPr>
              <w:t>la</w:t>
            </w:r>
            <w:r>
              <w:rPr>
                <w:spacing w:val="-4"/>
                <w:sz w:val="16"/>
              </w:rPr>
              <w:t> </w:t>
            </w:r>
            <w:r>
              <w:rPr>
                <w:sz w:val="16"/>
              </w:rPr>
              <w:t>Cámara</w:t>
            </w:r>
            <w:r>
              <w:rPr>
                <w:spacing w:val="-2"/>
                <w:sz w:val="16"/>
              </w:rPr>
              <w:t> </w:t>
            </w:r>
            <w:r>
              <w:rPr>
                <w:sz w:val="16"/>
              </w:rPr>
              <w:t>al</w:t>
            </w:r>
            <w:r>
              <w:rPr>
                <w:spacing w:val="-1"/>
                <w:sz w:val="16"/>
              </w:rPr>
              <w:t> </w:t>
            </w:r>
            <w:r>
              <w:rPr>
                <w:sz w:val="16"/>
              </w:rPr>
              <w:t>20</w:t>
            </w:r>
            <w:r>
              <w:rPr>
                <w:spacing w:val="-4"/>
                <w:sz w:val="16"/>
              </w:rPr>
              <w:t> </w:t>
            </w:r>
            <w:r>
              <w:rPr>
                <w:sz w:val="16"/>
              </w:rPr>
              <w:t>de</w:t>
            </w:r>
            <w:r>
              <w:rPr>
                <w:spacing w:val="-4"/>
                <w:sz w:val="16"/>
              </w:rPr>
              <w:t> </w:t>
            </w:r>
            <w:r>
              <w:rPr>
                <w:sz w:val="16"/>
              </w:rPr>
              <w:t>febrero,</w:t>
            </w:r>
            <w:r>
              <w:rPr>
                <w:spacing w:val="-3"/>
                <w:sz w:val="16"/>
              </w:rPr>
              <w:t> </w:t>
            </w:r>
            <w:r>
              <w:rPr>
                <w:sz w:val="16"/>
              </w:rPr>
              <w:t>de</w:t>
            </w:r>
            <w:r>
              <w:rPr>
                <w:spacing w:val="-4"/>
                <w:sz w:val="16"/>
              </w:rPr>
              <w:t> </w:t>
            </w:r>
            <w:r>
              <w:rPr>
                <w:sz w:val="16"/>
              </w:rPr>
              <w:t>acuerdo</w:t>
            </w:r>
            <w:r>
              <w:rPr>
                <w:spacing w:val="3"/>
                <w:sz w:val="16"/>
              </w:rPr>
              <w:t> </w:t>
            </w:r>
            <w:r>
              <w:rPr>
                <w:sz w:val="16"/>
              </w:rPr>
              <w:t>con</w:t>
            </w:r>
            <w:r>
              <w:rPr>
                <w:spacing w:val="-2"/>
                <w:sz w:val="16"/>
              </w:rPr>
              <w:t> </w:t>
            </w:r>
            <w:r>
              <w:rPr>
                <w:sz w:val="16"/>
              </w:rPr>
              <w:t>la Constitución Federal, artículo</w:t>
            </w:r>
            <w:r>
              <w:rPr>
                <w:spacing w:val="-16"/>
                <w:sz w:val="16"/>
              </w:rPr>
              <w:t> </w:t>
            </w:r>
            <w:r>
              <w:rPr>
                <w:sz w:val="16"/>
              </w:rPr>
              <w:t>28.</w:t>
            </w:r>
          </w:p>
          <w:p>
            <w:pPr>
              <w:pStyle w:val="TableParagraph"/>
              <w:spacing w:line="183" w:lineRule="exact" w:before="1"/>
              <w:ind w:left="93"/>
              <w:jc w:val="both"/>
              <w:rPr>
                <w:sz w:val="16"/>
              </w:rPr>
            </w:pPr>
            <w:r>
              <w:rPr>
                <w:sz w:val="16"/>
              </w:rPr>
              <w:t>La Unidad de Asuntos Jurídicos de la ASF podrá presentar denuncias penales o de juicio político.</w:t>
            </w:r>
          </w:p>
          <w:p>
            <w:pPr>
              <w:pStyle w:val="TableParagraph"/>
              <w:ind w:left="93" w:right="103"/>
              <w:jc w:val="both"/>
              <w:rPr>
                <w:sz w:val="16"/>
              </w:rPr>
            </w:pPr>
            <w:r>
              <w:rPr>
                <w:sz w:val="16"/>
              </w:rPr>
              <w:t>Se</w:t>
            </w:r>
            <w:r>
              <w:rPr>
                <w:spacing w:val="-7"/>
                <w:sz w:val="16"/>
              </w:rPr>
              <w:t> </w:t>
            </w:r>
            <w:r>
              <w:rPr>
                <w:sz w:val="16"/>
              </w:rPr>
              <w:t>facultó</w:t>
            </w:r>
            <w:r>
              <w:rPr>
                <w:spacing w:val="-7"/>
                <w:sz w:val="16"/>
              </w:rPr>
              <w:t> </w:t>
            </w:r>
            <w:r>
              <w:rPr>
                <w:sz w:val="16"/>
              </w:rPr>
              <w:t>a</w:t>
            </w:r>
            <w:r>
              <w:rPr>
                <w:spacing w:val="-9"/>
                <w:sz w:val="16"/>
              </w:rPr>
              <w:t> </w:t>
            </w:r>
            <w:r>
              <w:rPr>
                <w:sz w:val="16"/>
              </w:rPr>
              <w:t>la</w:t>
            </w:r>
            <w:r>
              <w:rPr>
                <w:spacing w:val="-6"/>
                <w:sz w:val="16"/>
              </w:rPr>
              <w:t> </w:t>
            </w:r>
            <w:r>
              <w:rPr>
                <w:sz w:val="16"/>
              </w:rPr>
              <w:t>ASF</w:t>
            </w:r>
            <w:r>
              <w:rPr>
                <w:spacing w:val="-6"/>
                <w:sz w:val="16"/>
              </w:rPr>
              <w:t> </w:t>
            </w:r>
            <w:r>
              <w:rPr>
                <w:sz w:val="16"/>
              </w:rPr>
              <w:t>para</w:t>
            </w:r>
            <w:r>
              <w:rPr>
                <w:spacing w:val="-9"/>
                <w:sz w:val="16"/>
              </w:rPr>
              <w:t> </w:t>
            </w:r>
            <w:r>
              <w:rPr>
                <w:sz w:val="16"/>
              </w:rPr>
              <w:t>concertar</w:t>
            </w:r>
            <w:r>
              <w:rPr>
                <w:spacing w:val="-9"/>
                <w:sz w:val="16"/>
              </w:rPr>
              <w:t> </w:t>
            </w:r>
            <w:r>
              <w:rPr>
                <w:sz w:val="16"/>
              </w:rPr>
              <w:t>y</w:t>
            </w:r>
            <w:r>
              <w:rPr>
                <w:spacing w:val="-7"/>
                <w:sz w:val="16"/>
              </w:rPr>
              <w:t> </w:t>
            </w:r>
            <w:r>
              <w:rPr>
                <w:sz w:val="16"/>
              </w:rPr>
              <w:t>celebrar</w:t>
            </w:r>
            <w:r>
              <w:rPr>
                <w:spacing w:val="-7"/>
                <w:sz w:val="16"/>
              </w:rPr>
              <w:t> </w:t>
            </w:r>
            <w:r>
              <w:rPr>
                <w:sz w:val="16"/>
              </w:rPr>
              <w:t>convenios</w:t>
            </w:r>
            <w:r>
              <w:rPr>
                <w:spacing w:val="-8"/>
                <w:sz w:val="16"/>
              </w:rPr>
              <w:t> </w:t>
            </w:r>
            <w:r>
              <w:rPr>
                <w:sz w:val="16"/>
              </w:rPr>
              <w:t>con</w:t>
            </w:r>
            <w:r>
              <w:rPr>
                <w:spacing w:val="-7"/>
                <w:sz w:val="16"/>
              </w:rPr>
              <w:t> </w:t>
            </w:r>
            <w:r>
              <w:rPr>
                <w:sz w:val="16"/>
              </w:rPr>
              <w:t>las</w:t>
            </w:r>
            <w:r>
              <w:rPr>
                <w:spacing w:val="-5"/>
                <w:sz w:val="16"/>
              </w:rPr>
              <w:t> </w:t>
            </w:r>
            <w:r>
              <w:rPr>
                <w:sz w:val="16"/>
              </w:rPr>
              <w:t>entidades</w:t>
            </w:r>
            <w:r>
              <w:rPr>
                <w:spacing w:val="-5"/>
                <w:sz w:val="16"/>
              </w:rPr>
              <w:t> </w:t>
            </w:r>
            <w:r>
              <w:rPr>
                <w:sz w:val="16"/>
              </w:rPr>
              <w:t>fiscalizadas,</w:t>
            </w:r>
            <w:r>
              <w:rPr>
                <w:spacing w:val="-8"/>
                <w:sz w:val="16"/>
              </w:rPr>
              <w:t> </w:t>
            </w:r>
            <w:r>
              <w:rPr>
                <w:sz w:val="16"/>
              </w:rPr>
              <w:t>legislaturas</w:t>
            </w:r>
            <w:r>
              <w:rPr>
                <w:spacing w:val="-7"/>
                <w:sz w:val="16"/>
              </w:rPr>
              <w:t> </w:t>
            </w:r>
            <w:r>
              <w:rPr>
                <w:sz w:val="16"/>
              </w:rPr>
              <w:t>locales, la Asamblea Legislativa del Distrito Federal, las entidades de fiscalización superior de las entidades federativas, municipios y órganos político-administrativos de las demarcaciones territoriales en el Distrito Federal, con el propósito de apoyar y hacer más eficiente la</w:t>
            </w:r>
            <w:r>
              <w:rPr>
                <w:spacing w:val="-26"/>
                <w:sz w:val="16"/>
              </w:rPr>
              <w:t> </w:t>
            </w:r>
            <w:r>
              <w:rPr>
                <w:sz w:val="16"/>
              </w:rPr>
              <w:t>fiscalización.</w:t>
            </w:r>
          </w:p>
        </w:tc>
      </w:tr>
      <w:tr>
        <w:trPr>
          <w:trHeight w:val="214" w:hRule="exact"/>
        </w:trPr>
        <w:tc>
          <w:tcPr>
            <w:tcW w:w="924" w:type="dxa"/>
          </w:tcPr>
          <w:p>
            <w:pPr>
              <w:pStyle w:val="TableParagraph"/>
              <w:spacing w:before="6"/>
              <w:ind w:left="81" w:right="167"/>
              <w:jc w:val="center"/>
              <w:rPr>
                <w:b/>
                <w:sz w:val="16"/>
              </w:rPr>
            </w:pPr>
            <w:r>
              <w:rPr>
                <w:b/>
                <w:sz w:val="16"/>
              </w:rPr>
              <w:t>89</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Se confirieron nuevas atribuciones a la Unidad de Asuntos Jurídicos.</w:t>
            </w:r>
          </w:p>
        </w:tc>
      </w:tr>
      <w:tr>
        <w:trPr>
          <w:trHeight w:val="216" w:hRule="exact"/>
        </w:trPr>
        <w:tc>
          <w:tcPr>
            <w:tcW w:w="924" w:type="dxa"/>
          </w:tcPr>
          <w:p>
            <w:pPr>
              <w:pStyle w:val="TableParagraph"/>
              <w:spacing w:before="6"/>
              <w:ind w:left="79" w:right="168"/>
              <w:jc w:val="center"/>
              <w:rPr>
                <w:b/>
                <w:sz w:val="16"/>
              </w:rPr>
            </w:pPr>
            <w:r>
              <w:rPr>
                <w:b/>
                <w:sz w:val="16"/>
              </w:rPr>
              <w:t>103</w:t>
            </w:r>
          </w:p>
        </w:tc>
        <w:tc>
          <w:tcPr>
            <w:tcW w:w="7761" w:type="dxa"/>
            <w:tcBorders>
              <w:top w:val="single" w:sz="4" w:space="0" w:color="000000"/>
              <w:bottom w:val="single" w:sz="4" w:space="0" w:color="000000"/>
              <w:right w:val="single" w:sz="4" w:space="0" w:color="000000"/>
            </w:tcBorders>
          </w:tcPr>
          <w:p>
            <w:pPr>
              <w:pStyle w:val="TableParagraph"/>
              <w:spacing w:before="18"/>
              <w:ind w:left="93" w:right="153"/>
              <w:rPr>
                <w:sz w:val="16"/>
              </w:rPr>
            </w:pPr>
            <w:r>
              <w:rPr>
                <w:sz w:val="16"/>
              </w:rPr>
              <w:t>Se confirieron nuevas atribuciones a la UEC.</w:t>
            </w:r>
          </w:p>
        </w:tc>
      </w:tr>
    </w:tbl>
    <w:p>
      <w:pPr>
        <w:pStyle w:val="BodyText"/>
        <w:spacing w:before="6"/>
        <w:rPr>
          <w:sz w:val="12"/>
        </w:rPr>
      </w:pPr>
    </w:p>
    <w:p>
      <w:pPr>
        <w:spacing w:before="0"/>
        <w:ind w:left="222" w:right="1183" w:firstLine="0"/>
        <w:jc w:val="left"/>
        <w:rPr>
          <w:sz w:val="12"/>
        </w:rPr>
      </w:pPr>
      <w:r>
        <w:rPr>
          <w:sz w:val="12"/>
        </w:rPr>
        <w:t>FUENTE:      LFRCF y </w:t>
      </w:r>
      <w:r>
        <w:rPr>
          <w:color w:val="009933"/>
          <w:sz w:val="12"/>
        </w:rPr>
        <w:t>LFSF (Abrogada).</w:t>
      </w:r>
    </w:p>
    <w:p>
      <w:pPr>
        <w:pStyle w:val="BodyText"/>
        <w:rPr>
          <w:sz w:val="12"/>
        </w:rPr>
      </w:pPr>
    </w:p>
    <w:p>
      <w:pPr>
        <w:pStyle w:val="BodyText"/>
        <w:rPr>
          <w:sz w:val="12"/>
        </w:rPr>
      </w:pPr>
    </w:p>
    <w:p>
      <w:pPr>
        <w:pStyle w:val="BodyText"/>
        <w:spacing w:before="7"/>
        <w:rPr>
          <w:sz w:val="11"/>
        </w:rPr>
      </w:pPr>
    </w:p>
    <w:p>
      <w:pPr>
        <w:pStyle w:val="BodyText"/>
        <w:spacing w:line="360" w:lineRule="auto"/>
        <w:ind w:left="222" w:firstLine="427"/>
      </w:pPr>
      <w:r>
        <w:rPr/>
        <w:t>La</w:t>
      </w:r>
      <w:r>
        <w:rPr>
          <w:spacing w:val="-18"/>
        </w:rPr>
        <w:t> </w:t>
      </w:r>
      <w:r>
        <w:rPr/>
        <w:t>LFRCF</w:t>
      </w:r>
      <w:r>
        <w:rPr>
          <w:spacing w:val="-19"/>
        </w:rPr>
        <w:t> </w:t>
      </w:r>
      <w:r>
        <w:rPr/>
        <w:t>excluye</w:t>
      </w:r>
      <w:r>
        <w:rPr>
          <w:spacing w:val="-18"/>
        </w:rPr>
        <w:t> </w:t>
      </w:r>
      <w:r>
        <w:rPr/>
        <w:t>la</w:t>
      </w:r>
      <w:r>
        <w:rPr>
          <w:spacing w:val="-18"/>
        </w:rPr>
        <w:t> </w:t>
      </w:r>
      <w:r>
        <w:rPr/>
        <w:t>revisión</w:t>
      </w:r>
      <w:r>
        <w:rPr>
          <w:spacing w:val="-18"/>
        </w:rPr>
        <w:t> </w:t>
      </w:r>
      <w:r>
        <w:rPr/>
        <w:t>a</w:t>
      </w:r>
      <w:r>
        <w:rPr>
          <w:spacing w:val="-18"/>
        </w:rPr>
        <w:t> </w:t>
      </w:r>
      <w:r>
        <w:rPr/>
        <w:t>los</w:t>
      </w:r>
      <w:r>
        <w:rPr>
          <w:spacing w:val="-18"/>
        </w:rPr>
        <w:t> </w:t>
      </w:r>
      <w:r>
        <w:rPr/>
        <w:t>partidos</w:t>
      </w:r>
      <w:r>
        <w:rPr>
          <w:spacing w:val="-19"/>
        </w:rPr>
        <w:t> </w:t>
      </w:r>
      <w:r>
        <w:rPr/>
        <w:t>políticos</w:t>
      </w:r>
      <w:r>
        <w:rPr>
          <w:spacing w:val="-19"/>
        </w:rPr>
        <w:t> </w:t>
      </w:r>
      <w:r>
        <w:rPr/>
        <w:t>(artículo</w:t>
      </w:r>
      <w:r>
        <w:rPr>
          <w:spacing w:val="-18"/>
        </w:rPr>
        <w:t> </w:t>
      </w:r>
      <w:r>
        <w:rPr/>
        <w:t>2),</w:t>
      </w:r>
      <w:r>
        <w:rPr>
          <w:position w:val="8"/>
          <w:sz w:val="16"/>
        </w:rPr>
        <w:t>125</w:t>
      </w:r>
      <w:r>
        <w:rPr>
          <w:spacing w:val="3"/>
          <w:position w:val="8"/>
          <w:sz w:val="16"/>
        </w:rPr>
        <w:t> </w:t>
      </w:r>
      <w:r>
        <w:rPr/>
        <w:t>y</w:t>
      </w:r>
      <w:r>
        <w:rPr>
          <w:spacing w:val="-21"/>
        </w:rPr>
        <w:t> </w:t>
      </w:r>
      <w:r>
        <w:rPr/>
        <w:t>aunque establece la celebración de convenios con las legislaturas locales y</w:t>
      </w:r>
      <w:r>
        <w:rPr>
          <w:spacing w:val="21"/>
        </w:rPr>
        <w:t> </w:t>
      </w:r>
      <w:r>
        <w:rPr/>
        <w:t>municipios</w:t>
      </w:r>
    </w:p>
    <w:p>
      <w:pPr>
        <w:pStyle w:val="BodyText"/>
        <w:spacing w:before="3"/>
        <w:rPr>
          <w:sz w:val="14"/>
        </w:rPr>
      </w:pPr>
      <w:r>
        <w:rPr/>
        <w:pict>
          <v:line style="position:absolute;mso-position-horizontal-relative:page;mso-position-vertical-relative:paragraph;z-index:9520;mso-wrap-distance-left:0;mso-wrap-distance-right:0" from="85.103996pt,10.553885pt" to="229.123996pt,10.553885pt" stroked="true" strokeweight=".72003pt" strokecolor="#000000">
            <w10:wrap type="topAndBottom"/>
          </v:line>
        </w:pict>
      </w:r>
    </w:p>
    <w:p>
      <w:pPr>
        <w:spacing w:before="67"/>
        <w:ind w:left="222" w:right="0" w:firstLine="0"/>
        <w:jc w:val="both"/>
        <w:rPr>
          <w:i/>
          <w:sz w:val="16"/>
        </w:rPr>
      </w:pPr>
      <w:r>
        <w:rPr>
          <w:rFonts w:ascii="Calibri" w:hAnsi="Calibri"/>
          <w:position w:val="8"/>
          <w:sz w:val="14"/>
        </w:rPr>
        <w:t>125</w:t>
      </w:r>
      <w:r>
        <w:rPr>
          <w:sz w:val="16"/>
        </w:rPr>
        <w:t>De acuerdo con el debate derivado del Dictamen del 14 de diciembre de 1998</w:t>
      </w:r>
      <w:r>
        <w:rPr>
          <w:i/>
          <w:sz w:val="16"/>
        </w:rPr>
        <w:t>De la Comisión de Gobernación y Puntos</w:t>
      </w:r>
    </w:p>
    <w:p>
      <w:pPr>
        <w:spacing w:line="276" w:lineRule="auto" w:before="65"/>
        <w:ind w:left="222" w:right="217" w:firstLine="0"/>
        <w:jc w:val="both"/>
        <w:rPr>
          <w:sz w:val="16"/>
        </w:rPr>
      </w:pPr>
      <w:r>
        <w:rPr>
          <w:i/>
          <w:sz w:val="16"/>
        </w:rPr>
        <w:t>Constitucionales,</w:t>
      </w:r>
      <w:r>
        <w:rPr>
          <w:i/>
          <w:spacing w:val="-8"/>
          <w:sz w:val="16"/>
        </w:rPr>
        <w:t> </w:t>
      </w:r>
      <w:r>
        <w:rPr>
          <w:i/>
          <w:sz w:val="16"/>
        </w:rPr>
        <w:t>con</w:t>
      </w:r>
      <w:r>
        <w:rPr>
          <w:i/>
          <w:spacing w:val="-7"/>
          <w:sz w:val="16"/>
        </w:rPr>
        <w:t> </w:t>
      </w:r>
      <w:r>
        <w:rPr>
          <w:i/>
          <w:sz w:val="16"/>
        </w:rPr>
        <w:t>Proyecto</w:t>
      </w:r>
      <w:r>
        <w:rPr>
          <w:i/>
          <w:spacing w:val="-7"/>
          <w:sz w:val="16"/>
        </w:rPr>
        <w:t> </w:t>
      </w:r>
      <w:r>
        <w:rPr>
          <w:i/>
          <w:sz w:val="16"/>
        </w:rPr>
        <w:t>de</w:t>
      </w:r>
      <w:r>
        <w:rPr>
          <w:i/>
          <w:spacing w:val="-9"/>
          <w:sz w:val="16"/>
        </w:rPr>
        <w:t> </w:t>
      </w:r>
      <w:r>
        <w:rPr>
          <w:i/>
          <w:sz w:val="16"/>
        </w:rPr>
        <w:t>Decreto</w:t>
      </w:r>
      <w:r>
        <w:rPr>
          <w:i/>
          <w:spacing w:val="-7"/>
          <w:sz w:val="16"/>
        </w:rPr>
        <w:t> </w:t>
      </w:r>
      <w:r>
        <w:rPr>
          <w:i/>
          <w:sz w:val="16"/>
        </w:rPr>
        <w:t>que</w:t>
      </w:r>
      <w:r>
        <w:rPr>
          <w:i/>
          <w:spacing w:val="-7"/>
          <w:sz w:val="16"/>
        </w:rPr>
        <w:t> </w:t>
      </w:r>
      <w:r>
        <w:rPr>
          <w:i/>
          <w:sz w:val="16"/>
        </w:rPr>
        <w:t>adiciona</w:t>
      </w:r>
      <w:r>
        <w:rPr>
          <w:i/>
          <w:spacing w:val="-7"/>
          <w:sz w:val="16"/>
        </w:rPr>
        <w:t> </w:t>
      </w:r>
      <w:r>
        <w:rPr>
          <w:i/>
          <w:sz w:val="16"/>
        </w:rPr>
        <w:t>un</w:t>
      </w:r>
      <w:r>
        <w:rPr>
          <w:i/>
          <w:spacing w:val="-7"/>
          <w:sz w:val="16"/>
        </w:rPr>
        <w:t> </w:t>
      </w:r>
      <w:r>
        <w:rPr>
          <w:i/>
          <w:sz w:val="16"/>
        </w:rPr>
        <w:t>párrafo</w:t>
      </w:r>
      <w:r>
        <w:rPr>
          <w:i/>
          <w:spacing w:val="-7"/>
          <w:sz w:val="16"/>
        </w:rPr>
        <w:t> </w:t>
      </w:r>
      <w:r>
        <w:rPr>
          <w:i/>
          <w:sz w:val="16"/>
        </w:rPr>
        <w:t>y</w:t>
      </w:r>
      <w:r>
        <w:rPr>
          <w:i/>
          <w:spacing w:val="-8"/>
          <w:sz w:val="16"/>
        </w:rPr>
        <w:t> </w:t>
      </w:r>
      <w:r>
        <w:rPr>
          <w:i/>
          <w:sz w:val="16"/>
        </w:rPr>
        <w:t>ocho</w:t>
      </w:r>
      <w:r>
        <w:rPr>
          <w:i/>
          <w:spacing w:val="-7"/>
          <w:sz w:val="16"/>
        </w:rPr>
        <w:t> </w:t>
      </w:r>
      <w:r>
        <w:rPr>
          <w:i/>
          <w:sz w:val="16"/>
        </w:rPr>
        <w:t>fracciones</w:t>
      </w:r>
      <w:r>
        <w:rPr>
          <w:i/>
          <w:spacing w:val="-5"/>
          <w:sz w:val="16"/>
        </w:rPr>
        <w:t> </w:t>
      </w:r>
      <w:r>
        <w:rPr>
          <w:i/>
          <w:sz w:val="16"/>
        </w:rPr>
        <w:t>al</w:t>
      </w:r>
      <w:r>
        <w:rPr>
          <w:i/>
          <w:spacing w:val="-6"/>
          <w:sz w:val="16"/>
        </w:rPr>
        <w:t> </w:t>
      </w:r>
      <w:r>
        <w:rPr>
          <w:i/>
          <w:sz w:val="16"/>
        </w:rPr>
        <w:t>artículo</w:t>
      </w:r>
      <w:r>
        <w:rPr>
          <w:i/>
          <w:spacing w:val="-6"/>
          <w:sz w:val="16"/>
        </w:rPr>
        <w:t> </w:t>
      </w:r>
      <w:r>
        <w:rPr>
          <w:i/>
          <w:sz w:val="16"/>
        </w:rPr>
        <w:t>78</w:t>
      </w:r>
      <w:r>
        <w:rPr>
          <w:i/>
          <w:spacing w:val="-9"/>
          <w:sz w:val="16"/>
        </w:rPr>
        <w:t> </w:t>
      </w:r>
      <w:r>
        <w:rPr>
          <w:i/>
          <w:sz w:val="16"/>
        </w:rPr>
        <w:t>con</w:t>
      </w:r>
      <w:r>
        <w:rPr>
          <w:i/>
          <w:spacing w:val="-7"/>
          <w:sz w:val="16"/>
        </w:rPr>
        <w:t> </w:t>
      </w:r>
      <w:r>
        <w:rPr>
          <w:i/>
          <w:sz w:val="16"/>
        </w:rPr>
        <w:t>una</w:t>
      </w:r>
      <w:r>
        <w:rPr>
          <w:i/>
          <w:spacing w:val="-7"/>
          <w:sz w:val="16"/>
        </w:rPr>
        <w:t> </w:t>
      </w:r>
      <w:r>
        <w:rPr>
          <w:i/>
          <w:sz w:val="16"/>
        </w:rPr>
        <w:t>sección</w:t>
      </w:r>
      <w:r>
        <w:rPr>
          <w:i/>
          <w:spacing w:val="-7"/>
          <w:sz w:val="16"/>
        </w:rPr>
        <w:t> </w:t>
      </w:r>
      <w:r>
        <w:rPr>
          <w:i/>
          <w:sz w:val="16"/>
        </w:rPr>
        <w:t>V</w:t>
      </w:r>
      <w:r>
        <w:rPr>
          <w:i/>
          <w:spacing w:val="-5"/>
          <w:sz w:val="16"/>
        </w:rPr>
        <w:t> </w:t>
      </w:r>
      <w:r>
        <w:rPr>
          <w:i/>
          <w:sz w:val="16"/>
        </w:rPr>
        <w:t>en </w:t>
      </w:r>
      <w:r>
        <w:rPr>
          <w:i/>
          <w:sz w:val="16"/>
        </w:rPr>
        <w:t>el Capítulo II del Título Tercero, así como el artículo 74, fracción IV, párrafo V; que reforman los artículos 73, fracción XXIV, fracción II, y 79; y que deroga la fracción III del artículo 74 de la Constitución Política de los Estados Unidos Mexicanos. (Con respecto a un órgano superior de fiscalización), </w:t>
      </w:r>
      <w:r>
        <w:rPr>
          <w:sz w:val="16"/>
        </w:rPr>
        <w:t>la LVII Legislatura del H. Congreso de la Unión realizó tres iniciativas para la reforma de los artículos 73, 74, 78 y 79 de la Constitución Federal, el Grupo Parlamentario del Partido Acción Nacional comentó que “incluso a los partidos políticos, por razón de los financiamientos públicos que reciban,</w:t>
      </w:r>
      <w:r>
        <w:rPr>
          <w:spacing w:val="-2"/>
          <w:sz w:val="16"/>
        </w:rPr>
        <w:t> </w:t>
      </w:r>
      <w:r>
        <w:rPr>
          <w:sz w:val="16"/>
        </w:rPr>
        <w:t>podría</w:t>
      </w:r>
      <w:r>
        <w:rPr>
          <w:spacing w:val="-3"/>
          <w:sz w:val="16"/>
        </w:rPr>
        <w:t> </w:t>
      </w:r>
      <w:r>
        <w:rPr>
          <w:sz w:val="16"/>
        </w:rPr>
        <w:t>ser</w:t>
      </w:r>
      <w:r>
        <w:rPr>
          <w:spacing w:val="-6"/>
          <w:sz w:val="16"/>
        </w:rPr>
        <w:t> </w:t>
      </w:r>
      <w:r>
        <w:rPr>
          <w:sz w:val="16"/>
        </w:rPr>
        <w:t>fiscalizado</w:t>
      </w:r>
      <w:r>
        <w:rPr>
          <w:spacing w:val="-3"/>
          <w:sz w:val="16"/>
        </w:rPr>
        <w:t> </w:t>
      </w:r>
      <w:r>
        <w:rPr>
          <w:sz w:val="16"/>
        </w:rPr>
        <w:t>por</w:t>
      </w:r>
      <w:r>
        <w:rPr>
          <w:spacing w:val="-5"/>
          <w:sz w:val="16"/>
        </w:rPr>
        <w:t> </w:t>
      </w:r>
      <w:r>
        <w:rPr>
          <w:sz w:val="16"/>
        </w:rPr>
        <w:t>esta</w:t>
      </w:r>
      <w:r>
        <w:rPr>
          <w:spacing w:val="-3"/>
          <w:sz w:val="16"/>
        </w:rPr>
        <w:t> </w:t>
      </w:r>
      <w:r>
        <w:rPr>
          <w:sz w:val="16"/>
        </w:rPr>
        <w:t>entidad</w:t>
      </w:r>
      <w:r>
        <w:rPr>
          <w:spacing w:val="-3"/>
          <w:sz w:val="16"/>
        </w:rPr>
        <w:t> </w:t>
      </w:r>
      <w:r>
        <w:rPr>
          <w:sz w:val="16"/>
        </w:rPr>
        <w:t>de</w:t>
      </w:r>
      <w:r>
        <w:rPr>
          <w:spacing w:val="-5"/>
          <w:sz w:val="16"/>
        </w:rPr>
        <w:t> </w:t>
      </w:r>
      <w:r>
        <w:rPr>
          <w:sz w:val="16"/>
        </w:rPr>
        <w:t>fiscalización</w:t>
      </w:r>
      <w:r>
        <w:rPr>
          <w:spacing w:val="-6"/>
          <w:sz w:val="16"/>
        </w:rPr>
        <w:t> </w:t>
      </w:r>
      <w:r>
        <w:rPr>
          <w:sz w:val="16"/>
        </w:rPr>
        <w:t>superior</w:t>
      </w:r>
      <w:r>
        <w:rPr>
          <w:spacing w:val="-4"/>
          <w:sz w:val="16"/>
        </w:rPr>
        <w:t> </w:t>
      </w:r>
      <w:r>
        <w:rPr>
          <w:sz w:val="16"/>
        </w:rPr>
        <w:t>de</w:t>
      </w:r>
      <w:r>
        <w:rPr>
          <w:spacing w:val="-3"/>
          <w:sz w:val="16"/>
        </w:rPr>
        <w:t> </w:t>
      </w:r>
      <w:r>
        <w:rPr>
          <w:sz w:val="16"/>
        </w:rPr>
        <w:t>la</w:t>
      </w:r>
      <w:r>
        <w:rPr>
          <w:spacing w:val="-5"/>
          <w:sz w:val="16"/>
        </w:rPr>
        <w:t> </w:t>
      </w:r>
      <w:r>
        <w:rPr>
          <w:sz w:val="16"/>
        </w:rPr>
        <w:t>Federación.”</w:t>
      </w:r>
    </w:p>
    <w:p>
      <w:pPr>
        <w:spacing w:after="0" w:line="276" w:lineRule="auto"/>
        <w:jc w:val="both"/>
        <w:rPr>
          <w:sz w:val="16"/>
        </w:rPr>
        <w:sectPr>
          <w:pgSz w:w="11910" w:h="16840"/>
          <w:pgMar w:header="0" w:footer="1003" w:top="1340" w:bottom="1200" w:left="1480" w:right="1480"/>
        </w:sectPr>
      </w:pPr>
    </w:p>
    <w:p>
      <w:pPr>
        <w:pStyle w:val="BodyText"/>
        <w:spacing w:line="355" w:lineRule="auto" w:before="55"/>
        <w:ind w:left="142" w:right="251"/>
        <w:jc w:val="both"/>
        <w:rPr>
          <w:sz w:val="16"/>
        </w:rPr>
      </w:pPr>
      <w:r>
        <w:rPr/>
        <w:t>(artículo 85), existe gran opacidad en la operación de los fondos del Ramo 33.</w:t>
      </w:r>
      <w:r>
        <w:rPr>
          <w:position w:val="8"/>
          <w:sz w:val="16"/>
        </w:rPr>
        <w:t>126</w:t>
      </w:r>
      <w:r>
        <w:rPr/>
        <w:t>El 24 y 25 de abril de 2012la C. de Diputados aprobó en lo general y lo particular los cambios constitucionales siguientes:</w:t>
      </w:r>
      <w:r>
        <w:rPr>
          <w:position w:val="8"/>
          <w:sz w:val="16"/>
        </w:rPr>
        <w:t>127</w:t>
      </w:r>
    </w:p>
    <w:p>
      <w:pPr>
        <w:pStyle w:val="BodyText"/>
        <w:rPr>
          <w:sz w:val="26"/>
        </w:rPr>
      </w:pPr>
    </w:p>
    <w:p>
      <w:pPr>
        <w:pStyle w:val="BodyText"/>
        <w:rPr>
          <w:sz w:val="26"/>
        </w:rPr>
      </w:pPr>
    </w:p>
    <w:p>
      <w:pPr>
        <w:pStyle w:val="BodyText"/>
        <w:spacing w:before="6"/>
        <w:rPr>
          <w:sz w:val="20"/>
        </w:rPr>
      </w:pPr>
    </w:p>
    <w:p>
      <w:pPr>
        <w:spacing w:line="242" w:lineRule="auto" w:before="0"/>
        <w:ind w:left="3764" w:right="255" w:hanging="3512"/>
        <w:jc w:val="left"/>
        <w:rPr>
          <w:sz w:val="20"/>
        </w:rPr>
      </w:pPr>
      <w:bookmarkStart w:name="_bookmark75" w:id="100"/>
      <w:bookmarkEnd w:id="100"/>
      <w:r>
        <w:rPr/>
      </w:r>
      <w:r>
        <w:rPr>
          <w:sz w:val="20"/>
        </w:rPr>
        <w:t>Cuadro 4. 2. Reformas aprobadas por la Cámara de Diputados para fortalecer la rendición de cuentas, 2012</w:t>
      </w:r>
    </w:p>
    <w:p>
      <w:pPr>
        <w:pStyle w:val="BodyText"/>
        <w:spacing w:before="2"/>
        <w:rPr>
          <w:sz w:val="17"/>
        </w:rPr>
      </w:pPr>
    </w:p>
    <w:tbl>
      <w:tblPr>
        <w:tblW w:w="0" w:type="auto"/>
        <w:jc w:val="left"/>
        <w:tblInd w:w="108" w:type="dxa"/>
        <w:tblBorders>
          <w:top w:val="single" w:sz="12" w:space="0" w:color="BEBEBE"/>
          <w:left w:val="single" w:sz="12" w:space="0" w:color="BEBEBE"/>
          <w:bottom w:val="single" w:sz="12" w:space="0" w:color="BEBEBE"/>
          <w:right w:val="single" w:sz="12" w:space="0" w:color="BEBEBE"/>
          <w:insideH w:val="single" w:sz="12" w:space="0" w:color="BEBEBE"/>
          <w:insideV w:val="single" w:sz="12" w:space="0" w:color="BEBEBE"/>
        </w:tblBorders>
        <w:tblLayout w:type="fixed"/>
        <w:tblCellMar>
          <w:top w:w="0" w:type="dxa"/>
          <w:left w:w="0" w:type="dxa"/>
          <w:bottom w:w="0" w:type="dxa"/>
          <w:right w:w="0" w:type="dxa"/>
        </w:tblCellMar>
        <w:tblLook w:val="01E0"/>
      </w:tblPr>
      <w:tblGrid>
        <w:gridCol w:w="746"/>
        <w:gridCol w:w="7797"/>
      </w:tblGrid>
      <w:tr>
        <w:trPr>
          <w:trHeight w:val="350" w:hRule="exact"/>
        </w:trPr>
        <w:tc>
          <w:tcPr>
            <w:tcW w:w="746" w:type="dxa"/>
          </w:tcPr>
          <w:p>
            <w:pPr/>
          </w:p>
        </w:tc>
        <w:tc>
          <w:tcPr>
            <w:tcW w:w="7797" w:type="dxa"/>
          </w:tcPr>
          <w:p>
            <w:pPr/>
          </w:p>
        </w:tc>
      </w:tr>
      <w:tr>
        <w:trPr>
          <w:trHeight w:val="182" w:hRule="exact"/>
        </w:trPr>
        <w:tc>
          <w:tcPr>
            <w:tcW w:w="746" w:type="dxa"/>
          </w:tcPr>
          <w:p>
            <w:pPr>
              <w:pStyle w:val="TableParagraph"/>
              <w:spacing w:line="159" w:lineRule="exact"/>
              <w:ind w:left="232"/>
              <w:rPr>
                <w:b/>
                <w:sz w:val="14"/>
              </w:rPr>
            </w:pPr>
            <w:r>
              <w:rPr>
                <w:b/>
                <w:sz w:val="14"/>
              </w:rPr>
              <w:t>73</w:t>
            </w:r>
          </w:p>
        </w:tc>
        <w:tc>
          <w:tcPr>
            <w:tcW w:w="7797" w:type="dxa"/>
            <w:tcBorders>
              <w:bottom w:val="single" w:sz="4" w:space="0" w:color="000000"/>
              <w:right w:val="single" w:sz="4" w:space="0" w:color="000000"/>
            </w:tcBorders>
          </w:tcPr>
          <w:p>
            <w:pPr>
              <w:pStyle w:val="TableParagraph"/>
              <w:ind w:left="93" w:right="185"/>
              <w:rPr>
                <w:sz w:val="14"/>
              </w:rPr>
            </w:pPr>
            <w:r>
              <w:rPr>
                <w:sz w:val="14"/>
              </w:rPr>
              <w:t>Reconocer en la Constitución Federal el Sistema Nacional de Fiscalización. (Fracción XXVIII-B)</w:t>
            </w:r>
          </w:p>
        </w:tc>
      </w:tr>
      <w:tr>
        <w:trPr>
          <w:trHeight w:val="1157" w:hRule="exact"/>
        </w:trPr>
        <w:tc>
          <w:tcPr>
            <w:tcW w:w="746" w:type="dxa"/>
          </w:tcPr>
          <w:p>
            <w:pPr>
              <w:pStyle w:val="TableParagraph"/>
              <w:rPr>
                <w:sz w:val="14"/>
              </w:rPr>
            </w:pPr>
          </w:p>
          <w:p>
            <w:pPr>
              <w:pStyle w:val="TableParagraph"/>
              <w:rPr>
                <w:sz w:val="14"/>
              </w:rPr>
            </w:pPr>
          </w:p>
          <w:p>
            <w:pPr>
              <w:pStyle w:val="TableParagraph"/>
              <w:spacing w:before="7"/>
              <w:rPr>
                <w:sz w:val="14"/>
              </w:rPr>
            </w:pPr>
          </w:p>
          <w:p>
            <w:pPr>
              <w:pStyle w:val="TableParagraph"/>
              <w:ind w:left="232"/>
              <w:rPr>
                <w:b/>
                <w:sz w:val="14"/>
              </w:rPr>
            </w:pPr>
            <w:r>
              <w:rPr>
                <w:b/>
                <w:sz w:val="14"/>
              </w:rPr>
              <w:t>74</w:t>
            </w:r>
          </w:p>
        </w:tc>
        <w:tc>
          <w:tcPr>
            <w:tcW w:w="7797" w:type="dxa"/>
            <w:tcBorders>
              <w:top w:val="single" w:sz="4" w:space="0" w:color="000000"/>
              <w:bottom w:val="single" w:sz="4" w:space="0" w:color="000000"/>
              <w:right w:val="single" w:sz="4" w:space="0" w:color="000000"/>
            </w:tcBorders>
          </w:tcPr>
          <w:p>
            <w:pPr>
              <w:pStyle w:val="TableParagraph"/>
              <w:spacing w:before="20"/>
              <w:ind w:left="93" w:right="185"/>
              <w:rPr>
                <w:sz w:val="14"/>
              </w:rPr>
            </w:pPr>
            <w:r>
              <w:rPr>
                <w:sz w:val="14"/>
              </w:rPr>
              <w:t>Modificar el concepto de “gestión financiera” por “gestión”. (Fracción VI, primer párrafo)</w:t>
            </w:r>
          </w:p>
          <w:p>
            <w:pPr>
              <w:pStyle w:val="TableParagraph"/>
              <w:ind w:left="93" w:right="185"/>
              <w:rPr>
                <w:sz w:val="14"/>
              </w:rPr>
            </w:pPr>
            <w:r>
              <w:rPr>
                <w:sz w:val="14"/>
              </w:rPr>
              <w:t>Establecer de manera expresa la evaluación de las políticas públicas. (Fracción VI, primer párrafo)</w:t>
            </w:r>
          </w:p>
          <w:p>
            <w:pPr>
              <w:pStyle w:val="TableParagraph"/>
              <w:ind w:left="93" w:right="185"/>
              <w:rPr>
                <w:sz w:val="14"/>
              </w:rPr>
            </w:pPr>
            <w:r>
              <w:rPr>
                <w:sz w:val="14"/>
              </w:rPr>
              <w:t>Facultar a la ASF para promover cualquier acción en las auditorías sobre el desempeño. (Fracción VI segundo párrafo) Adelantar gradualmente el plazo de presentación de la Cuenta Pública al último día hábil del mes de febrero. (Fracción VI, tercer párrafo)</w:t>
            </w:r>
          </w:p>
          <w:p>
            <w:pPr>
              <w:pStyle w:val="TableParagraph"/>
              <w:ind w:left="93" w:right="185"/>
              <w:rPr>
                <w:sz w:val="14"/>
              </w:rPr>
            </w:pPr>
            <w:r>
              <w:rPr>
                <w:sz w:val="14"/>
              </w:rPr>
              <w:t>Concluir la revisión de la Cuenta Pública por parte de la Cámara de Diputados el 15 de diciembre del mismo año de su presentación. (Fracción VI, cuarto párrafo)</w:t>
            </w:r>
          </w:p>
        </w:tc>
      </w:tr>
      <w:tr>
        <w:trPr>
          <w:trHeight w:val="2606" w:hRule="exact"/>
        </w:trPr>
        <w:tc>
          <w:tcPr>
            <w:tcW w:w="74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8"/>
              <w:ind w:left="232"/>
              <w:rPr>
                <w:b/>
                <w:sz w:val="14"/>
              </w:rPr>
            </w:pPr>
            <w:r>
              <w:rPr>
                <w:b/>
                <w:sz w:val="14"/>
              </w:rPr>
              <w:t>79</w:t>
            </w:r>
          </w:p>
        </w:tc>
        <w:tc>
          <w:tcPr>
            <w:tcW w:w="7797" w:type="dxa"/>
            <w:tcBorders>
              <w:top w:val="single" w:sz="4" w:space="0" w:color="000000"/>
              <w:bottom w:val="single" w:sz="4" w:space="0" w:color="000000"/>
              <w:right w:val="single" w:sz="4" w:space="0" w:color="000000"/>
            </w:tcBorders>
          </w:tcPr>
          <w:p>
            <w:pPr>
              <w:pStyle w:val="TableParagraph"/>
              <w:spacing w:before="20"/>
              <w:ind w:left="93" w:right="185"/>
              <w:rPr>
                <w:sz w:val="14"/>
              </w:rPr>
            </w:pPr>
            <w:r>
              <w:rPr>
                <w:sz w:val="14"/>
              </w:rPr>
              <w:t>Iniciar la fiscalización el primer día hábil del año siguiente al cierre del ejercicio fiscal (Cuarto párrafo).</w:t>
            </w:r>
          </w:p>
          <w:p>
            <w:pPr>
              <w:pStyle w:val="TableParagraph"/>
              <w:ind w:left="93" w:right="185"/>
              <w:rPr>
                <w:sz w:val="14"/>
              </w:rPr>
            </w:pPr>
            <w:r>
              <w:rPr>
                <w:sz w:val="14"/>
              </w:rPr>
              <w:t>Realizar revisiones preliminares y solicitar información del ejercicio en curso para la planeación de auditorías. (Cuarto párrafo)</w:t>
            </w:r>
          </w:p>
          <w:p>
            <w:pPr>
              <w:pStyle w:val="TableParagraph"/>
              <w:ind w:left="93" w:right="185"/>
              <w:rPr>
                <w:sz w:val="14"/>
              </w:rPr>
            </w:pPr>
            <w:r>
              <w:rPr>
                <w:sz w:val="14"/>
              </w:rPr>
              <w:t>Otorgar a la ASF la facultad de realizar evaluaciones preliminares a través de informes trimestrales, así como solicitar información del ejercicio en curso, emitiendo recomendaciones y sugerencias de carácter preventivo. (Quinto párrafo) Realizar acciones sin sujeción a los principios de anualidad y posterioridad para que, en supuestos específicos que la legislación secundaria regule, la ASF pueda tener intervención durante el ejercicio en curso. (Sexto párrafo)</w:t>
            </w:r>
          </w:p>
          <w:p>
            <w:pPr>
              <w:pStyle w:val="TableParagraph"/>
              <w:ind w:left="93" w:right="185"/>
              <w:rPr>
                <w:sz w:val="14"/>
              </w:rPr>
            </w:pPr>
            <w:r>
              <w:rPr>
                <w:sz w:val="14"/>
              </w:rPr>
              <w:t>Incluir en la ley, de manera expresa y como sujetos de fiscalización, a los fideicomisos públicos y a las concesiones o cesiones parciales de bienes de dominio público.  (Fracción I, primer párrafo)</w:t>
            </w:r>
          </w:p>
          <w:p>
            <w:pPr>
              <w:pStyle w:val="TableParagraph"/>
              <w:ind w:left="93" w:right="185"/>
              <w:rPr>
                <w:sz w:val="14"/>
              </w:rPr>
            </w:pPr>
            <w:r>
              <w:rPr>
                <w:sz w:val="14"/>
              </w:rPr>
              <w:t>Incluir en la Ley de Fiscalización de los proyectos de inversión de coparticipación público privada. (Fracción I, segundo párrafo)</w:t>
            </w:r>
          </w:p>
          <w:p>
            <w:pPr>
              <w:pStyle w:val="TableParagraph"/>
              <w:spacing w:line="242" w:lineRule="auto"/>
              <w:ind w:left="93" w:right="185"/>
              <w:rPr>
                <w:sz w:val="14"/>
              </w:rPr>
            </w:pPr>
            <w:r>
              <w:rPr>
                <w:sz w:val="14"/>
              </w:rPr>
              <w:t>En el caso de la revisión de situación excepcional, plantear un nuevo mecanismo para que la ASF realice la fiscalización de manera directa. (Fracción I, quinto párrafo)</w:t>
            </w:r>
          </w:p>
          <w:p>
            <w:pPr>
              <w:pStyle w:val="TableParagraph"/>
              <w:ind w:left="93" w:right="185"/>
              <w:rPr>
                <w:sz w:val="14"/>
              </w:rPr>
            </w:pPr>
            <w:r>
              <w:rPr>
                <w:sz w:val="14"/>
              </w:rPr>
              <w:t>Presentar informes individuales de auditoría que se entregarán conforme a la conclusión de las auditorías. (Fracción II) Presentar un Informe General Ejecutivo del Resultado el 31 de octubre. (Fracción II)</w:t>
            </w:r>
          </w:p>
          <w:p>
            <w:pPr>
              <w:pStyle w:val="TableParagraph"/>
              <w:ind w:left="93"/>
              <w:rPr>
                <w:sz w:val="14"/>
              </w:rPr>
            </w:pPr>
            <w:r>
              <w:rPr>
                <w:sz w:val="14"/>
              </w:rPr>
              <w:t>Eliminar la posibilidad de que el Auditor Superior de la Federación sea nombrado nuevamente. (Fracción IV, tercer párrafo)</w:t>
            </w:r>
          </w:p>
        </w:tc>
      </w:tr>
      <w:tr>
        <w:trPr>
          <w:trHeight w:val="353" w:hRule="exact"/>
        </w:trPr>
        <w:tc>
          <w:tcPr>
            <w:tcW w:w="746" w:type="dxa"/>
          </w:tcPr>
          <w:p>
            <w:pPr>
              <w:pStyle w:val="TableParagraph"/>
              <w:spacing w:before="5"/>
              <w:ind w:left="136"/>
              <w:rPr>
                <w:b/>
                <w:sz w:val="14"/>
              </w:rPr>
            </w:pPr>
            <w:r>
              <w:rPr>
                <w:b/>
                <w:sz w:val="14"/>
              </w:rPr>
              <w:t>116 y</w:t>
            </w:r>
          </w:p>
          <w:p>
            <w:pPr>
              <w:pStyle w:val="TableParagraph"/>
              <w:ind w:left="194"/>
              <w:rPr>
                <w:b/>
                <w:sz w:val="14"/>
              </w:rPr>
            </w:pPr>
            <w:r>
              <w:rPr>
                <w:b/>
                <w:sz w:val="14"/>
              </w:rPr>
              <w:t>122</w:t>
            </w:r>
          </w:p>
        </w:tc>
        <w:tc>
          <w:tcPr>
            <w:tcW w:w="7797" w:type="dxa"/>
            <w:tcBorders>
              <w:top w:val="single" w:sz="4" w:space="0" w:color="000000"/>
              <w:bottom w:val="single" w:sz="4" w:space="0" w:color="000000"/>
              <w:right w:val="single" w:sz="4" w:space="0" w:color="000000"/>
            </w:tcBorders>
          </w:tcPr>
          <w:p>
            <w:pPr>
              <w:pStyle w:val="TableParagraph"/>
              <w:spacing w:before="17"/>
              <w:ind w:left="93" w:right="185"/>
              <w:rPr>
                <w:sz w:val="14"/>
              </w:rPr>
            </w:pPr>
            <w:r>
              <w:rPr>
                <w:sz w:val="14"/>
              </w:rPr>
              <w:t>Establecer</w:t>
            </w:r>
            <w:r>
              <w:rPr>
                <w:spacing w:val="-12"/>
                <w:sz w:val="14"/>
              </w:rPr>
              <w:t> </w:t>
            </w:r>
            <w:r>
              <w:rPr>
                <w:sz w:val="14"/>
              </w:rPr>
              <w:t>que</w:t>
            </w:r>
            <w:r>
              <w:rPr>
                <w:spacing w:val="-12"/>
                <w:sz w:val="14"/>
              </w:rPr>
              <w:t> </w:t>
            </w:r>
            <w:r>
              <w:rPr>
                <w:sz w:val="14"/>
              </w:rPr>
              <w:t>los</w:t>
            </w:r>
            <w:r>
              <w:rPr>
                <w:spacing w:val="-11"/>
                <w:sz w:val="14"/>
              </w:rPr>
              <w:t> </w:t>
            </w:r>
            <w:r>
              <w:rPr>
                <w:sz w:val="14"/>
              </w:rPr>
              <w:t>informes</w:t>
            </w:r>
            <w:r>
              <w:rPr>
                <w:spacing w:val="-11"/>
                <w:sz w:val="14"/>
              </w:rPr>
              <w:t> </w:t>
            </w:r>
            <w:r>
              <w:rPr>
                <w:sz w:val="14"/>
              </w:rPr>
              <w:t>de</w:t>
            </w:r>
            <w:r>
              <w:rPr>
                <w:spacing w:val="-9"/>
                <w:sz w:val="14"/>
              </w:rPr>
              <w:t> </w:t>
            </w:r>
            <w:r>
              <w:rPr>
                <w:sz w:val="14"/>
              </w:rPr>
              <w:t>auditoría</w:t>
            </w:r>
            <w:r>
              <w:rPr>
                <w:spacing w:val="-12"/>
                <w:sz w:val="14"/>
              </w:rPr>
              <w:t> </w:t>
            </w:r>
            <w:r>
              <w:rPr>
                <w:sz w:val="14"/>
              </w:rPr>
              <w:t>que</w:t>
            </w:r>
            <w:r>
              <w:rPr>
                <w:spacing w:val="-12"/>
                <w:sz w:val="14"/>
              </w:rPr>
              <w:t> </w:t>
            </w:r>
            <w:r>
              <w:rPr>
                <w:sz w:val="14"/>
              </w:rPr>
              <w:t>presentan</w:t>
            </w:r>
            <w:r>
              <w:rPr>
                <w:spacing w:val="-12"/>
                <w:sz w:val="14"/>
              </w:rPr>
              <w:t> </w:t>
            </w:r>
            <w:r>
              <w:rPr>
                <w:sz w:val="14"/>
              </w:rPr>
              <w:t>las</w:t>
            </w:r>
            <w:r>
              <w:rPr>
                <w:spacing w:val="-11"/>
                <w:sz w:val="14"/>
              </w:rPr>
              <w:t> </w:t>
            </w:r>
            <w:r>
              <w:rPr>
                <w:sz w:val="14"/>
              </w:rPr>
              <w:t>entidades</w:t>
            </w:r>
            <w:r>
              <w:rPr>
                <w:spacing w:val="-11"/>
                <w:sz w:val="14"/>
              </w:rPr>
              <w:t> </w:t>
            </w:r>
            <w:r>
              <w:rPr>
                <w:sz w:val="14"/>
              </w:rPr>
              <w:t>de</w:t>
            </w:r>
            <w:r>
              <w:rPr>
                <w:spacing w:val="-12"/>
                <w:sz w:val="14"/>
              </w:rPr>
              <w:t> </w:t>
            </w:r>
            <w:r>
              <w:rPr>
                <w:sz w:val="14"/>
              </w:rPr>
              <w:t>fiscalización</w:t>
            </w:r>
            <w:r>
              <w:rPr>
                <w:spacing w:val="-12"/>
                <w:sz w:val="14"/>
              </w:rPr>
              <w:t> </w:t>
            </w:r>
            <w:r>
              <w:rPr>
                <w:sz w:val="14"/>
              </w:rPr>
              <w:t>superior</w:t>
            </w:r>
            <w:r>
              <w:rPr>
                <w:spacing w:val="-12"/>
                <w:sz w:val="14"/>
              </w:rPr>
              <w:t> </w:t>
            </w:r>
            <w:r>
              <w:rPr>
                <w:sz w:val="14"/>
              </w:rPr>
              <w:t>de</w:t>
            </w:r>
            <w:r>
              <w:rPr>
                <w:spacing w:val="-12"/>
                <w:sz w:val="14"/>
              </w:rPr>
              <w:t> </w:t>
            </w:r>
            <w:r>
              <w:rPr>
                <w:sz w:val="14"/>
              </w:rPr>
              <w:t>las</w:t>
            </w:r>
            <w:r>
              <w:rPr>
                <w:spacing w:val="-11"/>
                <w:sz w:val="14"/>
              </w:rPr>
              <w:t> </w:t>
            </w:r>
            <w:r>
              <w:rPr>
                <w:sz w:val="14"/>
              </w:rPr>
              <w:t>entidades</w:t>
            </w:r>
            <w:r>
              <w:rPr>
                <w:spacing w:val="-11"/>
                <w:sz w:val="14"/>
              </w:rPr>
              <w:t> </w:t>
            </w:r>
            <w:r>
              <w:rPr>
                <w:sz w:val="14"/>
              </w:rPr>
              <w:t>federativas sean</w:t>
            </w:r>
            <w:r>
              <w:rPr>
                <w:spacing w:val="-7"/>
                <w:sz w:val="14"/>
              </w:rPr>
              <w:t> </w:t>
            </w:r>
            <w:r>
              <w:rPr>
                <w:sz w:val="14"/>
              </w:rPr>
              <w:t>públicos.</w:t>
            </w:r>
          </w:p>
        </w:tc>
      </w:tr>
    </w:tbl>
    <w:p>
      <w:pPr>
        <w:pStyle w:val="BodyText"/>
        <w:spacing w:before="6"/>
        <w:rPr>
          <w:sz w:val="12"/>
        </w:rPr>
      </w:pPr>
    </w:p>
    <w:p>
      <w:pPr>
        <w:spacing w:before="0"/>
        <w:ind w:left="142" w:right="255" w:firstLine="0"/>
        <w:jc w:val="left"/>
        <w:rPr>
          <w:sz w:val="12"/>
        </w:rPr>
      </w:pPr>
      <w:r>
        <w:rPr>
          <w:sz w:val="12"/>
        </w:rPr>
        <w:t>FUENTE:      Cámara de Diputados, H. Congreso de la Unión, LXI Legislatura.</w:t>
      </w:r>
    </w:p>
    <w:p>
      <w:pPr>
        <w:pStyle w:val="BodyText"/>
        <w:rPr>
          <w:sz w:val="12"/>
        </w:rPr>
      </w:pPr>
    </w:p>
    <w:p>
      <w:pPr>
        <w:pStyle w:val="BodyText"/>
        <w:rPr>
          <w:sz w:val="12"/>
        </w:rPr>
      </w:pPr>
    </w:p>
    <w:p>
      <w:pPr>
        <w:pStyle w:val="BodyText"/>
        <w:rPr>
          <w:sz w:val="12"/>
        </w:rPr>
      </w:pPr>
    </w:p>
    <w:p>
      <w:pPr>
        <w:pStyle w:val="BodyText"/>
        <w:spacing w:line="360" w:lineRule="auto"/>
        <w:ind w:left="142" w:right="255" w:firstLine="427"/>
      </w:pPr>
      <w:r>
        <w:rPr/>
        <w:t>Entre las deficiencias identificadas en la actividad fiscalizadora no subsanadas por la LFRCF, destacan las siguientes:</w:t>
      </w:r>
    </w:p>
    <w:p>
      <w:pPr>
        <w:pStyle w:val="BodyText"/>
      </w:pPr>
    </w:p>
    <w:p>
      <w:pPr>
        <w:pStyle w:val="ListParagraph"/>
        <w:numPr>
          <w:ilvl w:val="2"/>
          <w:numId w:val="70"/>
        </w:numPr>
        <w:tabs>
          <w:tab w:pos="862" w:val="left" w:leader="none"/>
        </w:tabs>
        <w:spacing w:line="360" w:lineRule="auto" w:before="142" w:after="0"/>
        <w:ind w:left="862" w:right="254" w:hanging="360"/>
        <w:jc w:val="left"/>
        <w:rPr>
          <w:sz w:val="24"/>
        </w:rPr>
      </w:pPr>
      <w:r>
        <w:rPr>
          <w:sz w:val="24"/>
        </w:rPr>
        <w:t>Prevalece la cantidad de auditorías financieras y de cumplimiento sobre las de</w:t>
      </w:r>
      <w:r>
        <w:rPr>
          <w:spacing w:val="-8"/>
          <w:sz w:val="24"/>
        </w:rPr>
        <w:t> </w:t>
      </w:r>
      <w:r>
        <w:rPr>
          <w:sz w:val="24"/>
        </w:rPr>
        <w:t>desempeño.</w:t>
      </w:r>
    </w:p>
    <w:p>
      <w:pPr>
        <w:pStyle w:val="ListParagraph"/>
        <w:numPr>
          <w:ilvl w:val="2"/>
          <w:numId w:val="70"/>
        </w:numPr>
        <w:tabs>
          <w:tab w:pos="862" w:val="left" w:leader="none"/>
        </w:tabs>
        <w:spacing w:line="360" w:lineRule="auto" w:before="5" w:after="0"/>
        <w:ind w:left="862" w:right="254" w:hanging="360"/>
        <w:jc w:val="left"/>
        <w:rPr>
          <w:sz w:val="24"/>
        </w:rPr>
      </w:pPr>
      <w:r>
        <w:rPr>
          <w:sz w:val="24"/>
        </w:rPr>
        <w:t>Los indicadores estratégicos de desempeño siguen siendo insuficientes para mejorar los resultados de las políticas</w:t>
      </w:r>
      <w:r>
        <w:rPr>
          <w:spacing w:val="-18"/>
          <w:sz w:val="24"/>
        </w:rPr>
        <w:t> </w:t>
      </w:r>
      <w:r>
        <w:rPr>
          <w:sz w:val="24"/>
        </w:rPr>
        <w:t>públicas.</w:t>
      </w:r>
    </w:p>
    <w:p>
      <w:pPr>
        <w:pStyle w:val="BodyText"/>
        <w:spacing w:before="9"/>
        <w:rPr>
          <w:sz w:val="15"/>
        </w:rPr>
      </w:pPr>
      <w:r>
        <w:rPr/>
        <w:pict>
          <v:line style="position:absolute;mso-position-horizontal-relative:page;mso-position-vertical-relative:paragraph;z-index:9544;mso-wrap-distance-left:0;mso-wrap-distance-right:0" from="85.103996pt,11.423893pt" to="229.123996pt,11.423893pt" stroked="true" strokeweight=".72003pt" strokecolor="#000000">
            <w10:wrap type="topAndBottom"/>
          </v:line>
        </w:pict>
      </w:r>
    </w:p>
    <w:p>
      <w:pPr>
        <w:spacing w:before="70"/>
        <w:ind w:left="142" w:right="255" w:firstLine="0"/>
        <w:jc w:val="left"/>
        <w:rPr>
          <w:sz w:val="16"/>
        </w:rPr>
      </w:pPr>
      <w:r>
        <w:rPr>
          <w:sz w:val="16"/>
        </w:rPr>
        <w:t>En la LFRCF se excluye a los partidos políticos como sujetos a ser fiscalizados por la ASF; y la Ley Federal de Transparencia y Acceso a la Información Pública Gubernamental los excluye como sujetos obligados.</w:t>
      </w:r>
    </w:p>
    <w:p>
      <w:pPr>
        <w:spacing w:line="216" w:lineRule="exact" w:before="0"/>
        <w:ind w:left="142" w:right="255" w:firstLine="0"/>
        <w:jc w:val="left"/>
        <w:rPr>
          <w:sz w:val="16"/>
        </w:rPr>
      </w:pPr>
      <w:r>
        <w:rPr>
          <w:rFonts w:ascii="Times New Roman" w:hAnsi="Times New Roman"/>
          <w:position w:val="7"/>
          <w:sz w:val="13"/>
        </w:rPr>
        <w:t>126 </w:t>
      </w:r>
      <w:r>
        <w:rPr>
          <w:sz w:val="16"/>
        </w:rPr>
        <w:t>De acuerdo con el Informe del Resultado de la Fiscalización Superior de la Cuenta Pública 2010, la aplicación de</w:t>
      </w:r>
    </w:p>
    <w:p>
      <w:pPr>
        <w:spacing w:before="13"/>
        <w:ind w:left="142" w:right="156" w:firstLine="0"/>
        <w:jc w:val="both"/>
        <w:rPr>
          <w:sz w:val="16"/>
        </w:rPr>
      </w:pPr>
      <w:r>
        <w:rPr>
          <w:sz w:val="16"/>
        </w:rPr>
        <w:t>recursos transferidos a estados y municipios para infraestructura, mediante el Ramo 33, con frecuencia no cumple con los</w:t>
      </w:r>
      <w:r>
        <w:rPr>
          <w:spacing w:val="-10"/>
          <w:sz w:val="16"/>
        </w:rPr>
        <w:t> </w:t>
      </w:r>
      <w:r>
        <w:rPr>
          <w:sz w:val="16"/>
        </w:rPr>
        <w:t>objetivos</w:t>
      </w:r>
      <w:r>
        <w:rPr>
          <w:spacing w:val="-10"/>
          <w:sz w:val="16"/>
        </w:rPr>
        <w:t> </w:t>
      </w:r>
      <w:r>
        <w:rPr>
          <w:sz w:val="16"/>
        </w:rPr>
        <w:t>de</w:t>
      </w:r>
      <w:r>
        <w:rPr>
          <w:spacing w:val="-12"/>
          <w:sz w:val="16"/>
        </w:rPr>
        <w:t> </w:t>
      </w:r>
      <w:r>
        <w:rPr>
          <w:sz w:val="16"/>
        </w:rPr>
        <w:t>los</w:t>
      </w:r>
      <w:r>
        <w:rPr>
          <w:spacing w:val="-12"/>
          <w:sz w:val="16"/>
        </w:rPr>
        <w:t> </w:t>
      </w:r>
      <w:r>
        <w:rPr>
          <w:sz w:val="16"/>
        </w:rPr>
        <w:t>fondos</w:t>
      </w:r>
      <w:r>
        <w:rPr>
          <w:spacing w:val="-10"/>
          <w:sz w:val="16"/>
        </w:rPr>
        <w:t> </w:t>
      </w:r>
      <w:r>
        <w:rPr>
          <w:sz w:val="16"/>
        </w:rPr>
        <w:t>y</w:t>
      </w:r>
      <w:r>
        <w:rPr>
          <w:spacing w:val="-10"/>
          <w:sz w:val="16"/>
        </w:rPr>
        <w:t> </w:t>
      </w:r>
      <w:r>
        <w:rPr>
          <w:sz w:val="16"/>
        </w:rPr>
        <w:t>programas,</w:t>
      </w:r>
      <w:r>
        <w:rPr>
          <w:spacing w:val="-10"/>
          <w:sz w:val="16"/>
        </w:rPr>
        <w:t> </w:t>
      </w:r>
      <w:r>
        <w:rPr>
          <w:sz w:val="16"/>
        </w:rPr>
        <w:t>lo</w:t>
      </w:r>
      <w:r>
        <w:rPr>
          <w:spacing w:val="-11"/>
          <w:sz w:val="16"/>
        </w:rPr>
        <w:t> </w:t>
      </w:r>
      <w:r>
        <w:rPr>
          <w:sz w:val="16"/>
        </w:rPr>
        <w:t>que</w:t>
      </w:r>
      <w:r>
        <w:rPr>
          <w:spacing w:val="-12"/>
          <w:sz w:val="16"/>
        </w:rPr>
        <w:t> </w:t>
      </w:r>
      <w:r>
        <w:rPr>
          <w:sz w:val="16"/>
        </w:rPr>
        <w:t>demuestra</w:t>
      </w:r>
      <w:r>
        <w:rPr>
          <w:spacing w:val="-9"/>
          <w:sz w:val="16"/>
        </w:rPr>
        <w:t> </w:t>
      </w:r>
      <w:r>
        <w:rPr>
          <w:sz w:val="16"/>
        </w:rPr>
        <w:t>una</w:t>
      </w:r>
      <w:r>
        <w:rPr>
          <w:spacing w:val="-12"/>
          <w:sz w:val="16"/>
        </w:rPr>
        <w:t> </w:t>
      </w:r>
      <w:r>
        <w:rPr>
          <w:sz w:val="16"/>
        </w:rPr>
        <w:t>debilidad</w:t>
      </w:r>
      <w:r>
        <w:rPr>
          <w:spacing w:val="-9"/>
          <w:sz w:val="16"/>
        </w:rPr>
        <w:t> </w:t>
      </w:r>
      <w:r>
        <w:rPr>
          <w:sz w:val="16"/>
        </w:rPr>
        <w:t>de</w:t>
      </w:r>
      <w:r>
        <w:rPr>
          <w:spacing w:val="-9"/>
          <w:sz w:val="16"/>
        </w:rPr>
        <w:t> </w:t>
      </w:r>
      <w:r>
        <w:rPr>
          <w:sz w:val="16"/>
        </w:rPr>
        <w:t>las</w:t>
      </w:r>
      <w:r>
        <w:rPr>
          <w:spacing w:val="-10"/>
          <w:sz w:val="16"/>
        </w:rPr>
        <w:t> </w:t>
      </w:r>
      <w:r>
        <w:rPr>
          <w:sz w:val="16"/>
        </w:rPr>
        <w:t>finanzas</w:t>
      </w:r>
      <w:r>
        <w:rPr>
          <w:spacing w:val="-10"/>
          <w:sz w:val="16"/>
        </w:rPr>
        <w:t> </w:t>
      </w:r>
      <w:r>
        <w:rPr>
          <w:sz w:val="16"/>
        </w:rPr>
        <w:t>de</w:t>
      </w:r>
      <w:r>
        <w:rPr>
          <w:spacing w:val="-12"/>
          <w:sz w:val="16"/>
        </w:rPr>
        <w:t> </w:t>
      </w:r>
      <w:r>
        <w:rPr>
          <w:sz w:val="16"/>
        </w:rPr>
        <w:t>las</w:t>
      </w:r>
      <w:r>
        <w:rPr>
          <w:spacing w:val="-10"/>
          <w:sz w:val="16"/>
        </w:rPr>
        <w:t> </w:t>
      </w:r>
      <w:r>
        <w:rPr>
          <w:sz w:val="16"/>
        </w:rPr>
        <w:t>administraciones</w:t>
      </w:r>
      <w:r>
        <w:rPr>
          <w:spacing w:val="-10"/>
          <w:sz w:val="16"/>
        </w:rPr>
        <w:t> </w:t>
      </w:r>
      <w:r>
        <w:rPr>
          <w:sz w:val="16"/>
        </w:rPr>
        <w:t>estatales y municipales, así como de los inadecuados sistemas de control interno y de rendición de cuentas. La ASF sugiere la promulgación de la Ley Federal de Gasto Federalizado y la derogación del Capítulo V de la</w:t>
      </w:r>
      <w:r>
        <w:rPr>
          <w:spacing w:val="-30"/>
          <w:sz w:val="16"/>
        </w:rPr>
        <w:t> </w:t>
      </w:r>
      <w:r>
        <w:rPr>
          <w:sz w:val="16"/>
        </w:rPr>
        <w:t>LCF.</w:t>
      </w:r>
    </w:p>
    <w:p>
      <w:pPr>
        <w:spacing w:before="1"/>
        <w:ind w:left="142" w:right="2688" w:firstLine="0"/>
        <w:jc w:val="left"/>
        <w:rPr>
          <w:sz w:val="16"/>
        </w:rPr>
      </w:pPr>
      <w:r>
        <w:rPr>
          <w:sz w:val="16"/>
        </w:rPr>
        <w:t>La ASF se pronunció por la promulgación de la Ley General de Gasto Federalizado. Reunión de Análisis del Informe de la ASF, Grupo Funcional Gasto Federalizado.</w:t>
      </w:r>
    </w:p>
    <w:p>
      <w:pPr>
        <w:spacing w:line="242" w:lineRule="auto" w:before="1"/>
        <w:ind w:left="142" w:right="69" w:firstLine="0"/>
        <w:jc w:val="left"/>
        <w:rPr>
          <w:sz w:val="16"/>
        </w:rPr>
      </w:pPr>
      <w:r>
        <w:rPr>
          <w:sz w:val="16"/>
        </w:rPr>
        <w:t>Disponible en: </w:t>
      </w:r>
      <w:hyperlink r:id="rId206">
        <w:r>
          <w:rPr>
            <w:color w:val="0000FF"/>
            <w:sz w:val="16"/>
            <w:u w:val="single" w:color="0000FF"/>
          </w:rPr>
          <w:t>http://www.asf.gob.mx/Publication/75_Programa_de_TV</w:t>
        </w:r>
        <w:r>
          <w:rPr>
            <w:sz w:val="16"/>
          </w:rPr>
          <w:t>[</w:t>
        </w:r>
      </w:hyperlink>
      <w:r>
        <w:rPr>
          <w:sz w:val="16"/>
        </w:rPr>
        <w:t>Fecha de consulta: 25 de septiembre, 2015]. </w:t>
      </w:r>
      <w:r>
        <w:rPr>
          <w:rFonts w:ascii="Times New Roman" w:hAnsi="Times New Roman"/>
          <w:position w:val="7"/>
          <w:sz w:val="13"/>
        </w:rPr>
        <w:t>127</w:t>
      </w:r>
      <w:r>
        <w:rPr>
          <w:sz w:val="16"/>
        </w:rPr>
        <w:t>En mayo de 2013 la ASF reiteró por tercera ocasión la importancia de materializar las reformas constitucionales propuestas Fuente: Programa Pesos y Contrapesos. Reunión de Análisis del Informe de la ASF, Grupo Funcional Gasto Federalizado. Disponible en: </w:t>
      </w:r>
      <w:hyperlink r:id="rId206">
        <w:r>
          <w:rPr>
            <w:color w:val="0000FF"/>
            <w:sz w:val="16"/>
            <w:u w:val="single" w:color="0000FF"/>
          </w:rPr>
          <w:t>http://www.asf.gob.mx/Publication/75_Programa_de_TV</w:t>
        </w:r>
      </w:hyperlink>
      <w:r>
        <w:rPr>
          <w:color w:val="0000FF"/>
          <w:sz w:val="16"/>
          <w:u w:val="single" w:color="0000FF"/>
        </w:rPr>
        <w:t> </w:t>
      </w:r>
      <w:r>
        <w:rPr>
          <w:sz w:val="16"/>
        </w:rPr>
        <w:t>[Fecha de consulta: [Fecha de consulta: 25 de septiembre, 2015]</w:t>
      </w:r>
    </w:p>
    <w:p>
      <w:pPr>
        <w:spacing w:after="0" w:line="242" w:lineRule="auto"/>
        <w:jc w:val="left"/>
        <w:rPr>
          <w:sz w:val="16"/>
        </w:rPr>
        <w:sectPr>
          <w:pgSz w:w="11910" w:h="16840"/>
          <w:pgMar w:header="0" w:footer="1003" w:top="1340" w:bottom="1200" w:left="1560" w:right="1540"/>
        </w:sectPr>
      </w:pPr>
    </w:p>
    <w:p>
      <w:pPr>
        <w:pStyle w:val="ListParagraph"/>
        <w:numPr>
          <w:ilvl w:val="2"/>
          <w:numId w:val="70"/>
        </w:numPr>
        <w:tabs>
          <w:tab w:pos="842" w:val="left" w:leader="none"/>
        </w:tabs>
        <w:spacing w:line="240" w:lineRule="auto" w:before="55" w:after="0"/>
        <w:ind w:left="842" w:right="0" w:hanging="360"/>
        <w:jc w:val="left"/>
        <w:rPr>
          <w:sz w:val="24"/>
        </w:rPr>
      </w:pPr>
      <w:r>
        <w:rPr>
          <w:sz w:val="24"/>
        </w:rPr>
        <w:t>Aumento de la</w:t>
      </w:r>
      <w:r>
        <w:rPr>
          <w:spacing w:val="-11"/>
          <w:sz w:val="24"/>
        </w:rPr>
        <w:t> </w:t>
      </w:r>
      <w:r>
        <w:rPr>
          <w:sz w:val="24"/>
        </w:rPr>
        <w:t>corrupción.</w:t>
      </w:r>
    </w:p>
    <w:p>
      <w:pPr>
        <w:pStyle w:val="ListParagraph"/>
        <w:numPr>
          <w:ilvl w:val="2"/>
          <w:numId w:val="70"/>
        </w:numPr>
        <w:tabs>
          <w:tab w:pos="842" w:val="left" w:leader="none"/>
        </w:tabs>
        <w:spacing w:line="360" w:lineRule="auto" w:before="139" w:after="0"/>
        <w:ind w:left="842" w:right="212" w:hanging="360"/>
        <w:jc w:val="left"/>
        <w:rPr>
          <w:sz w:val="24"/>
        </w:rPr>
      </w:pPr>
      <w:r>
        <w:rPr>
          <w:sz w:val="24"/>
        </w:rPr>
        <w:t>Se carece de un trabajo estratégico que anticipe los cambios</w:t>
      </w:r>
      <w:r>
        <w:rPr>
          <w:spacing w:val="-26"/>
          <w:sz w:val="24"/>
        </w:rPr>
        <w:t> </w:t>
      </w:r>
      <w:r>
        <w:rPr>
          <w:sz w:val="24"/>
        </w:rPr>
        <w:t>nacionales e</w:t>
      </w:r>
      <w:r>
        <w:rPr>
          <w:spacing w:val="-4"/>
          <w:sz w:val="24"/>
        </w:rPr>
        <w:t> </w:t>
      </w:r>
      <w:r>
        <w:rPr>
          <w:sz w:val="24"/>
        </w:rPr>
        <w:t>internacionales.</w:t>
      </w:r>
    </w:p>
    <w:p>
      <w:pPr>
        <w:pStyle w:val="ListParagraph"/>
        <w:numPr>
          <w:ilvl w:val="2"/>
          <w:numId w:val="70"/>
        </w:numPr>
        <w:tabs>
          <w:tab w:pos="842" w:val="left" w:leader="none"/>
        </w:tabs>
        <w:spacing w:line="240" w:lineRule="auto" w:before="5" w:after="0"/>
        <w:ind w:left="842" w:right="0" w:hanging="360"/>
        <w:jc w:val="left"/>
        <w:rPr>
          <w:sz w:val="24"/>
        </w:rPr>
      </w:pPr>
      <w:r>
        <w:rPr>
          <w:sz w:val="24"/>
        </w:rPr>
        <w:t>Las formas sofisticadas de fraude no se han</w:t>
      </w:r>
      <w:r>
        <w:rPr>
          <w:spacing w:val="-20"/>
          <w:sz w:val="24"/>
        </w:rPr>
        <w:t> </w:t>
      </w:r>
      <w:r>
        <w:rPr>
          <w:sz w:val="24"/>
        </w:rPr>
        <w:t>prevenido.</w:t>
      </w:r>
    </w:p>
    <w:p>
      <w:pPr>
        <w:pStyle w:val="ListParagraph"/>
        <w:numPr>
          <w:ilvl w:val="2"/>
          <w:numId w:val="70"/>
        </w:numPr>
        <w:tabs>
          <w:tab w:pos="842" w:val="left" w:leader="none"/>
        </w:tabs>
        <w:spacing w:line="360" w:lineRule="auto" w:before="137" w:after="0"/>
        <w:ind w:left="842" w:right="215" w:hanging="360"/>
        <w:jc w:val="left"/>
        <w:rPr>
          <w:sz w:val="24"/>
        </w:rPr>
      </w:pPr>
      <w:r>
        <w:rPr>
          <w:sz w:val="24"/>
        </w:rPr>
        <w:t>La</w:t>
      </w:r>
      <w:r>
        <w:rPr>
          <w:spacing w:val="-14"/>
          <w:sz w:val="24"/>
        </w:rPr>
        <w:t> </w:t>
      </w:r>
      <w:r>
        <w:rPr>
          <w:sz w:val="24"/>
        </w:rPr>
        <w:t>Entidad</w:t>
      </w:r>
      <w:r>
        <w:rPr>
          <w:spacing w:val="-17"/>
          <w:sz w:val="24"/>
        </w:rPr>
        <w:t> </w:t>
      </w:r>
      <w:r>
        <w:rPr>
          <w:sz w:val="24"/>
        </w:rPr>
        <w:t>de</w:t>
      </w:r>
      <w:r>
        <w:rPr>
          <w:spacing w:val="-14"/>
          <w:sz w:val="24"/>
        </w:rPr>
        <w:t> </w:t>
      </w:r>
      <w:r>
        <w:rPr>
          <w:sz w:val="24"/>
        </w:rPr>
        <w:t>Fiscalización</w:t>
      </w:r>
      <w:r>
        <w:rPr>
          <w:spacing w:val="-14"/>
          <w:sz w:val="24"/>
        </w:rPr>
        <w:t> </w:t>
      </w:r>
      <w:r>
        <w:rPr>
          <w:sz w:val="24"/>
        </w:rPr>
        <w:t>Superior</w:t>
      </w:r>
      <w:r>
        <w:rPr>
          <w:spacing w:val="-16"/>
          <w:sz w:val="24"/>
        </w:rPr>
        <w:t> </w:t>
      </w:r>
      <w:r>
        <w:rPr>
          <w:sz w:val="24"/>
        </w:rPr>
        <w:t>de</w:t>
      </w:r>
      <w:r>
        <w:rPr>
          <w:spacing w:val="-14"/>
          <w:sz w:val="24"/>
        </w:rPr>
        <w:t> </w:t>
      </w:r>
      <w:r>
        <w:rPr>
          <w:sz w:val="24"/>
        </w:rPr>
        <w:t>la</w:t>
      </w:r>
      <w:r>
        <w:rPr>
          <w:spacing w:val="-14"/>
          <w:sz w:val="24"/>
        </w:rPr>
        <w:t> </w:t>
      </w:r>
      <w:r>
        <w:rPr>
          <w:sz w:val="24"/>
        </w:rPr>
        <w:t>Federación</w:t>
      </w:r>
      <w:r>
        <w:rPr>
          <w:spacing w:val="-14"/>
          <w:sz w:val="24"/>
        </w:rPr>
        <w:t> </w:t>
      </w:r>
      <w:r>
        <w:rPr>
          <w:sz w:val="24"/>
        </w:rPr>
        <w:t>está</w:t>
      </w:r>
      <w:r>
        <w:rPr>
          <w:spacing w:val="-14"/>
          <w:sz w:val="24"/>
        </w:rPr>
        <w:t> </w:t>
      </w:r>
      <w:r>
        <w:rPr>
          <w:sz w:val="24"/>
        </w:rPr>
        <w:t>imposibilitada para realizar una fiscalización preventiva de alta</w:t>
      </w:r>
      <w:r>
        <w:rPr>
          <w:spacing w:val="-20"/>
          <w:sz w:val="24"/>
        </w:rPr>
        <w:t> </w:t>
      </w:r>
      <w:r>
        <w:rPr>
          <w:sz w:val="24"/>
        </w:rPr>
        <w:t>calidad.</w:t>
      </w:r>
    </w:p>
    <w:p>
      <w:pPr>
        <w:pStyle w:val="ListParagraph"/>
        <w:numPr>
          <w:ilvl w:val="2"/>
          <w:numId w:val="70"/>
        </w:numPr>
        <w:tabs>
          <w:tab w:pos="842" w:val="left" w:leader="none"/>
        </w:tabs>
        <w:spacing w:line="360" w:lineRule="auto" w:before="2" w:after="0"/>
        <w:ind w:left="842" w:right="214" w:hanging="360"/>
        <w:jc w:val="left"/>
        <w:rPr>
          <w:sz w:val="24"/>
        </w:rPr>
      </w:pPr>
      <w:r>
        <w:rPr>
          <w:sz w:val="24"/>
        </w:rPr>
        <w:t>Los indicadores de desempeño carecen de un impacto distinto de las recomendaciones.</w:t>
      </w:r>
    </w:p>
    <w:p>
      <w:pPr>
        <w:pStyle w:val="BodyText"/>
      </w:pPr>
    </w:p>
    <w:p>
      <w:pPr>
        <w:pStyle w:val="BodyText"/>
        <w:spacing w:before="9"/>
        <w:rPr>
          <w:sz w:val="26"/>
        </w:rPr>
      </w:pPr>
    </w:p>
    <w:p>
      <w:pPr>
        <w:pStyle w:val="Heading2"/>
        <w:numPr>
          <w:ilvl w:val="1"/>
          <w:numId w:val="69"/>
        </w:numPr>
        <w:tabs>
          <w:tab w:pos="555" w:val="left" w:leader="none"/>
        </w:tabs>
        <w:spacing w:line="240" w:lineRule="auto" w:before="0" w:after="0"/>
        <w:ind w:left="554" w:right="0" w:hanging="432"/>
        <w:jc w:val="both"/>
      </w:pPr>
      <w:bookmarkStart w:name="_bookmark76" w:id="101"/>
      <w:bookmarkEnd w:id="101"/>
      <w:r>
        <w:rPr>
          <w:b w:val="0"/>
        </w:rPr>
      </w:r>
      <w:bookmarkStart w:name="_bookmark76" w:id="102"/>
      <w:bookmarkEnd w:id="102"/>
      <w:r>
        <w:rPr/>
        <w:t>Fra</w:t>
      </w:r>
      <w:r>
        <w:rPr/>
        <w:t>gmentación de la Política de Combate a la</w:t>
      </w:r>
      <w:r>
        <w:rPr>
          <w:spacing w:val="-12"/>
        </w:rPr>
        <w:t> </w:t>
      </w:r>
      <w:r>
        <w:rPr/>
        <w:t>Corrupción</w:t>
      </w:r>
    </w:p>
    <w:p>
      <w:pPr>
        <w:pStyle w:val="BodyText"/>
        <w:spacing w:before="3"/>
        <w:rPr>
          <w:b/>
          <w:sz w:val="30"/>
        </w:rPr>
      </w:pPr>
    </w:p>
    <w:p>
      <w:pPr>
        <w:pStyle w:val="Heading3"/>
        <w:numPr>
          <w:ilvl w:val="2"/>
          <w:numId w:val="69"/>
        </w:numPr>
        <w:tabs>
          <w:tab w:pos="724" w:val="left" w:leader="none"/>
        </w:tabs>
        <w:spacing w:line="240" w:lineRule="auto" w:before="0" w:after="0"/>
        <w:ind w:left="723" w:right="0" w:hanging="601"/>
        <w:jc w:val="both"/>
      </w:pPr>
      <w:bookmarkStart w:name="_bookmark77" w:id="103"/>
      <w:bookmarkEnd w:id="103"/>
      <w:r>
        <w:rPr>
          <w:b w:val="0"/>
        </w:rPr>
      </w:r>
      <w:bookmarkStart w:name="_bookmark77" w:id="104"/>
      <w:bookmarkEnd w:id="104"/>
      <w:r>
        <w:rPr/>
        <w:t>Me</w:t>
      </w:r>
      <w:r>
        <w:rPr/>
        <w:t>canismos de control interno y</w:t>
      </w:r>
      <w:r>
        <w:rPr>
          <w:spacing w:val="-11"/>
        </w:rPr>
        <w:t> </w:t>
      </w:r>
      <w:r>
        <w:rPr/>
        <w:t>externo</w:t>
      </w:r>
    </w:p>
    <w:p>
      <w:pPr>
        <w:pStyle w:val="BodyText"/>
        <w:spacing w:line="360" w:lineRule="auto" w:before="137"/>
        <w:ind w:left="122" w:right="117"/>
        <w:jc w:val="both"/>
        <w:rPr>
          <w:sz w:val="16"/>
        </w:rPr>
      </w:pPr>
      <w:r>
        <w:rPr/>
        <w:t>¿Cuáles</w:t>
      </w:r>
      <w:r>
        <w:rPr>
          <w:spacing w:val="-4"/>
        </w:rPr>
        <w:t> </w:t>
      </w:r>
      <w:r>
        <w:rPr/>
        <w:t>son</w:t>
      </w:r>
      <w:r>
        <w:rPr>
          <w:spacing w:val="-4"/>
        </w:rPr>
        <w:t> </w:t>
      </w:r>
      <w:r>
        <w:rPr/>
        <w:t>los</w:t>
      </w:r>
      <w:r>
        <w:rPr>
          <w:spacing w:val="-6"/>
        </w:rPr>
        <w:t> </w:t>
      </w:r>
      <w:r>
        <w:rPr/>
        <w:t>mecanismos</w:t>
      </w:r>
      <w:r>
        <w:rPr>
          <w:spacing w:val="-7"/>
        </w:rPr>
        <w:t> </w:t>
      </w:r>
      <w:r>
        <w:rPr/>
        <w:t>de</w:t>
      </w:r>
      <w:r>
        <w:rPr>
          <w:spacing w:val="-6"/>
        </w:rPr>
        <w:t> </w:t>
      </w:r>
      <w:r>
        <w:rPr/>
        <w:t>control</w:t>
      </w:r>
      <w:r>
        <w:rPr>
          <w:spacing w:val="-5"/>
        </w:rPr>
        <w:t> </w:t>
      </w:r>
      <w:r>
        <w:rPr/>
        <w:t>interno</w:t>
      </w:r>
      <w:r>
        <w:rPr>
          <w:spacing w:val="-3"/>
        </w:rPr>
        <w:t> </w:t>
      </w:r>
      <w:r>
        <w:rPr/>
        <w:t>y</w:t>
      </w:r>
      <w:r>
        <w:rPr>
          <w:spacing w:val="-7"/>
        </w:rPr>
        <w:t> </w:t>
      </w:r>
      <w:r>
        <w:rPr/>
        <w:t>externo</w:t>
      </w:r>
      <w:r>
        <w:rPr>
          <w:spacing w:val="-6"/>
        </w:rPr>
        <w:t> </w:t>
      </w:r>
      <w:r>
        <w:rPr/>
        <w:t>de</w:t>
      </w:r>
      <w:r>
        <w:rPr>
          <w:spacing w:val="-4"/>
        </w:rPr>
        <w:t> </w:t>
      </w:r>
      <w:r>
        <w:rPr/>
        <w:t>las</w:t>
      </w:r>
      <w:r>
        <w:rPr>
          <w:spacing w:val="1"/>
        </w:rPr>
        <w:t> </w:t>
      </w:r>
      <w:r>
        <w:rPr/>
        <w:t>instituciones</w:t>
      </w:r>
      <w:r>
        <w:rPr>
          <w:spacing w:val="-9"/>
        </w:rPr>
        <w:t> </w:t>
      </w:r>
      <w:r>
        <w:rPr/>
        <w:t>de rendición de cuentas para que el Estado disminuya la corrupción y logre la legitimación?</w:t>
      </w:r>
      <w:r>
        <w:rPr>
          <w:spacing w:val="-11"/>
        </w:rPr>
        <w:t> </w:t>
      </w:r>
      <w:r>
        <w:rPr/>
        <w:t>El</w:t>
      </w:r>
      <w:r>
        <w:rPr>
          <w:spacing w:val="-12"/>
        </w:rPr>
        <w:t> </w:t>
      </w:r>
      <w:r>
        <w:rPr/>
        <w:t>Estado</w:t>
      </w:r>
      <w:r>
        <w:rPr>
          <w:spacing w:val="-8"/>
        </w:rPr>
        <w:t> </w:t>
      </w:r>
      <w:r>
        <w:rPr/>
        <w:t>ha</w:t>
      </w:r>
      <w:r>
        <w:rPr>
          <w:spacing w:val="-11"/>
        </w:rPr>
        <w:t> </w:t>
      </w:r>
      <w:r>
        <w:rPr/>
        <w:t>dispuesto</w:t>
      </w:r>
      <w:r>
        <w:rPr>
          <w:spacing w:val="-10"/>
        </w:rPr>
        <w:t> </w:t>
      </w:r>
      <w:r>
        <w:rPr/>
        <w:t>de</w:t>
      </w:r>
      <w:r>
        <w:rPr>
          <w:spacing w:val="-11"/>
        </w:rPr>
        <w:t> </w:t>
      </w:r>
      <w:r>
        <w:rPr/>
        <w:t>las</w:t>
      </w:r>
      <w:r>
        <w:rPr>
          <w:spacing w:val="-11"/>
        </w:rPr>
        <w:t> </w:t>
      </w:r>
      <w:r>
        <w:rPr/>
        <w:t>instituciones</w:t>
      </w:r>
      <w:r>
        <w:rPr>
          <w:spacing w:val="-9"/>
        </w:rPr>
        <w:t> </w:t>
      </w:r>
      <w:r>
        <w:rPr/>
        <w:t>con</w:t>
      </w:r>
      <w:r>
        <w:rPr>
          <w:spacing w:val="-11"/>
        </w:rPr>
        <w:t> </w:t>
      </w:r>
      <w:r>
        <w:rPr/>
        <w:t>objeto</w:t>
      </w:r>
      <w:r>
        <w:rPr>
          <w:spacing w:val="-10"/>
        </w:rPr>
        <w:t> </w:t>
      </w:r>
      <w:r>
        <w:rPr/>
        <w:t>de</w:t>
      </w:r>
      <w:r>
        <w:rPr>
          <w:spacing w:val="-11"/>
        </w:rPr>
        <w:t> </w:t>
      </w:r>
      <w:r>
        <w:rPr/>
        <w:t>coordinar las actividades de rendición de cuentas para el mejor aprovechamiento de los recursos</w:t>
      </w:r>
      <w:r>
        <w:rPr>
          <w:spacing w:val="-6"/>
        </w:rPr>
        <w:t> </w:t>
      </w:r>
      <w:r>
        <w:rPr/>
        <w:t>limitados.</w:t>
      </w:r>
      <w:r>
        <w:rPr>
          <w:position w:val="8"/>
          <w:sz w:val="16"/>
        </w:rPr>
        <w:t>128</w:t>
      </w:r>
    </w:p>
    <w:p>
      <w:pPr>
        <w:pStyle w:val="BodyText"/>
        <w:spacing w:line="360" w:lineRule="auto" w:before="1"/>
        <w:ind w:left="122" w:right="124" w:firstLine="427"/>
        <w:jc w:val="both"/>
      </w:pPr>
      <w:r>
        <w:rPr/>
        <w:t>Las instituciones públicas que tienen como eje político el fomento de una cultura de rendición de cuentas y del combate a la corrupción, tanto del Poder Ejecutivo como del Poder Legislativo, tienen la obligación de implementar las políticas públicas efectivas para vigilar el uso correcto de los recursos.</w:t>
      </w:r>
    </w:p>
    <w:p>
      <w:pPr>
        <w:pStyle w:val="BodyText"/>
        <w:spacing w:line="360" w:lineRule="auto" w:before="5"/>
        <w:ind w:left="122" w:right="119" w:firstLine="427"/>
        <w:jc w:val="both"/>
        <w:rPr>
          <w:sz w:val="16"/>
        </w:rPr>
      </w:pPr>
      <w:r>
        <w:rPr/>
        <w:t>Con las reformas a la LOAPF del 10 de abril de 2003, se sustituyó la denominación de la SECODAM por la SFP. En esa misma fecha, se publicó el Decreto por el que se expide la Ley del Servicio Profesional de Carrera de la Administración Pública Federal (LSPCAPF), las reformas a la Ley de Presupuesto, Contabilidad y Gasto Público Federal y se adicionó la Ley de Planeación.</w:t>
      </w:r>
      <w:r>
        <w:rPr>
          <w:position w:val="8"/>
          <w:sz w:val="16"/>
        </w:rPr>
        <w:t>129</w:t>
      </w: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9568;mso-wrap-distance-left:0;mso-wrap-distance-right:0" from="85.103996pt,15.236395pt" to="229.123996pt,15.236395pt" stroked="true" strokeweight=".72003pt" strokecolor="#000000">
            <w10:wrap type="topAndBottom"/>
          </v:line>
        </w:pict>
      </w:r>
    </w:p>
    <w:p>
      <w:pPr>
        <w:spacing w:line="247" w:lineRule="auto" w:before="64"/>
        <w:ind w:left="122" w:right="114" w:firstLine="0"/>
        <w:jc w:val="both"/>
        <w:rPr>
          <w:sz w:val="16"/>
        </w:rPr>
      </w:pPr>
      <w:r>
        <w:rPr>
          <w:rFonts w:ascii="Calibri" w:hAnsi="Calibri"/>
          <w:position w:val="8"/>
          <w:sz w:val="14"/>
        </w:rPr>
        <w:t>128</w:t>
      </w:r>
      <w:r>
        <w:rPr>
          <w:sz w:val="16"/>
        </w:rPr>
        <w:t>Las políticas de la rendición de cuentas consideran: un sistema judicial sancionatorio de actos de corrupción con sentencias basadas en hechos irrefutables; un sistema administrativo obligado a rendir cuentas; un sistema de división de poderes evaluativo de las políticas públicas bajo los criterios de racionalidad, objetividad e imparcialidad; un sistema social que exija cuentas, preparado para comprender e interpretar los informes que se rinden y actuar en consecuencia; un sistema cultural y educativo que resalte que los asuntos políticos son de interés general, en el que se enseñe a</w:t>
      </w:r>
    </w:p>
    <w:p>
      <w:pPr>
        <w:spacing w:line="240" w:lineRule="auto" w:before="0"/>
        <w:ind w:left="122" w:right="115" w:firstLine="0"/>
        <w:jc w:val="both"/>
        <w:rPr>
          <w:sz w:val="16"/>
        </w:rPr>
      </w:pPr>
      <w:r>
        <w:rPr>
          <w:sz w:val="16"/>
        </w:rPr>
        <w:t>discernir sobre la formulación de políticas públicas, su ejecución y su evaluación; un sistema ético que sancione moralmente la deshonestidad y la incompetencia; y un sistema de fiscalización integral que prevenga, en lo posible, cualquier acto de corrupción mediante la evaluación del desempeño de la administración pública.</w:t>
      </w:r>
    </w:p>
    <w:p>
      <w:pPr>
        <w:spacing w:line="256" w:lineRule="auto" w:before="0"/>
        <w:ind w:left="122" w:right="3115" w:firstLine="0"/>
        <w:jc w:val="left"/>
        <w:rPr>
          <w:sz w:val="16"/>
        </w:rPr>
      </w:pPr>
      <w:r>
        <w:rPr>
          <w:rFonts w:ascii="Times New Roman"/>
          <w:position w:val="7"/>
          <w:sz w:val="13"/>
        </w:rPr>
        <w:t>129</w:t>
      </w:r>
      <w:r>
        <w:rPr>
          <w:sz w:val="16"/>
        </w:rPr>
        <w:t>Disponible en: </w:t>
      </w:r>
      <w:hyperlink r:id="rId207">
        <w:r>
          <w:rPr>
            <w:sz w:val="16"/>
          </w:rPr>
          <w:t>http://dof.gob.mx/index.php?year=2003&amp;month=04&amp;day=10</w:t>
        </w:r>
      </w:hyperlink>
      <w:r>
        <w:rPr>
          <w:sz w:val="16"/>
        </w:rPr>
        <w:t> [Fecha de consulta: 27 de septiembre, 2015]</w:t>
      </w:r>
    </w:p>
    <w:p>
      <w:pPr>
        <w:spacing w:after="0" w:line="256" w:lineRule="auto"/>
        <w:jc w:val="left"/>
        <w:rPr>
          <w:sz w:val="16"/>
        </w:rPr>
        <w:sectPr>
          <w:pgSz w:w="11910" w:h="16840"/>
          <w:pgMar w:header="0" w:footer="1003" w:top="1340" w:bottom="1200" w:left="1580" w:right="1580"/>
        </w:sectPr>
      </w:pPr>
    </w:p>
    <w:p>
      <w:pPr>
        <w:pStyle w:val="BodyText"/>
        <w:spacing w:line="360" w:lineRule="auto" w:before="53"/>
        <w:ind w:left="122" w:right="116" w:firstLine="427"/>
        <w:jc w:val="right"/>
      </w:pPr>
      <w:r>
        <w:rPr/>
        <w:t>Para 2005 la SFP ya contaba con la </w:t>
      </w:r>
      <w:r>
        <w:rPr>
          <w:i/>
        </w:rPr>
        <w:t>Comisión Intersecretarial</w:t>
      </w:r>
      <w:r>
        <w:rPr>
          <w:i/>
          <w:spacing w:val="31"/>
        </w:rPr>
        <w:t> </w:t>
      </w:r>
      <w:r>
        <w:rPr>
          <w:i/>
        </w:rPr>
        <w:t>para</w:t>
      </w:r>
      <w:r>
        <w:rPr>
          <w:i/>
          <w:spacing w:val="62"/>
        </w:rPr>
        <w:t> </w:t>
      </w:r>
      <w:r>
        <w:rPr>
          <w:i/>
        </w:rPr>
        <w:t>la</w:t>
      </w:r>
      <w:r>
        <w:rPr>
          <w:i/>
          <w:w w:val="99"/>
        </w:rPr>
        <w:t> </w:t>
      </w:r>
      <w:r>
        <w:rPr>
          <w:i/>
        </w:rPr>
        <w:t>Transparencia y el Combate a la Corrupción en la</w:t>
      </w:r>
      <w:r>
        <w:rPr>
          <w:i/>
          <w:spacing w:val="18"/>
        </w:rPr>
        <w:t> </w:t>
      </w:r>
      <w:r>
        <w:rPr>
          <w:i/>
        </w:rPr>
        <w:t>Administración Pública</w:t>
      </w:r>
      <w:r>
        <w:rPr>
          <w:i/>
          <w:w w:val="99"/>
        </w:rPr>
        <w:t> </w:t>
      </w:r>
      <w:r>
        <w:rPr>
          <w:i/>
        </w:rPr>
        <w:t>Federal</w:t>
      </w:r>
      <w:r>
        <w:rPr/>
        <w:t>, que tiene como líneas de acción: mejorar los controles</w:t>
      </w:r>
      <w:r>
        <w:rPr>
          <w:spacing w:val="37"/>
        </w:rPr>
        <w:t> </w:t>
      </w:r>
      <w:r>
        <w:rPr/>
        <w:t>de</w:t>
      </w:r>
      <w:r>
        <w:rPr>
          <w:spacing w:val="35"/>
        </w:rPr>
        <w:t> </w:t>
      </w:r>
      <w:r>
        <w:rPr/>
        <w:t>la</w:t>
      </w:r>
      <w:r>
        <w:rPr>
          <w:w w:val="99"/>
        </w:rPr>
        <w:t> </w:t>
      </w:r>
      <w:r>
        <w:rPr/>
        <w:t>Administración</w:t>
      </w:r>
      <w:r>
        <w:rPr>
          <w:spacing w:val="-18"/>
        </w:rPr>
        <w:t> </w:t>
      </w:r>
      <w:r>
        <w:rPr/>
        <w:t>Pública</w:t>
      </w:r>
      <w:r>
        <w:rPr>
          <w:spacing w:val="-18"/>
        </w:rPr>
        <w:t> </w:t>
      </w:r>
      <w:r>
        <w:rPr/>
        <w:t>Federal</w:t>
      </w:r>
      <w:r>
        <w:rPr>
          <w:spacing w:val="-17"/>
        </w:rPr>
        <w:t> </w:t>
      </w:r>
      <w:r>
        <w:rPr/>
        <w:t>(APF),</w:t>
      </w:r>
      <w:r>
        <w:rPr>
          <w:spacing w:val="-18"/>
        </w:rPr>
        <w:t> </w:t>
      </w:r>
      <w:r>
        <w:rPr/>
        <w:t>aplicar</w:t>
      </w:r>
      <w:r>
        <w:rPr>
          <w:spacing w:val="-19"/>
        </w:rPr>
        <w:t> </w:t>
      </w:r>
      <w:r>
        <w:rPr/>
        <w:t>sanciones</w:t>
      </w:r>
      <w:r>
        <w:rPr>
          <w:spacing w:val="-16"/>
        </w:rPr>
        <w:t> </w:t>
      </w:r>
      <w:r>
        <w:rPr/>
        <w:t>a</w:t>
      </w:r>
      <w:r>
        <w:rPr>
          <w:spacing w:val="-16"/>
        </w:rPr>
        <w:t> </w:t>
      </w:r>
      <w:r>
        <w:rPr/>
        <w:t>conductas</w:t>
      </w:r>
      <w:r>
        <w:rPr>
          <w:spacing w:val="-19"/>
        </w:rPr>
        <w:t> </w:t>
      </w:r>
      <w:r>
        <w:rPr/>
        <w:t>irregulares,</w:t>
      </w:r>
      <w:r>
        <w:rPr>
          <w:w w:val="100"/>
        </w:rPr>
        <w:t> </w:t>
      </w:r>
      <w:r>
        <w:rPr/>
        <w:t>mejorar los procesos y servicios en la APF y desarrollar sus</w:t>
      </w:r>
      <w:r>
        <w:rPr>
          <w:spacing w:val="-21"/>
        </w:rPr>
        <w:t> </w:t>
      </w:r>
      <w:r>
        <w:rPr/>
        <w:t>recursos</w:t>
      </w:r>
      <w:r>
        <w:rPr>
          <w:spacing w:val="-2"/>
        </w:rPr>
        <w:t> </w:t>
      </w:r>
      <w:r>
        <w:rPr/>
        <w:t>humanos.</w:t>
      </w:r>
      <w:r>
        <w:rPr>
          <w:w w:val="100"/>
        </w:rPr>
        <w:t> </w:t>
      </w:r>
      <w:r>
        <w:rPr/>
        <w:t>La dependencia del Poder Ejecutivo fue designada para</w:t>
      </w:r>
      <w:r>
        <w:rPr>
          <w:spacing w:val="64"/>
        </w:rPr>
        <w:t> </w:t>
      </w:r>
      <w:r>
        <w:rPr/>
        <w:t>organizar</w:t>
      </w:r>
      <w:r>
        <w:rPr>
          <w:spacing w:val="25"/>
        </w:rPr>
        <w:t> </w:t>
      </w:r>
      <w:r>
        <w:rPr/>
        <w:t>y</w:t>
      </w:r>
      <w:r>
        <w:rPr>
          <w:w w:val="99"/>
        </w:rPr>
        <w:t> </w:t>
      </w:r>
      <w:r>
        <w:rPr/>
        <w:t>coordinar el desarrollo administrativo de la APF y conducir la política</w:t>
      </w:r>
      <w:r>
        <w:rPr>
          <w:spacing w:val="-15"/>
        </w:rPr>
        <w:t> </w:t>
      </w:r>
      <w:r>
        <w:rPr/>
        <w:t>general de</w:t>
      </w:r>
      <w:r>
        <w:rPr>
          <w:w w:val="99"/>
        </w:rPr>
        <w:t> </w:t>
      </w:r>
      <w:r>
        <w:rPr/>
        <w:t>la misma, establecer acciones nacionales e internacionales que</w:t>
      </w:r>
      <w:r>
        <w:rPr>
          <w:spacing w:val="36"/>
        </w:rPr>
        <w:t> </w:t>
      </w:r>
      <w:r>
        <w:rPr/>
        <w:t>propicien</w:t>
      </w:r>
      <w:r>
        <w:rPr>
          <w:spacing w:val="46"/>
        </w:rPr>
        <w:t> </w:t>
      </w:r>
      <w:r>
        <w:rPr/>
        <w:t>la</w:t>
      </w:r>
      <w:r>
        <w:rPr>
          <w:w w:val="99"/>
        </w:rPr>
        <w:t> </w:t>
      </w:r>
      <w:r>
        <w:rPr/>
        <w:t>transparencia</w:t>
      </w:r>
      <w:r>
        <w:rPr>
          <w:spacing w:val="47"/>
        </w:rPr>
        <w:t> </w:t>
      </w:r>
      <w:r>
        <w:rPr/>
        <w:t>en</w:t>
      </w:r>
      <w:r>
        <w:rPr>
          <w:spacing w:val="47"/>
        </w:rPr>
        <w:t> </w:t>
      </w:r>
      <w:r>
        <w:rPr/>
        <w:t>la</w:t>
      </w:r>
      <w:r>
        <w:rPr>
          <w:spacing w:val="47"/>
        </w:rPr>
        <w:t> </w:t>
      </w:r>
      <w:r>
        <w:rPr/>
        <w:t>gestión</w:t>
      </w:r>
      <w:r>
        <w:rPr>
          <w:spacing w:val="47"/>
        </w:rPr>
        <w:t> </w:t>
      </w:r>
      <w:r>
        <w:rPr/>
        <w:t>pública,</w:t>
      </w:r>
      <w:r>
        <w:rPr>
          <w:spacing w:val="47"/>
        </w:rPr>
        <w:t> </w:t>
      </w:r>
      <w:r>
        <w:rPr/>
        <w:t>la</w:t>
      </w:r>
      <w:r>
        <w:rPr>
          <w:spacing w:val="47"/>
        </w:rPr>
        <w:t> </w:t>
      </w:r>
      <w:r>
        <w:rPr/>
        <w:t>rendición</w:t>
      </w:r>
      <w:r>
        <w:rPr>
          <w:spacing w:val="47"/>
        </w:rPr>
        <w:t> </w:t>
      </w:r>
      <w:r>
        <w:rPr/>
        <w:t>de</w:t>
      </w:r>
      <w:r>
        <w:rPr>
          <w:spacing w:val="47"/>
        </w:rPr>
        <w:t> </w:t>
      </w:r>
      <w:r>
        <w:rPr/>
        <w:t>cuentas,</w:t>
      </w:r>
      <w:r>
        <w:rPr>
          <w:spacing w:val="47"/>
        </w:rPr>
        <w:t> </w:t>
      </w:r>
      <w:r>
        <w:rPr/>
        <w:t>el</w:t>
      </w:r>
      <w:r>
        <w:rPr>
          <w:spacing w:val="46"/>
        </w:rPr>
        <w:t> </w:t>
      </w:r>
      <w:r>
        <w:rPr/>
        <w:t>acceso</w:t>
      </w:r>
      <w:r>
        <w:rPr>
          <w:spacing w:val="47"/>
        </w:rPr>
        <w:t> </w:t>
      </w:r>
      <w:r>
        <w:rPr/>
        <w:t>a</w:t>
      </w:r>
      <w:r>
        <w:rPr>
          <w:spacing w:val="47"/>
        </w:rPr>
        <w:t> </w:t>
      </w:r>
      <w:r>
        <w:rPr/>
        <w:t>la</w:t>
      </w:r>
    </w:p>
    <w:p>
      <w:pPr>
        <w:pStyle w:val="BodyText"/>
        <w:spacing w:before="5"/>
        <w:ind w:left="122" w:right="52"/>
      </w:pPr>
      <w:r>
        <w:rPr/>
        <w:t>información y combate a la corrupción.</w:t>
      </w:r>
    </w:p>
    <w:p>
      <w:pPr>
        <w:pStyle w:val="BodyText"/>
        <w:spacing w:line="360" w:lineRule="auto" w:before="137"/>
        <w:ind w:left="122" w:right="112" w:firstLine="427"/>
        <w:jc w:val="both"/>
        <w:rPr>
          <w:sz w:val="16"/>
        </w:rPr>
      </w:pPr>
      <w:r>
        <w:rPr/>
        <w:t>El Auditor Superior de la Federación, el CPC Juan Manuel Portal, comentó si la institución a su cargo atendiera la corrupción (ASF), ésta correría el riesgo de politizarse</w:t>
      </w:r>
      <w:r>
        <w:rPr>
          <w:position w:val="8"/>
          <w:sz w:val="16"/>
        </w:rPr>
        <w:t>130 </w:t>
      </w:r>
      <w:r>
        <w:rPr/>
        <w:t>y que existen formas en que la ASF coadyuve en la disuasión del problema: más oportunidad en la intervención de las auditorías, más oportunidad</w:t>
      </w:r>
      <w:r>
        <w:rPr>
          <w:spacing w:val="-6"/>
        </w:rPr>
        <w:t> </w:t>
      </w:r>
      <w:r>
        <w:rPr/>
        <w:t>en</w:t>
      </w:r>
      <w:r>
        <w:rPr>
          <w:spacing w:val="-6"/>
        </w:rPr>
        <w:t> </w:t>
      </w:r>
      <w:r>
        <w:rPr/>
        <w:t>la</w:t>
      </w:r>
      <w:r>
        <w:rPr>
          <w:spacing w:val="-9"/>
        </w:rPr>
        <w:t> </w:t>
      </w:r>
      <w:r>
        <w:rPr/>
        <w:t>presentación</w:t>
      </w:r>
      <w:r>
        <w:rPr>
          <w:spacing w:val="-6"/>
        </w:rPr>
        <w:t> </w:t>
      </w:r>
      <w:r>
        <w:rPr/>
        <w:t>de</w:t>
      </w:r>
      <w:r>
        <w:rPr>
          <w:spacing w:val="-6"/>
        </w:rPr>
        <w:t> </w:t>
      </w:r>
      <w:r>
        <w:rPr/>
        <w:t>los</w:t>
      </w:r>
      <w:r>
        <w:rPr>
          <w:spacing w:val="-6"/>
        </w:rPr>
        <w:t> </w:t>
      </w:r>
      <w:r>
        <w:rPr/>
        <w:t>resultados,</w:t>
      </w:r>
      <w:r>
        <w:rPr>
          <w:spacing w:val="-9"/>
        </w:rPr>
        <w:t> </w:t>
      </w:r>
      <w:r>
        <w:rPr/>
        <w:t>más</w:t>
      </w:r>
      <w:r>
        <w:rPr>
          <w:spacing w:val="-7"/>
        </w:rPr>
        <w:t> </w:t>
      </w:r>
      <w:r>
        <w:rPr/>
        <w:t>claridad</w:t>
      </w:r>
      <w:r>
        <w:rPr>
          <w:spacing w:val="-6"/>
        </w:rPr>
        <w:t> </w:t>
      </w:r>
      <w:r>
        <w:rPr/>
        <w:t>en</w:t>
      </w:r>
      <w:r>
        <w:rPr>
          <w:spacing w:val="-6"/>
        </w:rPr>
        <w:t> </w:t>
      </w:r>
      <w:r>
        <w:rPr/>
        <w:t>los</w:t>
      </w:r>
      <w:r>
        <w:rPr>
          <w:spacing w:val="-7"/>
        </w:rPr>
        <w:t> </w:t>
      </w:r>
      <w:r>
        <w:rPr/>
        <w:t>informes</w:t>
      </w:r>
      <w:r>
        <w:rPr>
          <w:spacing w:val="1"/>
        </w:rPr>
        <w:t> </w:t>
      </w:r>
      <w:r>
        <w:rPr/>
        <w:t>y en la detención, determinación, desviaciones y debilidades de los controles, de recomendaciones hacia la mejoría de las</w:t>
      </w:r>
      <w:r>
        <w:rPr>
          <w:spacing w:val="-47"/>
        </w:rPr>
        <w:t> </w:t>
      </w:r>
      <w:r>
        <w:rPr/>
        <w:t>disposiciones legales, procedimientos, controles y en la sanción contra la</w:t>
      </w:r>
      <w:r>
        <w:rPr>
          <w:spacing w:val="-14"/>
        </w:rPr>
        <w:t> </w:t>
      </w:r>
      <w:r>
        <w:rPr/>
        <w:t>impunidad.</w:t>
      </w:r>
      <w:r>
        <w:rPr>
          <w:position w:val="8"/>
          <w:sz w:val="16"/>
        </w:rPr>
        <w:t>131</w:t>
      </w:r>
    </w:p>
    <w:p>
      <w:pPr>
        <w:pStyle w:val="BodyText"/>
        <w:spacing w:line="360" w:lineRule="auto"/>
        <w:ind w:left="122" w:right="116" w:firstLine="427"/>
        <w:jc w:val="both"/>
      </w:pPr>
      <w:r>
        <w:rPr/>
        <w:t>Los problemas en la educación pública, la salud y el desarrollo económico</w:t>
      </w:r>
      <w:r>
        <w:rPr>
          <w:spacing w:val="-29"/>
        </w:rPr>
        <w:t> </w:t>
      </w:r>
      <w:r>
        <w:rPr/>
        <w:t>y humano</w:t>
      </w:r>
      <w:r>
        <w:rPr>
          <w:spacing w:val="-17"/>
        </w:rPr>
        <w:t> </w:t>
      </w:r>
      <w:r>
        <w:rPr/>
        <w:t>se</w:t>
      </w:r>
      <w:r>
        <w:rPr>
          <w:spacing w:val="-17"/>
        </w:rPr>
        <w:t> </w:t>
      </w:r>
      <w:r>
        <w:rPr/>
        <w:t>originan</w:t>
      </w:r>
      <w:r>
        <w:rPr>
          <w:spacing w:val="-18"/>
        </w:rPr>
        <w:t> </w:t>
      </w:r>
      <w:r>
        <w:rPr/>
        <w:t>por</w:t>
      </w:r>
      <w:r>
        <w:rPr>
          <w:spacing w:val="-18"/>
        </w:rPr>
        <w:t> </w:t>
      </w:r>
      <w:r>
        <w:rPr/>
        <w:t>la</w:t>
      </w:r>
      <w:r>
        <w:rPr>
          <w:spacing w:val="-17"/>
        </w:rPr>
        <w:t> </w:t>
      </w:r>
      <w:r>
        <w:rPr/>
        <w:t>corrupción.</w:t>
      </w:r>
      <w:r>
        <w:rPr>
          <w:spacing w:val="-18"/>
        </w:rPr>
        <w:t> </w:t>
      </w:r>
      <w:r>
        <w:rPr/>
        <w:t>Por</w:t>
      </w:r>
      <w:r>
        <w:rPr>
          <w:spacing w:val="-18"/>
        </w:rPr>
        <w:t> </w:t>
      </w:r>
      <w:r>
        <w:rPr/>
        <w:t>medio</w:t>
      </w:r>
      <w:r>
        <w:rPr>
          <w:spacing w:val="-17"/>
        </w:rPr>
        <w:t> </w:t>
      </w:r>
      <w:r>
        <w:rPr/>
        <w:t>de</w:t>
      </w:r>
      <w:r>
        <w:rPr>
          <w:spacing w:val="-17"/>
        </w:rPr>
        <w:t> </w:t>
      </w:r>
      <w:r>
        <w:rPr/>
        <w:t>las</w:t>
      </w:r>
      <w:r>
        <w:rPr>
          <w:spacing w:val="-17"/>
        </w:rPr>
        <w:t> </w:t>
      </w:r>
      <w:r>
        <w:rPr/>
        <w:t>auditorías</w:t>
      </w:r>
      <w:r>
        <w:rPr>
          <w:spacing w:val="-17"/>
        </w:rPr>
        <w:t> </w:t>
      </w:r>
      <w:r>
        <w:rPr/>
        <w:t>de</w:t>
      </w:r>
      <w:r>
        <w:rPr>
          <w:spacing w:val="-18"/>
        </w:rPr>
        <w:t> </w:t>
      </w:r>
      <w:r>
        <w:rPr/>
        <w:t>desempeño se</w:t>
      </w:r>
      <w:r>
        <w:rPr>
          <w:spacing w:val="-5"/>
        </w:rPr>
        <w:t> </w:t>
      </w:r>
      <w:r>
        <w:rPr/>
        <w:t>evidencia</w:t>
      </w:r>
      <w:r>
        <w:rPr>
          <w:spacing w:val="-7"/>
        </w:rPr>
        <w:t> </w:t>
      </w:r>
      <w:r>
        <w:rPr/>
        <w:t>estos</w:t>
      </w:r>
      <w:r>
        <w:rPr>
          <w:spacing w:val="-5"/>
        </w:rPr>
        <w:t> </w:t>
      </w:r>
      <w:r>
        <w:rPr/>
        <w:t>problemas,</w:t>
      </w:r>
      <w:r>
        <w:rPr>
          <w:spacing w:val="-4"/>
        </w:rPr>
        <w:t> </w:t>
      </w:r>
      <w:r>
        <w:rPr/>
        <w:t>ya</w:t>
      </w:r>
      <w:r>
        <w:rPr>
          <w:spacing w:val="-5"/>
        </w:rPr>
        <w:t> </w:t>
      </w:r>
      <w:r>
        <w:rPr/>
        <w:t>que</w:t>
      </w:r>
      <w:r>
        <w:rPr>
          <w:spacing w:val="-7"/>
        </w:rPr>
        <w:t> </w:t>
      </w:r>
      <w:r>
        <w:rPr/>
        <w:t>son</w:t>
      </w:r>
      <w:r>
        <w:rPr>
          <w:spacing w:val="-7"/>
        </w:rPr>
        <w:t> </w:t>
      </w:r>
      <w:r>
        <w:rPr/>
        <w:t>auditorías</w:t>
      </w:r>
      <w:r>
        <w:rPr>
          <w:spacing w:val="-5"/>
        </w:rPr>
        <w:t> </w:t>
      </w:r>
      <w:r>
        <w:rPr/>
        <w:t>que</w:t>
      </w:r>
      <w:r>
        <w:rPr>
          <w:spacing w:val="-5"/>
        </w:rPr>
        <w:t> </w:t>
      </w:r>
      <w:r>
        <w:rPr/>
        <w:t>revisan</w:t>
      </w:r>
      <w:r>
        <w:rPr>
          <w:spacing w:val="-4"/>
        </w:rPr>
        <w:t> </w:t>
      </w:r>
      <w:r>
        <w:rPr/>
        <w:t>el</w:t>
      </w:r>
      <w:r>
        <w:rPr>
          <w:spacing w:val="-11"/>
        </w:rPr>
        <w:t> </w:t>
      </w:r>
      <w:r>
        <w:rPr/>
        <w:t>resultado</w:t>
      </w:r>
      <w:r>
        <w:rPr>
          <w:spacing w:val="-5"/>
        </w:rPr>
        <w:t> </w:t>
      </w:r>
      <w:r>
        <w:rPr/>
        <w:t>de cada política</w:t>
      </w:r>
      <w:r>
        <w:rPr>
          <w:spacing w:val="-8"/>
        </w:rPr>
        <w:t> </w:t>
      </w:r>
      <w:r>
        <w:rPr/>
        <w:t>pública.</w:t>
      </w:r>
    </w:p>
    <w:p>
      <w:pPr>
        <w:pStyle w:val="BodyText"/>
        <w:spacing w:line="360" w:lineRule="auto" w:before="2"/>
        <w:ind w:left="122" w:right="117" w:firstLine="427"/>
        <w:jc w:val="both"/>
      </w:pPr>
      <w:r>
        <w:rPr/>
        <w:t>La corrupción sofisticada se genera (entre otros factores históricos y culturales), por instituciones políticas débiles, con escaso control presupuestal</w:t>
      </w:r>
      <w:r>
        <w:rPr>
          <w:spacing w:val="-35"/>
        </w:rPr>
        <w:t> </w:t>
      </w:r>
      <w:r>
        <w:rPr/>
        <w:t>y administrativo, y un bajo compromiso institucional para aplicar la fuerza política, sancionar los delitos, la desregulación y el fraude, entre</w:t>
      </w:r>
      <w:r>
        <w:rPr>
          <w:spacing w:val="-19"/>
        </w:rPr>
        <w:t> </w:t>
      </w:r>
      <w:r>
        <w:rPr/>
        <w:t>otros.</w:t>
      </w:r>
    </w:p>
    <w:p>
      <w:pPr>
        <w:pStyle w:val="BodyText"/>
        <w:spacing w:line="360" w:lineRule="auto" w:before="2"/>
        <w:ind w:left="122" w:right="116" w:firstLine="427"/>
        <w:jc w:val="both"/>
      </w:pPr>
      <w:r>
        <w:rPr/>
        <w:t>La corrupción sofisticada es muy difícil de detectar y contrarrestar; ya que, sus</w:t>
      </w:r>
      <w:r>
        <w:rPr>
          <w:spacing w:val="-12"/>
        </w:rPr>
        <w:t> </w:t>
      </w:r>
      <w:r>
        <w:rPr/>
        <w:t>efectos</w:t>
      </w:r>
      <w:r>
        <w:rPr>
          <w:spacing w:val="-14"/>
        </w:rPr>
        <w:t> </w:t>
      </w:r>
      <w:r>
        <w:rPr/>
        <w:t>se</w:t>
      </w:r>
      <w:r>
        <w:rPr>
          <w:spacing w:val="-13"/>
        </w:rPr>
        <w:t> </w:t>
      </w:r>
      <w:r>
        <w:rPr/>
        <w:t>presentan</w:t>
      </w:r>
      <w:r>
        <w:rPr>
          <w:spacing w:val="-13"/>
        </w:rPr>
        <w:t> </w:t>
      </w:r>
      <w:r>
        <w:rPr/>
        <w:t>en</w:t>
      </w:r>
      <w:r>
        <w:rPr>
          <w:spacing w:val="-13"/>
        </w:rPr>
        <w:t> </w:t>
      </w:r>
      <w:r>
        <w:rPr/>
        <w:t>el</w:t>
      </w:r>
      <w:r>
        <w:rPr>
          <w:spacing w:val="-12"/>
        </w:rPr>
        <w:t> </w:t>
      </w:r>
      <w:r>
        <w:rPr/>
        <w:t>corto</w:t>
      </w:r>
      <w:r>
        <w:rPr>
          <w:spacing w:val="-11"/>
        </w:rPr>
        <w:t> </w:t>
      </w:r>
      <w:r>
        <w:rPr/>
        <w:t>como</w:t>
      </w:r>
      <w:r>
        <w:rPr>
          <w:spacing w:val="-13"/>
        </w:rPr>
        <w:t> </w:t>
      </w:r>
      <w:r>
        <w:rPr/>
        <w:t>en</w:t>
      </w:r>
      <w:r>
        <w:rPr>
          <w:spacing w:val="-15"/>
        </w:rPr>
        <w:t> </w:t>
      </w:r>
      <w:r>
        <w:rPr/>
        <w:t>el</w:t>
      </w:r>
      <w:r>
        <w:rPr>
          <w:spacing w:val="-12"/>
        </w:rPr>
        <w:t> </w:t>
      </w:r>
      <w:r>
        <w:rPr/>
        <w:t>largo</w:t>
      </w:r>
      <w:r>
        <w:rPr>
          <w:spacing w:val="-11"/>
        </w:rPr>
        <w:t> </w:t>
      </w:r>
      <w:r>
        <w:rPr/>
        <w:t>plazo</w:t>
      </w:r>
      <w:r>
        <w:rPr>
          <w:spacing w:val="-11"/>
        </w:rPr>
        <w:t> </w:t>
      </w:r>
      <w:r>
        <w:rPr/>
        <w:t>y</w:t>
      </w:r>
      <w:r>
        <w:rPr>
          <w:spacing w:val="-14"/>
        </w:rPr>
        <w:t> </w:t>
      </w:r>
      <w:r>
        <w:rPr/>
        <w:t>requiere</w:t>
      </w:r>
      <w:r>
        <w:rPr>
          <w:spacing w:val="-5"/>
        </w:rPr>
        <w:t> </w:t>
      </w:r>
      <w:r>
        <w:rPr/>
        <w:t>del</w:t>
      </w:r>
      <w:r>
        <w:rPr>
          <w:spacing w:val="-12"/>
        </w:rPr>
        <w:t> </w:t>
      </w:r>
      <w:r>
        <w:rPr/>
        <w:t>trabajo coordinado de las instituciones del</w:t>
      </w:r>
      <w:r>
        <w:rPr>
          <w:spacing w:val="-15"/>
        </w:rPr>
        <w:t> </w:t>
      </w:r>
      <w:r>
        <w:rPr/>
        <w:t>Estado.</w:t>
      </w:r>
    </w:p>
    <w:p>
      <w:pPr>
        <w:pStyle w:val="BodyText"/>
        <w:spacing w:before="8"/>
      </w:pPr>
      <w:r>
        <w:rPr/>
        <w:pict>
          <v:line style="position:absolute;mso-position-horizontal-relative:page;mso-position-vertical-relative:paragraph;z-index:9592;mso-wrap-distance-left:0;mso-wrap-distance-right:0" from="85.103996pt,16.553915pt" to="229.123996pt,16.553915pt" stroked="true" strokeweight=".71997pt" strokecolor="#000000">
            <w10:wrap type="topAndBottom"/>
          </v:line>
        </w:pict>
      </w:r>
    </w:p>
    <w:p>
      <w:pPr>
        <w:spacing w:line="256" w:lineRule="auto" w:before="62"/>
        <w:ind w:left="122" w:right="52" w:firstLine="0"/>
        <w:jc w:val="left"/>
        <w:rPr>
          <w:sz w:val="16"/>
        </w:rPr>
      </w:pPr>
      <w:r>
        <w:rPr>
          <w:rFonts w:ascii="Times New Roman" w:hAnsi="Times New Roman"/>
          <w:position w:val="7"/>
          <w:sz w:val="13"/>
        </w:rPr>
        <w:t>130 </w:t>
      </w:r>
      <w:r>
        <w:rPr>
          <w:sz w:val="16"/>
        </w:rPr>
        <w:t>Es decir, dar una dimensión política a cuestiones no políticas o para desacreditar a un adversario. Disponible en: </w:t>
      </w:r>
      <w:hyperlink r:id="rId38">
        <w:r>
          <w:rPr>
            <w:sz w:val="16"/>
          </w:rPr>
          <w:t>http://diccionario.inep.org/index.html</w:t>
        </w:r>
      </w:hyperlink>
    </w:p>
    <w:p>
      <w:pPr>
        <w:spacing w:line="170" w:lineRule="exact" w:before="0"/>
        <w:ind w:left="122" w:right="52" w:firstLine="0"/>
        <w:jc w:val="left"/>
        <w:rPr>
          <w:sz w:val="16"/>
        </w:rPr>
      </w:pPr>
      <w:r>
        <w:rPr>
          <w:sz w:val="16"/>
        </w:rPr>
        <w:t>Se sugiere revisar: Autonomía de la Auditoría Superior de la Federación y de la Procuraduría General de la República</w:t>
      </w:r>
    </w:p>
    <w:p>
      <w:pPr>
        <w:spacing w:before="1"/>
        <w:ind w:left="122" w:right="4152" w:firstLine="0"/>
        <w:jc w:val="left"/>
        <w:rPr>
          <w:sz w:val="16"/>
        </w:rPr>
      </w:pPr>
      <w:r>
        <w:rPr>
          <w:sz w:val="16"/>
        </w:rPr>
        <w:t>Disponible en: </w:t>
      </w:r>
      <w:hyperlink r:id="rId43">
        <w:r>
          <w:rPr>
            <w:sz w:val="16"/>
          </w:rPr>
          <w:t>http://www.bibliojuridica.org/libros/6/2739/11.pdf</w:t>
        </w:r>
      </w:hyperlink>
      <w:r>
        <w:rPr>
          <w:sz w:val="16"/>
        </w:rPr>
        <w:t> [Fecha de consulta: 27 de septiembre, 2015]</w:t>
      </w:r>
    </w:p>
    <w:p>
      <w:pPr>
        <w:spacing w:line="196" w:lineRule="exact" w:before="25"/>
        <w:ind w:left="122" w:right="3379" w:firstLine="0"/>
        <w:jc w:val="left"/>
        <w:rPr>
          <w:sz w:val="16"/>
        </w:rPr>
      </w:pPr>
      <w:r>
        <w:rPr>
          <w:rFonts w:ascii="Times New Roman" w:hAnsi="Times New Roman"/>
          <w:position w:val="7"/>
          <w:sz w:val="13"/>
        </w:rPr>
        <w:t>131</w:t>
      </w:r>
      <w:r>
        <w:rPr>
          <w:sz w:val="16"/>
        </w:rPr>
        <w:t>Disponible en: </w:t>
      </w:r>
      <w:hyperlink r:id="rId206">
        <w:r>
          <w:rPr>
            <w:color w:val="0000FF"/>
            <w:sz w:val="16"/>
            <w:u w:val="single" w:color="0000FF"/>
          </w:rPr>
          <w:t>http://www.asf.gob.mx/Publication/75_Programa_de_TV</w:t>
        </w:r>
      </w:hyperlink>
      <w:r>
        <w:rPr>
          <w:color w:val="0000FF"/>
          <w:sz w:val="16"/>
          <w:u w:val="single" w:color="0000FF"/>
        </w:rPr>
        <w:t> </w:t>
      </w:r>
      <w:r>
        <w:rPr>
          <w:sz w:val="16"/>
        </w:rPr>
        <w:t>Qué es, qué hace y cuál es el beneficio social de la ASF</w:t>
      </w:r>
    </w:p>
    <w:p>
      <w:pPr>
        <w:spacing w:line="180" w:lineRule="exact" w:before="0"/>
        <w:ind w:left="122" w:right="52" w:firstLine="0"/>
        <w:jc w:val="left"/>
        <w:rPr>
          <w:sz w:val="16"/>
        </w:rPr>
      </w:pPr>
      <w:r>
        <w:rPr>
          <w:sz w:val="16"/>
        </w:rPr>
        <w:t>[Fecha de consulta: 27 de septiembre, 2015]</w:t>
      </w:r>
    </w:p>
    <w:p>
      <w:pPr>
        <w:spacing w:after="0" w:line="180" w:lineRule="exact"/>
        <w:jc w:val="left"/>
        <w:rPr>
          <w:sz w:val="16"/>
        </w:rPr>
        <w:sectPr>
          <w:footerReference w:type="even" r:id="rId208"/>
          <w:footerReference w:type="default" r:id="rId209"/>
          <w:pgSz w:w="11910" w:h="16840"/>
          <w:pgMar w:footer="1003" w:header="0" w:top="1340" w:bottom="1200" w:left="1580" w:right="1580"/>
          <w:pgNumType w:start="130"/>
        </w:sectPr>
      </w:pPr>
    </w:p>
    <w:p>
      <w:pPr>
        <w:pStyle w:val="BodyText"/>
        <w:spacing w:line="360" w:lineRule="auto" w:before="55"/>
        <w:ind w:left="162" w:right="177" w:firstLine="427"/>
        <w:jc w:val="both"/>
      </w:pPr>
      <w:r>
        <w:rPr/>
        <w:t>La</w:t>
      </w:r>
      <w:r>
        <w:rPr>
          <w:spacing w:val="-11"/>
        </w:rPr>
        <w:t> </w:t>
      </w:r>
      <w:r>
        <w:rPr/>
        <w:t>actuación</w:t>
      </w:r>
      <w:r>
        <w:rPr>
          <w:spacing w:val="-10"/>
        </w:rPr>
        <w:t> </w:t>
      </w:r>
      <w:r>
        <w:rPr/>
        <w:t>de</w:t>
      </w:r>
      <w:r>
        <w:rPr>
          <w:spacing w:val="-8"/>
        </w:rPr>
        <w:t> </w:t>
      </w:r>
      <w:r>
        <w:rPr/>
        <w:t>la</w:t>
      </w:r>
      <w:r>
        <w:rPr>
          <w:spacing w:val="-11"/>
        </w:rPr>
        <w:t> </w:t>
      </w:r>
      <w:r>
        <w:rPr/>
        <w:t>ASF</w:t>
      </w:r>
      <w:r>
        <w:rPr>
          <w:spacing w:val="-9"/>
        </w:rPr>
        <w:t> </w:t>
      </w:r>
      <w:r>
        <w:rPr/>
        <w:t>y</w:t>
      </w:r>
      <w:r>
        <w:rPr>
          <w:spacing w:val="-12"/>
        </w:rPr>
        <w:t> </w:t>
      </w:r>
      <w:r>
        <w:rPr/>
        <w:t>SFP</w:t>
      </w:r>
      <w:r>
        <w:rPr>
          <w:spacing w:val="-9"/>
        </w:rPr>
        <w:t> </w:t>
      </w:r>
      <w:r>
        <w:rPr/>
        <w:t>(al</w:t>
      </w:r>
      <w:r>
        <w:rPr>
          <w:spacing w:val="-12"/>
        </w:rPr>
        <w:t> </w:t>
      </w:r>
      <w:r>
        <w:rPr/>
        <w:t>igual</w:t>
      </w:r>
      <w:r>
        <w:rPr>
          <w:spacing w:val="-10"/>
        </w:rPr>
        <w:t> </w:t>
      </w:r>
      <w:r>
        <w:rPr/>
        <w:t>que</w:t>
      </w:r>
      <w:r>
        <w:rPr>
          <w:spacing w:val="-11"/>
        </w:rPr>
        <w:t> </w:t>
      </w:r>
      <w:r>
        <w:rPr/>
        <w:t>toda</w:t>
      </w:r>
      <w:r>
        <w:rPr>
          <w:spacing w:val="-8"/>
        </w:rPr>
        <w:t> </w:t>
      </w:r>
      <w:r>
        <w:rPr/>
        <w:t>institución</w:t>
      </w:r>
      <w:r>
        <w:rPr>
          <w:spacing w:val="-10"/>
        </w:rPr>
        <w:t> </w:t>
      </w:r>
      <w:r>
        <w:rPr/>
        <w:t>pública</w:t>
      </w:r>
      <w:r>
        <w:rPr>
          <w:spacing w:val="-11"/>
        </w:rPr>
        <w:t> </w:t>
      </w:r>
      <w:r>
        <w:rPr/>
        <w:t>y</w:t>
      </w:r>
      <w:r>
        <w:rPr>
          <w:spacing w:val="-12"/>
        </w:rPr>
        <w:t> </w:t>
      </w:r>
      <w:r>
        <w:rPr/>
        <w:t>privada) siempre deben supeditarse al imperio de la ley, que debe reflejarse en una fiscalización integral (homologación de criterios y el fortalecimiento de mecanismos de coordinación) y favorecer el logro de efectos positivos en </w:t>
      </w:r>
      <w:r>
        <w:rPr>
          <w:spacing w:val="3"/>
        </w:rPr>
        <w:t>los </w:t>
      </w:r>
      <w:r>
        <w:rPr/>
        <w:t>índices de desarrollo humano, ya que las políticas públicas deben orientarse a mejorar las condiciones de vida de la</w:t>
      </w:r>
      <w:r>
        <w:rPr>
          <w:spacing w:val="-14"/>
        </w:rPr>
        <w:t> </w:t>
      </w:r>
      <w:r>
        <w:rPr/>
        <w:t>sociedad.</w:t>
      </w:r>
    </w:p>
    <w:p>
      <w:pPr>
        <w:pStyle w:val="BodyText"/>
        <w:spacing w:line="360" w:lineRule="auto" w:before="2"/>
        <w:ind w:left="162" w:right="178" w:firstLine="427"/>
        <w:jc w:val="both"/>
      </w:pPr>
      <w:r>
        <w:rPr/>
        <w:t>En</w:t>
      </w:r>
      <w:r>
        <w:rPr>
          <w:spacing w:val="-11"/>
        </w:rPr>
        <w:t> </w:t>
      </w:r>
      <w:r>
        <w:rPr/>
        <w:t>el</w:t>
      </w:r>
      <w:r>
        <w:rPr>
          <w:spacing w:val="-12"/>
        </w:rPr>
        <w:t> </w:t>
      </w:r>
      <w:r>
        <w:rPr/>
        <w:t>cuadro</w:t>
      </w:r>
      <w:r>
        <w:rPr>
          <w:spacing w:val="-11"/>
        </w:rPr>
        <w:t> </w:t>
      </w:r>
      <w:r>
        <w:rPr/>
        <w:t>siguiente</w:t>
      </w:r>
      <w:r>
        <w:rPr>
          <w:spacing w:val="-13"/>
        </w:rPr>
        <w:t> </w:t>
      </w:r>
      <w:r>
        <w:rPr/>
        <w:t>se</w:t>
      </w:r>
      <w:r>
        <w:rPr>
          <w:spacing w:val="-11"/>
        </w:rPr>
        <w:t> </w:t>
      </w:r>
      <w:r>
        <w:rPr/>
        <w:t>observa</w:t>
      </w:r>
      <w:r>
        <w:rPr>
          <w:spacing w:val="-11"/>
        </w:rPr>
        <w:t> </w:t>
      </w:r>
      <w:r>
        <w:rPr/>
        <w:t>que</w:t>
      </w:r>
      <w:r>
        <w:rPr>
          <w:spacing w:val="-11"/>
        </w:rPr>
        <w:t> </w:t>
      </w:r>
      <w:r>
        <w:rPr/>
        <w:t>la</w:t>
      </w:r>
      <w:r>
        <w:rPr>
          <w:spacing w:val="-11"/>
        </w:rPr>
        <w:t> </w:t>
      </w:r>
      <w:r>
        <w:rPr/>
        <w:t>misión</w:t>
      </w:r>
      <w:r>
        <w:rPr>
          <w:spacing w:val="-11"/>
        </w:rPr>
        <w:t> </w:t>
      </w:r>
      <w:r>
        <w:rPr/>
        <w:t>y</w:t>
      </w:r>
      <w:r>
        <w:rPr>
          <w:spacing w:val="-14"/>
        </w:rPr>
        <w:t> </w:t>
      </w:r>
      <w:r>
        <w:rPr/>
        <w:t>las</w:t>
      </w:r>
      <w:r>
        <w:rPr>
          <w:spacing w:val="-11"/>
        </w:rPr>
        <w:t> </w:t>
      </w:r>
      <w:r>
        <w:rPr/>
        <w:t>acciones</w:t>
      </w:r>
      <w:r>
        <w:rPr>
          <w:spacing w:val="-12"/>
        </w:rPr>
        <w:t> </w:t>
      </w:r>
      <w:r>
        <w:rPr/>
        <w:t>prioritarias</w:t>
      </w:r>
      <w:r>
        <w:rPr>
          <w:spacing w:val="-14"/>
        </w:rPr>
        <w:t> </w:t>
      </w:r>
      <w:r>
        <w:rPr/>
        <w:t>de la</w:t>
      </w:r>
      <w:r>
        <w:rPr>
          <w:spacing w:val="-4"/>
        </w:rPr>
        <w:t> </w:t>
      </w:r>
      <w:r>
        <w:rPr/>
        <w:t>institución</w:t>
      </w:r>
      <w:r>
        <w:rPr>
          <w:spacing w:val="-6"/>
        </w:rPr>
        <w:t> </w:t>
      </w:r>
      <w:r>
        <w:rPr/>
        <w:t>de</w:t>
      </w:r>
      <w:r>
        <w:rPr>
          <w:spacing w:val="-6"/>
        </w:rPr>
        <w:t> </w:t>
      </w:r>
      <w:r>
        <w:rPr/>
        <w:t>control</w:t>
      </w:r>
      <w:r>
        <w:rPr>
          <w:spacing w:val="-7"/>
        </w:rPr>
        <w:t> </w:t>
      </w:r>
      <w:r>
        <w:rPr/>
        <w:t>externo</w:t>
      </w:r>
      <w:r>
        <w:rPr>
          <w:spacing w:val="-3"/>
        </w:rPr>
        <w:t> </w:t>
      </w:r>
      <w:r>
        <w:rPr/>
        <w:t>(ASF)</w:t>
      </w:r>
      <w:r>
        <w:rPr>
          <w:spacing w:val="-5"/>
        </w:rPr>
        <w:t> </w:t>
      </w:r>
      <w:r>
        <w:rPr/>
        <w:t>incluyen</w:t>
      </w:r>
      <w:r>
        <w:rPr>
          <w:spacing w:val="-4"/>
        </w:rPr>
        <w:t> </w:t>
      </w:r>
      <w:r>
        <w:rPr/>
        <w:t>la</w:t>
      </w:r>
      <w:r>
        <w:rPr>
          <w:spacing w:val="-6"/>
        </w:rPr>
        <w:t> </w:t>
      </w:r>
      <w:r>
        <w:rPr/>
        <w:t>rendición</w:t>
      </w:r>
      <w:r>
        <w:rPr>
          <w:spacing w:val="-6"/>
        </w:rPr>
        <w:t> </w:t>
      </w:r>
      <w:r>
        <w:rPr/>
        <w:t>de</w:t>
      </w:r>
      <w:r>
        <w:rPr>
          <w:spacing w:val="-4"/>
        </w:rPr>
        <w:t> </w:t>
      </w:r>
      <w:r>
        <w:rPr/>
        <w:t>cuentas,</w:t>
      </w:r>
      <w:r>
        <w:rPr>
          <w:spacing w:val="-6"/>
        </w:rPr>
        <w:t> </w:t>
      </w:r>
      <w:r>
        <w:rPr/>
        <w:t>mientras que la SFP sólo la considera como una acción prioritaria. En forma adicional, la corrupción sólo es una cuestión prioritaria de la SFP, por lo que, de origen, la corrupción no enfrenta esfuerzos</w:t>
      </w:r>
      <w:r>
        <w:rPr>
          <w:spacing w:val="-19"/>
        </w:rPr>
        <w:t> </w:t>
      </w:r>
      <w:r>
        <w:rPr/>
        <w:t>coordinados.</w:t>
      </w:r>
    </w:p>
    <w:p>
      <w:pPr>
        <w:pStyle w:val="BodyText"/>
      </w:pPr>
    </w:p>
    <w:p>
      <w:pPr>
        <w:spacing w:before="143"/>
        <w:ind w:left="543" w:right="228" w:firstLine="0"/>
        <w:jc w:val="left"/>
        <w:rPr>
          <w:sz w:val="20"/>
        </w:rPr>
      </w:pPr>
      <w:bookmarkStart w:name="_bookmark78" w:id="105"/>
      <w:bookmarkEnd w:id="105"/>
      <w:r>
        <w:rPr/>
      </w:r>
      <w:r>
        <w:rPr>
          <w:sz w:val="20"/>
        </w:rPr>
        <w:t>Cuadro 4. 3. Comparativo de la orientación de las instituciones de rendición de cuentas</w:t>
      </w:r>
    </w:p>
    <w:p>
      <w:pPr>
        <w:pStyle w:val="BodyText"/>
        <w:spacing w:before="4"/>
        <w:rPr>
          <w:sz w:val="17"/>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8"/>
        <w:gridCol w:w="2986"/>
        <w:gridCol w:w="4527"/>
      </w:tblGrid>
      <w:tr>
        <w:trPr>
          <w:trHeight w:val="514" w:hRule="exact"/>
        </w:trPr>
        <w:tc>
          <w:tcPr>
            <w:tcW w:w="1078" w:type="dxa"/>
            <w:tcBorders>
              <w:top w:val="single" w:sz="12" w:space="0" w:color="D9D9D9"/>
              <w:left w:val="single" w:sz="12" w:space="0" w:color="D9D9D9"/>
              <w:bottom w:val="single" w:sz="12" w:space="0" w:color="BEBEBE"/>
              <w:right w:val="single" w:sz="12" w:space="0" w:color="D9D9D9"/>
            </w:tcBorders>
          </w:tcPr>
          <w:p>
            <w:pPr/>
          </w:p>
        </w:tc>
        <w:tc>
          <w:tcPr>
            <w:tcW w:w="2986" w:type="dxa"/>
            <w:tcBorders>
              <w:top w:val="single" w:sz="12" w:space="0" w:color="D9D9D9"/>
              <w:left w:val="single" w:sz="12" w:space="0" w:color="D9D9D9"/>
              <w:bottom w:val="single" w:sz="12" w:space="0" w:color="D9D9D9"/>
              <w:right w:val="single" w:sz="12" w:space="0" w:color="D9D9D9"/>
            </w:tcBorders>
          </w:tcPr>
          <w:p>
            <w:pPr>
              <w:pStyle w:val="TableParagraph"/>
              <w:spacing w:before="9"/>
              <w:rPr>
                <w:sz w:val="13"/>
              </w:rPr>
            </w:pPr>
          </w:p>
          <w:p>
            <w:pPr>
              <w:pStyle w:val="TableParagraph"/>
              <w:ind w:left="400" w:right="382" w:firstLine="571"/>
              <w:rPr>
                <w:b/>
                <w:sz w:val="14"/>
              </w:rPr>
            </w:pPr>
            <w:r>
              <w:rPr>
                <w:b/>
                <w:sz w:val="14"/>
              </w:rPr>
              <w:t>Control Interno Secretaría de la Función Pública</w:t>
            </w:r>
          </w:p>
        </w:tc>
        <w:tc>
          <w:tcPr>
            <w:tcW w:w="4527" w:type="dxa"/>
            <w:tcBorders>
              <w:top w:val="single" w:sz="12" w:space="0" w:color="D9D9D9"/>
              <w:left w:val="single" w:sz="12" w:space="0" w:color="D9D9D9"/>
              <w:bottom w:val="single" w:sz="12" w:space="0" w:color="D9D9D9"/>
              <w:right w:val="single" w:sz="12" w:space="0" w:color="D9D9D9"/>
            </w:tcBorders>
          </w:tcPr>
          <w:p>
            <w:pPr>
              <w:pStyle w:val="TableParagraph"/>
              <w:spacing w:before="9"/>
              <w:rPr>
                <w:sz w:val="13"/>
              </w:rPr>
            </w:pPr>
          </w:p>
          <w:p>
            <w:pPr>
              <w:pStyle w:val="TableParagraph"/>
              <w:ind w:left="1041" w:right="1043"/>
              <w:jc w:val="center"/>
              <w:rPr>
                <w:b/>
                <w:sz w:val="14"/>
              </w:rPr>
            </w:pPr>
            <w:r>
              <w:rPr>
                <w:b/>
                <w:sz w:val="14"/>
              </w:rPr>
              <w:t>Control Externo</w:t>
            </w:r>
          </w:p>
          <w:p>
            <w:pPr>
              <w:pStyle w:val="TableParagraph"/>
              <w:ind w:left="1041" w:right="1044"/>
              <w:jc w:val="center"/>
              <w:rPr>
                <w:b/>
                <w:sz w:val="14"/>
              </w:rPr>
            </w:pPr>
            <w:r>
              <w:rPr>
                <w:b/>
                <w:sz w:val="14"/>
              </w:rPr>
              <w:t>Auditoría Superior de la Federación</w:t>
            </w:r>
          </w:p>
        </w:tc>
      </w:tr>
      <w:tr>
        <w:trPr>
          <w:trHeight w:val="216" w:hRule="exact"/>
        </w:trPr>
        <w:tc>
          <w:tcPr>
            <w:tcW w:w="1078" w:type="dxa"/>
            <w:tcBorders>
              <w:top w:val="single" w:sz="12" w:space="0" w:color="BEBEBE"/>
              <w:left w:val="single" w:sz="12" w:space="0" w:color="BEBEBE"/>
              <w:bottom w:val="single" w:sz="12" w:space="0" w:color="BEBEBE"/>
              <w:right w:val="single" w:sz="12" w:space="0" w:color="BEBEBE"/>
            </w:tcBorders>
          </w:tcPr>
          <w:p>
            <w:pPr>
              <w:pStyle w:val="TableParagraph"/>
              <w:spacing w:before="15"/>
              <w:ind w:left="282" w:right="282"/>
              <w:jc w:val="center"/>
              <w:rPr>
                <w:b/>
                <w:sz w:val="14"/>
              </w:rPr>
            </w:pPr>
            <w:r>
              <w:rPr>
                <w:b/>
                <w:sz w:val="14"/>
              </w:rPr>
              <w:t>Ley</w:t>
            </w:r>
          </w:p>
        </w:tc>
        <w:tc>
          <w:tcPr>
            <w:tcW w:w="2986" w:type="dxa"/>
            <w:tcBorders>
              <w:top w:val="single" w:sz="12" w:space="0" w:color="D9D9D9"/>
              <w:left w:val="single" w:sz="12" w:space="0" w:color="BEBEBE"/>
            </w:tcBorders>
          </w:tcPr>
          <w:p>
            <w:pPr>
              <w:pStyle w:val="TableParagraph"/>
              <w:ind w:left="213" w:right="119"/>
              <w:rPr>
                <w:sz w:val="14"/>
              </w:rPr>
            </w:pPr>
            <w:r>
              <w:rPr>
                <w:sz w:val="14"/>
              </w:rPr>
              <w:t>LOAPF</w:t>
            </w:r>
          </w:p>
        </w:tc>
        <w:tc>
          <w:tcPr>
            <w:tcW w:w="4527" w:type="dxa"/>
            <w:tcBorders>
              <w:top w:val="single" w:sz="12" w:space="0" w:color="D9D9D9"/>
            </w:tcBorders>
          </w:tcPr>
          <w:p>
            <w:pPr>
              <w:pStyle w:val="TableParagraph"/>
              <w:spacing w:before="5"/>
              <w:ind w:left="103" w:right="99"/>
              <w:rPr>
                <w:sz w:val="14"/>
              </w:rPr>
            </w:pPr>
            <w:r>
              <w:rPr>
                <w:sz w:val="14"/>
              </w:rPr>
              <w:t>LFRCF</w:t>
            </w:r>
          </w:p>
        </w:tc>
      </w:tr>
      <w:tr>
        <w:trPr>
          <w:trHeight w:val="1488" w:hRule="exact"/>
        </w:trPr>
        <w:tc>
          <w:tcPr>
            <w:tcW w:w="1078"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5"/>
              </w:rPr>
            </w:pPr>
          </w:p>
          <w:p>
            <w:pPr>
              <w:pStyle w:val="TableParagraph"/>
              <w:ind w:left="282" w:right="283"/>
              <w:jc w:val="center"/>
              <w:rPr>
                <w:b/>
                <w:sz w:val="14"/>
              </w:rPr>
            </w:pPr>
            <w:r>
              <w:rPr>
                <w:b/>
                <w:sz w:val="14"/>
              </w:rPr>
              <w:t>Misión</w:t>
            </w:r>
          </w:p>
        </w:tc>
        <w:tc>
          <w:tcPr>
            <w:tcW w:w="2986" w:type="dxa"/>
            <w:tcBorders>
              <w:left w:val="single" w:sz="12" w:space="0" w:color="BEBEBE"/>
            </w:tcBorders>
          </w:tcPr>
          <w:p>
            <w:pPr>
              <w:pStyle w:val="TableParagraph"/>
              <w:rPr>
                <w:sz w:val="14"/>
              </w:rPr>
            </w:pPr>
          </w:p>
          <w:p>
            <w:pPr>
              <w:pStyle w:val="TableParagraph"/>
              <w:rPr>
                <w:sz w:val="14"/>
              </w:rPr>
            </w:pPr>
          </w:p>
          <w:p>
            <w:pPr>
              <w:pStyle w:val="TableParagraph"/>
              <w:spacing w:before="98"/>
              <w:ind w:left="213" w:right="119"/>
              <w:rPr>
                <w:sz w:val="14"/>
              </w:rPr>
            </w:pPr>
            <w:r>
              <w:rPr>
                <w:sz w:val="14"/>
              </w:rPr>
              <w:t>Consolidar un Gobierno honesto, eficiente y transparente.</w:t>
            </w:r>
          </w:p>
        </w:tc>
        <w:tc>
          <w:tcPr>
            <w:tcW w:w="4527" w:type="dxa"/>
          </w:tcPr>
          <w:p>
            <w:pPr>
              <w:pStyle w:val="TableParagraph"/>
              <w:spacing w:before="22"/>
              <w:ind w:left="103" w:right="99"/>
              <w:rPr>
                <w:sz w:val="14"/>
              </w:rPr>
            </w:pPr>
            <w:r>
              <w:rPr>
                <w:sz w:val="14"/>
              </w:rPr>
              <w:t>Fiscalizar la Cuenta Pública mediante auditorías que se efectúan a los tres Poderes de la Unión, a los órganos constitucionalmente autónomos, a las entidades federativas y municipios del país, así como a todo ente que ejerza recursos públicos federales, incluyendo a los particulares. Conforme a su mandato legal, el propósito es verificar el cumplimiento de los objetivos contenidos en las políticas y programas gubernamentales, el adecuado desempeño de las entidades fiscalizadas, y el correcto manejo tanto del ingreso como del gasto público.</w:t>
            </w:r>
          </w:p>
        </w:tc>
      </w:tr>
      <w:tr>
        <w:trPr>
          <w:trHeight w:val="1330" w:hRule="exact"/>
        </w:trPr>
        <w:tc>
          <w:tcPr>
            <w:tcW w:w="1078"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rPr>
                <w:sz w:val="14"/>
              </w:rPr>
            </w:pPr>
          </w:p>
          <w:p>
            <w:pPr>
              <w:pStyle w:val="TableParagraph"/>
              <w:rPr>
                <w:sz w:val="14"/>
              </w:rPr>
            </w:pPr>
          </w:p>
          <w:p>
            <w:pPr>
              <w:pStyle w:val="TableParagraph"/>
              <w:spacing w:before="93"/>
              <w:ind w:left="282" w:right="283"/>
              <w:jc w:val="center"/>
              <w:rPr>
                <w:b/>
                <w:sz w:val="14"/>
              </w:rPr>
            </w:pPr>
            <w:r>
              <w:rPr>
                <w:b/>
                <w:sz w:val="14"/>
              </w:rPr>
              <w:t>Visión</w:t>
            </w:r>
          </w:p>
        </w:tc>
        <w:tc>
          <w:tcPr>
            <w:tcW w:w="2986" w:type="dxa"/>
            <w:tcBorders>
              <w:left w:val="single" w:sz="12" w:space="0" w:color="BEBEBE"/>
            </w:tcBorders>
          </w:tcPr>
          <w:p>
            <w:pPr>
              <w:pStyle w:val="TableParagraph"/>
              <w:rPr>
                <w:sz w:val="14"/>
              </w:rPr>
            </w:pPr>
          </w:p>
          <w:p>
            <w:pPr>
              <w:pStyle w:val="TableParagraph"/>
              <w:rPr>
                <w:sz w:val="14"/>
              </w:rPr>
            </w:pPr>
          </w:p>
          <w:p>
            <w:pPr>
              <w:pStyle w:val="TableParagraph"/>
              <w:spacing w:before="98"/>
              <w:ind w:left="213" w:right="173"/>
              <w:rPr>
                <w:sz w:val="14"/>
              </w:rPr>
            </w:pPr>
            <w:r>
              <w:rPr>
                <w:sz w:val="14"/>
              </w:rPr>
              <w:t>2020: La ciudadanía participa y confía en la Función Pública.</w:t>
            </w:r>
          </w:p>
        </w:tc>
        <w:tc>
          <w:tcPr>
            <w:tcW w:w="4527" w:type="dxa"/>
          </w:tcPr>
          <w:p>
            <w:pPr>
              <w:pStyle w:val="TableParagraph"/>
              <w:spacing w:before="24"/>
              <w:ind w:left="103" w:right="114"/>
              <w:rPr>
                <w:sz w:val="14"/>
              </w:rPr>
            </w:pPr>
            <w:r>
              <w:rPr>
                <w:sz w:val="14"/>
              </w:rPr>
              <w:t>Busca posicionarse como una institución objetiva e imparcial, técnicamente sólida y sujeta a un proceso de mejora continua, cuyos productos puedan constituirse en un elemento central para el Poder Legislativo en la definición de las asignaciones presupuestarias de los programas, proyectos y políticas públicas. De esta manera, contribuirá a generar confianza en la ciudadanía respecto al manejo de los recursos y a fortalecer una cultura gubernamental de transparencia y rendición de cuentas.</w:t>
            </w:r>
          </w:p>
        </w:tc>
      </w:tr>
      <w:tr>
        <w:trPr>
          <w:trHeight w:val="2125" w:hRule="exact"/>
        </w:trPr>
        <w:tc>
          <w:tcPr>
            <w:tcW w:w="1078" w:type="dxa"/>
            <w:tcBorders>
              <w:top w:val="single" w:sz="12" w:space="0" w:color="BEBEBE"/>
              <w:left w:val="single" w:sz="12" w:space="0" w:color="BEBEBE"/>
              <w:bottom w:val="single" w:sz="12" w:space="0" w:color="BEBEBE"/>
              <w:right w:val="single" w:sz="12" w:space="0" w:color="BEBEBE"/>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6"/>
              <w:ind w:left="158" w:firstLine="55"/>
              <w:rPr>
                <w:b/>
                <w:sz w:val="14"/>
              </w:rPr>
            </w:pPr>
            <w:r>
              <w:rPr>
                <w:b/>
                <w:sz w:val="14"/>
              </w:rPr>
              <w:t>Acciones </w:t>
            </w:r>
            <w:r>
              <w:rPr>
                <w:b/>
                <w:w w:val="95"/>
                <w:sz w:val="14"/>
              </w:rPr>
              <w:t>prioritarias</w:t>
            </w:r>
          </w:p>
        </w:tc>
        <w:tc>
          <w:tcPr>
            <w:tcW w:w="2986" w:type="dxa"/>
            <w:tcBorders>
              <w:left w:val="single" w:sz="12" w:space="0" w:color="BEBEBE"/>
            </w:tcBorders>
          </w:tcPr>
          <w:p>
            <w:pPr>
              <w:pStyle w:val="TableParagraph"/>
              <w:numPr>
                <w:ilvl w:val="0"/>
                <w:numId w:val="71"/>
              </w:numPr>
              <w:tabs>
                <w:tab w:pos="320" w:val="left" w:leader="none"/>
              </w:tabs>
              <w:spacing w:line="240" w:lineRule="auto" w:before="17" w:after="0"/>
              <w:ind w:left="319" w:right="237" w:hanging="226"/>
              <w:jc w:val="left"/>
              <w:rPr>
                <w:sz w:val="14"/>
              </w:rPr>
            </w:pPr>
            <w:r>
              <w:rPr>
                <w:sz w:val="14"/>
              </w:rPr>
              <w:t>Promover la cultura de la legalidad y</w:t>
            </w:r>
            <w:r>
              <w:rPr>
                <w:spacing w:val="-15"/>
                <w:sz w:val="14"/>
              </w:rPr>
              <w:t> </w:t>
            </w:r>
            <w:r>
              <w:rPr>
                <w:sz w:val="14"/>
              </w:rPr>
              <w:t>el aprecio por la rendición de</w:t>
            </w:r>
            <w:r>
              <w:rPr>
                <w:spacing w:val="-13"/>
                <w:sz w:val="14"/>
              </w:rPr>
              <w:t> </w:t>
            </w:r>
            <w:r>
              <w:rPr>
                <w:sz w:val="14"/>
              </w:rPr>
              <w:t>cuentas.</w:t>
            </w:r>
          </w:p>
          <w:p>
            <w:pPr>
              <w:pStyle w:val="TableParagraph"/>
              <w:numPr>
                <w:ilvl w:val="0"/>
                <w:numId w:val="71"/>
              </w:numPr>
              <w:tabs>
                <w:tab w:pos="320" w:val="left" w:leader="none"/>
              </w:tabs>
              <w:spacing w:line="240" w:lineRule="auto" w:before="0" w:after="0"/>
              <w:ind w:left="319" w:right="111" w:hanging="226"/>
              <w:jc w:val="left"/>
              <w:rPr>
                <w:sz w:val="14"/>
              </w:rPr>
            </w:pPr>
            <w:r>
              <w:rPr>
                <w:sz w:val="14"/>
              </w:rPr>
              <w:t>Ampliar la cobertura, impacto y efecto preventivo de la fiscalización a la</w:t>
            </w:r>
            <w:r>
              <w:rPr>
                <w:spacing w:val="-14"/>
                <w:sz w:val="14"/>
              </w:rPr>
              <w:t> </w:t>
            </w:r>
            <w:r>
              <w:rPr>
                <w:sz w:val="14"/>
              </w:rPr>
              <w:t>gestión pública.</w:t>
            </w:r>
          </w:p>
          <w:p>
            <w:pPr>
              <w:pStyle w:val="TableParagraph"/>
              <w:numPr>
                <w:ilvl w:val="0"/>
                <w:numId w:val="71"/>
              </w:numPr>
              <w:tabs>
                <w:tab w:pos="320" w:val="left" w:leader="none"/>
              </w:tabs>
              <w:spacing w:line="242" w:lineRule="auto" w:before="0" w:after="0"/>
              <w:ind w:left="319" w:right="695" w:hanging="226"/>
              <w:jc w:val="left"/>
              <w:rPr>
                <w:sz w:val="14"/>
              </w:rPr>
            </w:pPr>
            <w:r>
              <w:rPr>
                <w:sz w:val="14"/>
              </w:rPr>
              <w:t>Inhibir y sancionar las</w:t>
            </w:r>
            <w:r>
              <w:rPr>
                <w:spacing w:val="-11"/>
                <w:sz w:val="14"/>
              </w:rPr>
              <w:t> </w:t>
            </w:r>
            <w:r>
              <w:rPr>
                <w:sz w:val="14"/>
              </w:rPr>
              <w:t>prácticas corruptas.</w:t>
            </w:r>
          </w:p>
          <w:p>
            <w:pPr>
              <w:pStyle w:val="TableParagraph"/>
              <w:numPr>
                <w:ilvl w:val="0"/>
                <w:numId w:val="71"/>
              </w:numPr>
              <w:tabs>
                <w:tab w:pos="320" w:val="left" w:leader="none"/>
              </w:tabs>
              <w:spacing w:line="240" w:lineRule="auto" w:before="0" w:after="0"/>
              <w:ind w:left="319" w:right="493" w:hanging="226"/>
              <w:jc w:val="left"/>
              <w:rPr>
                <w:sz w:val="14"/>
              </w:rPr>
            </w:pPr>
            <w:r>
              <w:rPr>
                <w:sz w:val="14"/>
              </w:rPr>
              <w:t>Articular estructuras</w:t>
            </w:r>
            <w:r>
              <w:rPr>
                <w:spacing w:val="-13"/>
                <w:sz w:val="14"/>
              </w:rPr>
              <w:t> </w:t>
            </w:r>
            <w:r>
              <w:rPr>
                <w:sz w:val="14"/>
              </w:rPr>
              <w:t>profesionales, eficientes y eficaces del</w:t>
            </w:r>
            <w:r>
              <w:rPr>
                <w:spacing w:val="-12"/>
                <w:sz w:val="14"/>
              </w:rPr>
              <w:t> </w:t>
            </w:r>
            <w:r>
              <w:rPr>
                <w:sz w:val="14"/>
              </w:rPr>
              <w:t>gobierno.</w:t>
            </w:r>
          </w:p>
          <w:p>
            <w:pPr>
              <w:pStyle w:val="TableParagraph"/>
              <w:numPr>
                <w:ilvl w:val="0"/>
                <w:numId w:val="71"/>
              </w:numPr>
              <w:tabs>
                <w:tab w:pos="320" w:val="left" w:leader="none"/>
              </w:tabs>
              <w:spacing w:line="240" w:lineRule="auto" w:before="0" w:after="0"/>
              <w:ind w:left="319" w:right="338" w:hanging="226"/>
              <w:jc w:val="left"/>
              <w:rPr>
                <w:sz w:val="14"/>
              </w:rPr>
            </w:pPr>
            <w:r>
              <w:rPr>
                <w:sz w:val="14"/>
              </w:rPr>
              <w:t>Mejorar la regulación, la gestión y</w:t>
            </w:r>
            <w:r>
              <w:rPr>
                <w:spacing w:val="-15"/>
                <w:sz w:val="14"/>
              </w:rPr>
              <w:t> </w:t>
            </w:r>
            <w:r>
              <w:rPr>
                <w:sz w:val="14"/>
              </w:rPr>
              <w:t>los procesos de la</w:t>
            </w:r>
            <w:r>
              <w:rPr>
                <w:spacing w:val="-10"/>
                <w:sz w:val="14"/>
              </w:rPr>
              <w:t> </w:t>
            </w:r>
            <w:r>
              <w:rPr>
                <w:sz w:val="14"/>
              </w:rPr>
              <w:t>APF.</w:t>
            </w:r>
          </w:p>
          <w:p>
            <w:pPr>
              <w:pStyle w:val="TableParagraph"/>
              <w:numPr>
                <w:ilvl w:val="0"/>
                <w:numId w:val="71"/>
              </w:numPr>
              <w:tabs>
                <w:tab w:pos="339" w:val="left" w:leader="none"/>
              </w:tabs>
              <w:spacing w:line="240" w:lineRule="auto" w:before="0" w:after="0"/>
              <w:ind w:left="319" w:right="198" w:hanging="142"/>
              <w:jc w:val="left"/>
              <w:rPr>
                <w:sz w:val="14"/>
              </w:rPr>
            </w:pPr>
            <w:r>
              <w:rPr>
                <w:sz w:val="14"/>
              </w:rPr>
              <w:t>Optimizar el uso y aprovechamiento de los inmuebles</w:t>
            </w:r>
            <w:r>
              <w:rPr>
                <w:spacing w:val="-11"/>
                <w:sz w:val="14"/>
              </w:rPr>
              <w:t> </w:t>
            </w:r>
            <w:r>
              <w:rPr>
                <w:sz w:val="14"/>
              </w:rPr>
              <w:t>federales.</w:t>
            </w:r>
          </w:p>
        </w:tc>
        <w:tc>
          <w:tcPr>
            <w:tcW w:w="4527" w:type="dxa"/>
          </w:tcPr>
          <w:p>
            <w:pPr>
              <w:pStyle w:val="TableParagraph"/>
              <w:numPr>
                <w:ilvl w:val="0"/>
                <w:numId w:val="72"/>
              </w:numPr>
              <w:tabs>
                <w:tab w:pos="265" w:val="left" w:leader="none"/>
              </w:tabs>
              <w:spacing w:line="240" w:lineRule="auto" w:before="17" w:after="0"/>
              <w:ind w:left="278" w:right="0" w:hanging="175"/>
              <w:jc w:val="left"/>
              <w:rPr>
                <w:sz w:val="14"/>
              </w:rPr>
            </w:pPr>
            <w:r>
              <w:rPr>
                <w:sz w:val="14"/>
              </w:rPr>
              <w:t>Propiciar la eficiencia y eficacia de la acción</w:t>
            </w:r>
            <w:r>
              <w:rPr>
                <w:spacing w:val="-16"/>
                <w:sz w:val="14"/>
              </w:rPr>
              <w:t> </w:t>
            </w:r>
            <w:r>
              <w:rPr>
                <w:sz w:val="14"/>
              </w:rPr>
              <w:t>pública.</w:t>
            </w:r>
          </w:p>
          <w:p>
            <w:pPr>
              <w:pStyle w:val="TableParagraph"/>
              <w:numPr>
                <w:ilvl w:val="0"/>
                <w:numId w:val="72"/>
              </w:numPr>
              <w:tabs>
                <w:tab w:pos="265" w:val="left" w:leader="none"/>
              </w:tabs>
              <w:spacing w:line="240" w:lineRule="auto" w:before="0" w:after="0"/>
              <w:ind w:left="264" w:right="0" w:hanging="161"/>
              <w:jc w:val="left"/>
              <w:rPr>
                <w:sz w:val="14"/>
              </w:rPr>
            </w:pPr>
            <w:r>
              <w:rPr>
                <w:sz w:val="14"/>
              </w:rPr>
              <w:t>Promover la implantación de mejores prácticas</w:t>
            </w:r>
            <w:r>
              <w:rPr>
                <w:spacing w:val="-21"/>
                <w:sz w:val="14"/>
              </w:rPr>
              <w:t> </w:t>
            </w:r>
            <w:r>
              <w:rPr>
                <w:sz w:val="14"/>
              </w:rPr>
              <w:t>gubernamentales.</w:t>
            </w:r>
          </w:p>
          <w:p>
            <w:pPr>
              <w:pStyle w:val="TableParagraph"/>
              <w:numPr>
                <w:ilvl w:val="0"/>
                <w:numId w:val="72"/>
              </w:numPr>
              <w:tabs>
                <w:tab w:pos="305" w:val="left" w:leader="none"/>
              </w:tabs>
              <w:spacing w:line="240" w:lineRule="auto" w:before="0" w:after="0"/>
              <w:ind w:left="278" w:right="695" w:hanging="175"/>
              <w:jc w:val="left"/>
              <w:rPr>
                <w:sz w:val="14"/>
              </w:rPr>
            </w:pPr>
            <w:r>
              <w:rPr>
                <w:sz w:val="14"/>
              </w:rPr>
              <w:t>Fomentar el desarrollo del Servicio Civil de Carrera en</w:t>
            </w:r>
            <w:r>
              <w:rPr>
                <w:spacing w:val="-18"/>
                <w:sz w:val="14"/>
              </w:rPr>
              <w:t> </w:t>
            </w:r>
            <w:r>
              <w:rPr>
                <w:sz w:val="14"/>
              </w:rPr>
              <w:t>el Gobierno</w:t>
            </w:r>
            <w:r>
              <w:rPr>
                <w:spacing w:val="-10"/>
                <w:sz w:val="14"/>
              </w:rPr>
              <w:t> </w:t>
            </w:r>
            <w:r>
              <w:rPr>
                <w:sz w:val="14"/>
              </w:rPr>
              <w:t>Federal.</w:t>
            </w:r>
          </w:p>
          <w:p>
            <w:pPr>
              <w:pStyle w:val="TableParagraph"/>
              <w:numPr>
                <w:ilvl w:val="0"/>
                <w:numId w:val="72"/>
              </w:numPr>
              <w:tabs>
                <w:tab w:pos="265" w:val="left" w:leader="none"/>
              </w:tabs>
              <w:spacing w:line="240" w:lineRule="auto" w:before="0" w:after="0"/>
              <w:ind w:left="278" w:right="651" w:hanging="175"/>
              <w:jc w:val="left"/>
              <w:rPr>
                <w:sz w:val="14"/>
              </w:rPr>
            </w:pPr>
            <w:r>
              <w:rPr>
                <w:sz w:val="14"/>
              </w:rPr>
              <w:t>Contribuir al establecimiento de sistemas de evaluación</w:t>
            </w:r>
            <w:r>
              <w:rPr>
                <w:spacing w:val="-16"/>
                <w:sz w:val="14"/>
              </w:rPr>
              <w:t> </w:t>
            </w:r>
            <w:r>
              <w:rPr>
                <w:sz w:val="14"/>
              </w:rPr>
              <w:t>al desempeño.</w:t>
            </w:r>
          </w:p>
          <w:p>
            <w:pPr>
              <w:pStyle w:val="TableParagraph"/>
              <w:spacing w:before="2"/>
              <w:ind w:left="103" w:right="99"/>
              <w:rPr>
                <w:sz w:val="14"/>
              </w:rPr>
            </w:pPr>
            <w:r>
              <w:rPr>
                <w:sz w:val="14"/>
              </w:rPr>
              <w:t>1)  Impulsar la fiscalización de alto impacto.</w:t>
            </w:r>
          </w:p>
          <w:p>
            <w:pPr>
              <w:pStyle w:val="TableParagraph"/>
              <w:ind w:left="103" w:right="99"/>
              <w:rPr>
                <w:sz w:val="14"/>
              </w:rPr>
            </w:pPr>
            <w:r>
              <w:rPr>
                <w:sz w:val="14"/>
              </w:rPr>
              <w:t>6) Fortalecer los mecanismos de fiscalización en la gestión pública.</w:t>
            </w:r>
          </w:p>
          <w:p>
            <w:pPr>
              <w:pStyle w:val="TableParagraph"/>
              <w:numPr>
                <w:ilvl w:val="0"/>
                <w:numId w:val="73"/>
              </w:numPr>
              <w:tabs>
                <w:tab w:pos="317" w:val="left" w:leader="none"/>
              </w:tabs>
              <w:spacing w:line="240" w:lineRule="auto" w:before="0" w:after="0"/>
              <w:ind w:left="278" w:right="0" w:hanging="175"/>
              <w:jc w:val="left"/>
              <w:rPr>
                <w:sz w:val="14"/>
              </w:rPr>
            </w:pPr>
            <w:r>
              <w:rPr>
                <w:sz w:val="14"/>
              </w:rPr>
              <w:t>Inducir la preservación del patrimonio de la</w:t>
            </w:r>
            <w:r>
              <w:rPr>
                <w:spacing w:val="-15"/>
                <w:sz w:val="14"/>
              </w:rPr>
              <w:t> </w:t>
            </w:r>
            <w:r>
              <w:rPr>
                <w:sz w:val="14"/>
              </w:rPr>
              <w:t>Nación.</w:t>
            </w:r>
          </w:p>
          <w:p>
            <w:pPr>
              <w:pStyle w:val="TableParagraph"/>
              <w:numPr>
                <w:ilvl w:val="0"/>
                <w:numId w:val="73"/>
              </w:numPr>
              <w:tabs>
                <w:tab w:pos="317" w:val="left" w:leader="none"/>
              </w:tabs>
              <w:spacing w:line="240" w:lineRule="auto" w:before="0" w:after="0"/>
              <w:ind w:left="316" w:right="0" w:hanging="213"/>
              <w:jc w:val="left"/>
              <w:rPr>
                <w:sz w:val="14"/>
              </w:rPr>
            </w:pPr>
            <w:r>
              <w:rPr>
                <w:sz w:val="14"/>
              </w:rPr>
              <w:t>Identificar oportunidades de</w:t>
            </w:r>
            <w:r>
              <w:rPr>
                <w:spacing w:val="-15"/>
                <w:sz w:val="14"/>
              </w:rPr>
              <w:t> </w:t>
            </w:r>
            <w:r>
              <w:rPr>
                <w:sz w:val="14"/>
              </w:rPr>
              <w:t>mejora.</w:t>
            </w:r>
          </w:p>
          <w:p>
            <w:pPr>
              <w:pStyle w:val="TableParagraph"/>
              <w:numPr>
                <w:ilvl w:val="0"/>
                <w:numId w:val="73"/>
              </w:numPr>
              <w:tabs>
                <w:tab w:pos="317" w:val="left" w:leader="none"/>
              </w:tabs>
              <w:spacing w:line="240" w:lineRule="auto" w:before="0" w:after="0"/>
              <w:ind w:left="316" w:right="0" w:hanging="213"/>
              <w:jc w:val="left"/>
              <w:rPr>
                <w:sz w:val="14"/>
              </w:rPr>
            </w:pPr>
            <w:r>
              <w:rPr>
                <w:sz w:val="14"/>
              </w:rPr>
              <w:t>Arraigar la cultura de la rendición de</w:t>
            </w:r>
            <w:r>
              <w:rPr>
                <w:spacing w:val="-18"/>
                <w:sz w:val="14"/>
              </w:rPr>
              <w:t> </w:t>
            </w:r>
            <w:r>
              <w:rPr>
                <w:sz w:val="14"/>
              </w:rPr>
              <w:t>cuentas.</w:t>
            </w:r>
          </w:p>
          <w:p>
            <w:pPr>
              <w:pStyle w:val="TableParagraph"/>
              <w:numPr>
                <w:ilvl w:val="0"/>
                <w:numId w:val="73"/>
              </w:numPr>
              <w:tabs>
                <w:tab w:pos="279" w:val="left" w:leader="none"/>
              </w:tabs>
              <w:spacing w:line="240" w:lineRule="auto" w:before="0" w:after="0"/>
              <w:ind w:left="278" w:right="295" w:hanging="175"/>
              <w:jc w:val="left"/>
              <w:rPr>
                <w:sz w:val="14"/>
              </w:rPr>
            </w:pPr>
            <w:r>
              <w:rPr>
                <w:sz w:val="14"/>
              </w:rPr>
              <w:t>Reforzar en los programas educativos, el estudio de los</w:t>
            </w:r>
            <w:r>
              <w:rPr>
                <w:spacing w:val="-24"/>
                <w:sz w:val="14"/>
              </w:rPr>
              <w:t> </w:t>
            </w:r>
            <w:r>
              <w:rPr>
                <w:sz w:val="14"/>
              </w:rPr>
              <w:t>valores éticos y</w:t>
            </w:r>
            <w:r>
              <w:rPr>
                <w:spacing w:val="-7"/>
                <w:sz w:val="14"/>
              </w:rPr>
              <w:t> </w:t>
            </w:r>
            <w:r>
              <w:rPr>
                <w:sz w:val="14"/>
              </w:rPr>
              <w:t>morales.</w:t>
            </w:r>
          </w:p>
        </w:tc>
      </w:tr>
    </w:tbl>
    <w:p>
      <w:pPr>
        <w:spacing w:line="235" w:lineRule="auto" w:before="9"/>
        <w:ind w:left="870" w:right="174" w:hanging="708"/>
        <w:jc w:val="left"/>
        <w:rPr>
          <w:sz w:val="12"/>
        </w:rPr>
      </w:pPr>
      <w:r>
        <w:rPr>
          <w:sz w:val="12"/>
        </w:rPr>
        <w:t>FUENTE: Elaboración propia con base en: </w:t>
      </w:r>
      <w:hyperlink r:id="rId210">
        <w:r>
          <w:rPr>
            <w:color w:val="0000FF"/>
            <w:sz w:val="12"/>
            <w:u w:val="single" w:color="0000FF"/>
          </w:rPr>
          <w:t>http://www.funcionpublica.gob.mx/index.php/conoce-la-sfp/mision-y-vision.htm</w:t>
        </w:r>
        <w:r>
          <w:rPr>
            <w:color w:val="0000FF"/>
            <w:sz w:val="12"/>
          </w:rPr>
          <w:t>l</w:t>
        </w:r>
      </w:hyperlink>
      <w:r>
        <w:rPr>
          <w:color w:val="0000FF"/>
          <w:sz w:val="12"/>
        </w:rPr>
        <w:t> </w:t>
      </w:r>
      <w:hyperlink r:id="rId211">
        <w:r>
          <w:rPr>
            <w:color w:val="0000FF"/>
            <w:sz w:val="12"/>
            <w:u w:val="single" w:color="0000FF"/>
          </w:rPr>
          <w:t>http://www.asf.gob.mx/Publication/22_Mision_y_Vision</w:t>
        </w:r>
      </w:hyperlink>
      <w:r>
        <w:rPr>
          <w:rFonts w:ascii="Calibri" w:hAnsi="Calibri"/>
          <w:sz w:val="22"/>
        </w:rPr>
        <w:t>; </w:t>
      </w:r>
      <w:hyperlink r:id="rId212">
        <w:r>
          <w:rPr>
            <w:color w:val="0000FF"/>
            <w:sz w:val="12"/>
            <w:u w:val="single" w:color="0000FF"/>
          </w:rPr>
          <w:t>http://www.asf.gob.mx/trans/Obliga/vision.pd</w:t>
        </w:r>
        <w:r>
          <w:rPr>
            <w:color w:val="0000FF"/>
            <w:sz w:val="12"/>
          </w:rPr>
          <w:t>f</w:t>
        </w:r>
      </w:hyperlink>
      <w:r>
        <w:rPr>
          <w:sz w:val="12"/>
        </w:rPr>
        <w:t>[Fecha de consulta: 27 de septiembre, 2015]</w:t>
      </w:r>
    </w:p>
    <w:p>
      <w:pPr>
        <w:pStyle w:val="BodyText"/>
        <w:rPr>
          <w:sz w:val="20"/>
        </w:rPr>
      </w:pPr>
    </w:p>
    <w:p>
      <w:pPr>
        <w:pStyle w:val="BodyText"/>
        <w:spacing w:before="3"/>
        <w:rPr>
          <w:sz w:val="19"/>
        </w:rPr>
      </w:pPr>
    </w:p>
    <w:p>
      <w:pPr>
        <w:pStyle w:val="BodyText"/>
        <w:spacing w:line="360" w:lineRule="auto" w:before="69"/>
        <w:ind w:left="162" w:right="177" w:firstLine="427"/>
        <w:jc w:val="both"/>
      </w:pPr>
      <w:r>
        <w:rPr/>
        <w:t>Del cuadro anterior se infiere que el principio rector del Plan Nacional de Desarrollo 2007-2012 relativo “impulsar la consolidación de una administración […]</w:t>
      </w:r>
      <w:r>
        <w:rPr>
          <w:spacing w:val="-8"/>
        </w:rPr>
        <w:t> </w:t>
      </w:r>
      <w:r>
        <w:rPr/>
        <w:t>que</w:t>
      </w:r>
      <w:r>
        <w:rPr>
          <w:spacing w:val="-8"/>
        </w:rPr>
        <w:t> </w:t>
      </w:r>
      <w:r>
        <w:rPr/>
        <w:t>rinda</w:t>
      </w:r>
      <w:r>
        <w:rPr>
          <w:spacing w:val="-8"/>
        </w:rPr>
        <w:t> </w:t>
      </w:r>
      <w:r>
        <w:rPr/>
        <w:t>cuentas,</w:t>
      </w:r>
      <w:r>
        <w:rPr>
          <w:spacing w:val="-13"/>
        </w:rPr>
        <w:t> </w:t>
      </w:r>
      <w:r>
        <w:rPr/>
        <w:t>que</w:t>
      </w:r>
      <w:r>
        <w:rPr>
          <w:spacing w:val="-8"/>
        </w:rPr>
        <w:t> </w:t>
      </w:r>
      <w:r>
        <w:rPr/>
        <w:t>combata</w:t>
      </w:r>
      <w:r>
        <w:rPr>
          <w:spacing w:val="-8"/>
        </w:rPr>
        <w:t> </w:t>
      </w:r>
      <w:r>
        <w:rPr/>
        <w:t>y</w:t>
      </w:r>
      <w:r>
        <w:rPr>
          <w:spacing w:val="-12"/>
        </w:rPr>
        <w:t> </w:t>
      </w:r>
      <w:r>
        <w:rPr/>
        <w:t>castigue</w:t>
      </w:r>
      <w:r>
        <w:rPr>
          <w:spacing w:val="-8"/>
        </w:rPr>
        <w:t> </w:t>
      </w:r>
      <w:r>
        <w:rPr/>
        <w:t>[…]</w:t>
      </w:r>
      <w:r>
        <w:rPr>
          <w:spacing w:val="-11"/>
        </w:rPr>
        <w:t> </w:t>
      </w:r>
      <w:r>
        <w:rPr/>
        <w:t>la</w:t>
      </w:r>
      <w:r>
        <w:rPr>
          <w:spacing w:val="-9"/>
        </w:rPr>
        <w:t> </w:t>
      </w:r>
      <w:r>
        <w:rPr/>
        <w:t>corrupción”</w:t>
      </w:r>
      <w:r>
        <w:rPr>
          <w:spacing w:val="-12"/>
        </w:rPr>
        <w:t> </w:t>
      </w:r>
      <w:r>
        <w:rPr/>
        <w:t>no</w:t>
      </w:r>
      <w:r>
        <w:rPr>
          <w:spacing w:val="-13"/>
        </w:rPr>
        <w:t> </w:t>
      </w:r>
      <w:r>
        <w:rPr/>
        <w:t>formó</w:t>
      </w:r>
      <w:r>
        <w:rPr>
          <w:spacing w:val="-11"/>
        </w:rPr>
        <w:t> </w:t>
      </w:r>
      <w:r>
        <w:rPr/>
        <w:t>parte de la misión y visión de la</w:t>
      </w:r>
      <w:r>
        <w:rPr>
          <w:spacing w:val="-10"/>
        </w:rPr>
        <w:t> </w:t>
      </w:r>
      <w:r>
        <w:rPr/>
        <w:t>SFP.</w:t>
      </w:r>
    </w:p>
    <w:p>
      <w:pPr>
        <w:spacing w:after="0" w:line="360" w:lineRule="auto"/>
        <w:jc w:val="both"/>
        <w:sectPr>
          <w:pgSz w:w="11910" w:h="16840"/>
          <w:pgMar w:header="0" w:footer="1003" w:top="1340" w:bottom="1200" w:left="1540" w:right="1520"/>
        </w:sectPr>
      </w:pPr>
    </w:p>
    <w:p>
      <w:pPr>
        <w:spacing w:line="357" w:lineRule="auto" w:before="55"/>
        <w:ind w:left="122" w:right="117" w:firstLine="427"/>
        <w:jc w:val="both"/>
        <w:rPr>
          <w:sz w:val="16"/>
        </w:rPr>
      </w:pPr>
      <w:r>
        <w:rPr>
          <w:sz w:val="24"/>
        </w:rPr>
        <w:t>En 2001 se llevó a cabo el primer convenio de cooperación entre ambas instituciones y en 2006 establecieron criterios de coordinación en materia de control interno. Para 2007 ambas instituciones realizaron el </w:t>
      </w:r>
      <w:r>
        <w:rPr>
          <w:i/>
          <w:color w:val="0000FF"/>
          <w:sz w:val="24"/>
          <w:u w:val="single" w:color="0000FF"/>
        </w:rPr>
        <w:t>Convenio de </w:t>
      </w:r>
      <w:r>
        <w:rPr>
          <w:i/>
          <w:color w:val="0000FF"/>
          <w:sz w:val="24"/>
          <w:u w:val="single" w:color="0000FF"/>
        </w:rPr>
        <w:t>Cooperación Técnica e Intercambio de Información que celebran la Secretaría de la Función Pública y la Auditoría Superior de la Federación</w:t>
      </w:r>
      <w:r>
        <w:rPr>
          <w:sz w:val="24"/>
        </w:rPr>
        <w:t>.</w:t>
      </w:r>
      <w:r>
        <w:rPr>
          <w:position w:val="8"/>
          <w:sz w:val="16"/>
        </w:rPr>
        <w:t>132</w:t>
      </w:r>
    </w:p>
    <w:p>
      <w:pPr>
        <w:pStyle w:val="BodyText"/>
        <w:rPr>
          <w:sz w:val="20"/>
        </w:rPr>
      </w:pPr>
    </w:p>
    <w:p>
      <w:pPr>
        <w:pStyle w:val="BodyText"/>
        <w:spacing w:line="360" w:lineRule="auto" w:before="189"/>
        <w:ind w:left="122" w:right="117" w:firstLine="427"/>
        <w:jc w:val="both"/>
      </w:pPr>
      <w:r>
        <w:rPr/>
        <w:t>En el documento se reconoce el objetivo común de impulsar la cultura de la rendición de cuentas y el establecimiento de mecanismos para abatir la corrupción y también manifiesta la intención de no duplicar los esfuerzos. En el convenio se establecieron las actividades siguientes:</w:t>
      </w:r>
    </w:p>
    <w:p>
      <w:pPr>
        <w:pStyle w:val="BodyText"/>
        <w:spacing w:before="10"/>
        <w:rPr>
          <w:sz w:val="35"/>
        </w:rPr>
      </w:pPr>
    </w:p>
    <w:p>
      <w:pPr>
        <w:pStyle w:val="ListParagraph"/>
        <w:numPr>
          <w:ilvl w:val="0"/>
          <w:numId w:val="74"/>
        </w:numPr>
        <w:tabs>
          <w:tab w:pos="830" w:val="left" w:leader="none"/>
        </w:tabs>
        <w:spacing w:line="240" w:lineRule="auto" w:before="0" w:after="0"/>
        <w:ind w:left="830" w:right="0" w:hanging="281"/>
        <w:jc w:val="left"/>
        <w:rPr>
          <w:sz w:val="16"/>
        </w:rPr>
      </w:pPr>
      <w:r>
        <w:rPr>
          <w:sz w:val="24"/>
        </w:rPr>
        <w:t>Acciones</w:t>
      </w:r>
      <w:r>
        <w:rPr>
          <w:spacing w:val="-8"/>
          <w:sz w:val="24"/>
        </w:rPr>
        <w:t> </w:t>
      </w:r>
      <w:r>
        <w:rPr>
          <w:sz w:val="24"/>
        </w:rPr>
        <w:t>promovidas:</w:t>
      </w:r>
      <w:r>
        <w:rPr>
          <w:position w:val="8"/>
          <w:sz w:val="16"/>
        </w:rPr>
        <w:t>133</w:t>
      </w:r>
    </w:p>
    <w:p>
      <w:pPr>
        <w:pStyle w:val="ListParagraph"/>
        <w:numPr>
          <w:ilvl w:val="1"/>
          <w:numId w:val="74"/>
        </w:numPr>
        <w:tabs>
          <w:tab w:pos="1399" w:val="left" w:leader="none"/>
        </w:tabs>
        <w:spacing w:line="360" w:lineRule="auto" w:before="137" w:after="0"/>
        <w:ind w:left="1398" w:right="120" w:hanging="568"/>
        <w:jc w:val="both"/>
        <w:rPr>
          <w:sz w:val="16"/>
        </w:rPr>
      </w:pPr>
      <w:r>
        <w:rPr>
          <w:sz w:val="24"/>
        </w:rPr>
        <w:t>La Promoción de Intervención de la Instancia de Control (PIIC), acción mediante la cual la ASF solicita al Órgano Interno de Control del</w:t>
      </w:r>
      <w:r>
        <w:rPr>
          <w:spacing w:val="-13"/>
          <w:sz w:val="24"/>
        </w:rPr>
        <w:t> </w:t>
      </w:r>
      <w:r>
        <w:rPr>
          <w:sz w:val="24"/>
        </w:rPr>
        <w:t>sujeto</w:t>
      </w:r>
      <w:r>
        <w:rPr>
          <w:spacing w:val="-14"/>
          <w:sz w:val="24"/>
        </w:rPr>
        <w:t> </w:t>
      </w:r>
      <w:r>
        <w:rPr>
          <w:sz w:val="24"/>
        </w:rPr>
        <w:t>auditado,</w:t>
      </w:r>
      <w:r>
        <w:rPr>
          <w:spacing w:val="-12"/>
          <w:sz w:val="24"/>
        </w:rPr>
        <w:t> </w:t>
      </w:r>
      <w:r>
        <w:rPr>
          <w:sz w:val="24"/>
        </w:rPr>
        <w:t>que,</w:t>
      </w:r>
      <w:r>
        <w:rPr>
          <w:spacing w:val="-12"/>
          <w:sz w:val="24"/>
        </w:rPr>
        <w:t> </w:t>
      </w:r>
      <w:r>
        <w:rPr>
          <w:sz w:val="24"/>
        </w:rPr>
        <w:t>en</w:t>
      </w:r>
      <w:r>
        <w:rPr>
          <w:spacing w:val="-12"/>
          <w:sz w:val="24"/>
        </w:rPr>
        <w:t> </w:t>
      </w:r>
      <w:r>
        <w:rPr>
          <w:sz w:val="24"/>
        </w:rPr>
        <w:t>el</w:t>
      </w:r>
      <w:r>
        <w:rPr>
          <w:spacing w:val="-15"/>
          <w:sz w:val="24"/>
        </w:rPr>
        <w:t> </w:t>
      </w:r>
      <w:r>
        <w:rPr>
          <w:sz w:val="24"/>
        </w:rPr>
        <w:t>ámbito</w:t>
      </w:r>
      <w:r>
        <w:rPr>
          <w:spacing w:val="-14"/>
          <w:sz w:val="24"/>
        </w:rPr>
        <w:t> </w:t>
      </w:r>
      <w:r>
        <w:rPr>
          <w:sz w:val="24"/>
        </w:rPr>
        <w:t>de</w:t>
      </w:r>
      <w:r>
        <w:rPr>
          <w:spacing w:val="-12"/>
          <w:sz w:val="24"/>
        </w:rPr>
        <w:t> </w:t>
      </w:r>
      <w:r>
        <w:rPr>
          <w:sz w:val="24"/>
        </w:rPr>
        <w:t>sus</w:t>
      </w:r>
      <w:r>
        <w:rPr>
          <w:spacing w:val="-16"/>
          <w:sz w:val="24"/>
        </w:rPr>
        <w:t> </w:t>
      </w:r>
      <w:r>
        <w:rPr>
          <w:sz w:val="24"/>
        </w:rPr>
        <w:t>atribuciones,</w:t>
      </w:r>
      <w:r>
        <w:rPr>
          <w:spacing w:val="-12"/>
          <w:sz w:val="24"/>
        </w:rPr>
        <w:t> </w:t>
      </w:r>
      <w:r>
        <w:rPr>
          <w:sz w:val="24"/>
        </w:rPr>
        <w:t>realice</w:t>
      </w:r>
      <w:r>
        <w:rPr>
          <w:spacing w:val="-12"/>
          <w:sz w:val="24"/>
        </w:rPr>
        <w:t> </w:t>
      </w:r>
      <w:r>
        <w:rPr>
          <w:sz w:val="24"/>
        </w:rPr>
        <w:t>las investigaciones</w:t>
      </w:r>
      <w:r>
        <w:rPr>
          <w:spacing w:val="-10"/>
          <w:sz w:val="24"/>
        </w:rPr>
        <w:t> </w:t>
      </w:r>
      <w:r>
        <w:rPr>
          <w:sz w:val="24"/>
        </w:rPr>
        <w:t>necesarias.</w:t>
      </w:r>
      <w:r>
        <w:rPr>
          <w:position w:val="8"/>
          <w:sz w:val="16"/>
        </w:rPr>
        <w:t>134</w:t>
      </w:r>
    </w:p>
    <w:p>
      <w:pPr>
        <w:pStyle w:val="ListParagraph"/>
        <w:numPr>
          <w:ilvl w:val="1"/>
          <w:numId w:val="74"/>
        </w:numPr>
        <w:tabs>
          <w:tab w:pos="1399" w:val="left" w:leader="none"/>
        </w:tabs>
        <w:spacing w:line="360" w:lineRule="auto" w:before="0" w:after="0"/>
        <w:ind w:left="1398" w:right="117" w:hanging="568"/>
        <w:jc w:val="both"/>
        <w:rPr>
          <w:sz w:val="24"/>
        </w:rPr>
      </w:pPr>
      <w:r>
        <w:rPr>
          <w:sz w:val="24"/>
        </w:rPr>
        <w:t>La Promoción del Finca miento de las Responsabilidades Administrativas Sancionatorias</w:t>
      </w:r>
      <w:r>
        <w:rPr>
          <w:spacing w:val="-11"/>
          <w:sz w:val="24"/>
        </w:rPr>
        <w:t> </w:t>
      </w:r>
      <w:r>
        <w:rPr>
          <w:sz w:val="24"/>
        </w:rPr>
        <w:t>(PRAS).</w:t>
      </w:r>
    </w:p>
    <w:p>
      <w:pPr>
        <w:pStyle w:val="ListParagraph"/>
        <w:numPr>
          <w:ilvl w:val="0"/>
          <w:numId w:val="74"/>
        </w:numPr>
        <w:tabs>
          <w:tab w:pos="830" w:val="left" w:leader="none"/>
        </w:tabs>
        <w:spacing w:line="360" w:lineRule="auto" w:before="3" w:after="0"/>
        <w:ind w:left="830" w:right="127" w:hanging="281"/>
        <w:jc w:val="left"/>
        <w:rPr>
          <w:sz w:val="24"/>
        </w:rPr>
      </w:pPr>
      <w:r>
        <w:rPr>
          <w:sz w:val="24"/>
        </w:rPr>
        <w:t>Dar a conocer los daños o perjuicios (o ambos) económicos al erario mediante el Pliego de</w:t>
      </w:r>
      <w:r>
        <w:rPr>
          <w:spacing w:val="-13"/>
          <w:sz w:val="24"/>
        </w:rPr>
        <w:t> </w:t>
      </w:r>
      <w:r>
        <w:rPr>
          <w:sz w:val="24"/>
        </w:rPr>
        <w:t>Observaciones.</w:t>
      </w:r>
    </w:p>
    <w:p>
      <w:pPr>
        <w:pStyle w:val="ListParagraph"/>
        <w:numPr>
          <w:ilvl w:val="0"/>
          <w:numId w:val="74"/>
        </w:numPr>
        <w:tabs>
          <w:tab w:pos="830" w:val="left" w:leader="none"/>
        </w:tabs>
        <w:spacing w:line="240" w:lineRule="auto" w:before="2" w:after="0"/>
        <w:ind w:left="830" w:right="0" w:hanging="281"/>
        <w:jc w:val="left"/>
        <w:rPr>
          <w:sz w:val="24"/>
        </w:rPr>
      </w:pPr>
      <w:r>
        <w:rPr>
          <w:sz w:val="24"/>
        </w:rPr>
        <w:t>Colaborar en las denuncias</w:t>
      </w:r>
      <w:r>
        <w:rPr>
          <w:spacing w:val="-13"/>
          <w:sz w:val="24"/>
        </w:rPr>
        <w:t> </w:t>
      </w:r>
      <w:r>
        <w:rPr>
          <w:sz w:val="24"/>
        </w:rPr>
        <w:t>penales.</w:t>
      </w:r>
    </w:p>
    <w:p>
      <w:pPr>
        <w:pStyle w:val="ListParagraph"/>
        <w:numPr>
          <w:ilvl w:val="0"/>
          <w:numId w:val="74"/>
        </w:numPr>
        <w:tabs>
          <w:tab w:pos="830" w:val="left" w:leader="none"/>
        </w:tabs>
        <w:spacing w:line="360" w:lineRule="auto" w:before="139" w:after="0"/>
        <w:ind w:left="830" w:right="117" w:hanging="281"/>
        <w:jc w:val="left"/>
        <w:rPr>
          <w:sz w:val="24"/>
        </w:rPr>
      </w:pPr>
      <w:r>
        <w:rPr>
          <w:sz w:val="24"/>
        </w:rPr>
        <w:t>Trabajar de forma conjunta en el intercambio de información, excepto aquella clasificada como reservada, de acuerdo con la</w:t>
      </w:r>
      <w:r>
        <w:rPr>
          <w:spacing w:val="-21"/>
          <w:sz w:val="24"/>
        </w:rPr>
        <w:t> </w:t>
      </w:r>
      <w:r>
        <w:rPr>
          <w:sz w:val="24"/>
        </w:rPr>
        <w:t>LFTAI.</w:t>
      </w:r>
    </w:p>
    <w:p>
      <w:pPr>
        <w:pStyle w:val="BodyText"/>
      </w:pPr>
    </w:p>
    <w:p>
      <w:pPr>
        <w:pStyle w:val="BodyText"/>
        <w:spacing w:line="360" w:lineRule="auto" w:before="142"/>
        <w:ind w:left="122" w:right="120" w:firstLine="427"/>
        <w:jc w:val="both"/>
      </w:pPr>
      <w:r>
        <w:rPr/>
        <w:t>Al respecto, se puede mencionar que, aunque el convenio ha facilitado los trabajos de revisión, la labor de la SFP y la ASF, el seguimiento de las PIIC y PRAS que emite la ASF, están sujetas a las investigaciones que realicen los</w:t>
      </w:r>
    </w:p>
    <w:p>
      <w:pPr>
        <w:pStyle w:val="BodyText"/>
        <w:spacing w:before="4"/>
        <w:rPr>
          <w:sz w:val="25"/>
        </w:rPr>
      </w:pPr>
      <w:r>
        <w:rPr/>
        <w:pict>
          <v:line style="position:absolute;mso-position-horizontal-relative:page;mso-position-vertical-relative:paragraph;z-index:9616;mso-wrap-distance-left:0;mso-wrap-distance-right:0" from="85.103996pt,16.943924pt" to="229.123996pt,16.943924pt" stroked="true" strokeweight=".71997pt" strokecolor="#000000">
            <w10:wrap type="topAndBottom"/>
          </v:line>
        </w:pict>
      </w:r>
    </w:p>
    <w:p>
      <w:pPr>
        <w:spacing w:line="247" w:lineRule="auto" w:before="62"/>
        <w:ind w:left="122" w:right="104" w:firstLine="0"/>
        <w:jc w:val="left"/>
        <w:rPr>
          <w:sz w:val="16"/>
        </w:rPr>
      </w:pPr>
      <w:r>
        <w:rPr>
          <w:rFonts w:ascii="Times New Roman"/>
          <w:position w:val="7"/>
          <w:sz w:val="13"/>
        </w:rPr>
        <w:t>132</w:t>
      </w:r>
      <w:r>
        <w:rPr>
          <w:sz w:val="16"/>
        </w:rPr>
        <w:t>Disponible en:</w:t>
      </w:r>
      <w:r>
        <w:rPr>
          <w:color w:val="0000FF"/>
          <w:sz w:val="16"/>
          <w:u w:val="single" w:color="0000FF"/>
        </w:rPr>
        <w:t>http://portal.funcionpublica.gob.mx:8080/wb3/work/sites/SFP/resources/LocalContent/1753/1/asf_sfp%20270307.pdf</w:t>
      </w:r>
      <w:r>
        <w:rPr>
          <w:sz w:val="16"/>
        </w:rPr>
        <w:t>[ Fecha de consulta: 27 de septiembre, 2015]</w:t>
      </w:r>
    </w:p>
    <w:p>
      <w:pPr>
        <w:spacing w:line="249" w:lineRule="auto" w:before="0"/>
        <w:ind w:left="122" w:right="115" w:firstLine="0"/>
        <w:jc w:val="both"/>
        <w:rPr>
          <w:sz w:val="16"/>
        </w:rPr>
      </w:pPr>
      <w:r>
        <w:rPr>
          <w:rFonts w:ascii="Calibri" w:hAnsi="Calibri"/>
          <w:position w:val="8"/>
          <w:sz w:val="14"/>
        </w:rPr>
        <w:t>133</w:t>
      </w:r>
      <w:r>
        <w:rPr>
          <w:sz w:val="16"/>
        </w:rPr>
        <w:t>La</w:t>
      </w:r>
      <w:r>
        <w:rPr>
          <w:spacing w:val="-4"/>
          <w:sz w:val="16"/>
        </w:rPr>
        <w:t> </w:t>
      </w:r>
      <w:r>
        <w:rPr>
          <w:sz w:val="16"/>
        </w:rPr>
        <w:t>ASF</w:t>
      </w:r>
      <w:r>
        <w:rPr>
          <w:spacing w:val="-4"/>
          <w:sz w:val="16"/>
        </w:rPr>
        <w:t> </w:t>
      </w:r>
      <w:r>
        <w:rPr>
          <w:sz w:val="16"/>
        </w:rPr>
        <w:t>denomina</w:t>
      </w:r>
      <w:r>
        <w:rPr>
          <w:spacing w:val="-4"/>
          <w:sz w:val="16"/>
        </w:rPr>
        <w:t> </w:t>
      </w:r>
      <w:r>
        <w:rPr>
          <w:sz w:val="16"/>
        </w:rPr>
        <w:t>como</w:t>
      </w:r>
      <w:r>
        <w:rPr>
          <w:spacing w:val="-4"/>
          <w:sz w:val="16"/>
        </w:rPr>
        <w:t> </w:t>
      </w:r>
      <w:r>
        <w:rPr>
          <w:sz w:val="16"/>
        </w:rPr>
        <w:t>acción</w:t>
      </w:r>
      <w:r>
        <w:rPr>
          <w:spacing w:val="-5"/>
          <w:sz w:val="16"/>
        </w:rPr>
        <w:t> </w:t>
      </w:r>
      <w:r>
        <w:rPr>
          <w:sz w:val="16"/>
        </w:rPr>
        <w:t>al</w:t>
      </w:r>
      <w:r>
        <w:rPr>
          <w:spacing w:val="-6"/>
          <w:sz w:val="16"/>
        </w:rPr>
        <w:t> </w:t>
      </w:r>
      <w:r>
        <w:rPr>
          <w:sz w:val="16"/>
        </w:rPr>
        <w:t>instrumento</w:t>
      </w:r>
      <w:r>
        <w:rPr>
          <w:spacing w:val="-4"/>
          <w:sz w:val="16"/>
        </w:rPr>
        <w:t> </w:t>
      </w:r>
      <w:r>
        <w:rPr>
          <w:sz w:val="16"/>
        </w:rPr>
        <w:t>jurídico</w:t>
      </w:r>
      <w:r>
        <w:rPr>
          <w:spacing w:val="-4"/>
          <w:sz w:val="16"/>
        </w:rPr>
        <w:t> </w:t>
      </w:r>
      <w:r>
        <w:rPr>
          <w:sz w:val="16"/>
        </w:rPr>
        <w:t>que</w:t>
      </w:r>
      <w:r>
        <w:rPr>
          <w:spacing w:val="-4"/>
          <w:sz w:val="16"/>
        </w:rPr>
        <w:t> </w:t>
      </w:r>
      <w:r>
        <w:rPr>
          <w:sz w:val="16"/>
        </w:rPr>
        <w:t>la</w:t>
      </w:r>
      <w:r>
        <w:rPr>
          <w:spacing w:val="-6"/>
          <w:sz w:val="16"/>
        </w:rPr>
        <w:t> </w:t>
      </w:r>
      <w:r>
        <w:rPr>
          <w:sz w:val="16"/>
        </w:rPr>
        <w:t>misma</w:t>
      </w:r>
      <w:r>
        <w:rPr>
          <w:spacing w:val="-7"/>
          <w:sz w:val="16"/>
        </w:rPr>
        <w:t> </w:t>
      </w:r>
      <w:r>
        <w:rPr>
          <w:sz w:val="16"/>
        </w:rPr>
        <w:t>ASF</w:t>
      </w:r>
      <w:r>
        <w:rPr>
          <w:spacing w:val="-3"/>
          <w:sz w:val="16"/>
        </w:rPr>
        <w:t> </w:t>
      </w:r>
      <w:r>
        <w:rPr>
          <w:sz w:val="16"/>
        </w:rPr>
        <w:t>formula,</w:t>
      </w:r>
      <w:r>
        <w:rPr>
          <w:spacing w:val="-2"/>
          <w:sz w:val="16"/>
        </w:rPr>
        <w:t> </w:t>
      </w:r>
      <w:r>
        <w:rPr>
          <w:sz w:val="16"/>
        </w:rPr>
        <w:t>promueve,</w:t>
      </w:r>
      <w:r>
        <w:rPr>
          <w:spacing w:val="-3"/>
          <w:sz w:val="16"/>
        </w:rPr>
        <w:t> </w:t>
      </w:r>
      <w:r>
        <w:rPr>
          <w:sz w:val="16"/>
        </w:rPr>
        <w:t>presenta</w:t>
      </w:r>
      <w:r>
        <w:rPr>
          <w:spacing w:val="-7"/>
          <w:sz w:val="16"/>
        </w:rPr>
        <w:t> </w:t>
      </w:r>
      <w:r>
        <w:rPr>
          <w:sz w:val="16"/>
        </w:rPr>
        <w:t>o</w:t>
      </w:r>
      <w:r>
        <w:rPr>
          <w:spacing w:val="-4"/>
          <w:sz w:val="16"/>
        </w:rPr>
        <w:t> </w:t>
      </w:r>
      <w:r>
        <w:rPr>
          <w:sz w:val="16"/>
        </w:rPr>
        <w:t>finca</w:t>
      </w:r>
      <w:r>
        <w:rPr>
          <w:spacing w:val="-4"/>
          <w:sz w:val="16"/>
        </w:rPr>
        <w:t> </w:t>
      </w:r>
      <w:r>
        <w:rPr>
          <w:sz w:val="16"/>
        </w:rPr>
        <w:t>ante</w:t>
      </w:r>
      <w:r>
        <w:rPr>
          <w:spacing w:val="-7"/>
          <w:sz w:val="16"/>
        </w:rPr>
        <w:t> </w:t>
      </w:r>
      <w:r>
        <w:rPr>
          <w:sz w:val="16"/>
        </w:rPr>
        <w:t>la entidad fiscalizada o autoridad competente cuando los resultados de las auditorías presentan observaciones. Este término se refiere a lo dispuesto en el artículo 13 de la LFRCF e incluye recomendaciones, recomendaciones al desempeño,</w:t>
      </w:r>
      <w:r>
        <w:rPr>
          <w:spacing w:val="-9"/>
          <w:sz w:val="16"/>
        </w:rPr>
        <w:t> </w:t>
      </w:r>
      <w:r>
        <w:rPr>
          <w:sz w:val="16"/>
        </w:rPr>
        <w:t>solicitudes</w:t>
      </w:r>
      <w:r>
        <w:rPr>
          <w:spacing w:val="-7"/>
          <w:sz w:val="16"/>
        </w:rPr>
        <w:t> </w:t>
      </w:r>
      <w:r>
        <w:rPr>
          <w:sz w:val="16"/>
        </w:rPr>
        <w:t>de</w:t>
      </w:r>
      <w:r>
        <w:rPr>
          <w:spacing w:val="-9"/>
          <w:sz w:val="16"/>
        </w:rPr>
        <w:t> </w:t>
      </w:r>
      <w:r>
        <w:rPr>
          <w:sz w:val="16"/>
        </w:rPr>
        <w:t>aclaración,</w:t>
      </w:r>
      <w:r>
        <w:rPr>
          <w:spacing w:val="-7"/>
          <w:sz w:val="16"/>
        </w:rPr>
        <w:t> </w:t>
      </w:r>
      <w:r>
        <w:rPr>
          <w:sz w:val="16"/>
        </w:rPr>
        <w:t>pliegos</w:t>
      </w:r>
      <w:r>
        <w:rPr>
          <w:spacing w:val="-7"/>
          <w:sz w:val="16"/>
        </w:rPr>
        <w:t> </w:t>
      </w:r>
      <w:r>
        <w:rPr>
          <w:sz w:val="16"/>
        </w:rPr>
        <w:t>de</w:t>
      </w:r>
      <w:r>
        <w:rPr>
          <w:spacing w:val="-9"/>
          <w:sz w:val="16"/>
        </w:rPr>
        <w:t> </w:t>
      </w:r>
      <w:r>
        <w:rPr>
          <w:sz w:val="16"/>
        </w:rPr>
        <w:t>observaciones,</w:t>
      </w:r>
      <w:r>
        <w:rPr>
          <w:spacing w:val="-9"/>
          <w:sz w:val="16"/>
        </w:rPr>
        <w:t> </w:t>
      </w:r>
      <w:r>
        <w:rPr>
          <w:sz w:val="16"/>
        </w:rPr>
        <w:t>finca</w:t>
      </w:r>
      <w:r>
        <w:rPr>
          <w:spacing w:val="-11"/>
          <w:sz w:val="16"/>
        </w:rPr>
        <w:t> </w:t>
      </w:r>
      <w:r>
        <w:rPr>
          <w:sz w:val="16"/>
        </w:rPr>
        <w:t>miento</w:t>
      </w:r>
      <w:r>
        <w:rPr>
          <w:spacing w:val="-9"/>
          <w:sz w:val="16"/>
        </w:rPr>
        <w:t> </w:t>
      </w:r>
      <w:r>
        <w:rPr>
          <w:sz w:val="16"/>
        </w:rPr>
        <w:t>de</w:t>
      </w:r>
      <w:r>
        <w:rPr>
          <w:spacing w:val="-11"/>
          <w:sz w:val="16"/>
        </w:rPr>
        <w:t> </w:t>
      </w:r>
      <w:r>
        <w:rPr>
          <w:sz w:val="16"/>
        </w:rPr>
        <w:t>responsabilidad</w:t>
      </w:r>
      <w:r>
        <w:rPr>
          <w:spacing w:val="-9"/>
          <w:sz w:val="16"/>
        </w:rPr>
        <w:t> </w:t>
      </w:r>
      <w:r>
        <w:rPr>
          <w:sz w:val="16"/>
        </w:rPr>
        <w:t>resarcitoria,</w:t>
      </w:r>
      <w:r>
        <w:rPr>
          <w:spacing w:val="-5"/>
          <w:sz w:val="16"/>
        </w:rPr>
        <w:t> </w:t>
      </w:r>
      <w:r>
        <w:rPr>
          <w:sz w:val="16"/>
        </w:rPr>
        <w:t>denuncias</w:t>
      </w:r>
    </w:p>
    <w:p>
      <w:pPr>
        <w:spacing w:line="240" w:lineRule="auto" w:before="0"/>
        <w:ind w:left="122" w:right="115" w:firstLine="0"/>
        <w:jc w:val="both"/>
        <w:rPr>
          <w:sz w:val="16"/>
        </w:rPr>
      </w:pPr>
      <w:r>
        <w:rPr>
          <w:sz w:val="16"/>
        </w:rPr>
        <w:t>de hechos y de juicio político. Las acciones promovidas son las promociones de intervención de la instancia de control, promociones del ejercicio de la facultad de comprobación fiscal y promociones de responsabilidad administrativa sancionatoria.</w:t>
      </w:r>
    </w:p>
    <w:p>
      <w:pPr>
        <w:spacing w:line="256" w:lineRule="auto" w:before="0"/>
        <w:ind w:left="122" w:right="122" w:firstLine="0"/>
        <w:jc w:val="both"/>
        <w:rPr>
          <w:sz w:val="16"/>
        </w:rPr>
      </w:pPr>
      <w:r>
        <w:rPr>
          <w:rFonts w:ascii="Times New Roman" w:hAnsi="Times New Roman"/>
          <w:position w:val="7"/>
          <w:sz w:val="13"/>
        </w:rPr>
        <w:t>134</w:t>
      </w:r>
      <w:r>
        <w:rPr>
          <w:sz w:val="16"/>
        </w:rPr>
        <w:t>A partir del Informe del Resultado de Revisión y Fiscalización Superior de la Cuenta Pública 2007, la ASF no reporta la promoción de esta acción.</w:t>
      </w:r>
    </w:p>
    <w:p>
      <w:pPr>
        <w:spacing w:after="0" w:line="256" w:lineRule="auto"/>
        <w:jc w:val="both"/>
        <w:rPr>
          <w:sz w:val="16"/>
        </w:rPr>
        <w:sectPr>
          <w:pgSz w:w="11910" w:h="16840"/>
          <w:pgMar w:header="0" w:footer="1003" w:top="1340" w:bottom="1200" w:left="1580" w:right="1580"/>
        </w:sectPr>
      </w:pPr>
    </w:p>
    <w:p>
      <w:pPr>
        <w:pStyle w:val="BodyText"/>
        <w:spacing w:line="360" w:lineRule="auto" w:before="55"/>
        <w:ind w:left="122" w:right="198"/>
        <w:jc w:val="both"/>
      </w:pPr>
      <w:r>
        <w:rPr/>
        <w:t>órganos internos de control del sujeto auditado, y tanto la SFP como cada Órgano Interno de Control pertenecen al mismo poder (Ejecutivo Federal), resulta ser una limitante del Poder Legislativo para cumplir su función conferida por el Estado.</w:t>
      </w:r>
    </w:p>
    <w:p>
      <w:pPr>
        <w:pStyle w:val="BodyText"/>
        <w:spacing w:line="360" w:lineRule="auto" w:before="2"/>
        <w:ind w:left="122" w:right="105" w:firstLine="427"/>
        <w:jc w:val="both"/>
      </w:pPr>
      <w:r>
        <w:rPr/>
        <w:t>Sin</w:t>
      </w:r>
      <w:r>
        <w:rPr>
          <w:spacing w:val="-10"/>
        </w:rPr>
        <w:t> </w:t>
      </w:r>
      <w:r>
        <w:rPr/>
        <w:t>duda,</w:t>
      </w:r>
      <w:r>
        <w:rPr>
          <w:spacing w:val="-10"/>
        </w:rPr>
        <w:t> </w:t>
      </w:r>
      <w:r>
        <w:rPr/>
        <w:t>la</w:t>
      </w:r>
      <w:r>
        <w:rPr>
          <w:spacing w:val="-14"/>
        </w:rPr>
        <w:t> </w:t>
      </w:r>
      <w:r>
        <w:rPr/>
        <w:t>fiscalización</w:t>
      </w:r>
      <w:r>
        <w:rPr>
          <w:spacing w:val="-9"/>
        </w:rPr>
        <w:t> </w:t>
      </w:r>
      <w:r>
        <w:rPr/>
        <w:t>superior</w:t>
      </w:r>
      <w:r>
        <w:rPr>
          <w:spacing w:val="-11"/>
        </w:rPr>
        <w:t> </w:t>
      </w:r>
      <w:r>
        <w:rPr/>
        <w:t>(entendida</w:t>
      </w:r>
      <w:r>
        <w:rPr>
          <w:spacing w:val="-12"/>
        </w:rPr>
        <w:t> </w:t>
      </w:r>
      <w:r>
        <w:rPr/>
        <w:t>como</w:t>
      </w:r>
      <w:r>
        <w:rPr>
          <w:spacing w:val="-12"/>
        </w:rPr>
        <w:t> </w:t>
      </w:r>
      <w:r>
        <w:rPr/>
        <w:t>el</w:t>
      </w:r>
      <w:r>
        <w:rPr>
          <w:spacing w:val="-13"/>
        </w:rPr>
        <w:t> </w:t>
      </w:r>
      <w:r>
        <w:rPr/>
        <w:t>ejercicio</w:t>
      </w:r>
      <w:r>
        <w:rPr>
          <w:spacing w:val="-12"/>
        </w:rPr>
        <w:t> </w:t>
      </w:r>
      <w:r>
        <w:rPr/>
        <w:t>de</w:t>
      </w:r>
      <w:r>
        <w:rPr>
          <w:spacing w:val="-12"/>
        </w:rPr>
        <w:t> </w:t>
      </w:r>
      <w:r>
        <w:rPr/>
        <w:t>revisión</w:t>
      </w:r>
      <w:r>
        <w:rPr>
          <w:spacing w:val="-9"/>
        </w:rPr>
        <w:t> </w:t>
      </w:r>
      <w:r>
        <w:rPr/>
        <w:t>por parte de la ASF) ha tenido avances importantes, pero la rendición de cuentas en conjunto, al sumar los resultados obtenidos por la SFP, distan mucho de un resultado satisfactorio en el combate a la</w:t>
      </w:r>
      <w:r>
        <w:rPr>
          <w:spacing w:val="-17"/>
        </w:rPr>
        <w:t> </w:t>
      </w:r>
      <w:r>
        <w:rPr/>
        <w:t>corrupción.</w:t>
      </w:r>
    </w:p>
    <w:p>
      <w:pPr>
        <w:pStyle w:val="BodyText"/>
        <w:spacing w:line="360" w:lineRule="auto" w:before="2"/>
        <w:ind w:left="122" w:right="202" w:firstLine="427"/>
        <w:jc w:val="both"/>
      </w:pPr>
      <w:r>
        <w:rPr/>
        <w:t>¿Por</w:t>
      </w:r>
      <w:r>
        <w:rPr>
          <w:spacing w:val="-8"/>
        </w:rPr>
        <w:t> </w:t>
      </w:r>
      <w:r>
        <w:rPr/>
        <w:t>qué</w:t>
      </w:r>
      <w:r>
        <w:rPr>
          <w:spacing w:val="-7"/>
        </w:rPr>
        <w:t> </w:t>
      </w:r>
      <w:r>
        <w:rPr/>
        <w:t>los</w:t>
      </w:r>
      <w:r>
        <w:rPr>
          <w:spacing w:val="-7"/>
        </w:rPr>
        <w:t> </w:t>
      </w:r>
      <w:r>
        <w:rPr/>
        <w:t>índices</w:t>
      </w:r>
      <w:r>
        <w:rPr>
          <w:spacing w:val="-8"/>
        </w:rPr>
        <w:t> </w:t>
      </w:r>
      <w:r>
        <w:rPr/>
        <w:t>de</w:t>
      </w:r>
      <w:r>
        <w:rPr>
          <w:spacing w:val="-7"/>
        </w:rPr>
        <w:t> </w:t>
      </w:r>
      <w:r>
        <w:rPr/>
        <w:t>corrupción</w:t>
      </w:r>
      <w:r>
        <w:rPr>
          <w:spacing w:val="-7"/>
        </w:rPr>
        <w:t> </w:t>
      </w:r>
      <w:r>
        <w:rPr/>
        <w:t>en</w:t>
      </w:r>
      <w:r>
        <w:rPr>
          <w:spacing w:val="-7"/>
        </w:rPr>
        <w:t> </w:t>
      </w:r>
      <w:r>
        <w:rPr/>
        <w:t>México</w:t>
      </w:r>
      <w:r>
        <w:rPr>
          <w:spacing w:val="-7"/>
        </w:rPr>
        <w:t> </w:t>
      </w:r>
      <w:r>
        <w:rPr/>
        <w:t>han</w:t>
      </w:r>
      <w:r>
        <w:rPr>
          <w:spacing w:val="-7"/>
        </w:rPr>
        <w:t> </w:t>
      </w:r>
      <w:r>
        <w:rPr/>
        <w:t>aumentado</w:t>
      </w:r>
      <w:r>
        <w:rPr>
          <w:spacing w:val="-7"/>
        </w:rPr>
        <w:t> </w:t>
      </w:r>
      <w:r>
        <w:rPr/>
        <w:t>si</w:t>
      </w:r>
      <w:r>
        <w:rPr>
          <w:spacing w:val="-8"/>
        </w:rPr>
        <w:t> </w:t>
      </w:r>
      <w:r>
        <w:rPr/>
        <w:t>la</w:t>
      </w:r>
      <w:r>
        <w:rPr>
          <w:spacing w:val="-12"/>
        </w:rPr>
        <w:t> </w:t>
      </w:r>
      <w:r>
        <w:rPr/>
        <w:t>rendición de cuentas se lleva a cabo de acuerdo con el marco legal del Estado para las instituciones?</w:t>
      </w:r>
    </w:p>
    <w:p>
      <w:pPr>
        <w:pStyle w:val="BodyText"/>
        <w:spacing w:line="360" w:lineRule="auto" w:before="5"/>
        <w:ind w:left="122" w:right="202" w:firstLine="427"/>
        <w:jc w:val="both"/>
      </w:pPr>
      <w:r>
        <w:rPr/>
        <w:t>Por la idiosincrasia que se heredó de los siglos XIX y XX, la escasa cultura política, la corrupción sofisticada que no es contrarrestada coordinadamente entre</w:t>
      </w:r>
      <w:r>
        <w:rPr>
          <w:spacing w:val="-9"/>
        </w:rPr>
        <w:t> </w:t>
      </w:r>
      <w:r>
        <w:rPr/>
        <w:t>las</w:t>
      </w:r>
      <w:r>
        <w:rPr>
          <w:spacing w:val="-9"/>
        </w:rPr>
        <w:t> </w:t>
      </w:r>
      <w:r>
        <w:rPr/>
        <w:t>instituciones</w:t>
      </w:r>
      <w:r>
        <w:rPr>
          <w:spacing w:val="-12"/>
        </w:rPr>
        <w:t> </w:t>
      </w:r>
      <w:r>
        <w:rPr/>
        <w:t>del</w:t>
      </w:r>
      <w:r>
        <w:rPr>
          <w:spacing w:val="-10"/>
        </w:rPr>
        <w:t> </w:t>
      </w:r>
      <w:r>
        <w:rPr/>
        <w:t>Estado,</w:t>
      </w:r>
      <w:r>
        <w:rPr>
          <w:spacing w:val="-9"/>
        </w:rPr>
        <w:t> </w:t>
      </w:r>
      <w:r>
        <w:rPr/>
        <w:t>el</w:t>
      </w:r>
      <w:r>
        <w:rPr>
          <w:spacing w:val="-10"/>
        </w:rPr>
        <w:t> </w:t>
      </w:r>
      <w:r>
        <w:rPr/>
        <w:t>desequilibrio</w:t>
      </w:r>
      <w:r>
        <w:rPr>
          <w:spacing w:val="-8"/>
        </w:rPr>
        <w:t> </w:t>
      </w:r>
      <w:r>
        <w:rPr/>
        <w:t>de</w:t>
      </w:r>
      <w:r>
        <w:rPr>
          <w:spacing w:val="-8"/>
        </w:rPr>
        <w:t> </w:t>
      </w:r>
      <w:r>
        <w:rPr/>
        <w:t>poderes,</w:t>
      </w:r>
      <w:r>
        <w:rPr>
          <w:spacing w:val="-9"/>
        </w:rPr>
        <w:t> </w:t>
      </w:r>
      <w:r>
        <w:rPr/>
        <w:t>los</w:t>
      </w:r>
      <w:r>
        <w:rPr>
          <w:spacing w:val="-9"/>
        </w:rPr>
        <w:t> </w:t>
      </w:r>
      <w:r>
        <w:rPr/>
        <w:t>intereses</w:t>
      </w:r>
      <w:r>
        <w:rPr>
          <w:spacing w:val="-9"/>
        </w:rPr>
        <w:t> </w:t>
      </w:r>
      <w:r>
        <w:rPr/>
        <w:t>de</w:t>
      </w:r>
      <w:r>
        <w:rPr>
          <w:spacing w:val="-8"/>
        </w:rPr>
        <w:t> </w:t>
      </w:r>
      <w:r>
        <w:rPr/>
        <w:t>la clase política, los grupos de poder que impiden la correcta implementación de las políticas públicas, y el uso de medios de impugnación legales que se han empleado en el Siglo XXI para inhibir la rendición de cuentas, entre</w:t>
      </w:r>
      <w:r>
        <w:rPr>
          <w:spacing w:val="-26"/>
        </w:rPr>
        <w:t> </w:t>
      </w:r>
      <w:r>
        <w:rPr/>
        <w:t>otros.</w:t>
      </w:r>
    </w:p>
    <w:p>
      <w:pPr>
        <w:pStyle w:val="BodyText"/>
        <w:spacing w:line="360" w:lineRule="auto" w:before="5"/>
        <w:ind w:left="122" w:right="195" w:firstLine="427"/>
        <w:jc w:val="both"/>
      </w:pPr>
      <w:r>
        <w:rPr/>
        <w:t>Una paradoja del Siglo XXI entre el discurso de apertura a la rendición de cuentas y su praxis se presentó en materia de transparencia. Aunque el Estado mediante la LFTAI impulsó la transparencia como elemento de la rendición de cuentas, el Poder Ejecutivo interpuso controversias constitucionales</w:t>
      </w:r>
      <w:r>
        <w:rPr>
          <w:position w:val="8"/>
          <w:sz w:val="16"/>
        </w:rPr>
        <w:t>135 </w:t>
      </w:r>
      <w:r>
        <w:rPr/>
        <w:t>para evitar ser fiscalizado en algunas dependencias, fondos y programas.</w:t>
      </w:r>
    </w:p>
    <w:p>
      <w:pPr>
        <w:pStyle w:val="BodyText"/>
        <w:spacing w:line="362" w:lineRule="auto" w:before="2"/>
        <w:ind w:left="122" w:right="198" w:firstLine="427"/>
        <w:jc w:val="both"/>
      </w:pPr>
      <w:r>
        <w:rPr/>
        <w:t>En la Conferencia Nacional de Gobernadores de 2003</w:t>
      </w:r>
      <w:r>
        <w:rPr>
          <w:position w:val="8"/>
          <w:sz w:val="14"/>
        </w:rPr>
        <w:t>136 </w:t>
      </w:r>
      <w:r>
        <w:rPr/>
        <w:t>los asistentes solicitaron a la ASF suspender las auditorías al Ramo 33</w:t>
      </w:r>
      <w:r>
        <w:rPr>
          <w:position w:val="8"/>
          <w:sz w:val="14"/>
        </w:rPr>
        <w:t>137</w:t>
      </w:r>
      <w:r>
        <w:rPr>
          <w:rFonts w:ascii="Calibri" w:hAnsi="Calibri"/>
          <w:position w:val="8"/>
          <w:sz w:val="14"/>
        </w:rPr>
        <w:t>. </w:t>
      </w:r>
      <w:r>
        <w:rPr/>
        <w:t>hasta que no fuera resuelta la controversia87/2003 sobre la fiscalización de recursos federales destinados a Estados y municipios. Para su resolución, la SCJN consideró   las</w:t>
      </w:r>
    </w:p>
    <w:p>
      <w:pPr>
        <w:pStyle w:val="BodyText"/>
        <w:spacing w:before="2"/>
        <w:rPr>
          <w:sz w:val="25"/>
        </w:rPr>
      </w:pPr>
      <w:r>
        <w:rPr/>
        <w:pict>
          <v:line style="position:absolute;mso-position-horizontal-relative:page;mso-position-vertical-relative:paragraph;z-index:9640;mso-wrap-distance-left:0;mso-wrap-distance-right:0" from="85.103996pt,16.809830pt" to="229.123996pt,16.809830pt" stroked="true" strokeweight=".72003pt" strokecolor="#000000">
            <w10:wrap type="topAndBottom"/>
          </v:line>
        </w:pict>
      </w:r>
    </w:p>
    <w:p>
      <w:pPr>
        <w:spacing w:line="254" w:lineRule="auto" w:before="67"/>
        <w:ind w:left="122" w:right="200" w:firstLine="0"/>
        <w:jc w:val="both"/>
        <w:rPr>
          <w:sz w:val="16"/>
        </w:rPr>
      </w:pPr>
      <w:r>
        <w:rPr>
          <w:rFonts w:ascii="Calibri" w:hAnsi="Calibri"/>
          <w:position w:val="8"/>
          <w:sz w:val="14"/>
        </w:rPr>
        <w:t>135</w:t>
      </w:r>
      <w:r>
        <w:rPr>
          <w:sz w:val="16"/>
        </w:rPr>
        <w:t>Las reformas constitucionales de diciembre de 1994 se orientaron a otorgar nuevas atribuciones al Poder Judicial de la</w:t>
      </w:r>
      <w:r>
        <w:rPr>
          <w:spacing w:val="-2"/>
          <w:sz w:val="16"/>
        </w:rPr>
        <w:t> </w:t>
      </w:r>
      <w:r>
        <w:rPr>
          <w:sz w:val="16"/>
        </w:rPr>
        <w:t>Federación</w:t>
      </w:r>
      <w:r>
        <w:rPr>
          <w:spacing w:val="-2"/>
          <w:sz w:val="16"/>
        </w:rPr>
        <w:t> </w:t>
      </w:r>
      <w:r>
        <w:rPr>
          <w:sz w:val="16"/>
        </w:rPr>
        <w:t>y</w:t>
      </w:r>
      <w:r>
        <w:rPr>
          <w:spacing w:val="-5"/>
          <w:sz w:val="16"/>
        </w:rPr>
        <w:t> </w:t>
      </w:r>
      <w:r>
        <w:rPr>
          <w:sz w:val="16"/>
        </w:rPr>
        <w:t>se</w:t>
      </w:r>
      <w:r>
        <w:rPr>
          <w:spacing w:val="-4"/>
          <w:sz w:val="16"/>
        </w:rPr>
        <w:t> </w:t>
      </w:r>
      <w:r>
        <w:rPr>
          <w:sz w:val="16"/>
        </w:rPr>
        <w:t>estableció</w:t>
      </w:r>
      <w:r>
        <w:rPr>
          <w:spacing w:val="-4"/>
          <w:sz w:val="16"/>
        </w:rPr>
        <w:t> </w:t>
      </w:r>
      <w:r>
        <w:rPr>
          <w:sz w:val="16"/>
        </w:rPr>
        <w:t>la</w:t>
      </w:r>
      <w:r>
        <w:rPr>
          <w:spacing w:val="-4"/>
          <w:sz w:val="16"/>
        </w:rPr>
        <w:t> </w:t>
      </w:r>
      <w:r>
        <w:rPr>
          <w:sz w:val="16"/>
        </w:rPr>
        <w:t>Controversia</w:t>
      </w:r>
      <w:r>
        <w:rPr>
          <w:spacing w:val="-2"/>
          <w:sz w:val="16"/>
        </w:rPr>
        <w:t> </w:t>
      </w:r>
      <w:r>
        <w:rPr>
          <w:sz w:val="16"/>
        </w:rPr>
        <w:t>Constitucional</w:t>
      </w:r>
      <w:r>
        <w:rPr>
          <w:spacing w:val="-6"/>
          <w:sz w:val="16"/>
        </w:rPr>
        <w:t> </w:t>
      </w:r>
      <w:r>
        <w:rPr>
          <w:sz w:val="16"/>
        </w:rPr>
        <w:t>como</w:t>
      </w:r>
      <w:r>
        <w:rPr>
          <w:spacing w:val="-4"/>
          <w:sz w:val="16"/>
        </w:rPr>
        <w:t> </w:t>
      </w:r>
      <w:r>
        <w:rPr>
          <w:sz w:val="16"/>
        </w:rPr>
        <w:t>una</w:t>
      </w:r>
      <w:r>
        <w:rPr>
          <w:spacing w:val="-2"/>
          <w:sz w:val="16"/>
        </w:rPr>
        <w:t> </w:t>
      </w:r>
      <w:r>
        <w:rPr>
          <w:sz w:val="16"/>
        </w:rPr>
        <w:t>vía</w:t>
      </w:r>
      <w:r>
        <w:rPr>
          <w:spacing w:val="-2"/>
          <w:sz w:val="16"/>
        </w:rPr>
        <w:t> </w:t>
      </w:r>
      <w:r>
        <w:rPr>
          <w:sz w:val="16"/>
        </w:rPr>
        <w:t>para</w:t>
      </w:r>
      <w:r>
        <w:rPr>
          <w:spacing w:val="-2"/>
          <w:sz w:val="16"/>
        </w:rPr>
        <w:t> </w:t>
      </w:r>
      <w:r>
        <w:rPr>
          <w:sz w:val="16"/>
        </w:rPr>
        <w:t>la</w:t>
      </w:r>
      <w:r>
        <w:rPr>
          <w:spacing w:val="-6"/>
          <w:sz w:val="16"/>
        </w:rPr>
        <w:t> </w:t>
      </w:r>
      <w:r>
        <w:rPr>
          <w:sz w:val="16"/>
        </w:rPr>
        <w:t>solución</w:t>
      </w:r>
      <w:r>
        <w:rPr>
          <w:spacing w:val="-2"/>
          <w:sz w:val="16"/>
        </w:rPr>
        <w:t> </w:t>
      </w:r>
      <w:r>
        <w:rPr>
          <w:sz w:val="16"/>
        </w:rPr>
        <w:t>de</w:t>
      </w:r>
      <w:r>
        <w:rPr>
          <w:spacing w:val="-7"/>
          <w:sz w:val="16"/>
        </w:rPr>
        <w:t> </w:t>
      </w:r>
      <w:r>
        <w:rPr>
          <w:sz w:val="16"/>
        </w:rPr>
        <w:t>conflictos</w:t>
      </w:r>
      <w:r>
        <w:rPr>
          <w:spacing w:val="-5"/>
          <w:sz w:val="16"/>
        </w:rPr>
        <w:t> </w:t>
      </w:r>
      <w:r>
        <w:rPr>
          <w:sz w:val="16"/>
        </w:rPr>
        <w:t>mediante</w:t>
      </w:r>
      <w:r>
        <w:rPr>
          <w:spacing w:val="-4"/>
          <w:sz w:val="16"/>
        </w:rPr>
        <w:t> </w:t>
      </w:r>
      <w:r>
        <w:rPr>
          <w:sz w:val="16"/>
        </w:rPr>
        <w:t>la</w:t>
      </w:r>
      <w:r>
        <w:rPr>
          <w:spacing w:val="-4"/>
          <w:sz w:val="16"/>
        </w:rPr>
        <w:t> </w:t>
      </w:r>
      <w:r>
        <w:rPr>
          <w:sz w:val="16"/>
        </w:rPr>
        <w:t>Ley Reglamentaria</w:t>
      </w:r>
      <w:r>
        <w:rPr>
          <w:spacing w:val="-1"/>
          <w:sz w:val="16"/>
        </w:rPr>
        <w:t> </w:t>
      </w:r>
      <w:r>
        <w:rPr>
          <w:sz w:val="16"/>
        </w:rPr>
        <w:t>de</w:t>
      </w:r>
      <w:r>
        <w:rPr>
          <w:spacing w:val="-1"/>
          <w:sz w:val="16"/>
        </w:rPr>
        <w:t> </w:t>
      </w:r>
      <w:r>
        <w:rPr>
          <w:sz w:val="16"/>
        </w:rPr>
        <w:t>las</w:t>
      </w:r>
      <w:r>
        <w:rPr>
          <w:spacing w:val="-2"/>
          <w:sz w:val="16"/>
        </w:rPr>
        <w:t> </w:t>
      </w:r>
      <w:r>
        <w:rPr>
          <w:sz w:val="16"/>
        </w:rPr>
        <w:t>Fracciones</w:t>
      </w:r>
      <w:r>
        <w:rPr>
          <w:spacing w:val="-2"/>
          <w:sz w:val="16"/>
        </w:rPr>
        <w:t> </w:t>
      </w:r>
      <w:r>
        <w:rPr>
          <w:sz w:val="16"/>
        </w:rPr>
        <w:t>I</w:t>
      </w:r>
      <w:r>
        <w:rPr>
          <w:spacing w:val="-2"/>
          <w:sz w:val="16"/>
        </w:rPr>
        <w:t> </w:t>
      </w:r>
      <w:r>
        <w:rPr>
          <w:sz w:val="16"/>
        </w:rPr>
        <w:t>y</w:t>
      </w:r>
      <w:r>
        <w:rPr>
          <w:spacing w:val="-2"/>
          <w:sz w:val="16"/>
        </w:rPr>
        <w:t> </w:t>
      </w:r>
      <w:r>
        <w:rPr>
          <w:sz w:val="16"/>
        </w:rPr>
        <w:t>II del</w:t>
      </w:r>
      <w:r>
        <w:rPr>
          <w:spacing w:val="-3"/>
          <w:sz w:val="16"/>
        </w:rPr>
        <w:t> </w:t>
      </w:r>
      <w:r>
        <w:rPr>
          <w:sz w:val="16"/>
        </w:rPr>
        <w:t>artículo</w:t>
      </w:r>
      <w:r>
        <w:rPr>
          <w:spacing w:val="-1"/>
          <w:sz w:val="16"/>
        </w:rPr>
        <w:t> </w:t>
      </w:r>
      <w:r>
        <w:rPr>
          <w:sz w:val="16"/>
        </w:rPr>
        <w:t>105</w:t>
      </w:r>
      <w:r>
        <w:rPr>
          <w:spacing w:val="-3"/>
          <w:sz w:val="16"/>
        </w:rPr>
        <w:t> </w:t>
      </w:r>
      <w:r>
        <w:rPr>
          <w:sz w:val="16"/>
        </w:rPr>
        <w:t>de</w:t>
      </w:r>
      <w:r>
        <w:rPr>
          <w:spacing w:val="-1"/>
          <w:sz w:val="16"/>
        </w:rPr>
        <w:t> </w:t>
      </w:r>
      <w:r>
        <w:rPr>
          <w:sz w:val="16"/>
        </w:rPr>
        <w:t>la CPEUM</w:t>
      </w:r>
      <w:r>
        <w:rPr>
          <w:spacing w:val="-5"/>
          <w:sz w:val="16"/>
        </w:rPr>
        <w:t> </w:t>
      </w:r>
      <w:r>
        <w:rPr>
          <w:sz w:val="16"/>
        </w:rPr>
        <w:t>publicada</w:t>
      </w:r>
      <w:r>
        <w:rPr>
          <w:spacing w:val="-1"/>
          <w:sz w:val="16"/>
        </w:rPr>
        <w:t> </w:t>
      </w:r>
      <w:r>
        <w:rPr>
          <w:sz w:val="16"/>
        </w:rPr>
        <w:t>en</w:t>
      </w:r>
      <w:r>
        <w:rPr>
          <w:spacing w:val="-1"/>
          <w:sz w:val="16"/>
        </w:rPr>
        <w:t> </w:t>
      </w:r>
      <w:r>
        <w:rPr>
          <w:sz w:val="16"/>
        </w:rPr>
        <w:t>el</w:t>
      </w:r>
      <w:r>
        <w:rPr>
          <w:spacing w:val="-3"/>
          <w:sz w:val="16"/>
        </w:rPr>
        <w:t> </w:t>
      </w:r>
      <w:r>
        <w:rPr>
          <w:sz w:val="16"/>
        </w:rPr>
        <w:t>DOF</w:t>
      </w:r>
      <w:r>
        <w:rPr>
          <w:spacing w:val="-3"/>
          <w:sz w:val="16"/>
        </w:rPr>
        <w:t> </w:t>
      </w:r>
      <w:r>
        <w:rPr>
          <w:sz w:val="16"/>
        </w:rPr>
        <w:t>el 11</w:t>
      </w:r>
      <w:r>
        <w:rPr>
          <w:spacing w:val="-3"/>
          <w:sz w:val="16"/>
        </w:rPr>
        <w:t> </w:t>
      </w:r>
      <w:r>
        <w:rPr>
          <w:sz w:val="16"/>
        </w:rPr>
        <w:t>de</w:t>
      </w:r>
      <w:r>
        <w:rPr>
          <w:spacing w:val="-3"/>
          <w:sz w:val="16"/>
        </w:rPr>
        <w:t> </w:t>
      </w:r>
      <w:r>
        <w:rPr>
          <w:sz w:val="16"/>
        </w:rPr>
        <w:t>mayo</w:t>
      </w:r>
      <w:r>
        <w:rPr>
          <w:spacing w:val="-1"/>
          <w:sz w:val="16"/>
        </w:rPr>
        <w:t> </w:t>
      </w:r>
      <w:r>
        <w:rPr>
          <w:sz w:val="16"/>
        </w:rPr>
        <w:t>de</w:t>
      </w:r>
      <w:r>
        <w:rPr>
          <w:spacing w:val="-1"/>
          <w:sz w:val="16"/>
        </w:rPr>
        <w:t> </w:t>
      </w:r>
      <w:r>
        <w:rPr>
          <w:sz w:val="16"/>
        </w:rPr>
        <w:t>1995.</w:t>
      </w:r>
    </w:p>
    <w:p>
      <w:pPr>
        <w:tabs>
          <w:tab w:pos="8402" w:val="left" w:leader="none"/>
        </w:tabs>
        <w:spacing w:line="173" w:lineRule="exact" w:before="0"/>
        <w:ind w:left="122" w:right="22" w:firstLine="0"/>
        <w:jc w:val="left"/>
        <w:rPr>
          <w:sz w:val="16"/>
        </w:rPr>
      </w:pPr>
      <w:r>
        <w:rPr>
          <w:sz w:val="16"/>
        </w:rPr>
        <w:t>Disponible</w:t>
        <w:tab/>
        <w:t>en:</w:t>
      </w:r>
    </w:p>
    <w:p>
      <w:pPr>
        <w:tabs>
          <w:tab w:pos="8451" w:val="left" w:leader="none"/>
        </w:tabs>
        <w:spacing w:before="0"/>
        <w:ind w:left="122" w:right="196" w:firstLine="0"/>
        <w:jc w:val="left"/>
        <w:rPr>
          <w:sz w:val="16"/>
        </w:rPr>
      </w:pPr>
      <w:hyperlink r:id="rId213">
        <w:r>
          <w:rPr>
            <w:color w:val="0000FF"/>
            <w:spacing w:val="-1"/>
            <w:sz w:val="16"/>
            <w:u w:val="single" w:color="0000FF"/>
          </w:rPr>
          <w:t>http://www.scjn.gob.mx/conocelacorte/ministra/LA%20CONTROVERSIA%20CONSTITUCIONAL.pdf</w:t>
        </w:r>
        <w:r>
          <w:rPr>
            <w:spacing w:val="-1"/>
            <w:sz w:val="16"/>
          </w:rPr>
          <w:t>[</w:t>
        </w:r>
      </w:hyperlink>
      <w:r>
        <w:rPr>
          <w:spacing w:val="-1"/>
          <w:sz w:val="16"/>
        </w:rPr>
        <w:t>Fecha</w:t>
        <w:tab/>
      </w:r>
      <w:r>
        <w:rPr>
          <w:sz w:val="16"/>
        </w:rPr>
        <w:t>de consulta: 2 de mayo,</w:t>
      </w:r>
      <w:r>
        <w:rPr>
          <w:spacing w:val="-8"/>
          <w:sz w:val="16"/>
        </w:rPr>
        <w:t> </w:t>
      </w:r>
      <w:r>
        <w:rPr>
          <w:sz w:val="16"/>
        </w:rPr>
        <w:t>2015]</w:t>
      </w:r>
    </w:p>
    <w:p>
      <w:pPr>
        <w:spacing w:line="247" w:lineRule="auto" w:before="0"/>
        <w:ind w:left="122" w:right="181" w:firstLine="0"/>
        <w:jc w:val="left"/>
        <w:rPr>
          <w:sz w:val="16"/>
        </w:rPr>
      </w:pPr>
      <w:r>
        <w:rPr>
          <w:rFonts w:ascii="Times New Roman" w:hAnsi="Times New Roman"/>
          <w:position w:val="7"/>
          <w:sz w:val="13"/>
        </w:rPr>
        <w:t>136</w:t>
      </w:r>
      <w:r>
        <w:rPr>
          <w:sz w:val="16"/>
        </w:rPr>
        <w:t>Celebrada en julio de 2003 para organizar una agenda política común entre las entidades federativas de México. </w:t>
      </w:r>
      <w:r>
        <w:rPr>
          <w:rFonts w:ascii="Calibri" w:hAnsi="Calibri"/>
          <w:position w:val="8"/>
          <w:sz w:val="14"/>
        </w:rPr>
        <w:t>137</w:t>
      </w:r>
      <w:r>
        <w:rPr>
          <w:sz w:val="16"/>
        </w:rPr>
        <w:t>De acuerdo con el artículo 25 de la LCF, el Ramo General 33 está integrado por los ocho fondos siguientes: Fondo de Aportaciones para la Educación Básica y Normal (FAEB); Fondo de Aportaciones para los Servicios de Salud (FASSA);</w:t>
      </w:r>
      <w:r>
        <w:rPr>
          <w:spacing w:val="26"/>
          <w:sz w:val="16"/>
        </w:rPr>
        <w:t> </w:t>
      </w:r>
      <w:r>
        <w:rPr>
          <w:sz w:val="16"/>
        </w:rPr>
        <w:t>Fondo</w:t>
      </w:r>
      <w:r>
        <w:rPr>
          <w:spacing w:val="-7"/>
          <w:sz w:val="16"/>
        </w:rPr>
        <w:t> </w:t>
      </w:r>
      <w:r>
        <w:rPr>
          <w:sz w:val="16"/>
        </w:rPr>
        <w:t>de</w:t>
      </w:r>
      <w:r>
        <w:rPr>
          <w:spacing w:val="-12"/>
          <w:sz w:val="16"/>
        </w:rPr>
        <w:t> </w:t>
      </w:r>
      <w:r>
        <w:rPr>
          <w:sz w:val="16"/>
        </w:rPr>
        <w:t>Aportaciones</w:t>
      </w:r>
      <w:r>
        <w:rPr>
          <w:spacing w:val="-10"/>
          <w:sz w:val="16"/>
        </w:rPr>
        <w:t> </w:t>
      </w:r>
      <w:r>
        <w:rPr>
          <w:sz w:val="16"/>
        </w:rPr>
        <w:t>para</w:t>
      </w:r>
      <w:r>
        <w:rPr>
          <w:spacing w:val="-7"/>
          <w:sz w:val="16"/>
        </w:rPr>
        <w:t> </w:t>
      </w:r>
      <w:r>
        <w:rPr>
          <w:sz w:val="16"/>
        </w:rPr>
        <w:t>la</w:t>
      </w:r>
      <w:r>
        <w:rPr>
          <w:spacing w:val="-9"/>
          <w:sz w:val="16"/>
        </w:rPr>
        <w:t> </w:t>
      </w:r>
      <w:r>
        <w:rPr>
          <w:sz w:val="16"/>
        </w:rPr>
        <w:t>Infraestructura</w:t>
      </w:r>
      <w:r>
        <w:rPr>
          <w:spacing w:val="-9"/>
          <w:sz w:val="16"/>
        </w:rPr>
        <w:t> </w:t>
      </w:r>
      <w:r>
        <w:rPr>
          <w:sz w:val="16"/>
        </w:rPr>
        <w:t>Social</w:t>
      </w:r>
      <w:r>
        <w:rPr>
          <w:spacing w:val="-9"/>
          <w:sz w:val="16"/>
        </w:rPr>
        <w:t> </w:t>
      </w:r>
      <w:r>
        <w:rPr>
          <w:sz w:val="16"/>
        </w:rPr>
        <w:t>(FAIS),</w:t>
      </w:r>
      <w:r>
        <w:rPr>
          <w:spacing w:val="-8"/>
          <w:sz w:val="16"/>
        </w:rPr>
        <w:t> </w:t>
      </w:r>
      <w:r>
        <w:rPr>
          <w:sz w:val="16"/>
        </w:rPr>
        <w:t>el</w:t>
      </w:r>
      <w:r>
        <w:rPr>
          <w:spacing w:val="-8"/>
          <w:sz w:val="16"/>
        </w:rPr>
        <w:t> </w:t>
      </w:r>
      <w:r>
        <w:rPr>
          <w:sz w:val="16"/>
        </w:rPr>
        <w:t>Fondo</w:t>
      </w:r>
      <w:r>
        <w:rPr>
          <w:spacing w:val="-9"/>
          <w:sz w:val="16"/>
        </w:rPr>
        <w:t> </w:t>
      </w:r>
      <w:r>
        <w:rPr>
          <w:sz w:val="16"/>
        </w:rPr>
        <w:t>de</w:t>
      </w:r>
      <w:r>
        <w:rPr>
          <w:spacing w:val="-9"/>
          <w:sz w:val="16"/>
        </w:rPr>
        <w:t> </w:t>
      </w:r>
      <w:r>
        <w:rPr>
          <w:sz w:val="16"/>
        </w:rPr>
        <w:t>Aportaciones</w:t>
      </w:r>
      <w:r>
        <w:rPr>
          <w:spacing w:val="-7"/>
          <w:sz w:val="16"/>
        </w:rPr>
        <w:t> </w:t>
      </w:r>
      <w:r>
        <w:rPr>
          <w:sz w:val="16"/>
        </w:rPr>
        <w:t>para</w:t>
      </w:r>
      <w:r>
        <w:rPr>
          <w:spacing w:val="-12"/>
          <w:sz w:val="16"/>
        </w:rPr>
        <w:t> </w:t>
      </w:r>
      <w:r>
        <w:rPr>
          <w:sz w:val="16"/>
        </w:rPr>
        <w:t>el</w:t>
      </w:r>
      <w:r>
        <w:rPr>
          <w:spacing w:val="-4"/>
          <w:sz w:val="16"/>
        </w:rPr>
        <w:t> </w:t>
      </w:r>
      <w:r>
        <w:rPr>
          <w:sz w:val="16"/>
        </w:rPr>
        <w:t>Fortalecimiento de los Municipios y de las Demarcaciones Territoriales del Distrito Federal (FORTAMUN-DF); el Fondo de Aportaciones Múltiples (FAM); el Fondo de Aportaciones para la Educación Tecnológica y de Adultos (FAETA); el Fondo de Aportaciones para la Seguridad Pública delos Estados y del Distrito Federal (FASP) y el Fondo de Aportaciones para el Fortalecimiento de las Entidades Federativas</w:t>
      </w:r>
      <w:r>
        <w:rPr>
          <w:spacing w:val="-17"/>
          <w:sz w:val="16"/>
        </w:rPr>
        <w:t> </w:t>
      </w:r>
      <w:r>
        <w:rPr>
          <w:sz w:val="16"/>
        </w:rPr>
        <w:t>(FAFEF).</w:t>
      </w:r>
    </w:p>
    <w:p>
      <w:pPr>
        <w:spacing w:after="0" w:line="247" w:lineRule="auto"/>
        <w:jc w:val="left"/>
        <w:rPr>
          <w:sz w:val="16"/>
        </w:rPr>
        <w:sectPr>
          <w:pgSz w:w="11910" w:h="16840"/>
          <w:pgMar w:header="0" w:footer="1003" w:top="1340" w:bottom="1200" w:left="1580" w:right="1500"/>
        </w:sectPr>
      </w:pPr>
    </w:p>
    <w:p>
      <w:pPr>
        <w:pStyle w:val="BodyText"/>
        <w:spacing w:line="360" w:lineRule="auto" w:before="55"/>
        <w:ind w:left="122" w:right="196"/>
        <w:jc w:val="both"/>
        <w:rPr>
          <w:sz w:val="14"/>
        </w:rPr>
      </w:pPr>
      <w:r>
        <w:rPr/>
        <w:t>reformas constitucionales de 1999, la Ley de Coordinación Fiscal (LCF) y la LFRCF, entre otras disposiciones. La SCJN concluyó que los fondos federales ejercidos por los municipios pueden ser fiscalizados de manera concurrente.</w:t>
      </w:r>
      <w:r>
        <w:rPr>
          <w:position w:val="8"/>
          <w:sz w:val="14"/>
        </w:rPr>
        <w:t>138</w:t>
      </w:r>
    </w:p>
    <w:p>
      <w:pPr>
        <w:pStyle w:val="BodyText"/>
        <w:spacing w:line="357" w:lineRule="auto" w:before="5"/>
        <w:ind w:left="122" w:right="202" w:firstLine="427"/>
        <w:jc w:val="both"/>
        <w:rPr>
          <w:sz w:val="16"/>
        </w:rPr>
      </w:pPr>
      <w:r>
        <w:rPr/>
        <w:t>Como resultado de otras las controversias constitucionales interpuestas durante la revisión de la Cuenta Pública 2004, la ASF no pudo atender cuatro solicitudes de la CVASF</w:t>
      </w:r>
      <w:r>
        <w:rPr>
          <w:position w:val="8"/>
          <w:sz w:val="16"/>
        </w:rPr>
        <w:t>139 </w:t>
      </w:r>
      <w:r>
        <w:rPr/>
        <w:t>y otras revisiones.</w:t>
      </w:r>
      <w:r>
        <w:rPr>
          <w:position w:val="8"/>
          <w:sz w:val="16"/>
        </w:rPr>
        <w:t>140</w:t>
      </w:r>
    </w:p>
    <w:p>
      <w:pPr>
        <w:pStyle w:val="BodyText"/>
        <w:spacing w:line="360" w:lineRule="auto"/>
        <w:ind w:left="122" w:right="197" w:firstLine="427"/>
        <w:jc w:val="both"/>
      </w:pPr>
      <w:r>
        <w:rPr/>
        <w:t>Debido</w:t>
      </w:r>
      <w:r>
        <w:rPr>
          <w:spacing w:val="-14"/>
        </w:rPr>
        <w:t> </w:t>
      </w:r>
      <w:r>
        <w:rPr/>
        <w:t>a</w:t>
      </w:r>
      <w:r>
        <w:rPr>
          <w:spacing w:val="-12"/>
        </w:rPr>
        <w:t> </w:t>
      </w:r>
      <w:r>
        <w:rPr/>
        <w:t>la</w:t>
      </w:r>
      <w:r>
        <w:rPr>
          <w:spacing w:val="-12"/>
        </w:rPr>
        <w:t> </w:t>
      </w:r>
      <w:r>
        <w:rPr/>
        <w:t>controversia</w:t>
      </w:r>
      <w:r>
        <w:rPr>
          <w:spacing w:val="-12"/>
        </w:rPr>
        <w:t> </w:t>
      </w:r>
      <w:r>
        <w:rPr/>
        <w:t>constitucional</w:t>
      </w:r>
      <w:r>
        <w:rPr>
          <w:spacing w:val="-13"/>
        </w:rPr>
        <w:t> </w:t>
      </w:r>
      <w:r>
        <w:rPr/>
        <w:t>26/99,</w:t>
      </w:r>
      <w:r>
        <w:rPr>
          <w:position w:val="8"/>
          <w:sz w:val="16"/>
        </w:rPr>
        <w:t>141</w:t>
      </w:r>
      <w:r>
        <w:rPr>
          <w:spacing w:val="9"/>
          <w:position w:val="8"/>
          <w:sz w:val="16"/>
        </w:rPr>
        <w:t> </w:t>
      </w:r>
      <w:r>
        <w:rPr/>
        <w:t>el</w:t>
      </w:r>
      <w:r>
        <w:rPr>
          <w:spacing w:val="-13"/>
        </w:rPr>
        <w:t> </w:t>
      </w:r>
      <w:r>
        <w:rPr/>
        <w:t>Poder</w:t>
      </w:r>
      <w:r>
        <w:rPr>
          <w:spacing w:val="-13"/>
        </w:rPr>
        <w:t> </w:t>
      </w:r>
      <w:r>
        <w:rPr/>
        <w:t>Legislativo</w:t>
      </w:r>
      <w:r>
        <w:rPr>
          <w:spacing w:val="-12"/>
        </w:rPr>
        <w:t> </w:t>
      </w:r>
      <w:r>
        <w:rPr/>
        <w:t>reformó el artículo 18 de la LFRCF para ampliar las revisiones de la ASF, por lo que, sin perjuicio del principio de anualidad, la ASF en la actualidad está facultada para revisar</w:t>
      </w:r>
      <w:r>
        <w:rPr>
          <w:spacing w:val="-6"/>
        </w:rPr>
        <w:t> </w:t>
      </w:r>
      <w:r>
        <w:rPr/>
        <w:t>el</w:t>
      </w:r>
      <w:r>
        <w:rPr>
          <w:spacing w:val="-6"/>
        </w:rPr>
        <w:t> </w:t>
      </w:r>
      <w:r>
        <w:rPr/>
        <w:t>cumplimiento</w:t>
      </w:r>
      <w:r>
        <w:rPr>
          <w:spacing w:val="-7"/>
        </w:rPr>
        <w:t> </w:t>
      </w:r>
      <w:r>
        <w:rPr/>
        <w:t>de</w:t>
      </w:r>
      <w:r>
        <w:rPr>
          <w:spacing w:val="-5"/>
        </w:rPr>
        <w:t> </w:t>
      </w:r>
      <w:r>
        <w:rPr/>
        <w:t>los</w:t>
      </w:r>
      <w:r>
        <w:rPr>
          <w:spacing w:val="-5"/>
        </w:rPr>
        <w:t> </w:t>
      </w:r>
      <w:r>
        <w:rPr/>
        <w:t>objetivos</w:t>
      </w:r>
      <w:r>
        <w:rPr>
          <w:spacing w:val="-6"/>
        </w:rPr>
        <w:t> </w:t>
      </w:r>
      <w:r>
        <w:rPr/>
        <w:t>de</w:t>
      </w:r>
      <w:r>
        <w:rPr>
          <w:spacing w:val="-5"/>
        </w:rPr>
        <w:t> </w:t>
      </w:r>
      <w:r>
        <w:rPr/>
        <w:t>los</w:t>
      </w:r>
      <w:r>
        <w:rPr>
          <w:spacing w:val="-8"/>
        </w:rPr>
        <w:t> </w:t>
      </w:r>
      <w:r>
        <w:rPr/>
        <w:t>programas</w:t>
      </w:r>
      <w:r>
        <w:rPr>
          <w:spacing w:val="-8"/>
        </w:rPr>
        <w:t> </w:t>
      </w:r>
      <w:r>
        <w:rPr/>
        <w:t>federales</w:t>
      </w:r>
      <w:r>
        <w:rPr>
          <w:spacing w:val="-6"/>
        </w:rPr>
        <w:t> </w:t>
      </w:r>
      <w:r>
        <w:rPr/>
        <w:t>de</w:t>
      </w:r>
      <w:r>
        <w:rPr>
          <w:spacing w:val="-5"/>
        </w:rPr>
        <w:t> </w:t>
      </w:r>
      <w:r>
        <w:rPr/>
        <w:t>ejercicios anteriores al de la Cuenta Pública en</w:t>
      </w:r>
      <w:r>
        <w:rPr>
          <w:spacing w:val="-20"/>
        </w:rPr>
        <w:t> </w:t>
      </w:r>
      <w:r>
        <w:rPr/>
        <w:t>revisión.</w:t>
      </w:r>
    </w:p>
    <w:p>
      <w:pPr>
        <w:pStyle w:val="BodyText"/>
        <w:spacing w:line="360" w:lineRule="auto" w:before="5"/>
        <w:ind w:left="122" w:right="200" w:firstLine="427"/>
        <w:jc w:val="both"/>
        <w:rPr>
          <w:sz w:val="16"/>
        </w:rPr>
      </w:pPr>
      <w:r>
        <w:rPr/>
        <w:t>La ASF manifestó observar estrictamente las disposiciones legales que la Constitución Federal le confiere para su tarea fundamental de fiscalizar y ha afirmado que las actividades de controversia parecieran “ser una estrategia que tiene como intención acotar la fiscalización superior, cuando ésta tiene carácter universal y no puede aceptar excepción alguna.” </w:t>
      </w:r>
      <w:r>
        <w:rPr>
          <w:position w:val="8"/>
          <w:sz w:val="16"/>
        </w:rPr>
        <w:t>142</w:t>
      </w:r>
    </w:p>
    <w:p>
      <w:pPr>
        <w:pStyle w:val="BodyText"/>
        <w:spacing w:line="360" w:lineRule="auto"/>
        <w:ind w:left="122" w:right="201" w:firstLine="427"/>
        <w:jc w:val="both"/>
      </w:pPr>
      <w:r>
        <w:rPr/>
        <w:t>En 2008 la ASF comentó que cuatro secretarías de Estado impugnaron la función fiscalizadora de la ASF ante la SCJN mediante controversias constitucionales; ante juzgados de distrito (juicios de amparo); y ante la ASF mediante incidentes de nulidad: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9664;mso-wrap-distance-left:0;mso-wrap-distance-right:0" from="85.103996pt,16.07975pt" to="229.123996pt,16.07975pt" stroked="true" strokeweight=".72003pt" strokecolor="#000000">
            <w10:wrap type="topAndBottom"/>
          </v:line>
        </w:pict>
      </w:r>
    </w:p>
    <w:p>
      <w:pPr>
        <w:spacing w:line="302" w:lineRule="auto" w:before="67"/>
        <w:ind w:left="122" w:right="196" w:firstLine="0"/>
        <w:jc w:val="both"/>
        <w:rPr>
          <w:sz w:val="16"/>
        </w:rPr>
      </w:pPr>
      <w:r>
        <w:rPr>
          <w:rFonts w:ascii="Calibri" w:hAnsi="Calibri"/>
          <w:position w:val="8"/>
          <w:sz w:val="14"/>
        </w:rPr>
        <w:t>138</w:t>
      </w:r>
      <w:r>
        <w:rPr>
          <w:sz w:val="16"/>
        </w:rPr>
        <w:t>Las facultades concurrentes se refieren a aquellas que se ejercen simultáneamente por la federación y los Estados, relativas a lo dispuesto en la CPEUM en materia de educación (art. 3), sistema penal (art. 18), vigilancia o amparo de asociaciones</w:t>
      </w:r>
      <w:r>
        <w:rPr>
          <w:spacing w:val="-8"/>
          <w:sz w:val="16"/>
        </w:rPr>
        <w:t> </w:t>
      </w:r>
      <w:r>
        <w:rPr>
          <w:sz w:val="16"/>
        </w:rPr>
        <w:t>de</w:t>
      </w:r>
      <w:r>
        <w:rPr>
          <w:spacing w:val="-12"/>
          <w:sz w:val="16"/>
        </w:rPr>
        <w:t> </w:t>
      </w:r>
      <w:r>
        <w:rPr>
          <w:sz w:val="16"/>
        </w:rPr>
        <w:t>trabajadores</w:t>
      </w:r>
      <w:r>
        <w:rPr>
          <w:spacing w:val="-8"/>
          <w:sz w:val="16"/>
        </w:rPr>
        <w:t> </w:t>
      </w:r>
      <w:r>
        <w:rPr>
          <w:sz w:val="16"/>
        </w:rPr>
        <w:t>(art.</w:t>
      </w:r>
      <w:r>
        <w:rPr>
          <w:spacing w:val="-10"/>
          <w:sz w:val="16"/>
        </w:rPr>
        <w:t> </w:t>
      </w:r>
      <w:r>
        <w:rPr>
          <w:sz w:val="16"/>
        </w:rPr>
        <w:t>28),</w:t>
      </w:r>
      <w:r>
        <w:rPr>
          <w:spacing w:val="-8"/>
          <w:sz w:val="16"/>
        </w:rPr>
        <w:t> </w:t>
      </w:r>
      <w:r>
        <w:rPr>
          <w:sz w:val="16"/>
        </w:rPr>
        <w:t>salubridad</w:t>
      </w:r>
      <w:r>
        <w:rPr>
          <w:spacing w:val="-9"/>
          <w:sz w:val="16"/>
        </w:rPr>
        <w:t> </w:t>
      </w:r>
      <w:r>
        <w:rPr>
          <w:sz w:val="16"/>
        </w:rPr>
        <w:t>(art.</w:t>
      </w:r>
      <w:r>
        <w:rPr>
          <w:spacing w:val="-8"/>
          <w:sz w:val="16"/>
        </w:rPr>
        <w:t> </w:t>
      </w:r>
      <w:r>
        <w:rPr>
          <w:sz w:val="16"/>
        </w:rPr>
        <w:t>73)</w:t>
      </w:r>
      <w:r>
        <w:rPr>
          <w:spacing w:val="-12"/>
          <w:sz w:val="16"/>
        </w:rPr>
        <w:t> </w:t>
      </w:r>
      <w:r>
        <w:rPr>
          <w:sz w:val="16"/>
        </w:rPr>
        <w:t>y</w:t>
      </w:r>
      <w:r>
        <w:rPr>
          <w:spacing w:val="-10"/>
          <w:sz w:val="16"/>
        </w:rPr>
        <w:t> </w:t>
      </w:r>
      <w:r>
        <w:rPr>
          <w:sz w:val="16"/>
        </w:rPr>
        <w:t>expropiaciones</w:t>
      </w:r>
      <w:r>
        <w:rPr>
          <w:spacing w:val="-10"/>
          <w:sz w:val="16"/>
        </w:rPr>
        <w:t> </w:t>
      </w:r>
      <w:r>
        <w:rPr>
          <w:sz w:val="16"/>
        </w:rPr>
        <w:t>(art.</w:t>
      </w:r>
      <w:r>
        <w:rPr>
          <w:spacing w:val="-10"/>
          <w:sz w:val="16"/>
        </w:rPr>
        <w:t> </w:t>
      </w:r>
      <w:r>
        <w:rPr>
          <w:sz w:val="16"/>
        </w:rPr>
        <w:t>27).</w:t>
      </w:r>
      <w:r>
        <w:rPr>
          <w:spacing w:val="-10"/>
          <w:sz w:val="16"/>
        </w:rPr>
        <w:t> </w:t>
      </w:r>
      <w:r>
        <w:rPr>
          <w:sz w:val="16"/>
        </w:rPr>
        <w:t>En</w:t>
      </w:r>
      <w:r>
        <w:rPr>
          <w:spacing w:val="-9"/>
          <w:sz w:val="16"/>
        </w:rPr>
        <w:t> </w:t>
      </w:r>
      <w:r>
        <w:rPr>
          <w:sz w:val="16"/>
        </w:rPr>
        <w:t>la</w:t>
      </w:r>
      <w:r>
        <w:rPr>
          <w:spacing w:val="-11"/>
          <w:sz w:val="16"/>
        </w:rPr>
        <w:t> </w:t>
      </w:r>
      <w:r>
        <w:rPr>
          <w:sz w:val="16"/>
        </w:rPr>
        <w:t>Controversia</w:t>
      </w:r>
      <w:r>
        <w:rPr>
          <w:spacing w:val="-11"/>
          <w:sz w:val="16"/>
        </w:rPr>
        <w:t> </w:t>
      </w:r>
      <w:r>
        <w:rPr>
          <w:sz w:val="16"/>
        </w:rPr>
        <w:t>87/2003</w:t>
      </w:r>
      <w:r>
        <w:rPr>
          <w:spacing w:val="-9"/>
          <w:sz w:val="16"/>
        </w:rPr>
        <w:t> </w:t>
      </w:r>
      <w:r>
        <w:rPr>
          <w:sz w:val="16"/>
        </w:rPr>
        <w:t>la</w:t>
      </w:r>
      <w:r>
        <w:rPr>
          <w:spacing w:val="-11"/>
          <w:sz w:val="16"/>
        </w:rPr>
        <w:t> </w:t>
      </w:r>
      <w:r>
        <w:rPr>
          <w:sz w:val="16"/>
        </w:rPr>
        <w:t>SCJN</w:t>
      </w:r>
    </w:p>
    <w:p>
      <w:pPr>
        <w:spacing w:line="165" w:lineRule="exact" w:before="0"/>
        <w:ind w:left="122" w:right="0" w:firstLine="0"/>
        <w:jc w:val="both"/>
        <w:rPr>
          <w:sz w:val="16"/>
        </w:rPr>
      </w:pPr>
      <w:r>
        <w:rPr>
          <w:sz w:val="16"/>
        </w:rPr>
        <w:t>resolvió como fiscalización concurrente a la revisión de recursos señalados en el artículo 115 fracción IV.</w:t>
      </w:r>
    </w:p>
    <w:p>
      <w:pPr>
        <w:spacing w:line="254" w:lineRule="auto" w:before="22"/>
        <w:ind w:left="122" w:right="196" w:firstLine="0"/>
        <w:jc w:val="both"/>
        <w:rPr>
          <w:sz w:val="16"/>
        </w:rPr>
      </w:pPr>
      <w:r>
        <w:rPr>
          <w:rFonts w:ascii="Calibri" w:hAnsi="Calibri"/>
          <w:position w:val="8"/>
          <w:sz w:val="14"/>
        </w:rPr>
        <w:t>139</w:t>
      </w:r>
      <w:r>
        <w:rPr>
          <w:sz w:val="16"/>
        </w:rPr>
        <w:t>Las cuatro solicitudes de la CVASF no atendidas por controversia sub júdice de la revisión de los ejercicios fiscales de</w:t>
      </w:r>
      <w:r>
        <w:rPr>
          <w:spacing w:val="-7"/>
          <w:sz w:val="16"/>
        </w:rPr>
        <w:t> </w:t>
      </w:r>
      <w:r>
        <w:rPr>
          <w:sz w:val="16"/>
        </w:rPr>
        <w:t>2004</w:t>
      </w:r>
      <w:r>
        <w:rPr>
          <w:spacing w:val="-7"/>
          <w:sz w:val="16"/>
        </w:rPr>
        <w:t> </w:t>
      </w:r>
      <w:r>
        <w:rPr>
          <w:sz w:val="16"/>
        </w:rPr>
        <w:t>y</w:t>
      </w:r>
      <w:r>
        <w:rPr>
          <w:spacing w:val="-8"/>
          <w:sz w:val="16"/>
        </w:rPr>
        <w:t> </w:t>
      </w:r>
      <w:r>
        <w:rPr>
          <w:sz w:val="16"/>
        </w:rPr>
        <w:t>2005</w:t>
      </w:r>
      <w:r>
        <w:rPr>
          <w:spacing w:val="-10"/>
          <w:sz w:val="16"/>
        </w:rPr>
        <w:t> </w:t>
      </w:r>
      <w:r>
        <w:rPr>
          <w:sz w:val="16"/>
        </w:rPr>
        <w:t>fueron:</w:t>
      </w:r>
      <w:r>
        <w:rPr>
          <w:spacing w:val="-8"/>
          <w:sz w:val="16"/>
        </w:rPr>
        <w:t> </w:t>
      </w:r>
      <w:r>
        <w:rPr>
          <w:sz w:val="16"/>
        </w:rPr>
        <w:t>CVASF/LIX-113/0311-12-2003,</w:t>
      </w:r>
      <w:r>
        <w:rPr>
          <w:spacing w:val="-6"/>
          <w:sz w:val="16"/>
        </w:rPr>
        <w:t> </w:t>
      </w:r>
      <w:r>
        <w:rPr>
          <w:sz w:val="16"/>
        </w:rPr>
        <w:t>CVASF/LIX/144/03</w:t>
      </w:r>
      <w:r>
        <w:rPr>
          <w:spacing w:val="-7"/>
          <w:sz w:val="16"/>
        </w:rPr>
        <w:t> </w:t>
      </w:r>
      <w:r>
        <w:rPr>
          <w:sz w:val="16"/>
        </w:rPr>
        <w:t>22-12-2003,</w:t>
      </w:r>
      <w:r>
        <w:rPr>
          <w:spacing w:val="-6"/>
          <w:sz w:val="16"/>
        </w:rPr>
        <w:t> </w:t>
      </w:r>
      <w:r>
        <w:rPr>
          <w:sz w:val="16"/>
        </w:rPr>
        <w:t>CVASF/LIX-157/04</w:t>
      </w:r>
      <w:r>
        <w:rPr>
          <w:spacing w:val="-7"/>
          <w:sz w:val="16"/>
        </w:rPr>
        <w:t> </w:t>
      </w:r>
      <w:r>
        <w:rPr>
          <w:sz w:val="16"/>
        </w:rPr>
        <w:t>11-03-2004, y</w:t>
      </w:r>
      <w:r>
        <w:rPr>
          <w:spacing w:val="-14"/>
          <w:sz w:val="16"/>
        </w:rPr>
        <w:t> </w:t>
      </w:r>
      <w:r>
        <w:rPr>
          <w:sz w:val="16"/>
        </w:rPr>
        <w:t>CVASF/LIX/090/0609/03/2006</w:t>
      </w:r>
    </w:p>
    <w:p>
      <w:pPr>
        <w:spacing w:line="240" w:lineRule="auto" w:before="0"/>
        <w:ind w:left="122" w:right="195" w:firstLine="0"/>
        <w:jc w:val="both"/>
        <w:rPr>
          <w:sz w:val="16"/>
        </w:rPr>
      </w:pPr>
      <w:r>
        <w:rPr>
          <w:sz w:val="16"/>
        </w:rPr>
        <w:t>Disponible</w:t>
      </w:r>
      <w:r>
        <w:rPr>
          <w:spacing w:val="-15"/>
          <w:sz w:val="16"/>
        </w:rPr>
        <w:t> </w:t>
      </w:r>
      <w:r>
        <w:rPr>
          <w:sz w:val="16"/>
        </w:rPr>
        <w:t>en:</w:t>
      </w:r>
      <w:r>
        <w:rPr>
          <w:spacing w:val="-15"/>
          <w:sz w:val="16"/>
        </w:rPr>
        <w:t> </w:t>
      </w:r>
      <w:hyperlink r:id="rId214">
        <w:r>
          <w:rPr>
            <w:sz w:val="16"/>
          </w:rPr>
          <w:t>http://www.asf.gob.mx/Trans/Informes/IR2003i/Indice/Ejecutivo.htm</w:t>
        </w:r>
      </w:hyperlink>
      <w:r>
        <w:rPr>
          <w:spacing w:val="19"/>
          <w:sz w:val="16"/>
        </w:rPr>
        <w:t> </w:t>
      </w:r>
      <w:r>
        <w:rPr>
          <w:sz w:val="16"/>
        </w:rPr>
        <w:t>[Fecha</w:t>
      </w:r>
      <w:r>
        <w:rPr>
          <w:spacing w:val="-15"/>
          <w:sz w:val="16"/>
        </w:rPr>
        <w:t> </w:t>
      </w:r>
      <w:r>
        <w:rPr>
          <w:sz w:val="16"/>
        </w:rPr>
        <w:t>de</w:t>
      </w:r>
      <w:r>
        <w:rPr>
          <w:spacing w:val="-17"/>
          <w:sz w:val="16"/>
        </w:rPr>
        <w:t> </w:t>
      </w:r>
      <w:r>
        <w:rPr>
          <w:sz w:val="16"/>
        </w:rPr>
        <w:t>consulta:</w:t>
      </w:r>
      <w:r>
        <w:rPr>
          <w:spacing w:val="-14"/>
          <w:sz w:val="16"/>
        </w:rPr>
        <w:t> </w:t>
      </w:r>
      <w:r>
        <w:rPr>
          <w:sz w:val="16"/>
        </w:rPr>
        <w:t>27</w:t>
      </w:r>
      <w:r>
        <w:rPr>
          <w:spacing w:val="-15"/>
          <w:sz w:val="16"/>
        </w:rPr>
        <w:t> </w:t>
      </w:r>
      <w:r>
        <w:rPr>
          <w:sz w:val="16"/>
        </w:rPr>
        <w:t>de</w:t>
      </w:r>
      <w:r>
        <w:rPr>
          <w:spacing w:val="-15"/>
          <w:sz w:val="16"/>
        </w:rPr>
        <w:t> </w:t>
      </w:r>
      <w:r>
        <w:rPr>
          <w:sz w:val="16"/>
        </w:rPr>
        <w:t>septiembre 2015]</w:t>
      </w:r>
    </w:p>
    <w:p>
      <w:pPr>
        <w:spacing w:before="0"/>
        <w:ind w:left="122" w:right="110" w:firstLine="0"/>
        <w:jc w:val="both"/>
        <w:rPr>
          <w:sz w:val="16"/>
        </w:rPr>
      </w:pPr>
      <w:r>
        <w:rPr>
          <w:sz w:val="16"/>
        </w:rPr>
        <w:t>140. De la revisión de los ejercicios 2000 a 2004 fueron interpuestas seis controversias constitucionales: 26/99, 42/2004, 61/2004, 84/2004, 74/2005 y 91/2003.</w:t>
      </w:r>
    </w:p>
    <w:p>
      <w:pPr>
        <w:spacing w:before="1"/>
        <w:ind w:left="122" w:right="103" w:firstLine="0"/>
        <w:jc w:val="both"/>
        <w:rPr>
          <w:sz w:val="16"/>
        </w:rPr>
      </w:pPr>
      <w:r>
        <w:rPr>
          <w:sz w:val="16"/>
        </w:rPr>
        <w:t>ASF, Informe del Resultado de la Revisión y Fiscalización Superior de la Cuenta Pública 2002 (2000, Tomo III), 2001 (2003, Tomo X Parte 2: 219-224), 2002 (2004, Tomo X parte 2: 219-224), 2003 (2005, Tomo III: 147-150), 2004 y  2006,</w:t>
      </w:r>
    </w:p>
    <w:p>
      <w:pPr>
        <w:spacing w:before="1"/>
        <w:ind w:left="122" w:right="0" w:firstLine="0"/>
        <w:jc w:val="both"/>
        <w:rPr>
          <w:sz w:val="16"/>
        </w:rPr>
      </w:pPr>
      <w:r>
        <w:rPr>
          <w:sz w:val="16"/>
        </w:rPr>
        <w:t>Tomo de Resultados Generales: 21, 23, 28, 30, 117, 118, 128, 130, 134, 147, 188, 212, 213, 216, 232 y 238, Tomo III</w:t>
      </w:r>
    </w:p>
    <w:p>
      <w:pPr>
        <w:spacing w:line="179" w:lineRule="exact" w:before="1"/>
        <w:ind w:left="122" w:right="0" w:firstLine="0"/>
        <w:jc w:val="both"/>
        <w:rPr>
          <w:sz w:val="16"/>
        </w:rPr>
      </w:pPr>
      <w:r>
        <w:rPr>
          <w:sz w:val="16"/>
        </w:rPr>
        <w:t>Volumen 3: 4-472 y Volumen 4: 16-32 y Tomo X Volumen 3: 354-398).</w:t>
      </w:r>
    </w:p>
    <w:p>
      <w:pPr>
        <w:spacing w:line="247" w:lineRule="auto" w:before="0"/>
        <w:ind w:left="122" w:right="22" w:firstLine="0"/>
        <w:jc w:val="left"/>
        <w:rPr>
          <w:sz w:val="16"/>
        </w:rPr>
      </w:pPr>
      <w:r>
        <w:rPr>
          <w:rFonts w:ascii="Times New Roman" w:hAnsi="Times New Roman"/>
          <w:position w:val="7"/>
          <w:sz w:val="13"/>
        </w:rPr>
        <w:t>141</w:t>
      </w:r>
      <w:r>
        <w:rPr>
          <w:sz w:val="16"/>
        </w:rPr>
        <w:t>Auditoría III.1.8.4.1. Conclusión de la Revisión Practicada por el Auditor Michael W. Mackey Sobre la Evaluación Integral de las Operaciones y Funciones del Fondo Bancario de Protección al Ahorro (FOBAPROA) de 1995 a 1998 </w:t>
      </w:r>
      <w:r>
        <w:rPr>
          <w:rFonts w:ascii="Calibri" w:hAnsi="Calibri"/>
          <w:position w:val="8"/>
          <w:sz w:val="14"/>
        </w:rPr>
        <w:t>142</w:t>
      </w:r>
      <w:r>
        <w:rPr>
          <w:sz w:val="16"/>
        </w:rPr>
        <w:t>Auditoría Superior de la Federación (2008: 7)</w:t>
      </w:r>
    </w:p>
    <w:p>
      <w:pPr>
        <w:spacing w:before="17"/>
        <w:ind w:left="167" w:right="0" w:firstLine="0"/>
        <w:jc w:val="both"/>
        <w:rPr>
          <w:sz w:val="16"/>
        </w:rPr>
      </w:pPr>
      <w:r>
        <w:rPr>
          <w:sz w:val="16"/>
        </w:rPr>
        <w:t>Disponible en: </w:t>
      </w:r>
      <w:hyperlink r:id="rId215">
        <w:r>
          <w:rPr>
            <w:color w:val="0000FF"/>
            <w:sz w:val="16"/>
            <w:u w:val="single" w:color="0000FF"/>
          </w:rPr>
          <w:t>http://www.asf.gob.mx/Trans/Informes/ir2006i/Indice/Ejecutivo.htm</w:t>
        </w:r>
        <w:r>
          <w:rPr>
            <w:sz w:val="16"/>
          </w:rPr>
          <w:t>[</w:t>
        </w:r>
      </w:hyperlink>
      <w:r>
        <w:rPr>
          <w:sz w:val="16"/>
        </w:rPr>
        <w:t>Fecha de consulta: 21 de mayo, 2015]</w:t>
      </w:r>
    </w:p>
    <w:p>
      <w:pPr>
        <w:spacing w:after="0"/>
        <w:jc w:val="both"/>
        <w:rPr>
          <w:sz w:val="16"/>
        </w:rPr>
        <w:sectPr>
          <w:pgSz w:w="11910" w:h="16840"/>
          <w:pgMar w:header="0" w:footer="1003" w:top="1340" w:bottom="1200" w:left="1580" w:right="1500"/>
        </w:sectPr>
      </w:pPr>
    </w:p>
    <w:p>
      <w:pPr>
        <w:pStyle w:val="BodyText"/>
        <w:rPr>
          <w:sz w:val="20"/>
        </w:rPr>
      </w:pPr>
    </w:p>
    <w:p>
      <w:pPr>
        <w:pStyle w:val="BodyText"/>
        <w:spacing w:before="8"/>
        <w:rPr>
          <w:sz w:val="29"/>
        </w:rPr>
      </w:pPr>
    </w:p>
    <w:p>
      <w:pPr>
        <w:spacing w:before="74"/>
        <w:ind w:left="993" w:right="215" w:firstLine="0"/>
        <w:jc w:val="left"/>
        <w:rPr>
          <w:sz w:val="20"/>
        </w:rPr>
      </w:pPr>
      <w:bookmarkStart w:name="_bookmark79" w:id="106"/>
      <w:bookmarkEnd w:id="106"/>
      <w:r>
        <w:rPr/>
      </w:r>
      <w:r>
        <w:rPr>
          <w:sz w:val="20"/>
        </w:rPr>
        <w:t>Cuadro 4. 4. Medios de impugnación a la rendición de cuentas, 2007 y 2008</w:t>
      </w:r>
    </w:p>
    <w:p>
      <w:pPr>
        <w:pStyle w:val="BodyText"/>
        <w:spacing w:before="1"/>
        <w:rPr>
          <w:sz w:val="16"/>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2314"/>
        <w:gridCol w:w="2501"/>
        <w:gridCol w:w="2477"/>
      </w:tblGrid>
      <w:tr>
        <w:trPr>
          <w:trHeight w:val="1171" w:hRule="exact"/>
        </w:trPr>
        <w:tc>
          <w:tcPr>
            <w:tcW w:w="1418" w:type="dxa"/>
            <w:tcBorders>
              <w:top w:val="single" w:sz="17" w:space="0" w:color="D9D9D9"/>
              <w:left w:val="single" w:sz="17" w:space="0" w:color="D9D9D9"/>
              <w:bottom w:val="single" w:sz="17" w:space="0" w:color="D9D9D9"/>
              <w:right w:val="single" w:sz="17" w:space="0" w:color="D9D9D9"/>
            </w:tcBorders>
          </w:tcPr>
          <w:p>
            <w:pPr>
              <w:pStyle w:val="TableParagraph"/>
              <w:rPr>
                <w:sz w:val="14"/>
              </w:rPr>
            </w:pPr>
          </w:p>
          <w:p>
            <w:pPr>
              <w:pStyle w:val="TableParagraph"/>
              <w:rPr>
                <w:sz w:val="14"/>
              </w:rPr>
            </w:pPr>
          </w:p>
          <w:p>
            <w:pPr>
              <w:pStyle w:val="TableParagraph"/>
              <w:spacing w:before="94"/>
              <w:ind w:left="254" w:right="229" w:hanging="8"/>
              <w:rPr>
                <w:b/>
                <w:sz w:val="14"/>
              </w:rPr>
            </w:pPr>
            <w:r>
              <w:rPr>
                <w:b/>
                <w:sz w:val="14"/>
              </w:rPr>
              <w:t>Secretaría de Gobernación</w:t>
            </w:r>
          </w:p>
        </w:tc>
        <w:tc>
          <w:tcPr>
            <w:tcW w:w="2314" w:type="dxa"/>
            <w:tcBorders>
              <w:left w:val="single" w:sz="17" w:space="0" w:color="D9D9D9"/>
            </w:tcBorders>
          </w:tcPr>
          <w:p>
            <w:pPr>
              <w:pStyle w:val="TableParagraph"/>
              <w:spacing w:before="32"/>
              <w:ind w:left="86" w:right="92"/>
              <w:rPr>
                <w:sz w:val="14"/>
              </w:rPr>
            </w:pPr>
            <w:r>
              <w:rPr>
                <w:sz w:val="14"/>
              </w:rPr>
              <w:t>Incidente de Suspensión de la Controversia Constitucional 92/2007, en contra de la auditoría “Programas y Campañas de Comunicación Social del Gobierno Federal”.</w:t>
            </w:r>
          </w:p>
        </w:tc>
        <w:tc>
          <w:tcPr>
            <w:tcW w:w="2501" w:type="dxa"/>
          </w:tcPr>
          <w:p>
            <w:pPr>
              <w:pStyle w:val="TableParagraph"/>
              <w:spacing w:before="32"/>
              <w:ind w:left="103" w:right="151"/>
              <w:rPr>
                <w:sz w:val="14"/>
              </w:rPr>
            </w:pPr>
            <w:r>
              <w:rPr>
                <w:sz w:val="14"/>
              </w:rPr>
              <w:t>Incidente de Suspensión de la Controversia Constitucional 92/2007, en contra de la auditoría “Evaluación del Proceso para el Otorgamiento de Permisos de Sorteos”.</w:t>
            </w:r>
          </w:p>
        </w:tc>
        <w:tc>
          <w:tcPr>
            <w:tcW w:w="2477" w:type="dxa"/>
          </w:tcPr>
          <w:p>
            <w:pPr>
              <w:pStyle w:val="TableParagraph"/>
              <w:spacing w:before="32"/>
              <w:ind w:left="103" w:right="197"/>
              <w:rPr>
                <w:sz w:val="14"/>
              </w:rPr>
            </w:pPr>
            <w:r>
              <w:rPr>
                <w:sz w:val="14"/>
              </w:rPr>
              <w:t>Incidente de Suspensión de la Controversia Constitucional 92/2007, en contra de la auditoría “Evaluación del Proceso para el Otorgamiento de Modificaciones a los Permisos para la Operación de Casas de Juego”.</w:t>
            </w:r>
          </w:p>
        </w:tc>
      </w:tr>
      <w:tr>
        <w:trPr>
          <w:trHeight w:val="1171" w:hRule="exact"/>
        </w:trPr>
        <w:tc>
          <w:tcPr>
            <w:tcW w:w="1418" w:type="dxa"/>
            <w:tcBorders>
              <w:top w:val="single" w:sz="17" w:space="0" w:color="D9D9D9"/>
              <w:left w:val="single" w:sz="17" w:space="0" w:color="D9D9D9"/>
              <w:bottom w:val="single" w:sz="17" w:space="0" w:color="D9D9D9"/>
              <w:right w:val="single" w:sz="17" w:space="0" w:color="D9D9D9"/>
            </w:tcBorders>
          </w:tcPr>
          <w:p>
            <w:pPr>
              <w:pStyle w:val="TableParagraph"/>
              <w:rPr>
                <w:sz w:val="14"/>
              </w:rPr>
            </w:pPr>
          </w:p>
          <w:p>
            <w:pPr>
              <w:pStyle w:val="TableParagraph"/>
              <w:rPr>
                <w:sz w:val="14"/>
              </w:rPr>
            </w:pPr>
          </w:p>
          <w:p>
            <w:pPr>
              <w:pStyle w:val="TableParagraph"/>
              <w:spacing w:before="94"/>
              <w:ind w:left="429" w:right="229" w:hanging="183"/>
              <w:rPr>
                <w:b/>
                <w:sz w:val="14"/>
              </w:rPr>
            </w:pPr>
            <w:r>
              <w:rPr>
                <w:b/>
                <w:sz w:val="14"/>
              </w:rPr>
              <w:t>Secretaría de Energía</w:t>
            </w:r>
          </w:p>
        </w:tc>
        <w:tc>
          <w:tcPr>
            <w:tcW w:w="2314" w:type="dxa"/>
            <w:tcBorders>
              <w:left w:val="single" w:sz="17" w:space="0" w:color="D9D9D9"/>
            </w:tcBorders>
          </w:tcPr>
          <w:p>
            <w:pPr>
              <w:pStyle w:val="TableParagraph"/>
              <w:spacing w:before="34"/>
              <w:ind w:left="86" w:right="88"/>
              <w:rPr>
                <w:sz w:val="14"/>
              </w:rPr>
            </w:pPr>
            <w:r>
              <w:rPr>
                <w:sz w:val="14"/>
              </w:rPr>
              <w:t>Incidente de Suspensión de la Controversia Constitucional 95/2007, en contra de la auditoría “Evaluación del Proceso para el Otorgamiento de Permisos de Estaciones de Carburación de Gas L.P.”</w:t>
            </w:r>
          </w:p>
        </w:tc>
        <w:tc>
          <w:tcPr>
            <w:tcW w:w="2501" w:type="dxa"/>
          </w:tcPr>
          <w:p>
            <w:pPr>
              <w:pStyle w:val="TableParagraph"/>
              <w:spacing w:before="34"/>
              <w:ind w:left="103" w:right="109"/>
              <w:rPr>
                <w:sz w:val="14"/>
              </w:rPr>
            </w:pPr>
            <w:r>
              <w:rPr>
                <w:sz w:val="14"/>
              </w:rPr>
              <w:t>Incidente de Suspensión de la Controversia Constitucional 2/2008, en contra de la auditoría</w:t>
            </w:r>
            <w:r>
              <w:rPr>
                <w:spacing w:val="-15"/>
                <w:sz w:val="14"/>
              </w:rPr>
              <w:t> </w:t>
            </w:r>
            <w:r>
              <w:rPr>
                <w:sz w:val="14"/>
              </w:rPr>
              <w:t>“Evaluación del Proceso para el Otorgamiento de Permisos de Exploración y Explotación de</w:t>
            </w:r>
            <w:r>
              <w:rPr>
                <w:spacing w:val="-12"/>
                <w:sz w:val="14"/>
              </w:rPr>
              <w:t> </w:t>
            </w:r>
            <w:r>
              <w:rPr>
                <w:sz w:val="14"/>
              </w:rPr>
              <w:t>Hidrocarburos”.</w:t>
            </w:r>
          </w:p>
        </w:tc>
        <w:tc>
          <w:tcPr>
            <w:tcW w:w="2477" w:type="dxa"/>
          </w:tcPr>
          <w:p>
            <w:pPr/>
          </w:p>
        </w:tc>
      </w:tr>
      <w:tr>
        <w:trPr>
          <w:trHeight w:val="689" w:hRule="exact"/>
        </w:trPr>
        <w:tc>
          <w:tcPr>
            <w:tcW w:w="1418" w:type="dxa"/>
            <w:tcBorders>
              <w:top w:val="single" w:sz="17" w:space="0" w:color="D9D9D9"/>
              <w:left w:val="single" w:sz="17" w:space="0" w:color="D9D9D9"/>
              <w:bottom w:val="single" w:sz="17" w:space="0" w:color="D9D9D9"/>
              <w:right w:val="single" w:sz="17" w:space="0" w:color="D9D9D9"/>
            </w:tcBorders>
          </w:tcPr>
          <w:p>
            <w:pPr>
              <w:pStyle w:val="TableParagraph"/>
              <w:spacing w:before="15"/>
              <w:ind w:left="88" w:right="86" w:hanging="6"/>
              <w:jc w:val="center"/>
              <w:rPr>
                <w:b/>
                <w:sz w:val="14"/>
              </w:rPr>
            </w:pPr>
            <w:r>
              <w:rPr>
                <w:b/>
                <w:sz w:val="14"/>
              </w:rPr>
              <w:t>Secretaría de Medio Ambiente y Recursos Naturales</w:t>
            </w:r>
          </w:p>
        </w:tc>
        <w:tc>
          <w:tcPr>
            <w:tcW w:w="7293" w:type="dxa"/>
            <w:gridSpan w:val="3"/>
            <w:tcBorders>
              <w:left w:val="single" w:sz="17" w:space="0" w:color="D9D9D9"/>
            </w:tcBorders>
          </w:tcPr>
          <w:p>
            <w:pPr>
              <w:pStyle w:val="TableParagraph"/>
              <w:rPr>
                <w:sz w:val="17"/>
              </w:rPr>
            </w:pPr>
          </w:p>
          <w:p>
            <w:pPr>
              <w:pStyle w:val="TableParagraph"/>
              <w:ind w:left="86" w:right="218"/>
              <w:rPr>
                <w:sz w:val="14"/>
              </w:rPr>
            </w:pPr>
            <w:r>
              <w:rPr>
                <w:sz w:val="14"/>
              </w:rPr>
              <w:t>Controversia Constitucional 3/2008, en contra de la auditoría “Evaluación del Proceso para el Otorgamiento de Certificados Fitosanitarios de Importación”.</w:t>
            </w:r>
          </w:p>
        </w:tc>
      </w:tr>
      <w:tr>
        <w:trPr>
          <w:trHeight w:val="530" w:hRule="exact"/>
        </w:trPr>
        <w:tc>
          <w:tcPr>
            <w:tcW w:w="1418" w:type="dxa"/>
            <w:tcBorders>
              <w:top w:val="single" w:sz="17" w:space="0" w:color="D9D9D9"/>
              <w:left w:val="single" w:sz="17" w:space="0" w:color="D9D9D9"/>
              <w:bottom w:val="single" w:sz="17" w:space="0" w:color="D9D9D9"/>
              <w:right w:val="single" w:sz="17" w:space="0" w:color="D9D9D9"/>
            </w:tcBorders>
          </w:tcPr>
          <w:p>
            <w:pPr>
              <w:pStyle w:val="TableParagraph"/>
              <w:spacing w:before="15"/>
              <w:ind w:left="127" w:right="127" w:hanging="3"/>
              <w:jc w:val="center"/>
              <w:rPr>
                <w:b/>
                <w:sz w:val="14"/>
              </w:rPr>
            </w:pPr>
            <w:r>
              <w:rPr>
                <w:b/>
                <w:sz w:val="14"/>
              </w:rPr>
              <w:t>Secretaría de </w:t>
            </w:r>
            <w:r>
              <w:rPr>
                <w:b/>
                <w:w w:val="95"/>
                <w:sz w:val="14"/>
              </w:rPr>
              <w:t>Comunicaciones </w:t>
            </w:r>
            <w:r>
              <w:rPr>
                <w:b/>
                <w:sz w:val="14"/>
              </w:rPr>
              <w:t>y Transportes</w:t>
            </w:r>
          </w:p>
        </w:tc>
        <w:tc>
          <w:tcPr>
            <w:tcW w:w="7293" w:type="dxa"/>
            <w:gridSpan w:val="3"/>
            <w:tcBorders>
              <w:left w:val="single" w:sz="17" w:space="0" w:color="D9D9D9"/>
            </w:tcBorders>
          </w:tcPr>
          <w:p>
            <w:pPr>
              <w:pStyle w:val="TableParagraph"/>
              <w:spacing w:before="34"/>
              <w:ind w:left="86" w:right="218"/>
              <w:rPr>
                <w:sz w:val="14"/>
              </w:rPr>
            </w:pPr>
            <w:r>
              <w:rPr>
                <w:sz w:val="14"/>
              </w:rPr>
              <w:t>Amparo Indirecto 1545/2007 presentado por la administración Portuaria Integral de Dos Bocas, S.A. de C.V., en contra de la auditoría “Evaluación del Proceso Utilizado para el Otorgamiento de Contratos de Prestación de Servicios Portuarios”.</w:t>
            </w:r>
          </w:p>
        </w:tc>
      </w:tr>
    </w:tbl>
    <w:p>
      <w:pPr>
        <w:pStyle w:val="BodyText"/>
        <w:spacing w:before="1"/>
        <w:rPr>
          <w:sz w:val="13"/>
        </w:rPr>
      </w:pPr>
    </w:p>
    <w:p>
      <w:pPr>
        <w:spacing w:before="1"/>
        <w:ind w:left="122" w:right="215" w:firstLine="0"/>
        <w:jc w:val="left"/>
        <w:rPr>
          <w:sz w:val="12"/>
        </w:rPr>
      </w:pPr>
      <w:r>
        <w:rPr>
          <w:sz w:val="12"/>
        </w:rPr>
        <w:t>FUENTE: Elaboración propia con base en: Auditoría Superior de la Federación (2006: 6-9).</w:t>
      </w:r>
    </w:p>
    <w:p>
      <w:pPr>
        <w:pStyle w:val="BodyText"/>
        <w:rPr>
          <w:sz w:val="12"/>
        </w:rPr>
      </w:pPr>
    </w:p>
    <w:p>
      <w:pPr>
        <w:pStyle w:val="BodyText"/>
        <w:rPr>
          <w:sz w:val="12"/>
        </w:rPr>
      </w:pPr>
    </w:p>
    <w:p>
      <w:pPr>
        <w:pStyle w:val="BodyText"/>
        <w:spacing w:before="10"/>
        <w:rPr>
          <w:sz w:val="13"/>
        </w:rPr>
      </w:pPr>
    </w:p>
    <w:p>
      <w:pPr>
        <w:pStyle w:val="BodyText"/>
        <w:spacing w:line="360" w:lineRule="auto"/>
        <w:ind w:left="122" w:right="357" w:firstLine="427"/>
        <w:jc w:val="both"/>
      </w:pPr>
      <w:r>
        <w:rPr/>
        <w:t>La</w:t>
      </w:r>
      <w:r>
        <w:rPr>
          <w:spacing w:val="-12"/>
        </w:rPr>
        <w:t> </w:t>
      </w:r>
      <w:r>
        <w:rPr/>
        <w:t>ASF</w:t>
      </w:r>
      <w:r>
        <w:rPr>
          <w:spacing w:val="-13"/>
        </w:rPr>
        <w:t> </w:t>
      </w:r>
      <w:r>
        <w:rPr/>
        <w:t>ha</w:t>
      </w:r>
      <w:r>
        <w:rPr>
          <w:spacing w:val="-14"/>
        </w:rPr>
        <w:t> </w:t>
      </w:r>
      <w:r>
        <w:rPr/>
        <w:t>expresado</w:t>
      </w:r>
      <w:r>
        <w:rPr>
          <w:spacing w:val="-14"/>
        </w:rPr>
        <w:t> </w:t>
      </w:r>
      <w:r>
        <w:rPr/>
        <w:t>que</w:t>
      </w:r>
      <w:r>
        <w:rPr>
          <w:spacing w:val="-12"/>
        </w:rPr>
        <w:t> </w:t>
      </w:r>
      <w:r>
        <w:rPr/>
        <w:t>no</w:t>
      </w:r>
      <w:r>
        <w:rPr>
          <w:spacing w:val="-14"/>
        </w:rPr>
        <w:t> </w:t>
      </w:r>
      <w:r>
        <w:rPr/>
        <w:t>pretender</w:t>
      </w:r>
      <w:r>
        <w:rPr>
          <w:spacing w:val="-13"/>
        </w:rPr>
        <w:t> </w:t>
      </w:r>
      <w:r>
        <w:rPr/>
        <w:t>invadir</w:t>
      </w:r>
      <w:r>
        <w:rPr>
          <w:spacing w:val="-14"/>
        </w:rPr>
        <w:t> </w:t>
      </w:r>
      <w:r>
        <w:rPr/>
        <w:t>la</w:t>
      </w:r>
      <w:r>
        <w:rPr>
          <w:spacing w:val="-12"/>
        </w:rPr>
        <w:t> </w:t>
      </w:r>
      <w:r>
        <w:rPr/>
        <w:t>esfera</w:t>
      </w:r>
      <w:r>
        <w:rPr>
          <w:spacing w:val="-14"/>
        </w:rPr>
        <w:t> </w:t>
      </w:r>
      <w:r>
        <w:rPr/>
        <w:t>de</w:t>
      </w:r>
      <w:r>
        <w:rPr>
          <w:spacing w:val="-12"/>
        </w:rPr>
        <w:t> </w:t>
      </w:r>
      <w:r>
        <w:rPr/>
        <w:t>competencias</w:t>
      </w:r>
      <w:r>
        <w:rPr>
          <w:spacing w:val="-12"/>
        </w:rPr>
        <w:t> </w:t>
      </w:r>
      <w:r>
        <w:rPr/>
        <w:t>de los poderes u órganos constitucionalmente autónomos, puesto que su labor es verificar el cumplimiento de las disposiciones legales, reglamentarias, las políticas, criterios y procedimientos que expiden los poderes u órganos autónomos.</w:t>
      </w:r>
    </w:p>
    <w:p>
      <w:pPr>
        <w:pStyle w:val="BodyText"/>
        <w:spacing w:line="360" w:lineRule="auto" w:before="3"/>
        <w:ind w:left="122" w:right="365" w:firstLine="427"/>
        <w:jc w:val="both"/>
      </w:pPr>
      <w:r>
        <w:rPr/>
        <w:t>La institución también mencionó que sus resoluciones son susceptibles de ser revisadas, en última instancia, por el Poder Judicial de la Federación.</w:t>
      </w:r>
    </w:p>
    <w:p>
      <w:pPr>
        <w:pStyle w:val="BodyText"/>
        <w:spacing w:line="360" w:lineRule="auto" w:before="2"/>
        <w:ind w:left="122" w:right="360" w:firstLine="427"/>
        <w:jc w:val="both"/>
        <w:rPr>
          <w:sz w:val="16"/>
        </w:rPr>
      </w:pPr>
      <w:r>
        <w:rPr/>
        <w:t>En febrero de 2008, la SCJN declaró infundada la petición del Presidente Calderón de suspender de manera temporal las auditorías a la Secretaría de Gobernación</w:t>
      </w:r>
      <w:r>
        <w:rPr>
          <w:spacing w:val="-10"/>
        </w:rPr>
        <w:t> </w:t>
      </w:r>
      <w:r>
        <w:rPr/>
        <w:t>(SEGOB)</w:t>
      </w:r>
      <w:r>
        <w:rPr>
          <w:spacing w:val="-12"/>
        </w:rPr>
        <w:t> </w:t>
      </w:r>
      <w:r>
        <w:rPr/>
        <w:t>en</w:t>
      </w:r>
      <w:r>
        <w:rPr>
          <w:spacing w:val="-13"/>
        </w:rPr>
        <w:t> </w:t>
      </w:r>
      <w:r>
        <w:rPr/>
        <w:t>2008.</w:t>
      </w:r>
      <w:r>
        <w:rPr>
          <w:spacing w:val="-11"/>
        </w:rPr>
        <w:t> </w:t>
      </w:r>
      <w:r>
        <w:rPr/>
        <w:t>Por</w:t>
      </w:r>
      <w:r>
        <w:rPr>
          <w:spacing w:val="-12"/>
        </w:rPr>
        <w:t> </w:t>
      </w:r>
      <w:r>
        <w:rPr/>
        <w:t>lo</w:t>
      </w:r>
      <w:r>
        <w:rPr>
          <w:spacing w:val="-11"/>
        </w:rPr>
        <w:t> </w:t>
      </w:r>
      <w:r>
        <w:rPr/>
        <w:t>anterior,</w:t>
      </w:r>
      <w:r>
        <w:rPr>
          <w:spacing w:val="-9"/>
        </w:rPr>
        <w:t> </w:t>
      </w:r>
      <w:r>
        <w:rPr/>
        <w:t>la</w:t>
      </w:r>
      <w:r>
        <w:rPr>
          <w:spacing w:val="-9"/>
        </w:rPr>
        <w:t> </w:t>
      </w:r>
      <w:r>
        <w:rPr/>
        <w:t>CVASF</w:t>
      </w:r>
      <w:r>
        <w:rPr>
          <w:spacing w:val="-12"/>
        </w:rPr>
        <w:t> </w:t>
      </w:r>
      <w:r>
        <w:rPr/>
        <w:t>solicitó</w:t>
      </w:r>
      <w:r>
        <w:rPr>
          <w:spacing w:val="-11"/>
        </w:rPr>
        <w:t> </w:t>
      </w:r>
      <w:r>
        <w:rPr/>
        <w:t>al</w:t>
      </w:r>
      <w:r>
        <w:rPr>
          <w:spacing w:val="-14"/>
        </w:rPr>
        <w:t> </w:t>
      </w:r>
      <w:r>
        <w:rPr/>
        <w:t>gobierno</w:t>
      </w:r>
      <w:r>
        <w:rPr>
          <w:spacing w:val="-11"/>
        </w:rPr>
        <w:t> </w:t>
      </w:r>
      <w:r>
        <w:rPr/>
        <w:t>de Calderón desistir de las controversias constitucionales, sobre todo, las relacionadas con las revisiones a la Secretaría de</w:t>
      </w:r>
      <w:r>
        <w:rPr>
          <w:spacing w:val="-19"/>
        </w:rPr>
        <w:t> </w:t>
      </w:r>
      <w:r>
        <w:rPr/>
        <w:t>Energía.</w:t>
      </w:r>
      <w:r>
        <w:rPr>
          <w:position w:val="8"/>
          <w:sz w:val="16"/>
        </w:rPr>
        <w:t>143</w:t>
      </w:r>
    </w:p>
    <w:p>
      <w:pPr>
        <w:pStyle w:val="BodyText"/>
        <w:rPr>
          <w:sz w:val="36"/>
        </w:rPr>
      </w:pPr>
    </w:p>
    <w:p>
      <w:pPr>
        <w:pStyle w:val="Heading3"/>
        <w:numPr>
          <w:ilvl w:val="2"/>
          <w:numId w:val="69"/>
        </w:numPr>
        <w:tabs>
          <w:tab w:pos="658" w:val="left" w:leader="none"/>
        </w:tabs>
        <w:spacing w:line="240" w:lineRule="auto" w:before="1" w:after="0"/>
        <w:ind w:left="657" w:right="0" w:hanging="535"/>
        <w:jc w:val="left"/>
      </w:pPr>
      <w:r>
        <w:rPr/>
        <w:t>Resultados la Política de Combate a la Corrupción,</w:t>
      </w:r>
      <w:r>
        <w:rPr>
          <w:spacing w:val="-13"/>
        </w:rPr>
        <w:t> </w:t>
      </w:r>
      <w:r>
        <w:rPr/>
        <w:t>1983-2013</w:t>
      </w:r>
    </w:p>
    <w:p>
      <w:pPr>
        <w:pStyle w:val="BodyText"/>
        <w:rPr>
          <w:b/>
        </w:rPr>
      </w:pPr>
    </w:p>
    <w:p>
      <w:pPr>
        <w:pStyle w:val="BodyText"/>
        <w:rPr>
          <w:b/>
        </w:rPr>
      </w:pPr>
    </w:p>
    <w:p>
      <w:pPr>
        <w:pStyle w:val="BodyText"/>
        <w:spacing w:line="360" w:lineRule="auto"/>
        <w:ind w:left="122" w:right="215"/>
      </w:pPr>
      <w:r>
        <w:rPr/>
        <w:t>En el Informe del Resultado de la Revisión de la Cuenta Pública 2011, la auditoría</w:t>
      </w:r>
      <w:r>
        <w:rPr>
          <w:spacing w:val="-17"/>
        </w:rPr>
        <w:t> </w:t>
      </w:r>
      <w:r>
        <w:rPr/>
        <w:t>Evaluación</w:t>
      </w:r>
      <w:r>
        <w:rPr>
          <w:spacing w:val="-18"/>
        </w:rPr>
        <w:t> </w:t>
      </w:r>
      <w:r>
        <w:rPr/>
        <w:t>de</w:t>
      </w:r>
      <w:r>
        <w:rPr>
          <w:spacing w:val="-17"/>
        </w:rPr>
        <w:t> </w:t>
      </w:r>
      <w:r>
        <w:rPr/>
        <w:t>la</w:t>
      </w:r>
      <w:r>
        <w:rPr>
          <w:spacing w:val="-19"/>
        </w:rPr>
        <w:t> </w:t>
      </w:r>
      <w:r>
        <w:rPr/>
        <w:t>Política</w:t>
      </w:r>
      <w:r>
        <w:rPr>
          <w:spacing w:val="-19"/>
        </w:rPr>
        <w:t> </w:t>
      </w:r>
      <w:r>
        <w:rPr/>
        <w:t>de</w:t>
      </w:r>
      <w:r>
        <w:rPr>
          <w:spacing w:val="-19"/>
        </w:rPr>
        <w:t> </w:t>
      </w:r>
      <w:r>
        <w:rPr/>
        <w:t>Combate</w:t>
      </w:r>
      <w:r>
        <w:rPr>
          <w:spacing w:val="-17"/>
        </w:rPr>
        <w:t> </w:t>
      </w:r>
      <w:r>
        <w:rPr/>
        <w:t>a</w:t>
      </w:r>
      <w:r>
        <w:rPr>
          <w:spacing w:val="-19"/>
        </w:rPr>
        <w:t> </w:t>
      </w:r>
      <w:r>
        <w:rPr/>
        <w:t>la</w:t>
      </w:r>
      <w:r>
        <w:rPr>
          <w:spacing w:val="-19"/>
        </w:rPr>
        <w:t> </w:t>
      </w:r>
      <w:r>
        <w:rPr/>
        <w:t>Corrupción</w:t>
      </w:r>
      <w:r>
        <w:rPr>
          <w:spacing w:val="-17"/>
        </w:rPr>
        <w:t> </w:t>
      </w:r>
      <w:r>
        <w:rPr/>
        <w:t>evidenció</w:t>
      </w:r>
      <w:r>
        <w:rPr>
          <w:spacing w:val="-17"/>
        </w:rPr>
        <w:t> </w:t>
      </w:r>
      <w:r>
        <w:rPr/>
        <w:t>algunas</w:t>
      </w: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9688;mso-wrap-distance-left:0;mso-wrap-distance-right:0" from="85.103996pt,9.515868pt" to="229.123996pt,9.515868pt" stroked="true" strokeweight=".71997pt" strokecolor="#000000">
            <w10:wrap type="topAndBottom"/>
          </v:line>
        </w:pict>
      </w:r>
    </w:p>
    <w:p>
      <w:pPr>
        <w:spacing w:before="67"/>
        <w:ind w:left="122" w:right="215" w:firstLine="0"/>
        <w:jc w:val="left"/>
        <w:rPr>
          <w:sz w:val="16"/>
        </w:rPr>
      </w:pPr>
      <w:r>
        <w:rPr>
          <w:rFonts w:ascii="Calibri"/>
          <w:position w:val="8"/>
          <w:sz w:val="14"/>
        </w:rPr>
        <w:t>143</w:t>
      </w:r>
      <w:r>
        <w:rPr>
          <w:sz w:val="16"/>
        </w:rPr>
        <w:t>Disponible en:</w:t>
      </w:r>
    </w:p>
    <w:p>
      <w:pPr>
        <w:spacing w:before="25"/>
        <w:ind w:left="122" w:right="215" w:firstLine="0"/>
        <w:jc w:val="left"/>
        <w:rPr>
          <w:sz w:val="16"/>
        </w:rPr>
      </w:pPr>
      <w:hyperlink r:id="rId216">
        <w:r>
          <w:rPr>
            <w:color w:val="0000FF"/>
            <w:sz w:val="16"/>
            <w:u w:val="single" w:color="0000FF"/>
          </w:rPr>
          <w:t>http://www.proceso.com.mx/?p=196737</w:t>
        </w:r>
        <w:r>
          <w:rPr>
            <w:sz w:val="16"/>
          </w:rPr>
          <w:t>;</w:t>
        </w:r>
      </w:hyperlink>
      <w:r>
        <w:rPr>
          <w:sz w:val="16"/>
        </w:rPr>
        <w:t> </w:t>
      </w:r>
      <w:hyperlink r:id="rId217">
        <w:r>
          <w:rPr>
            <w:color w:val="0000FF"/>
            <w:sz w:val="16"/>
            <w:u w:val="single" w:color="0000FF"/>
          </w:rPr>
          <w:t>http://www.elmanana.com.mx/notas.asp?id=40393</w:t>
        </w:r>
        <w:r>
          <w:rPr>
            <w:sz w:val="16"/>
          </w:rPr>
          <w:t>;</w:t>
        </w:r>
      </w:hyperlink>
      <w:r>
        <w:rPr>
          <w:sz w:val="16"/>
        </w:rPr>
        <w:t> y </w:t>
      </w:r>
      <w:hyperlink r:id="rId218">
        <w:r>
          <w:rPr>
            <w:color w:val="0000FF"/>
            <w:sz w:val="16"/>
            <w:u w:val="single" w:color="0000FF"/>
          </w:rPr>
          <w:t>http://www.elporvenir.com.mx/notas.asp?nota_id=193873</w:t>
        </w:r>
        <w:r>
          <w:rPr>
            <w:sz w:val="16"/>
          </w:rPr>
          <w:t>.</w:t>
        </w:r>
      </w:hyperlink>
      <w:r>
        <w:rPr>
          <w:sz w:val="16"/>
        </w:rPr>
        <w:t> [Fecha de consulta: 27 de septiembre de 2015]</w:t>
      </w:r>
    </w:p>
    <w:p>
      <w:pPr>
        <w:spacing w:after="0"/>
        <w:jc w:val="left"/>
        <w:rPr>
          <w:sz w:val="16"/>
        </w:rPr>
        <w:sectPr>
          <w:pgSz w:w="11910" w:h="16840"/>
          <w:pgMar w:header="0" w:footer="1003" w:top="1580" w:bottom="1200" w:left="1580" w:right="1340"/>
        </w:sectPr>
      </w:pPr>
    </w:p>
    <w:p>
      <w:pPr>
        <w:pStyle w:val="BodyText"/>
        <w:spacing w:line="362" w:lineRule="auto" w:before="55"/>
        <w:ind w:left="122" w:right="52"/>
      </w:pPr>
      <w:r>
        <w:rPr/>
        <w:t>de las causas de los escasos resultados de la política anticorrupción en México en un periodo de 30 años.</w:t>
      </w:r>
    </w:p>
    <w:p>
      <w:pPr>
        <w:pStyle w:val="BodyText"/>
      </w:pPr>
    </w:p>
    <w:p>
      <w:pPr>
        <w:pStyle w:val="BodyText"/>
        <w:spacing w:line="360" w:lineRule="auto" w:before="139"/>
        <w:ind w:left="122" w:right="52" w:firstLine="427"/>
      </w:pPr>
      <w:r>
        <w:rPr/>
        <w:t>La revisión se realizó conforme a los procesos nacionales e internacionales establecidos para el examen de la corrupción</w:t>
      </w:r>
    </w:p>
    <w:p>
      <w:pPr>
        <w:pStyle w:val="BodyText"/>
        <w:spacing w:before="10"/>
        <w:rPr>
          <w:sz w:val="35"/>
        </w:rPr>
      </w:pPr>
    </w:p>
    <w:p>
      <w:pPr>
        <w:pStyle w:val="ListParagraph"/>
        <w:numPr>
          <w:ilvl w:val="3"/>
          <w:numId w:val="69"/>
        </w:numPr>
        <w:tabs>
          <w:tab w:pos="910" w:val="left" w:leader="none"/>
        </w:tabs>
        <w:spacing w:line="240" w:lineRule="auto" w:before="0" w:after="0"/>
        <w:ind w:left="909" w:right="0" w:hanging="360"/>
        <w:jc w:val="left"/>
        <w:rPr>
          <w:sz w:val="16"/>
        </w:rPr>
      </w:pPr>
      <w:r>
        <w:rPr>
          <w:sz w:val="24"/>
        </w:rPr>
        <w:t>Prevención,</w:t>
      </w:r>
      <w:r>
        <w:rPr>
          <w:spacing w:val="-4"/>
          <w:sz w:val="24"/>
        </w:rPr>
        <w:t> </w:t>
      </w:r>
      <w:r>
        <w:rPr>
          <w:position w:val="8"/>
          <w:sz w:val="16"/>
        </w:rPr>
        <w:t>144</w:t>
      </w:r>
    </w:p>
    <w:p>
      <w:pPr>
        <w:pStyle w:val="ListParagraph"/>
        <w:numPr>
          <w:ilvl w:val="3"/>
          <w:numId w:val="69"/>
        </w:numPr>
        <w:tabs>
          <w:tab w:pos="910" w:val="left" w:leader="none"/>
        </w:tabs>
        <w:spacing w:line="240" w:lineRule="auto" w:before="134" w:after="0"/>
        <w:ind w:left="909" w:right="0" w:hanging="360"/>
        <w:jc w:val="left"/>
        <w:rPr>
          <w:sz w:val="16"/>
        </w:rPr>
      </w:pPr>
      <w:r>
        <w:rPr>
          <w:sz w:val="24"/>
        </w:rPr>
        <w:t>detección,</w:t>
      </w:r>
      <w:r>
        <w:rPr>
          <w:position w:val="8"/>
          <w:sz w:val="16"/>
        </w:rPr>
        <w:t>145</w:t>
      </w:r>
    </w:p>
    <w:p>
      <w:pPr>
        <w:pStyle w:val="ListParagraph"/>
        <w:numPr>
          <w:ilvl w:val="3"/>
          <w:numId w:val="69"/>
        </w:numPr>
        <w:tabs>
          <w:tab w:pos="910" w:val="left" w:leader="none"/>
        </w:tabs>
        <w:spacing w:line="240" w:lineRule="auto" w:before="132" w:after="0"/>
        <w:ind w:left="909" w:right="0" w:hanging="360"/>
        <w:jc w:val="left"/>
        <w:rPr>
          <w:sz w:val="16"/>
        </w:rPr>
      </w:pPr>
      <w:r>
        <w:rPr>
          <w:sz w:val="24"/>
        </w:rPr>
        <w:t>procuración de justicia</w:t>
      </w:r>
      <w:r>
        <w:rPr>
          <w:spacing w:val="-10"/>
          <w:sz w:val="24"/>
        </w:rPr>
        <w:t> </w:t>
      </w:r>
      <w:r>
        <w:rPr>
          <w:sz w:val="24"/>
        </w:rPr>
        <w:t>(investigación)</w:t>
      </w:r>
      <w:r>
        <w:rPr>
          <w:position w:val="8"/>
          <w:sz w:val="16"/>
        </w:rPr>
        <w:t>146</w:t>
      </w:r>
    </w:p>
    <w:p>
      <w:pPr>
        <w:pStyle w:val="ListParagraph"/>
        <w:numPr>
          <w:ilvl w:val="3"/>
          <w:numId w:val="69"/>
        </w:numPr>
        <w:tabs>
          <w:tab w:pos="910" w:val="left" w:leader="none"/>
        </w:tabs>
        <w:spacing w:line="240" w:lineRule="auto" w:before="135" w:after="0"/>
        <w:ind w:left="909" w:right="0" w:hanging="360"/>
        <w:jc w:val="left"/>
        <w:rPr>
          <w:sz w:val="16"/>
        </w:rPr>
      </w:pPr>
      <w:r>
        <w:rPr>
          <w:sz w:val="24"/>
        </w:rPr>
        <w:t>impartición de justicia</w:t>
      </w:r>
      <w:r>
        <w:rPr>
          <w:spacing w:val="-9"/>
          <w:sz w:val="24"/>
        </w:rPr>
        <w:t> </w:t>
      </w:r>
      <w:r>
        <w:rPr>
          <w:sz w:val="24"/>
        </w:rPr>
        <w:t>(sanción).</w:t>
      </w:r>
      <w:r>
        <w:rPr>
          <w:position w:val="8"/>
          <w:sz w:val="16"/>
        </w:rPr>
        <w:t>147</w:t>
      </w:r>
    </w:p>
    <w:p>
      <w:pPr>
        <w:pStyle w:val="BodyText"/>
        <w:rPr>
          <w:sz w:val="26"/>
        </w:rPr>
      </w:pPr>
    </w:p>
    <w:p>
      <w:pPr>
        <w:pStyle w:val="BodyText"/>
        <w:rPr>
          <w:sz w:val="22"/>
        </w:rPr>
      </w:pPr>
    </w:p>
    <w:p>
      <w:pPr>
        <w:pStyle w:val="BodyText"/>
        <w:spacing w:line="360" w:lineRule="auto"/>
        <w:ind w:left="122" w:right="52" w:firstLine="427"/>
      </w:pPr>
      <w:r>
        <w:rPr/>
        <w:t>En forma resumida, los procesos comprenden los subprocesos y acciones 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9712;mso-wrap-distance-left:0;mso-wrap-distance-right:0" from="85.103996pt,9.772251pt" to="229.123996pt,9.772251pt" stroked="true" strokeweight=".71997pt" strokecolor="#000000">
            <w10:wrap type="topAndBottom"/>
          </v:line>
        </w:pict>
      </w:r>
    </w:p>
    <w:p>
      <w:pPr>
        <w:spacing w:line="256" w:lineRule="auto" w:before="60"/>
        <w:ind w:left="122" w:right="52" w:firstLine="0"/>
        <w:jc w:val="left"/>
        <w:rPr>
          <w:sz w:val="16"/>
        </w:rPr>
      </w:pPr>
      <w:r>
        <w:rPr>
          <w:rFonts w:ascii="Times New Roman" w:hAnsi="Times New Roman"/>
          <w:position w:val="7"/>
          <w:sz w:val="13"/>
        </w:rPr>
        <w:t>144</w:t>
      </w:r>
      <w:r>
        <w:rPr>
          <w:sz w:val="16"/>
        </w:rPr>
        <w:t>Se orienta a evitar actos de corrupción mediante una administración más efectiva (ordenamientos que reflejan el imperio de la ley).</w:t>
      </w:r>
    </w:p>
    <w:p>
      <w:pPr>
        <w:spacing w:line="196" w:lineRule="exact" w:before="15"/>
        <w:ind w:left="122" w:right="52" w:firstLine="0"/>
        <w:jc w:val="left"/>
        <w:rPr>
          <w:sz w:val="16"/>
        </w:rPr>
      </w:pPr>
      <w:r>
        <w:rPr>
          <w:rFonts w:ascii="Times New Roman" w:hAnsi="Times New Roman"/>
          <w:position w:val="7"/>
          <w:sz w:val="13"/>
        </w:rPr>
        <w:t>145</w:t>
      </w:r>
      <w:r>
        <w:rPr>
          <w:sz w:val="16"/>
        </w:rPr>
        <w:t>Se refiere a descubrir o recoger evidencias o pruebas de las conductas irregulares de los servidores públicos; hacer más efectivos los mecanismos de revisión.</w:t>
      </w:r>
    </w:p>
    <w:p>
      <w:pPr>
        <w:spacing w:line="196" w:lineRule="exact" w:before="20"/>
        <w:ind w:left="122" w:right="116" w:firstLine="0"/>
        <w:jc w:val="left"/>
        <w:rPr>
          <w:sz w:val="16"/>
        </w:rPr>
      </w:pPr>
      <w:r>
        <w:rPr>
          <w:rFonts w:ascii="Times New Roman" w:hAnsi="Times New Roman"/>
          <w:position w:val="7"/>
          <w:sz w:val="13"/>
        </w:rPr>
        <w:t>146</w:t>
      </w:r>
      <w:r>
        <w:rPr>
          <w:sz w:val="16"/>
        </w:rPr>
        <w:t>Se relaciona con el algoritmo acreditación de los delitos cometidos con las pruebas periciales competentes dividido en los aspectos administrativo y penal.</w:t>
      </w:r>
    </w:p>
    <w:p>
      <w:pPr>
        <w:spacing w:line="196" w:lineRule="exact" w:before="22"/>
        <w:ind w:left="122" w:right="52" w:firstLine="0"/>
        <w:jc w:val="left"/>
        <w:rPr>
          <w:sz w:val="16"/>
        </w:rPr>
      </w:pPr>
      <w:r>
        <w:rPr>
          <w:rFonts w:ascii="Times New Roman" w:hAnsi="Times New Roman"/>
          <w:position w:val="7"/>
          <w:sz w:val="13"/>
        </w:rPr>
        <w:t>147</w:t>
      </w:r>
      <w:r>
        <w:rPr>
          <w:sz w:val="16"/>
        </w:rPr>
        <w:t>Preservar el ejercicio de una justicia pronta, expedita e imparcial, comprometida con la sociedad, con la cual se contribuya al continuo desarrollo de la nación.</w:t>
      </w:r>
    </w:p>
    <w:p>
      <w:pPr>
        <w:spacing w:after="0" w:line="196" w:lineRule="exact"/>
        <w:jc w:val="left"/>
        <w:rPr>
          <w:sz w:val="16"/>
        </w:rPr>
        <w:sectPr>
          <w:pgSz w:w="11910" w:h="16840"/>
          <w:pgMar w:header="0" w:footer="1003" w:top="1340" w:bottom="1200" w:left="1580" w:right="1580"/>
        </w:sectPr>
      </w:pPr>
    </w:p>
    <w:p>
      <w:pPr>
        <w:spacing w:before="57"/>
        <w:ind w:left="1721" w:right="0" w:firstLine="0"/>
        <w:jc w:val="left"/>
        <w:rPr>
          <w:sz w:val="20"/>
        </w:rPr>
      </w:pPr>
      <w:bookmarkStart w:name="_bookmark81" w:id="107"/>
      <w:bookmarkEnd w:id="107"/>
      <w:r>
        <w:rPr/>
      </w:r>
      <w:bookmarkStart w:name="_bookmark80" w:id="108"/>
      <w:bookmarkEnd w:id="108"/>
      <w:r>
        <w:rPr/>
      </w:r>
      <w:r>
        <w:rPr>
          <w:sz w:val="20"/>
        </w:rPr>
        <w:t>Esquema 4. 3. Procesos evaluados de la política de combate a la corrupción, 1983-2013</w:t>
      </w:r>
    </w:p>
    <w:p>
      <w:pPr>
        <w:pStyle w:val="BodyText"/>
        <w:rPr>
          <w:sz w:val="20"/>
        </w:rPr>
      </w:pPr>
    </w:p>
    <w:p>
      <w:pPr>
        <w:pStyle w:val="BodyText"/>
        <w:spacing w:before="3"/>
        <w:rPr>
          <w:sz w:val="28"/>
        </w:rPr>
      </w:pPr>
      <w:r>
        <w:rPr/>
        <w:pict>
          <v:shape style="position:absolute;margin-left:150.29425pt;margin-top:18.393883pt;width:331.95pt;height:17.95pt;mso-position-horizontal-relative:page;mso-position-vertical-relative:paragraph;z-index:9736;mso-wrap-distance-left:0;mso-wrap-distance-right:0" type="#_x0000_t202" filled="true" fillcolor="#000000" stroked="true" strokeweight=".208121pt" strokecolor="#4f81bc">
            <v:textbox inset="0,0,0,0">
              <w:txbxContent>
                <w:p>
                  <w:pPr>
                    <w:spacing w:before="63"/>
                    <w:ind w:left="1740" w:right="0" w:firstLine="0"/>
                    <w:jc w:val="left"/>
                    <w:rPr>
                      <w:b/>
                      <w:sz w:val="17"/>
                    </w:rPr>
                  </w:pPr>
                  <w:r>
                    <w:rPr>
                      <w:b/>
                      <w:color w:val="FFFFFF"/>
                      <w:w w:val="80"/>
                      <w:sz w:val="17"/>
                    </w:rPr>
                    <w:t>Pocesos de la política de combate a la corrupción</w:t>
                  </w:r>
                </w:p>
              </w:txbxContent>
            </v:textbox>
            <v:fill type="solid"/>
            <w10:wrap type="topAndBottom"/>
          </v:shape>
        </w:pict>
      </w:r>
    </w:p>
    <w:p>
      <w:pPr>
        <w:pStyle w:val="BodyText"/>
        <w:rPr>
          <w:sz w:val="20"/>
        </w:rPr>
      </w:pPr>
    </w:p>
    <w:p>
      <w:pPr>
        <w:pStyle w:val="BodyText"/>
        <w:rPr>
          <w:sz w:val="20"/>
        </w:rPr>
      </w:pPr>
    </w:p>
    <w:p>
      <w:pPr>
        <w:pStyle w:val="BodyText"/>
        <w:spacing w:before="10"/>
        <w:rPr>
          <w:sz w:val="28"/>
        </w:rPr>
      </w:pPr>
    </w:p>
    <w:p>
      <w:pPr>
        <w:tabs>
          <w:tab w:pos="3080" w:val="left" w:leader="none"/>
          <w:tab w:pos="5754" w:val="left" w:leader="none"/>
          <w:tab w:pos="8326" w:val="left" w:leader="none"/>
        </w:tabs>
        <w:spacing w:line="240" w:lineRule="auto"/>
        <w:ind w:left="367" w:right="0" w:firstLine="0"/>
        <w:rPr>
          <w:sz w:val="20"/>
        </w:rPr>
      </w:pPr>
      <w:r>
        <w:rPr>
          <w:position w:val="21"/>
          <w:sz w:val="20"/>
        </w:rPr>
        <w:pict>
          <v:shape style="width:106.05pt;height:20.85pt;mso-position-horizontal-relative:char;mso-position-vertical-relative:line" type="#_x0000_t202" filled="true" fillcolor="#000000" stroked="false">
            <w10:anchorlock/>
            <v:textbox inset="0,0,0,0">
              <w:txbxContent>
                <w:p>
                  <w:pPr>
                    <w:spacing w:before="106"/>
                    <w:ind w:left="701" w:right="0" w:firstLine="0"/>
                    <w:jc w:val="left"/>
                    <w:rPr>
                      <w:b/>
                      <w:sz w:val="17"/>
                    </w:rPr>
                  </w:pPr>
                  <w:r>
                    <w:rPr>
                      <w:b/>
                      <w:color w:val="FFFFFF"/>
                      <w:sz w:val="17"/>
                    </w:rPr>
                    <w:t>Prevención</w:t>
                  </w:r>
                </w:p>
              </w:txbxContent>
            </v:textbox>
            <v:fill type="solid"/>
          </v:shape>
        </w:pict>
      </w:r>
      <w:r>
        <w:rPr>
          <w:position w:val="21"/>
          <w:sz w:val="20"/>
        </w:rPr>
      </w:r>
      <w:r>
        <w:rPr>
          <w:position w:val="21"/>
          <w:sz w:val="20"/>
        </w:rPr>
        <w:tab/>
      </w:r>
      <w:r>
        <w:rPr>
          <w:position w:val="17"/>
          <w:sz w:val="20"/>
        </w:rPr>
        <w:pict>
          <v:shape style="width:106.55pt;height:21.25pt;mso-position-horizontal-relative:char;mso-position-vertical-relative:line" type="#_x0000_t202" filled="true" fillcolor="#000000" stroked="false">
            <w10:anchorlock/>
            <v:textbox inset="0,0,0,0">
              <w:txbxContent>
                <w:p>
                  <w:pPr>
                    <w:spacing w:before="111"/>
                    <w:ind w:left="638" w:right="639" w:firstLine="0"/>
                    <w:jc w:val="center"/>
                    <w:rPr>
                      <w:b/>
                      <w:sz w:val="17"/>
                    </w:rPr>
                  </w:pPr>
                  <w:r>
                    <w:rPr>
                      <w:b/>
                      <w:color w:val="FFFFFF"/>
                      <w:sz w:val="17"/>
                    </w:rPr>
                    <w:t>Detección</w:t>
                  </w:r>
                </w:p>
              </w:txbxContent>
            </v:textbox>
            <v:fill type="solid"/>
          </v:shape>
        </w:pict>
      </w:r>
      <w:r>
        <w:rPr>
          <w:position w:val="17"/>
          <w:sz w:val="20"/>
        </w:rPr>
      </w:r>
      <w:r>
        <w:rPr>
          <w:position w:val="17"/>
          <w:sz w:val="20"/>
        </w:rPr>
        <w:tab/>
      </w:r>
      <w:r>
        <w:rPr>
          <w:position w:val="2"/>
          <w:sz w:val="20"/>
        </w:rPr>
        <w:pict>
          <v:shape style="width:104.95pt;height:28.95pt;mso-position-horizontal-relative:char;mso-position-vertical-relative:line" type="#_x0000_t202" filled="true" fillcolor="#000000" stroked="true" strokeweight=".618375pt" strokecolor="#005da1">
            <w10:anchorlock/>
            <v:textbox inset="0,0,0,0">
              <w:txbxContent>
                <w:p>
                  <w:pPr>
                    <w:spacing w:line="247" w:lineRule="auto" w:before="59"/>
                    <w:ind w:left="574" w:right="0" w:hanging="263"/>
                    <w:jc w:val="left"/>
                    <w:rPr>
                      <w:b/>
                      <w:sz w:val="17"/>
                    </w:rPr>
                  </w:pPr>
                  <w:r>
                    <w:rPr>
                      <w:b/>
                      <w:color w:val="FFFFFF"/>
                      <w:w w:val="80"/>
                      <w:sz w:val="17"/>
                    </w:rPr>
                    <w:t>Procuración de justicia </w:t>
                  </w:r>
                  <w:r>
                    <w:rPr>
                      <w:b/>
                      <w:color w:val="FFFFFF"/>
                      <w:w w:val="95"/>
                      <w:sz w:val="17"/>
                    </w:rPr>
                    <w:t>(Investigación)</w:t>
                  </w:r>
                </w:p>
              </w:txbxContent>
            </v:textbox>
            <v:fill type="solid"/>
          </v:shape>
        </w:pict>
      </w:r>
      <w:r>
        <w:rPr>
          <w:position w:val="2"/>
          <w:sz w:val="20"/>
        </w:rPr>
      </w:r>
      <w:r>
        <w:rPr>
          <w:position w:val="2"/>
          <w:sz w:val="20"/>
        </w:rPr>
        <w:tab/>
      </w:r>
      <w:r>
        <w:rPr>
          <w:sz w:val="20"/>
        </w:rPr>
        <w:pict>
          <v:shape style="width:104.95pt;height:28.95pt;mso-position-horizontal-relative:char;mso-position-vertical-relative:line" type="#_x0000_t202" filled="true" fillcolor="#000000" stroked="true" strokeweight=".618375pt" strokecolor="#005da1">
            <w10:anchorlock/>
            <v:textbox inset="0,0,0,0">
              <w:txbxContent>
                <w:p>
                  <w:pPr>
                    <w:spacing w:line="247" w:lineRule="auto" w:before="59"/>
                    <w:ind w:left="574" w:right="0" w:hanging="232"/>
                    <w:jc w:val="left"/>
                    <w:rPr>
                      <w:b/>
                      <w:sz w:val="17"/>
                    </w:rPr>
                  </w:pPr>
                  <w:r>
                    <w:rPr>
                      <w:b/>
                      <w:color w:val="FFFFFF"/>
                      <w:w w:val="80"/>
                      <w:sz w:val="17"/>
                    </w:rPr>
                    <w:t>Impartición de justicia </w:t>
                  </w:r>
                  <w:r>
                    <w:rPr>
                      <w:b/>
                      <w:color w:val="FFFFFF"/>
                      <w:w w:val="95"/>
                      <w:sz w:val="17"/>
                    </w:rPr>
                    <w:t>(Investigación)</w:t>
                  </w:r>
                </w:p>
              </w:txbxContent>
            </v:textbox>
            <v:fill type="solid"/>
          </v:shape>
        </w:pict>
      </w:r>
      <w:r>
        <w:rPr>
          <w:sz w:val="20"/>
        </w:rPr>
      </w:r>
    </w:p>
    <w:p>
      <w:pPr>
        <w:spacing w:after="0" w:line="240" w:lineRule="auto"/>
        <w:rPr>
          <w:sz w:val="20"/>
        </w:rPr>
        <w:sectPr>
          <w:pgSz w:w="11910" w:h="16840"/>
          <w:pgMar w:header="0" w:footer="1003" w:top="1340" w:bottom="1200" w:left="300" w:right="380"/>
        </w:sectPr>
      </w:pPr>
    </w:p>
    <w:p>
      <w:pPr>
        <w:spacing w:line="249" w:lineRule="auto" w:before="25"/>
        <w:ind w:left="3041" w:right="322" w:firstLine="0"/>
        <w:jc w:val="left"/>
        <w:rPr>
          <w:sz w:val="15"/>
        </w:rPr>
      </w:pPr>
      <w:r>
        <w:rPr/>
        <w:pict>
          <v:group style="position:absolute;margin-left:20.16pt;margin-top:-104.106491pt;width:550.2pt;height:514.35pt;mso-position-horizontal-relative:page;mso-position-vertical-relative:paragraph;z-index:-346024" coordorigin="403,-2082" coordsize="11004,10287">
            <v:shape style="position:absolute;left:403;top:-2082;width:11004;height:10286" type="#_x0000_t75" stroked="false">
              <v:imagedata r:id="rId219" o:title=""/>
            </v:shape>
            <v:shape style="position:absolute;left:487;top:-2025;width:10836;height:10085" type="#_x0000_t75" stroked="false">
              <v:imagedata r:id="rId220" o:title=""/>
            </v:shape>
            <v:rect style="position:absolute;left:487;top:-2058;width:10822;height:10083" filled="true" fillcolor="#d9d9d9" stroked="false">
              <v:fill type="solid"/>
            </v:rect>
            <v:shape style="position:absolute;left:1450;top:2041;width:12574;height:550" coordorigin="1450,2041" coordsize="12574,550" path="m1451,-1238l9813,-1178m1472,-1142l1472,-761m9804,-1194l9804,-769e" filled="false" stroked="true" strokeweight=".735633pt" strokecolor="#005da1">
              <v:path arrowok="t"/>
            </v:shape>
            <v:rect style="position:absolute;left:3006;top:-1835;width:6638;height:358" filled="true" fillcolor="#000000" stroked="false">
              <v:fill type="solid"/>
            </v:rect>
            <v:shape style="position:absolute;left:572;top:-761;width:5071;height:8676" coordorigin="572,-761" coordsize="5071,8676" path="m2802,2389l572,2389,572,7915,2802,7915,2802,2389m5643,-761l3245,-761,3245,1335,5643,1335,5643,-761e" filled="true" fillcolor="#ffffff" stroked="false">
              <v:path arrowok="t"/>
              <v:fill type="solid"/>
            </v:shape>
            <v:rect style="position:absolute;left:3245;top:-761;width:2397;height:2097" filled="false" stroked="true" strokeweight=".187146pt" strokecolor="#005da1"/>
            <v:rect style="position:absolute;left:5932;top:-736;width:2357;height:2097" filled="true" fillcolor="#ffffff" stroked="false">
              <v:fill type="solid"/>
            </v:rect>
            <v:rect style="position:absolute;left:5932;top:-736;width:2357;height:2097" filled="false" stroked="true" strokeweight=".186744pt" strokecolor="#005da1"/>
            <v:rect style="position:absolute;left:593;top:-761;width:2289;height:2655" filled="true" fillcolor="#ffffff" stroked="false">
              <v:fill type="solid"/>
            </v:rect>
            <v:rect style="position:absolute;left:593;top:-761;width:2289;height:2655" filled="false" stroked="true" strokeweight=".180333pt" strokecolor="#005da1"/>
            <v:shape style="position:absolute;left:1175;top:1691;width:918;height:627" type="#_x0000_t75" stroked="false">
              <v:imagedata r:id="rId221" o:title=""/>
            </v:shape>
            <v:shape style="position:absolute;left:4043;top:1133;width:771;height:1185" type="#_x0000_t75" stroked="false">
              <v:imagedata r:id="rId222" o:title=""/>
            </v:shape>
            <v:shape style="position:absolute;left:6800;top:1208;width:741;height:1085" type="#_x0000_t75" stroked="false">
              <v:imagedata r:id="rId223" o:title=""/>
            </v:shape>
            <v:rect style="position:absolute;left:3111;top:2343;width:2231;height:5559" filled="true" fillcolor="#ffffff" stroked="false">
              <v:fill type="solid"/>
            </v:rect>
            <v:rect style="position:absolute;left:8522;top:-769;width:2357;height:2097" filled="true" fillcolor="#ffffff" stroked="false">
              <v:fill type="solid"/>
            </v:rect>
            <v:rect style="position:absolute;left:8522;top:-769;width:2357;height:2097" filled="false" stroked="true" strokeweight=".186744pt" strokecolor="#005da1"/>
            <v:rect style="position:absolute;left:6047;top:2343;width:2238;height:5430" filled="true" fillcolor="#ffffff" stroked="false">
              <v:fill type="solid"/>
            </v:rect>
            <v:shape style="position:absolute;left:9470;top:1213;width:741;height:1085" type="#_x0000_t75" stroked="false">
              <v:imagedata r:id="rId224" o:title=""/>
            </v:shape>
            <v:rect style="position:absolute;left:8768;top:2318;width:2231;height:5442" filled="true" fillcolor="#ffffff" stroked="false">
              <v:fill type="solid"/>
            </v:rect>
            <v:shape style="position:absolute;left:6036;top:2096;width:4184;height:572" coordorigin="6036,2096" coordsize="4184,572" path="m7283,-1163l7283,-695m4501,-1190l4501,-707e" filled="false" stroked="true" strokeweight=".735633pt" strokecolor="#005da1">
              <v:path arrowok="t"/>
            </v:shape>
            <w10:wrap type="none"/>
          </v:group>
        </w:pict>
      </w:r>
      <w:r>
        <w:rPr/>
        <w:pict>
          <v:shape style="position:absolute;margin-left:29.627211pt;margin-top:-38.05785pt;width:114.45pt;height:132.75pt;mso-position-horizontal-relative:page;mso-position-vertical-relative:paragraph;z-index:-346000" type="#_x0000_t202" filled="false" stroked="false">
            <v:textbox inset="0,0,0,0">
              <w:txbxContent>
                <w:p>
                  <w:pPr>
                    <w:pStyle w:val="BodyText"/>
                    <w:rPr>
                      <w:sz w:val="16"/>
                    </w:rPr>
                  </w:pPr>
                </w:p>
                <w:p>
                  <w:pPr>
                    <w:pStyle w:val="BodyText"/>
                    <w:rPr>
                      <w:sz w:val="16"/>
                    </w:rPr>
                  </w:pPr>
                </w:p>
                <w:p>
                  <w:pPr>
                    <w:pStyle w:val="BodyText"/>
                    <w:rPr>
                      <w:sz w:val="16"/>
                    </w:rPr>
                  </w:pPr>
                </w:p>
                <w:p>
                  <w:pPr>
                    <w:pStyle w:val="BodyText"/>
                    <w:spacing w:before="4"/>
                    <w:rPr>
                      <w:sz w:val="20"/>
                    </w:rPr>
                  </w:pPr>
                </w:p>
                <w:p>
                  <w:pPr>
                    <w:pStyle w:val="ListParagraph"/>
                    <w:numPr>
                      <w:ilvl w:val="0"/>
                      <w:numId w:val="75"/>
                    </w:numPr>
                    <w:tabs>
                      <w:tab w:pos="196" w:val="left" w:leader="none"/>
                    </w:tabs>
                    <w:spacing w:line="240" w:lineRule="auto" w:before="0" w:after="0"/>
                    <w:ind w:left="194" w:right="0" w:hanging="99"/>
                    <w:jc w:val="left"/>
                    <w:rPr>
                      <w:sz w:val="15"/>
                    </w:rPr>
                  </w:pPr>
                  <w:r>
                    <w:rPr>
                      <w:w w:val="80"/>
                      <w:sz w:val="15"/>
                    </w:rPr>
                    <w:t>Convenciones</w:t>
                  </w:r>
                  <w:r>
                    <w:rPr>
                      <w:spacing w:val="-13"/>
                      <w:w w:val="80"/>
                      <w:sz w:val="15"/>
                    </w:rPr>
                    <w:t> </w:t>
                  </w:r>
                  <w:r>
                    <w:rPr>
                      <w:w w:val="80"/>
                      <w:sz w:val="15"/>
                    </w:rPr>
                    <w:t>internacionales.</w:t>
                  </w:r>
                </w:p>
                <w:p>
                  <w:pPr>
                    <w:pStyle w:val="ListParagraph"/>
                    <w:numPr>
                      <w:ilvl w:val="0"/>
                      <w:numId w:val="75"/>
                    </w:numPr>
                    <w:tabs>
                      <w:tab w:pos="196" w:val="left" w:leader="none"/>
                    </w:tabs>
                    <w:spacing w:line="240" w:lineRule="auto" w:before="6" w:after="0"/>
                    <w:ind w:left="195" w:right="0" w:hanging="100"/>
                    <w:jc w:val="left"/>
                    <w:rPr>
                      <w:sz w:val="15"/>
                    </w:rPr>
                  </w:pPr>
                  <w:r>
                    <w:rPr>
                      <w:w w:val="80"/>
                      <w:sz w:val="15"/>
                    </w:rPr>
                    <w:t>Armonización</w:t>
                  </w:r>
                  <w:r>
                    <w:rPr>
                      <w:spacing w:val="-10"/>
                      <w:w w:val="80"/>
                      <w:sz w:val="15"/>
                    </w:rPr>
                    <w:t> </w:t>
                  </w:r>
                  <w:r>
                    <w:rPr>
                      <w:w w:val="80"/>
                      <w:sz w:val="15"/>
                    </w:rPr>
                    <w:t>legislativa.</w:t>
                  </w:r>
                </w:p>
                <w:p>
                  <w:pPr>
                    <w:pStyle w:val="ListParagraph"/>
                    <w:numPr>
                      <w:ilvl w:val="0"/>
                      <w:numId w:val="75"/>
                    </w:numPr>
                    <w:tabs>
                      <w:tab w:pos="196" w:val="left" w:leader="none"/>
                    </w:tabs>
                    <w:spacing w:line="240" w:lineRule="auto" w:before="8" w:after="0"/>
                    <w:ind w:left="195" w:right="0" w:hanging="100"/>
                    <w:jc w:val="left"/>
                    <w:rPr>
                      <w:sz w:val="15"/>
                    </w:rPr>
                  </w:pPr>
                  <w:r>
                    <w:rPr>
                      <w:w w:val="80"/>
                      <w:sz w:val="15"/>
                    </w:rPr>
                    <w:t>Control de la gestión</w:t>
                  </w:r>
                  <w:r>
                    <w:rPr>
                      <w:spacing w:val="-14"/>
                      <w:w w:val="80"/>
                      <w:sz w:val="15"/>
                    </w:rPr>
                    <w:t> </w:t>
                  </w:r>
                  <w:r>
                    <w:rPr>
                      <w:w w:val="80"/>
                      <w:sz w:val="15"/>
                    </w:rPr>
                    <w:t>pública.</w:t>
                  </w:r>
                </w:p>
                <w:p>
                  <w:pPr>
                    <w:pStyle w:val="ListParagraph"/>
                    <w:numPr>
                      <w:ilvl w:val="0"/>
                      <w:numId w:val="75"/>
                    </w:numPr>
                    <w:tabs>
                      <w:tab w:pos="196" w:val="left" w:leader="none"/>
                    </w:tabs>
                    <w:spacing w:line="240" w:lineRule="auto" w:before="6" w:after="0"/>
                    <w:ind w:left="195" w:right="0" w:hanging="100"/>
                    <w:jc w:val="left"/>
                    <w:rPr>
                      <w:sz w:val="15"/>
                    </w:rPr>
                  </w:pPr>
                  <w:r>
                    <w:rPr>
                      <w:w w:val="80"/>
                      <w:sz w:val="15"/>
                    </w:rPr>
                    <w:t>Servicio Profesional de</w:t>
                  </w:r>
                  <w:r>
                    <w:rPr>
                      <w:spacing w:val="-16"/>
                      <w:w w:val="80"/>
                      <w:sz w:val="15"/>
                    </w:rPr>
                    <w:t> </w:t>
                  </w:r>
                  <w:r>
                    <w:rPr>
                      <w:w w:val="80"/>
                      <w:sz w:val="15"/>
                    </w:rPr>
                    <w:t>Carrera.</w:t>
                  </w:r>
                </w:p>
                <w:p>
                  <w:pPr>
                    <w:pStyle w:val="ListParagraph"/>
                    <w:numPr>
                      <w:ilvl w:val="0"/>
                      <w:numId w:val="75"/>
                    </w:numPr>
                    <w:tabs>
                      <w:tab w:pos="196" w:val="left" w:leader="none"/>
                    </w:tabs>
                    <w:spacing w:line="240" w:lineRule="auto" w:before="6" w:after="0"/>
                    <w:ind w:left="195" w:right="0" w:hanging="100"/>
                    <w:jc w:val="left"/>
                    <w:rPr>
                      <w:sz w:val="15"/>
                    </w:rPr>
                  </w:pPr>
                  <w:r>
                    <w:rPr>
                      <w:w w:val="80"/>
                      <w:sz w:val="15"/>
                    </w:rPr>
                    <w:t>Protección del Patrimonio</w:t>
                  </w:r>
                  <w:r>
                    <w:rPr>
                      <w:spacing w:val="-16"/>
                      <w:w w:val="80"/>
                      <w:sz w:val="15"/>
                    </w:rPr>
                    <w:t> </w:t>
                  </w:r>
                  <w:r>
                    <w:rPr>
                      <w:w w:val="80"/>
                      <w:sz w:val="15"/>
                    </w:rPr>
                    <w:t>Nacional.</w:t>
                  </w:r>
                </w:p>
                <w:p>
                  <w:pPr>
                    <w:pStyle w:val="ListParagraph"/>
                    <w:numPr>
                      <w:ilvl w:val="0"/>
                      <w:numId w:val="75"/>
                    </w:numPr>
                    <w:tabs>
                      <w:tab w:pos="197" w:val="left" w:leader="none"/>
                    </w:tabs>
                    <w:spacing w:line="240" w:lineRule="auto" w:before="7" w:after="0"/>
                    <w:ind w:left="196" w:right="0" w:hanging="101"/>
                    <w:jc w:val="left"/>
                    <w:rPr>
                      <w:sz w:val="15"/>
                    </w:rPr>
                  </w:pPr>
                  <w:r>
                    <w:rPr>
                      <w:w w:val="80"/>
                      <w:sz w:val="15"/>
                    </w:rPr>
                    <w:t>Uso racional del</w:t>
                  </w:r>
                  <w:r>
                    <w:rPr>
                      <w:spacing w:val="-9"/>
                      <w:w w:val="80"/>
                      <w:sz w:val="15"/>
                    </w:rPr>
                    <w:t> </w:t>
                  </w:r>
                  <w:r>
                    <w:rPr>
                      <w:w w:val="80"/>
                      <w:sz w:val="15"/>
                    </w:rPr>
                    <w:t>gasto.</w:t>
                  </w:r>
                </w:p>
                <w:p>
                  <w:pPr>
                    <w:pStyle w:val="ListParagraph"/>
                    <w:numPr>
                      <w:ilvl w:val="0"/>
                      <w:numId w:val="75"/>
                    </w:numPr>
                    <w:tabs>
                      <w:tab w:pos="197" w:val="left" w:leader="none"/>
                    </w:tabs>
                    <w:spacing w:line="252" w:lineRule="auto" w:before="6" w:after="0"/>
                    <w:ind w:left="194" w:right="207" w:hanging="99"/>
                    <w:jc w:val="left"/>
                    <w:rPr>
                      <w:sz w:val="15"/>
                    </w:rPr>
                  </w:pPr>
                  <w:r>
                    <w:rPr>
                      <w:w w:val="90"/>
                      <w:sz w:val="15"/>
                    </w:rPr>
                    <w:t>Rendición de cuentas y </w:t>
                  </w:r>
                  <w:r>
                    <w:rPr>
                      <w:w w:val="80"/>
                      <w:sz w:val="15"/>
                    </w:rPr>
                    <w:t>transparencia de la gestión</w:t>
                  </w:r>
                  <w:r>
                    <w:rPr>
                      <w:spacing w:val="-17"/>
                      <w:w w:val="80"/>
                      <w:sz w:val="15"/>
                    </w:rPr>
                    <w:t> </w:t>
                  </w:r>
                  <w:r>
                    <w:rPr>
                      <w:w w:val="80"/>
                      <w:sz w:val="15"/>
                    </w:rPr>
                    <w:t>pública.</w:t>
                  </w:r>
                </w:p>
              </w:txbxContent>
            </v:textbox>
            <w10:wrap type="none"/>
          </v:shape>
        </w:pict>
      </w:r>
      <w:r>
        <w:rPr>
          <w:w w:val="80"/>
          <w:sz w:val="15"/>
        </w:rPr>
        <w:t>1 Sistemas de inteligencia. 2 Desarrollo de auditorías.</w:t>
      </w:r>
    </w:p>
    <w:p>
      <w:pPr>
        <w:pStyle w:val="ListParagraph"/>
        <w:numPr>
          <w:ilvl w:val="0"/>
          <w:numId w:val="76"/>
        </w:numPr>
        <w:tabs>
          <w:tab w:pos="3143" w:val="left" w:leader="none"/>
        </w:tabs>
        <w:spacing w:line="249" w:lineRule="auto" w:before="2" w:after="0"/>
        <w:ind w:left="3041" w:right="0" w:firstLine="0"/>
        <w:jc w:val="left"/>
        <w:rPr>
          <w:sz w:val="15"/>
        </w:rPr>
      </w:pPr>
      <w:r>
        <w:rPr>
          <w:w w:val="80"/>
          <w:sz w:val="15"/>
        </w:rPr>
        <w:t>Monitoreo del patrimonio de</w:t>
      </w:r>
      <w:r>
        <w:rPr>
          <w:spacing w:val="-17"/>
          <w:w w:val="80"/>
          <w:sz w:val="15"/>
        </w:rPr>
        <w:t> </w:t>
      </w:r>
      <w:r>
        <w:rPr>
          <w:w w:val="80"/>
          <w:sz w:val="15"/>
        </w:rPr>
        <w:t>los servidores</w:t>
      </w:r>
      <w:r>
        <w:rPr>
          <w:spacing w:val="-7"/>
          <w:w w:val="80"/>
          <w:sz w:val="15"/>
        </w:rPr>
        <w:t> </w:t>
      </w:r>
      <w:r>
        <w:rPr>
          <w:w w:val="80"/>
          <w:sz w:val="15"/>
        </w:rPr>
        <w:t>públicos.</w:t>
      </w:r>
    </w:p>
    <w:p>
      <w:pPr>
        <w:pStyle w:val="ListParagraph"/>
        <w:numPr>
          <w:ilvl w:val="0"/>
          <w:numId w:val="76"/>
        </w:numPr>
        <w:tabs>
          <w:tab w:pos="3143" w:val="left" w:leader="none"/>
        </w:tabs>
        <w:spacing w:line="240" w:lineRule="auto" w:before="0" w:after="0"/>
        <w:ind w:left="3142" w:right="0" w:hanging="101"/>
        <w:jc w:val="left"/>
        <w:rPr>
          <w:sz w:val="15"/>
        </w:rPr>
      </w:pPr>
      <w:r>
        <w:rPr>
          <w:w w:val="80"/>
          <w:sz w:val="15"/>
        </w:rPr>
        <w:t>Denuncia</w:t>
      </w:r>
      <w:r>
        <w:rPr>
          <w:spacing w:val="-8"/>
          <w:w w:val="80"/>
          <w:sz w:val="15"/>
        </w:rPr>
        <w:t> </w:t>
      </w:r>
      <w:r>
        <w:rPr>
          <w:w w:val="80"/>
          <w:sz w:val="15"/>
        </w:rPr>
        <w:t>ciudadana.</w:t>
      </w:r>
    </w:p>
    <w:p>
      <w:pPr>
        <w:pStyle w:val="ListParagraph"/>
        <w:numPr>
          <w:ilvl w:val="4"/>
          <w:numId w:val="69"/>
        </w:numPr>
        <w:tabs>
          <w:tab w:pos="979" w:val="left" w:leader="none"/>
        </w:tabs>
        <w:spacing w:line="240" w:lineRule="auto" w:before="50" w:after="0"/>
        <w:ind w:left="978" w:right="0" w:hanging="101"/>
        <w:jc w:val="left"/>
        <w:rPr>
          <w:sz w:val="15"/>
        </w:rPr>
      </w:pPr>
      <w:r>
        <w:rPr>
          <w:w w:val="79"/>
          <w:sz w:val="15"/>
        </w:rPr>
        <w:br w:type="column"/>
      </w:r>
      <w:r>
        <w:rPr>
          <w:w w:val="80"/>
          <w:sz w:val="15"/>
        </w:rPr>
        <w:t>Investigación</w:t>
      </w:r>
      <w:r>
        <w:rPr>
          <w:spacing w:val="-13"/>
          <w:w w:val="80"/>
          <w:sz w:val="15"/>
        </w:rPr>
        <w:t> </w:t>
      </w:r>
      <w:r>
        <w:rPr>
          <w:w w:val="80"/>
          <w:sz w:val="15"/>
        </w:rPr>
        <w:t>administrativa.</w:t>
      </w:r>
    </w:p>
    <w:p>
      <w:pPr>
        <w:pStyle w:val="ListParagraph"/>
        <w:numPr>
          <w:ilvl w:val="4"/>
          <w:numId w:val="69"/>
        </w:numPr>
        <w:tabs>
          <w:tab w:pos="979" w:val="left" w:leader="none"/>
        </w:tabs>
        <w:spacing w:line="240" w:lineRule="auto" w:before="6" w:after="0"/>
        <w:ind w:left="978" w:right="0" w:hanging="101"/>
        <w:jc w:val="left"/>
        <w:rPr>
          <w:sz w:val="15"/>
        </w:rPr>
      </w:pPr>
      <w:r>
        <w:rPr/>
        <w:pict>
          <v:shape style="position:absolute;margin-left:426.104614pt;margin-top:-49.626205pt;width:117.9pt;height:104.85pt;mso-position-horizontal-relative:page;mso-position-vertical-relative:paragraph;z-index:-345976" type="#_x0000_t202" filled="false" stroked="false">
            <v:textbox inset="0,0,0,0">
              <w:txbxContent>
                <w:p>
                  <w:pPr>
                    <w:pStyle w:val="BodyText"/>
                    <w:rPr>
                      <w:sz w:val="16"/>
                    </w:rPr>
                  </w:pPr>
                </w:p>
                <w:p>
                  <w:pPr>
                    <w:pStyle w:val="BodyText"/>
                    <w:rPr>
                      <w:sz w:val="16"/>
                    </w:rPr>
                  </w:pPr>
                </w:p>
                <w:p>
                  <w:pPr>
                    <w:pStyle w:val="BodyText"/>
                    <w:rPr>
                      <w:sz w:val="16"/>
                    </w:rPr>
                  </w:pPr>
                </w:p>
                <w:p>
                  <w:pPr>
                    <w:pStyle w:val="BodyText"/>
                    <w:spacing w:before="4"/>
                    <w:rPr>
                      <w:sz w:val="20"/>
                    </w:rPr>
                  </w:pPr>
                </w:p>
                <w:p>
                  <w:pPr>
                    <w:pStyle w:val="ListParagraph"/>
                    <w:numPr>
                      <w:ilvl w:val="0"/>
                      <w:numId w:val="77"/>
                    </w:numPr>
                    <w:tabs>
                      <w:tab w:pos="198" w:val="left" w:leader="none"/>
                    </w:tabs>
                    <w:spacing w:line="240" w:lineRule="auto" w:before="0" w:after="0"/>
                    <w:ind w:left="197" w:right="0" w:hanging="100"/>
                    <w:jc w:val="left"/>
                    <w:rPr>
                      <w:sz w:val="15"/>
                    </w:rPr>
                  </w:pPr>
                  <w:r>
                    <w:rPr>
                      <w:w w:val="80"/>
                      <w:sz w:val="15"/>
                    </w:rPr>
                    <w:t>Sanción</w:t>
                  </w:r>
                  <w:r>
                    <w:rPr>
                      <w:spacing w:val="-9"/>
                      <w:w w:val="80"/>
                      <w:sz w:val="15"/>
                    </w:rPr>
                    <w:t> </w:t>
                  </w:r>
                  <w:r>
                    <w:rPr>
                      <w:w w:val="80"/>
                      <w:sz w:val="15"/>
                    </w:rPr>
                    <w:t>administrativa.</w:t>
                  </w:r>
                </w:p>
                <w:p>
                  <w:pPr>
                    <w:pStyle w:val="ListParagraph"/>
                    <w:numPr>
                      <w:ilvl w:val="0"/>
                      <w:numId w:val="77"/>
                    </w:numPr>
                    <w:tabs>
                      <w:tab w:pos="198" w:val="left" w:leader="none"/>
                    </w:tabs>
                    <w:spacing w:line="240" w:lineRule="auto" w:before="6" w:after="0"/>
                    <w:ind w:left="197" w:right="0" w:hanging="100"/>
                    <w:jc w:val="left"/>
                    <w:rPr>
                      <w:sz w:val="15"/>
                    </w:rPr>
                  </w:pPr>
                  <w:r>
                    <w:rPr>
                      <w:w w:val="80"/>
                      <w:sz w:val="15"/>
                    </w:rPr>
                    <w:t>Sanción</w:t>
                  </w:r>
                  <w:r>
                    <w:rPr>
                      <w:spacing w:val="-7"/>
                      <w:w w:val="80"/>
                      <w:sz w:val="15"/>
                    </w:rPr>
                    <w:t> </w:t>
                  </w:r>
                  <w:r>
                    <w:rPr>
                      <w:w w:val="80"/>
                      <w:sz w:val="15"/>
                    </w:rPr>
                    <w:t>penal.</w:t>
                  </w:r>
                </w:p>
              </w:txbxContent>
            </v:textbox>
            <w10:wrap type="none"/>
          </v:shape>
        </w:pict>
      </w:r>
      <w:r>
        <w:rPr>
          <w:w w:val="80"/>
          <w:sz w:val="15"/>
        </w:rPr>
        <w:t>Investigación</w:t>
      </w:r>
      <w:r>
        <w:rPr>
          <w:spacing w:val="-11"/>
          <w:w w:val="80"/>
          <w:sz w:val="15"/>
        </w:rPr>
        <w:t> </w:t>
      </w:r>
      <w:r>
        <w:rPr>
          <w:w w:val="80"/>
          <w:sz w:val="15"/>
        </w:rPr>
        <w:t>penal.</w:t>
      </w:r>
    </w:p>
    <w:p>
      <w:pPr>
        <w:spacing w:after="0" w:line="240" w:lineRule="auto"/>
        <w:jc w:val="left"/>
        <w:rPr>
          <w:sz w:val="15"/>
        </w:rPr>
        <w:sectPr>
          <w:type w:val="continuous"/>
          <w:pgSz w:w="11910" w:h="16840"/>
          <w:pgMar w:top="0" w:bottom="280" w:left="300" w:right="380"/>
          <w:cols w:num="2" w:equalWidth="0">
            <w:col w:w="4811" w:space="40"/>
            <w:col w:w="637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tabs>
          <w:tab w:pos="2810" w:val="left" w:leader="none"/>
          <w:tab w:pos="5745" w:val="left" w:leader="none"/>
          <w:tab w:pos="8466" w:val="left" w:leader="none"/>
        </w:tabs>
        <w:spacing w:line="240" w:lineRule="auto"/>
        <w:ind w:left="269" w:right="0" w:firstLine="0"/>
        <w:rPr>
          <w:sz w:val="20"/>
        </w:rPr>
      </w:pPr>
      <w:r>
        <w:rPr>
          <w:rFonts w:ascii="Times New Roman"/>
          <w:spacing w:val="-49"/>
          <w:sz w:val="20"/>
        </w:rPr>
        <w:t> </w:t>
      </w:r>
      <w:r>
        <w:rPr>
          <w:spacing w:val="-49"/>
          <w:sz w:val="20"/>
        </w:rPr>
        <w:pict>
          <v:shape style="width:111.5pt;height:276.3pt;mso-position-horizontal-relative:char;mso-position-vertical-relative:line" type="#_x0000_t202" filled="true" fillcolor="#ffffff" stroked="true" strokeweight=".170155pt" strokecolor="#005da1">
            <w10:anchorlock/>
            <v:textbox inset="0,0,0,0">
              <w:txbxContent>
                <w:p>
                  <w:pPr>
                    <w:spacing w:before="66"/>
                    <w:ind w:left="60" w:right="60" w:firstLine="0"/>
                    <w:jc w:val="center"/>
                    <w:rPr>
                      <w:sz w:val="15"/>
                    </w:rPr>
                  </w:pPr>
                  <w:r>
                    <w:rPr>
                      <w:sz w:val="15"/>
                    </w:rPr>
                    <w:t>Acciones:</w:t>
                  </w:r>
                </w:p>
                <w:p>
                  <w:pPr>
                    <w:pStyle w:val="BodyText"/>
                    <w:spacing w:before="3"/>
                    <w:rPr>
                      <w:rFonts w:ascii="Times New Roman"/>
                      <w:sz w:val="16"/>
                    </w:rPr>
                  </w:pPr>
                </w:p>
                <w:p>
                  <w:pPr>
                    <w:spacing w:before="0"/>
                    <w:ind w:left="60" w:right="60" w:firstLine="0"/>
                    <w:jc w:val="center"/>
                    <w:rPr>
                      <w:sz w:val="15"/>
                    </w:rPr>
                  </w:pPr>
                  <w:r>
                    <w:rPr>
                      <w:sz w:val="15"/>
                    </w:rPr>
                    <w:t>1 y 2</w:t>
                  </w:r>
                </w:p>
                <w:p>
                  <w:pPr>
                    <w:spacing w:line="249" w:lineRule="auto" w:before="6"/>
                    <w:ind w:left="60" w:right="61" w:firstLine="0"/>
                    <w:jc w:val="center"/>
                    <w:rPr>
                      <w:sz w:val="15"/>
                    </w:rPr>
                  </w:pPr>
                  <w:r>
                    <w:rPr>
                      <w:w w:val="80"/>
                      <w:sz w:val="15"/>
                    </w:rPr>
                    <w:t>Ordenamientos que reflejen el imperio </w:t>
                  </w:r>
                  <w:r>
                    <w:rPr>
                      <w:w w:val="90"/>
                      <w:sz w:val="15"/>
                    </w:rPr>
                    <w:t>de</w:t>
                  </w:r>
                  <w:r>
                    <w:rPr>
                      <w:spacing w:val="-21"/>
                      <w:w w:val="90"/>
                      <w:sz w:val="15"/>
                    </w:rPr>
                    <w:t> </w:t>
                  </w:r>
                  <w:r>
                    <w:rPr>
                      <w:w w:val="90"/>
                      <w:sz w:val="15"/>
                    </w:rPr>
                    <w:t>la</w:t>
                  </w:r>
                  <w:r>
                    <w:rPr>
                      <w:spacing w:val="-21"/>
                      <w:w w:val="90"/>
                      <w:sz w:val="15"/>
                    </w:rPr>
                    <w:t> </w:t>
                  </w:r>
                  <w:r>
                    <w:rPr>
                      <w:w w:val="90"/>
                      <w:sz w:val="15"/>
                    </w:rPr>
                    <w:t>ley</w:t>
                  </w:r>
                  <w:r>
                    <w:rPr>
                      <w:spacing w:val="-21"/>
                      <w:w w:val="90"/>
                      <w:sz w:val="15"/>
                    </w:rPr>
                    <w:t> </w:t>
                  </w:r>
                  <w:r>
                    <w:rPr>
                      <w:w w:val="90"/>
                      <w:sz w:val="15"/>
                    </w:rPr>
                    <w:t>y</w:t>
                  </w:r>
                  <w:r>
                    <w:rPr>
                      <w:spacing w:val="-21"/>
                      <w:w w:val="90"/>
                      <w:sz w:val="15"/>
                    </w:rPr>
                    <w:t> </w:t>
                  </w:r>
                  <w:r>
                    <w:rPr>
                      <w:w w:val="90"/>
                      <w:sz w:val="15"/>
                    </w:rPr>
                    <w:t>la</w:t>
                  </w:r>
                  <w:r>
                    <w:rPr>
                      <w:spacing w:val="-21"/>
                      <w:w w:val="90"/>
                      <w:sz w:val="15"/>
                    </w:rPr>
                    <w:t> </w:t>
                  </w:r>
                  <w:r>
                    <w:rPr>
                      <w:w w:val="90"/>
                      <w:sz w:val="15"/>
                    </w:rPr>
                    <w:t>armonización</w:t>
                  </w:r>
                  <w:r>
                    <w:rPr>
                      <w:spacing w:val="-21"/>
                      <w:w w:val="90"/>
                      <w:sz w:val="15"/>
                    </w:rPr>
                    <w:t> </w:t>
                  </w:r>
                  <w:r>
                    <w:rPr>
                      <w:w w:val="90"/>
                      <w:sz w:val="15"/>
                    </w:rPr>
                    <w:t>legislativa </w:t>
                  </w:r>
                  <w:r>
                    <w:rPr>
                      <w:w w:val="95"/>
                      <w:sz w:val="15"/>
                    </w:rPr>
                    <w:t>nacional con las convenciones internacionales.</w:t>
                  </w:r>
                </w:p>
                <w:p>
                  <w:pPr>
                    <w:pStyle w:val="BodyText"/>
                    <w:spacing w:before="6"/>
                    <w:rPr>
                      <w:rFonts w:ascii="Times New Roman"/>
                      <w:sz w:val="15"/>
                    </w:rPr>
                  </w:pPr>
                </w:p>
                <w:p>
                  <w:pPr>
                    <w:spacing w:before="0"/>
                    <w:ind w:left="0" w:right="0" w:firstLine="0"/>
                    <w:jc w:val="center"/>
                    <w:rPr>
                      <w:sz w:val="15"/>
                    </w:rPr>
                  </w:pPr>
                  <w:r>
                    <w:rPr>
                      <w:color w:val="17365D"/>
                      <w:w w:val="79"/>
                      <w:sz w:val="15"/>
                    </w:rPr>
                    <w:t>3</w:t>
                  </w:r>
                </w:p>
                <w:p>
                  <w:pPr>
                    <w:spacing w:before="6"/>
                    <w:ind w:left="60" w:right="60" w:firstLine="0"/>
                    <w:jc w:val="center"/>
                    <w:rPr>
                      <w:sz w:val="15"/>
                    </w:rPr>
                  </w:pPr>
                  <w:r>
                    <w:rPr>
                      <w:w w:val="80"/>
                      <w:sz w:val="15"/>
                    </w:rPr>
                    <w:t>Control interno, externo y social.</w:t>
                  </w:r>
                </w:p>
                <w:p>
                  <w:pPr>
                    <w:pStyle w:val="BodyText"/>
                    <w:spacing w:before="3"/>
                    <w:rPr>
                      <w:rFonts w:ascii="Times New Roman"/>
                      <w:sz w:val="16"/>
                    </w:rPr>
                  </w:pPr>
                </w:p>
                <w:p>
                  <w:pPr>
                    <w:spacing w:before="0"/>
                    <w:ind w:left="0" w:right="0" w:firstLine="0"/>
                    <w:jc w:val="center"/>
                    <w:rPr>
                      <w:sz w:val="15"/>
                    </w:rPr>
                  </w:pPr>
                  <w:r>
                    <w:rPr>
                      <w:color w:val="17365D"/>
                      <w:w w:val="79"/>
                      <w:sz w:val="15"/>
                    </w:rPr>
                    <w:t>4</w:t>
                  </w:r>
                </w:p>
                <w:p>
                  <w:pPr>
                    <w:spacing w:line="249" w:lineRule="auto" w:before="6"/>
                    <w:ind w:left="60" w:right="61" w:firstLine="0"/>
                    <w:jc w:val="center"/>
                    <w:rPr>
                      <w:sz w:val="15"/>
                    </w:rPr>
                  </w:pPr>
                  <w:r>
                    <w:rPr>
                      <w:w w:val="80"/>
                      <w:sz w:val="15"/>
                    </w:rPr>
                    <w:t>Profesionalización de los servidores </w:t>
                  </w:r>
                  <w:r>
                    <w:rPr>
                      <w:w w:val="90"/>
                      <w:sz w:val="15"/>
                    </w:rPr>
                    <w:t>públicos.</w:t>
                  </w:r>
                </w:p>
                <w:p>
                  <w:pPr>
                    <w:pStyle w:val="BodyText"/>
                    <w:spacing w:before="6"/>
                    <w:rPr>
                      <w:rFonts w:ascii="Times New Roman"/>
                      <w:sz w:val="15"/>
                    </w:rPr>
                  </w:pPr>
                </w:p>
                <w:p>
                  <w:pPr>
                    <w:spacing w:before="0"/>
                    <w:ind w:left="0" w:right="0" w:firstLine="0"/>
                    <w:jc w:val="center"/>
                    <w:rPr>
                      <w:sz w:val="15"/>
                    </w:rPr>
                  </w:pPr>
                  <w:r>
                    <w:rPr>
                      <w:color w:val="17365D"/>
                      <w:w w:val="79"/>
                      <w:sz w:val="15"/>
                    </w:rPr>
                    <w:t>5</w:t>
                  </w:r>
                </w:p>
                <w:p>
                  <w:pPr>
                    <w:spacing w:line="249" w:lineRule="auto" w:before="8"/>
                    <w:ind w:left="60" w:right="61" w:firstLine="0"/>
                    <w:jc w:val="center"/>
                    <w:rPr>
                      <w:sz w:val="15"/>
                    </w:rPr>
                  </w:pPr>
                  <w:r>
                    <w:rPr>
                      <w:w w:val="80"/>
                      <w:sz w:val="15"/>
                    </w:rPr>
                    <w:t>Mantenimiento y preservación de los </w:t>
                  </w:r>
                  <w:r>
                    <w:rPr>
                      <w:w w:val="90"/>
                      <w:sz w:val="15"/>
                    </w:rPr>
                    <w:t>bienes muebles e inmuebles del </w:t>
                  </w:r>
                  <w:r>
                    <w:rPr>
                      <w:w w:val="80"/>
                      <w:sz w:val="15"/>
                    </w:rPr>
                    <w:t>gobierno federal</w:t>
                  </w:r>
                </w:p>
                <w:p>
                  <w:pPr>
                    <w:pStyle w:val="BodyText"/>
                    <w:spacing w:before="8"/>
                    <w:rPr>
                      <w:rFonts w:ascii="Times New Roman"/>
                      <w:sz w:val="15"/>
                    </w:rPr>
                  </w:pPr>
                </w:p>
                <w:p>
                  <w:pPr>
                    <w:spacing w:before="0"/>
                    <w:ind w:left="0" w:right="0" w:firstLine="0"/>
                    <w:jc w:val="center"/>
                    <w:rPr>
                      <w:sz w:val="15"/>
                    </w:rPr>
                  </w:pPr>
                  <w:r>
                    <w:rPr>
                      <w:color w:val="17365D"/>
                      <w:w w:val="79"/>
                      <w:sz w:val="15"/>
                    </w:rPr>
                    <w:t>6</w:t>
                  </w:r>
                </w:p>
                <w:p>
                  <w:pPr>
                    <w:spacing w:line="249" w:lineRule="auto" w:before="6"/>
                    <w:ind w:left="134" w:right="137" w:firstLine="0"/>
                    <w:jc w:val="center"/>
                    <w:rPr>
                      <w:sz w:val="15"/>
                    </w:rPr>
                  </w:pPr>
                  <w:r>
                    <w:rPr>
                      <w:w w:val="80"/>
                      <w:sz w:val="15"/>
                    </w:rPr>
                    <w:t>Adecuada planeación,</w:t>
                  </w:r>
                  <w:r>
                    <w:rPr>
                      <w:spacing w:val="-15"/>
                      <w:w w:val="80"/>
                      <w:sz w:val="15"/>
                    </w:rPr>
                    <w:t> </w:t>
                  </w:r>
                  <w:r>
                    <w:rPr>
                      <w:w w:val="80"/>
                      <w:sz w:val="15"/>
                    </w:rPr>
                    <w:t>programación </w:t>
                  </w:r>
                  <w:r>
                    <w:rPr>
                      <w:w w:val="85"/>
                      <w:sz w:val="15"/>
                    </w:rPr>
                    <w:t>y</w:t>
                  </w:r>
                  <w:r>
                    <w:rPr>
                      <w:spacing w:val="-24"/>
                      <w:w w:val="85"/>
                      <w:sz w:val="15"/>
                    </w:rPr>
                    <w:t> </w:t>
                  </w:r>
                  <w:r>
                    <w:rPr>
                      <w:w w:val="85"/>
                      <w:sz w:val="15"/>
                    </w:rPr>
                    <w:t>presupuestación</w:t>
                  </w:r>
                  <w:r>
                    <w:rPr>
                      <w:spacing w:val="-26"/>
                      <w:w w:val="85"/>
                      <w:sz w:val="15"/>
                    </w:rPr>
                    <w:t> </w:t>
                  </w:r>
                  <w:r>
                    <w:rPr>
                      <w:w w:val="85"/>
                      <w:sz w:val="15"/>
                    </w:rPr>
                    <w:t>de</w:t>
                  </w:r>
                  <w:r>
                    <w:rPr>
                      <w:spacing w:val="-23"/>
                      <w:w w:val="85"/>
                      <w:sz w:val="15"/>
                    </w:rPr>
                    <w:t> </w:t>
                  </w:r>
                  <w:r>
                    <w:rPr>
                      <w:w w:val="85"/>
                      <w:sz w:val="15"/>
                    </w:rPr>
                    <w:t>los</w:t>
                  </w:r>
                  <w:r>
                    <w:rPr>
                      <w:spacing w:val="-24"/>
                      <w:w w:val="85"/>
                      <w:sz w:val="15"/>
                    </w:rPr>
                    <w:t> </w:t>
                  </w:r>
                  <w:r>
                    <w:rPr>
                      <w:w w:val="85"/>
                      <w:sz w:val="15"/>
                    </w:rPr>
                    <w:t>ingresos</w:t>
                  </w:r>
                  <w:r>
                    <w:rPr>
                      <w:spacing w:val="-24"/>
                      <w:w w:val="85"/>
                      <w:sz w:val="15"/>
                    </w:rPr>
                    <w:t> </w:t>
                  </w:r>
                  <w:r>
                    <w:rPr>
                      <w:w w:val="85"/>
                      <w:sz w:val="15"/>
                    </w:rPr>
                    <w:t>y </w:t>
                  </w:r>
                  <w:r>
                    <w:rPr>
                      <w:w w:val="80"/>
                      <w:sz w:val="15"/>
                    </w:rPr>
                    <w:t>egresos</w:t>
                  </w:r>
                  <w:r>
                    <w:rPr>
                      <w:spacing w:val="-6"/>
                      <w:w w:val="80"/>
                      <w:sz w:val="15"/>
                    </w:rPr>
                    <w:t> </w:t>
                  </w:r>
                  <w:r>
                    <w:rPr>
                      <w:w w:val="80"/>
                      <w:sz w:val="15"/>
                    </w:rPr>
                    <w:t>públicos.</w:t>
                  </w:r>
                </w:p>
                <w:p>
                  <w:pPr>
                    <w:pStyle w:val="BodyText"/>
                    <w:spacing w:before="8"/>
                    <w:rPr>
                      <w:rFonts w:ascii="Times New Roman"/>
                      <w:sz w:val="15"/>
                    </w:rPr>
                  </w:pPr>
                </w:p>
                <w:p>
                  <w:pPr>
                    <w:spacing w:before="0"/>
                    <w:ind w:left="0" w:right="0" w:firstLine="0"/>
                    <w:jc w:val="center"/>
                    <w:rPr>
                      <w:sz w:val="15"/>
                    </w:rPr>
                  </w:pPr>
                  <w:r>
                    <w:rPr>
                      <w:color w:val="17365D"/>
                      <w:w w:val="79"/>
                      <w:sz w:val="15"/>
                    </w:rPr>
                    <w:t>7</w:t>
                  </w:r>
                </w:p>
                <w:p>
                  <w:pPr>
                    <w:spacing w:line="249" w:lineRule="auto" w:before="6"/>
                    <w:ind w:left="60" w:right="60" w:firstLine="0"/>
                    <w:jc w:val="center"/>
                    <w:rPr>
                      <w:sz w:val="15"/>
                    </w:rPr>
                  </w:pPr>
                  <w:r>
                    <w:rPr>
                      <w:w w:val="80"/>
                      <w:sz w:val="15"/>
                    </w:rPr>
                    <w:t>informes institucionales para la </w:t>
                  </w:r>
                  <w:r>
                    <w:rPr>
                      <w:w w:val="95"/>
                      <w:sz w:val="15"/>
                    </w:rPr>
                    <w:t>evaluación de la gestión gubernamental.</w:t>
                  </w:r>
                </w:p>
              </w:txbxContent>
            </v:textbox>
            <v:fill type="solid"/>
          </v:shape>
        </w:pict>
      </w:r>
      <w:r>
        <w:rPr>
          <w:spacing w:val="-49"/>
          <w:sz w:val="20"/>
        </w:rPr>
      </w:r>
      <w:r>
        <w:rPr>
          <w:spacing w:val="-49"/>
          <w:sz w:val="20"/>
        </w:rPr>
        <w:tab/>
      </w:r>
      <w:r>
        <w:rPr>
          <w:spacing w:val="-49"/>
          <w:position w:val="1"/>
          <w:sz w:val="20"/>
        </w:rPr>
        <w:pict>
          <v:shape style="width:111.6pt;height:278pt;mso-position-horizontal-relative:char;mso-position-vertical-relative:line" type="#_x0000_t202" filled="true" fillcolor="#ffffff" stroked="true" strokeweight=".170068pt" strokecolor="#005da1">
            <w10:anchorlock/>
            <v:textbox inset="0,0,0,0">
              <w:txbxContent>
                <w:p>
                  <w:pPr>
                    <w:spacing w:before="66"/>
                    <w:ind w:left="159" w:right="159" w:firstLine="0"/>
                    <w:jc w:val="center"/>
                    <w:rPr>
                      <w:sz w:val="15"/>
                    </w:rPr>
                  </w:pPr>
                  <w:r>
                    <w:rPr>
                      <w:sz w:val="15"/>
                    </w:rPr>
                    <w:t>Acciones:</w:t>
                  </w:r>
                </w:p>
                <w:p>
                  <w:pPr>
                    <w:pStyle w:val="BodyText"/>
                    <w:spacing w:before="3"/>
                    <w:rPr>
                      <w:sz w:val="16"/>
                    </w:rPr>
                  </w:pPr>
                </w:p>
                <w:p>
                  <w:pPr>
                    <w:spacing w:before="0"/>
                    <w:ind w:left="0" w:right="0" w:firstLine="0"/>
                    <w:jc w:val="center"/>
                    <w:rPr>
                      <w:sz w:val="15"/>
                    </w:rPr>
                  </w:pPr>
                  <w:r>
                    <w:rPr>
                      <w:w w:val="79"/>
                      <w:sz w:val="15"/>
                    </w:rPr>
                    <w:t>1</w:t>
                  </w:r>
                </w:p>
                <w:p>
                  <w:pPr>
                    <w:spacing w:line="249" w:lineRule="auto" w:before="6"/>
                    <w:ind w:left="134" w:right="136" w:hanging="1"/>
                    <w:jc w:val="center"/>
                    <w:rPr>
                      <w:sz w:val="15"/>
                    </w:rPr>
                  </w:pPr>
                  <w:r>
                    <w:rPr>
                      <w:w w:val="85"/>
                      <w:sz w:val="15"/>
                    </w:rPr>
                    <w:t>Sistemas</w:t>
                  </w:r>
                  <w:r>
                    <w:rPr>
                      <w:spacing w:val="-24"/>
                      <w:w w:val="85"/>
                      <w:sz w:val="15"/>
                    </w:rPr>
                    <w:t> </w:t>
                  </w:r>
                  <w:r>
                    <w:rPr>
                      <w:w w:val="85"/>
                      <w:sz w:val="15"/>
                    </w:rPr>
                    <w:t>que</w:t>
                  </w:r>
                  <w:r>
                    <w:rPr>
                      <w:spacing w:val="-22"/>
                      <w:w w:val="85"/>
                      <w:sz w:val="15"/>
                    </w:rPr>
                    <w:t> </w:t>
                  </w:r>
                  <w:r>
                    <w:rPr>
                      <w:w w:val="85"/>
                      <w:sz w:val="15"/>
                    </w:rPr>
                    <w:t>faciliten</w:t>
                  </w:r>
                  <w:r>
                    <w:rPr>
                      <w:spacing w:val="-24"/>
                      <w:w w:val="85"/>
                      <w:sz w:val="15"/>
                    </w:rPr>
                    <w:t> </w:t>
                  </w:r>
                  <w:r>
                    <w:rPr>
                      <w:w w:val="85"/>
                      <w:sz w:val="15"/>
                    </w:rPr>
                    <w:t>el</w:t>
                  </w:r>
                  <w:r>
                    <w:rPr>
                      <w:spacing w:val="-22"/>
                      <w:w w:val="85"/>
                      <w:sz w:val="15"/>
                    </w:rPr>
                    <w:t> </w:t>
                  </w:r>
                  <w:r>
                    <w:rPr>
                      <w:w w:val="85"/>
                      <w:sz w:val="15"/>
                    </w:rPr>
                    <w:t>analisis</w:t>
                  </w:r>
                  <w:r>
                    <w:rPr>
                      <w:spacing w:val="-24"/>
                      <w:w w:val="85"/>
                      <w:sz w:val="15"/>
                    </w:rPr>
                    <w:t> </w:t>
                  </w:r>
                  <w:r>
                    <w:rPr>
                      <w:w w:val="85"/>
                      <w:sz w:val="15"/>
                    </w:rPr>
                    <w:t>de </w:t>
                  </w:r>
                  <w:r>
                    <w:rPr>
                      <w:w w:val="80"/>
                      <w:sz w:val="15"/>
                    </w:rPr>
                    <w:t>las tendencias de la corrupción,</w:t>
                  </w:r>
                  <w:r>
                    <w:rPr>
                      <w:spacing w:val="-18"/>
                      <w:w w:val="80"/>
                      <w:sz w:val="15"/>
                    </w:rPr>
                    <w:t> </w:t>
                  </w:r>
                  <w:r>
                    <w:rPr>
                      <w:w w:val="80"/>
                      <w:sz w:val="15"/>
                    </w:rPr>
                    <w:t>para establecer normas metodológicas y </w:t>
                  </w:r>
                  <w:r>
                    <w:rPr>
                      <w:w w:val="90"/>
                      <w:sz w:val="15"/>
                    </w:rPr>
                    <w:t>acciones coordinadas para combatirla.</w:t>
                  </w:r>
                </w:p>
                <w:p>
                  <w:pPr>
                    <w:pStyle w:val="BodyText"/>
                    <w:spacing w:before="6"/>
                    <w:rPr>
                      <w:sz w:val="15"/>
                    </w:rPr>
                  </w:pPr>
                </w:p>
                <w:p>
                  <w:pPr>
                    <w:spacing w:before="0"/>
                    <w:ind w:left="0" w:right="0" w:firstLine="0"/>
                    <w:jc w:val="center"/>
                    <w:rPr>
                      <w:sz w:val="15"/>
                    </w:rPr>
                  </w:pPr>
                  <w:r>
                    <w:rPr>
                      <w:w w:val="79"/>
                      <w:sz w:val="15"/>
                    </w:rPr>
                    <w:t>2</w:t>
                  </w:r>
                </w:p>
                <w:p>
                  <w:pPr>
                    <w:spacing w:line="249" w:lineRule="auto" w:before="7"/>
                    <w:ind w:left="186" w:right="187" w:firstLine="54"/>
                    <w:jc w:val="both"/>
                    <w:rPr>
                      <w:sz w:val="15"/>
                    </w:rPr>
                  </w:pPr>
                  <w:r>
                    <w:rPr>
                      <w:w w:val="85"/>
                      <w:sz w:val="15"/>
                    </w:rPr>
                    <w:t>Para</w:t>
                  </w:r>
                  <w:r>
                    <w:rPr>
                      <w:spacing w:val="-21"/>
                      <w:w w:val="85"/>
                      <w:sz w:val="15"/>
                    </w:rPr>
                    <w:t> </w:t>
                  </w:r>
                  <w:r>
                    <w:rPr>
                      <w:w w:val="85"/>
                      <w:sz w:val="15"/>
                    </w:rPr>
                    <w:t>establecer</w:t>
                  </w:r>
                  <w:r>
                    <w:rPr>
                      <w:spacing w:val="-23"/>
                      <w:w w:val="85"/>
                      <w:sz w:val="15"/>
                    </w:rPr>
                    <w:t> </w:t>
                  </w:r>
                  <w:r>
                    <w:rPr>
                      <w:w w:val="85"/>
                      <w:sz w:val="15"/>
                    </w:rPr>
                    <w:t>sistemas</w:t>
                  </w:r>
                  <w:r>
                    <w:rPr>
                      <w:spacing w:val="-23"/>
                      <w:w w:val="85"/>
                      <w:sz w:val="15"/>
                    </w:rPr>
                    <w:t> </w:t>
                  </w:r>
                  <w:r>
                    <w:rPr>
                      <w:w w:val="85"/>
                      <w:sz w:val="15"/>
                    </w:rPr>
                    <w:t>para</w:t>
                  </w:r>
                  <w:r>
                    <w:rPr>
                      <w:spacing w:val="-21"/>
                      <w:w w:val="85"/>
                      <w:sz w:val="15"/>
                    </w:rPr>
                    <w:t> </w:t>
                  </w:r>
                  <w:r>
                    <w:rPr>
                      <w:w w:val="85"/>
                      <w:sz w:val="15"/>
                    </w:rPr>
                    <w:t>la declaración</w:t>
                  </w:r>
                  <w:r>
                    <w:rPr>
                      <w:spacing w:val="-24"/>
                      <w:w w:val="85"/>
                      <w:sz w:val="15"/>
                    </w:rPr>
                    <w:t> </w:t>
                  </w:r>
                  <w:r>
                    <w:rPr>
                      <w:w w:val="85"/>
                      <w:sz w:val="15"/>
                    </w:rPr>
                    <w:t>de</w:t>
                  </w:r>
                  <w:r>
                    <w:rPr>
                      <w:spacing w:val="-21"/>
                      <w:w w:val="85"/>
                      <w:sz w:val="15"/>
                    </w:rPr>
                    <w:t> </w:t>
                  </w:r>
                  <w:r>
                    <w:rPr>
                      <w:w w:val="85"/>
                      <w:sz w:val="15"/>
                    </w:rPr>
                    <w:t>ingresos,</w:t>
                  </w:r>
                  <w:r>
                    <w:rPr>
                      <w:spacing w:val="-23"/>
                      <w:w w:val="85"/>
                      <w:sz w:val="15"/>
                    </w:rPr>
                    <w:t> </w:t>
                  </w:r>
                  <w:r>
                    <w:rPr>
                      <w:w w:val="85"/>
                      <w:sz w:val="15"/>
                    </w:rPr>
                    <w:t>activos</w:t>
                  </w:r>
                  <w:r>
                    <w:rPr>
                      <w:spacing w:val="-22"/>
                      <w:w w:val="85"/>
                      <w:sz w:val="15"/>
                    </w:rPr>
                    <w:t> </w:t>
                  </w:r>
                  <w:r>
                    <w:rPr>
                      <w:w w:val="85"/>
                      <w:sz w:val="15"/>
                    </w:rPr>
                    <w:t>y </w:t>
                  </w:r>
                  <w:r>
                    <w:rPr>
                      <w:w w:val="80"/>
                      <w:sz w:val="15"/>
                    </w:rPr>
                    <w:t>pasivos de los servidores</w:t>
                  </w:r>
                  <w:r>
                    <w:rPr>
                      <w:spacing w:val="-15"/>
                      <w:w w:val="80"/>
                      <w:sz w:val="15"/>
                    </w:rPr>
                    <w:t> </w:t>
                  </w:r>
                  <w:r>
                    <w:rPr>
                      <w:w w:val="80"/>
                      <w:sz w:val="15"/>
                    </w:rPr>
                    <w:t>públicos.</w:t>
                  </w:r>
                </w:p>
                <w:p>
                  <w:pPr>
                    <w:pStyle w:val="BodyText"/>
                    <w:spacing w:before="6"/>
                    <w:rPr>
                      <w:sz w:val="15"/>
                    </w:rPr>
                  </w:pPr>
                </w:p>
                <w:p>
                  <w:pPr>
                    <w:spacing w:before="0"/>
                    <w:ind w:left="0" w:right="0" w:firstLine="0"/>
                    <w:jc w:val="center"/>
                    <w:rPr>
                      <w:sz w:val="15"/>
                    </w:rPr>
                  </w:pPr>
                  <w:r>
                    <w:rPr>
                      <w:color w:val="17365D"/>
                      <w:w w:val="79"/>
                      <w:sz w:val="15"/>
                    </w:rPr>
                    <w:t>3</w:t>
                  </w:r>
                </w:p>
                <w:p>
                  <w:pPr>
                    <w:spacing w:line="252" w:lineRule="auto" w:before="6"/>
                    <w:ind w:left="158" w:right="159" w:firstLine="0"/>
                    <w:jc w:val="center"/>
                    <w:rPr>
                      <w:sz w:val="15"/>
                    </w:rPr>
                  </w:pPr>
                  <w:r>
                    <w:rPr>
                      <w:w w:val="80"/>
                      <w:sz w:val="15"/>
                    </w:rPr>
                    <w:t>Instrumento de detección temprana </w:t>
                  </w:r>
                  <w:r>
                    <w:rPr>
                      <w:w w:val="85"/>
                      <w:sz w:val="15"/>
                    </w:rPr>
                    <w:t>de los actos de corrupción.</w:t>
                  </w:r>
                </w:p>
              </w:txbxContent>
            </v:textbox>
            <v:fill type="solid"/>
          </v:shape>
        </w:pict>
      </w:r>
      <w:r>
        <w:rPr>
          <w:spacing w:val="-49"/>
          <w:position w:val="1"/>
          <w:sz w:val="20"/>
        </w:rPr>
      </w:r>
      <w:r>
        <w:rPr>
          <w:spacing w:val="-49"/>
          <w:position w:val="1"/>
          <w:sz w:val="20"/>
        </w:rPr>
        <w:tab/>
      </w:r>
      <w:r>
        <w:rPr>
          <w:spacing w:val="-49"/>
          <w:position w:val="14"/>
          <w:sz w:val="20"/>
        </w:rPr>
        <w:pict>
          <v:shape style="width:111.9pt;height:271.5pt;mso-position-horizontal-relative:char;mso-position-vertical-relative:line" type="#_x0000_t202" filled="true" fillcolor="#ffffff" stroked="true" strokeweight=".170507pt" strokecolor="#005da1">
            <w10:anchorlock/>
            <v:textbox inset="0,0,0,0">
              <w:txbxContent>
                <w:p>
                  <w:pPr>
                    <w:spacing w:before="66"/>
                    <w:ind w:left="856" w:right="333" w:firstLine="0"/>
                    <w:jc w:val="left"/>
                    <w:rPr>
                      <w:sz w:val="15"/>
                    </w:rPr>
                  </w:pPr>
                  <w:r>
                    <w:rPr>
                      <w:sz w:val="15"/>
                    </w:rPr>
                    <w:t>Acciones:</w:t>
                  </w:r>
                </w:p>
                <w:p>
                  <w:pPr>
                    <w:pStyle w:val="BodyText"/>
                    <w:spacing w:before="3"/>
                    <w:rPr>
                      <w:sz w:val="16"/>
                    </w:rPr>
                  </w:pPr>
                </w:p>
                <w:p>
                  <w:pPr>
                    <w:spacing w:line="249" w:lineRule="auto" w:before="0"/>
                    <w:ind w:left="153" w:right="153" w:firstLine="1"/>
                    <w:jc w:val="center"/>
                    <w:rPr>
                      <w:sz w:val="15"/>
                    </w:rPr>
                  </w:pPr>
                  <w:r>
                    <w:rPr>
                      <w:w w:val="95"/>
                      <w:sz w:val="15"/>
                    </w:rPr>
                    <w:t>Investigación, tramitación y </w:t>
                  </w:r>
                  <w:r>
                    <w:rPr>
                      <w:w w:val="80"/>
                      <w:sz w:val="15"/>
                    </w:rPr>
                    <w:t>sustanciación de responsabilidades:</w:t>
                  </w:r>
                </w:p>
                <w:p>
                  <w:pPr>
                    <w:pStyle w:val="BodyText"/>
                    <w:spacing w:before="6"/>
                    <w:rPr>
                      <w:sz w:val="15"/>
                    </w:rPr>
                  </w:pPr>
                </w:p>
                <w:p>
                  <w:pPr>
                    <w:spacing w:before="0"/>
                    <w:ind w:left="0" w:right="0" w:firstLine="0"/>
                    <w:jc w:val="center"/>
                    <w:rPr>
                      <w:sz w:val="15"/>
                    </w:rPr>
                  </w:pPr>
                  <w:r>
                    <w:rPr>
                      <w:w w:val="79"/>
                      <w:sz w:val="15"/>
                    </w:rPr>
                    <w:t>1</w:t>
                  </w:r>
                </w:p>
                <w:p>
                  <w:pPr>
                    <w:spacing w:line="249" w:lineRule="auto" w:before="8"/>
                    <w:ind w:left="350" w:right="333" w:firstLine="359"/>
                    <w:jc w:val="left"/>
                    <w:rPr>
                      <w:sz w:val="15"/>
                    </w:rPr>
                  </w:pPr>
                  <w:r>
                    <w:rPr>
                      <w:w w:val="90"/>
                      <w:sz w:val="15"/>
                    </w:rPr>
                    <w:t>Administrativas </w:t>
                  </w:r>
                  <w:r>
                    <w:rPr>
                      <w:w w:val="80"/>
                      <w:sz w:val="15"/>
                    </w:rPr>
                    <w:t>(órganos internos de control)</w:t>
                  </w:r>
                </w:p>
                <w:p>
                  <w:pPr>
                    <w:pStyle w:val="BodyText"/>
                    <w:spacing w:before="6"/>
                    <w:rPr>
                      <w:sz w:val="15"/>
                    </w:rPr>
                  </w:pPr>
                </w:p>
                <w:p>
                  <w:pPr>
                    <w:spacing w:before="0"/>
                    <w:ind w:left="0" w:right="0" w:firstLine="0"/>
                    <w:jc w:val="center"/>
                    <w:rPr>
                      <w:sz w:val="15"/>
                    </w:rPr>
                  </w:pPr>
                  <w:r>
                    <w:rPr>
                      <w:w w:val="79"/>
                      <w:sz w:val="15"/>
                    </w:rPr>
                    <w:t>2</w:t>
                  </w:r>
                </w:p>
                <w:p>
                  <w:pPr>
                    <w:spacing w:line="252" w:lineRule="auto" w:before="7"/>
                    <w:ind w:left="375" w:right="355" w:firstLine="523"/>
                    <w:jc w:val="left"/>
                    <w:rPr>
                      <w:sz w:val="15"/>
                    </w:rPr>
                  </w:pPr>
                  <w:r>
                    <w:rPr>
                      <w:w w:val="90"/>
                      <w:sz w:val="15"/>
                    </w:rPr>
                    <w:t>Penales </w:t>
                  </w:r>
                  <w:r>
                    <w:rPr>
                      <w:w w:val="80"/>
                      <w:sz w:val="15"/>
                    </w:rPr>
                    <w:t>(Procuraduría General de la</w:t>
                  </w:r>
                </w:p>
                <w:p>
                  <w:pPr>
                    <w:spacing w:line="171" w:lineRule="exact" w:before="0"/>
                    <w:ind w:left="739" w:right="740" w:firstLine="0"/>
                    <w:jc w:val="center"/>
                    <w:rPr>
                      <w:sz w:val="15"/>
                    </w:rPr>
                  </w:pPr>
                  <w:r>
                    <w:rPr>
                      <w:sz w:val="15"/>
                    </w:rPr>
                    <w:t>República)</w:t>
                  </w:r>
                </w:p>
              </w:txbxContent>
            </v:textbox>
            <v:fill type="solid"/>
          </v:shape>
        </w:pict>
      </w:r>
      <w:r>
        <w:rPr>
          <w:spacing w:val="-49"/>
          <w:position w:val="14"/>
          <w:sz w:val="20"/>
        </w:rPr>
      </w:r>
      <w:r>
        <w:rPr>
          <w:spacing w:val="-49"/>
          <w:position w:val="14"/>
          <w:sz w:val="20"/>
        </w:rPr>
        <w:tab/>
      </w:r>
      <w:r>
        <w:rPr>
          <w:spacing w:val="-49"/>
          <w:position w:val="16"/>
          <w:sz w:val="20"/>
        </w:rPr>
        <w:pict>
          <v:shape style="width:111.6pt;height:272.150pt;mso-position-horizontal-relative:char;mso-position-vertical-relative:line" type="#_x0000_t202" filled="true" fillcolor="#ffffff" stroked="true" strokeweight=".17042pt" strokecolor="#005da1">
            <w10:anchorlock/>
            <v:textbox inset="0,0,0,0">
              <w:txbxContent>
                <w:p>
                  <w:pPr>
                    <w:spacing w:before="66"/>
                    <w:ind w:left="853" w:right="330" w:firstLine="0"/>
                    <w:jc w:val="left"/>
                    <w:rPr>
                      <w:sz w:val="15"/>
                    </w:rPr>
                  </w:pPr>
                  <w:r>
                    <w:rPr>
                      <w:sz w:val="15"/>
                    </w:rPr>
                    <w:t>Acciones:</w:t>
                  </w:r>
                </w:p>
                <w:p>
                  <w:pPr>
                    <w:pStyle w:val="BodyText"/>
                    <w:spacing w:before="4"/>
                    <w:rPr>
                      <w:sz w:val="16"/>
                    </w:rPr>
                  </w:pPr>
                </w:p>
                <w:p>
                  <w:pPr>
                    <w:spacing w:line="249" w:lineRule="auto" w:before="0"/>
                    <w:ind w:left="159" w:right="157" w:firstLine="0"/>
                    <w:jc w:val="center"/>
                    <w:rPr>
                      <w:sz w:val="15"/>
                    </w:rPr>
                  </w:pPr>
                  <w:r>
                    <w:rPr>
                      <w:w w:val="80"/>
                      <w:sz w:val="15"/>
                    </w:rPr>
                    <w:t>Documentos de planeación de </w:t>
                  </w:r>
                  <w:r>
                    <w:rPr>
                      <w:w w:val="90"/>
                      <w:sz w:val="15"/>
                    </w:rPr>
                    <w:t>mediano</w:t>
                  </w:r>
                  <w:r>
                    <w:rPr>
                      <w:spacing w:val="-20"/>
                      <w:w w:val="90"/>
                      <w:sz w:val="15"/>
                    </w:rPr>
                    <w:t> </w:t>
                  </w:r>
                  <w:r>
                    <w:rPr>
                      <w:w w:val="90"/>
                      <w:sz w:val="15"/>
                    </w:rPr>
                    <w:t>y</w:t>
                  </w:r>
                  <w:r>
                    <w:rPr>
                      <w:spacing w:val="-20"/>
                      <w:w w:val="90"/>
                      <w:sz w:val="15"/>
                    </w:rPr>
                    <w:t> </w:t>
                  </w:r>
                  <w:r>
                    <w:rPr>
                      <w:w w:val="90"/>
                      <w:sz w:val="15"/>
                    </w:rPr>
                    <w:t>largo</w:t>
                  </w:r>
                  <w:r>
                    <w:rPr>
                      <w:spacing w:val="-20"/>
                      <w:w w:val="90"/>
                      <w:sz w:val="15"/>
                    </w:rPr>
                    <w:t> </w:t>
                  </w:r>
                  <w:r>
                    <w:rPr>
                      <w:w w:val="90"/>
                      <w:sz w:val="15"/>
                    </w:rPr>
                    <w:t>plazos</w:t>
                  </w:r>
                  <w:r>
                    <w:rPr>
                      <w:spacing w:val="-20"/>
                      <w:w w:val="90"/>
                      <w:sz w:val="15"/>
                    </w:rPr>
                    <w:t> </w:t>
                  </w:r>
                  <w:r>
                    <w:rPr>
                      <w:w w:val="90"/>
                      <w:sz w:val="15"/>
                    </w:rPr>
                    <w:t>de</w:t>
                  </w:r>
                  <w:r>
                    <w:rPr>
                      <w:spacing w:val="-20"/>
                      <w:w w:val="90"/>
                      <w:sz w:val="15"/>
                    </w:rPr>
                    <w:t> </w:t>
                  </w:r>
                  <w:r>
                    <w:rPr>
                      <w:w w:val="90"/>
                      <w:sz w:val="15"/>
                    </w:rPr>
                    <w:t>las </w:t>
                  </w:r>
                  <w:r>
                    <w:rPr>
                      <w:w w:val="80"/>
                      <w:sz w:val="15"/>
                    </w:rPr>
                    <w:t>sanciones :</w:t>
                  </w:r>
                </w:p>
                <w:p>
                  <w:pPr>
                    <w:pStyle w:val="BodyText"/>
                    <w:spacing w:before="8"/>
                    <w:rPr>
                      <w:sz w:val="15"/>
                    </w:rPr>
                  </w:pPr>
                </w:p>
                <w:p>
                  <w:pPr>
                    <w:spacing w:before="0"/>
                    <w:ind w:left="2" w:right="0" w:firstLine="0"/>
                    <w:jc w:val="center"/>
                    <w:rPr>
                      <w:sz w:val="15"/>
                    </w:rPr>
                  </w:pPr>
                  <w:r>
                    <w:rPr>
                      <w:w w:val="79"/>
                      <w:sz w:val="15"/>
                    </w:rPr>
                    <w:t>1</w:t>
                  </w:r>
                </w:p>
                <w:p>
                  <w:pPr>
                    <w:spacing w:line="249" w:lineRule="auto" w:before="6"/>
                    <w:ind w:left="347" w:right="330" w:firstLine="359"/>
                    <w:jc w:val="left"/>
                    <w:rPr>
                      <w:sz w:val="15"/>
                    </w:rPr>
                  </w:pPr>
                  <w:r>
                    <w:rPr>
                      <w:w w:val="90"/>
                      <w:sz w:val="15"/>
                    </w:rPr>
                    <w:t>Administrativas </w:t>
                  </w:r>
                  <w:r>
                    <w:rPr>
                      <w:w w:val="80"/>
                      <w:sz w:val="15"/>
                    </w:rPr>
                    <w:t>(órganos internos de control)</w:t>
                  </w:r>
                </w:p>
                <w:p>
                  <w:pPr>
                    <w:pStyle w:val="BodyText"/>
                    <w:spacing w:before="6"/>
                    <w:rPr>
                      <w:sz w:val="15"/>
                    </w:rPr>
                  </w:pPr>
                </w:p>
                <w:p>
                  <w:pPr>
                    <w:spacing w:before="0"/>
                    <w:ind w:left="2" w:right="0" w:firstLine="0"/>
                    <w:jc w:val="center"/>
                    <w:rPr>
                      <w:sz w:val="15"/>
                    </w:rPr>
                  </w:pPr>
                  <w:r>
                    <w:rPr>
                      <w:w w:val="79"/>
                      <w:sz w:val="15"/>
                    </w:rPr>
                    <w:t>2</w:t>
                  </w:r>
                </w:p>
                <w:p>
                  <w:pPr>
                    <w:spacing w:before="8"/>
                    <w:ind w:left="159" w:right="159" w:firstLine="0"/>
                    <w:jc w:val="center"/>
                    <w:rPr>
                      <w:sz w:val="15"/>
                    </w:rPr>
                  </w:pPr>
                  <w:r>
                    <w:rPr>
                      <w:sz w:val="15"/>
                    </w:rPr>
                    <w:t>Penales</w:t>
                  </w:r>
                </w:p>
                <w:p>
                  <w:pPr>
                    <w:spacing w:before="7"/>
                    <w:ind w:left="159" w:right="159" w:firstLine="0"/>
                    <w:jc w:val="center"/>
                    <w:rPr>
                      <w:sz w:val="15"/>
                    </w:rPr>
                  </w:pPr>
                  <w:r>
                    <w:rPr>
                      <w:w w:val="80"/>
                      <w:sz w:val="15"/>
                    </w:rPr>
                    <w:t>(Ministerio Público y sus auxiliares)</w:t>
                  </w:r>
                </w:p>
              </w:txbxContent>
            </v:textbox>
            <v:fill type="solid"/>
          </v:shape>
        </w:pict>
      </w:r>
      <w:r>
        <w:rPr>
          <w:spacing w:val="-49"/>
          <w:position w:val="16"/>
          <w:sz w:val="20"/>
        </w:rPr>
      </w:r>
    </w:p>
    <w:p>
      <w:pPr>
        <w:pStyle w:val="BodyText"/>
        <w:rPr>
          <w:sz w:val="20"/>
        </w:rPr>
      </w:pPr>
    </w:p>
    <w:p>
      <w:pPr>
        <w:pStyle w:val="BodyText"/>
        <w:rPr>
          <w:sz w:val="20"/>
        </w:rPr>
      </w:pPr>
    </w:p>
    <w:p>
      <w:pPr>
        <w:pStyle w:val="BodyText"/>
        <w:rPr>
          <w:sz w:val="16"/>
        </w:rPr>
      </w:pPr>
    </w:p>
    <w:p>
      <w:pPr>
        <w:spacing w:before="81"/>
        <w:ind w:left="1402" w:right="0" w:firstLine="0"/>
        <w:jc w:val="left"/>
        <w:rPr>
          <w:sz w:val="16"/>
        </w:rPr>
      </w:pPr>
      <w:r>
        <w:rPr>
          <w:sz w:val="16"/>
        </w:rPr>
        <w:t>FUENTE: Elaboración propia con base en: Auditoría Superior de la Federación (2013: 1-21).</w:t>
      </w:r>
    </w:p>
    <w:p>
      <w:pPr>
        <w:pStyle w:val="BodyText"/>
        <w:rPr>
          <w:sz w:val="16"/>
        </w:rPr>
      </w:pPr>
    </w:p>
    <w:p>
      <w:pPr>
        <w:pStyle w:val="BodyText"/>
        <w:rPr>
          <w:sz w:val="16"/>
        </w:rPr>
      </w:pPr>
    </w:p>
    <w:p>
      <w:pPr>
        <w:pStyle w:val="BodyText"/>
        <w:spacing w:before="6"/>
        <w:rPr>
          <w:sz w:val="18"/>
        </w:rPr>
      </w:pPr>
    </w:p>
    <w:p>
      <w:pPr>
        <w:pStyle w:val="BodyText"/>
        <w:spacing w:line="360" w:lineRule="auto"/>
        <w:ind w:left="1402" w:right="1202"/>
      </w:pPr>
      <w:r>
        <w:rPr/>
        <w:t>La evaluación de la política anticorrupción determinó que los factores asociados a los procesos son los siguientes:</w:t>
      </w:r>
    </w:p>
    <w:p>
      <w:pPr>
        <w:spacing w:after="0" w:line="360" w:lineRule="auto"/>
        <w:sectPr>
          <w:type w:val="continuous"/>
          <w:pgSz w:w="11910" w:h="16840"/>
          <w:pgMar w:top="0" w:bottom="280" w:left="300" w:right="380"/>
        </w:sectPr>
      </w:pPr>
    </w:p>
    <w:p>
      <w:pPr>
        <w:spacing w:before="57"/>
        <w:ind w:left="2752" w:right="66" w:firstLine="0"/>
        <w:jc w:val="left"/>
        <w:rPr>
          <w:sz w:val="20"/>
        </w:rPr>
      </w:pPr>
      <w:r>
        <w:rPr>
          <w:sz w:val="20"/>
        </w:rPr>
        <w:t>Cuadro 4. 5. Proceso de prevención</w:t>
      </w:r>
    </w:p>
    <w:p>
      <w:pPr>
        <w:pStyle w:val="BodyText"/>
        <w:spacing w:before="7"/>
        <w:rPr>
          <w:sz w:val="17"/>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8"/>
        <w:gridCol w:w="7062"/>
      </w:tblGrid>
      <w:tr>
        <w:trPr>
          <w:trHeight w:val="503" w:hRule="exact"/>
        </w:trPr>
        <w:tc>
          <w:tcPr>
            <w:tcW w:w="1378" w:type="dxa"/>
            <w:tcBorders>
              <w:bottom w:val="nil"/>
            </w:tcBorders>
          </w:tcPr>
          <w:p>
            <w:pPr/>
          </w:p>
        </w:tc>
        <w:tc>
          <w:tcPr>
            <w:tcW w:w="7062" w:type="dxa"/>
            <w:tcBorders>
              <w:bottom w:val="nil"/>
            </w:tcBorders>
          </w:tcPr>
          <w:p>
            <w:pPr>
              <w:pStyle w:val="TableParagraph"/>
              <w:spacing w:before="47"/>
              <w:ind w:left="64"/>
              <w:rPr>
                <w:sz w:val="18"/>
              </w:rPr>
            </w:pPr>
            <w:r>
              <w:rPr>
                <w:sz w:val="18"/>
              </w:rPr>
              <w:t>El art. 133 de la CPEUM establece la disposición del Estado para celebrar convenios internacionales, los cuales fueron suscritos con la OEA, la OCDE y la ONU.</w:t>
            </w:r>
          </w:p>
        </w:tc>
      </w:tr>
      <w:tr>
        <w:trPr>
          <w:trHeight w:val="655" w:hRule="exact"/>
        </w:trPr>
        <w:tc>
          <w:tcPr>
            <w:tcW w:w="1378" w:type="dxa"/>
            <w:tcBorders>
              <w:top w:val="nil"/>
              <w:bottom w:val="nil"/>
            </w:tcBorders>
          </w:tcPr>
          <w:p>
            <w:pPr>
              <w:pStyle w:val="TableParagraph"/>
              <w:spacing w:before="2"/>
              <w:rPr>
                <w:sz w:val="24"/>
              </w:rPr>
            </w:pPr>
          </w:p>
          <w:p>
            <w:pPr>
              <w:pStyle w:val="TableParagraph"/>
              <w:ind w:left="343" w:right="342"/>
              <w:jc w:val="center"/>
              <w:rPr>
                <w:b/>
                <w:sz w:val="18"/>
              </w:rPr>
            </w:pPr>
            <w:r>
              <w:rPr>
                <w:b/>
                <w:sz w:val="18"/>
              </w:rPr>
              <w:t>Estado</w:t>
            </w:r>
          </w:p>
        </w:tc>
        <w:tc>
          <w:tcPr>
            <w:tcW w:w="7062" w:type="dxa"/>
            <w:tcBorders>
              <w:top w:val="nil"/>
              <w:bottom w:val="nil"/>
            </w:tcBorders>
          </w:tcPr>
          <w:p>
            <w:pPr>
              <w:pStyle w:val="TableParagraph"/>
              <w:spacing w:before="19"/>
              <w:ind w:left="64" w:right="64"/>
              <w:jc w:val="both"/>
              <w:rPr>
                <w:sz w:val="18"/>
              </w:rPr>
            </w:pPr>
            <w:r>
              <w:rPr>
                <w:sz w:val="18"/>
              </w:rPr>
              <w:t>En la Ley General de Contabilidad Gubernamental (publicado en 2008 y reformado en diciembre de 2012) se dispuso transparentar la información financiera de los tres órdenes de gobierno</w:t>
            </w:r>
          </w:p>
        </w:tc>
      </w:tr>
      <w:tr>
        <w:trPr>
          <w:trHeight w:val="622" w:hRule="exact"/>
        </w:trPr>
        <w:tc>
          <w:tcPr>
            <w:tcW w:w="1378" w:type="dxa"/>
            <w:tcBorders>
              <w:top w:val="nil"/>
            </w:tcBorders>
          </w:tcPr>
          <w:p>
            <w:pPr/>
          </w:p>
        </w:tc>
        <w:tc>
          <w:tcPr>
            <w:tcW w:w="7062" w:type="dxa"/>
            <w:tcBorders>
              <w:top w:val="nil"/>
            </w:tcBorders>
          </w:tcPr>
          <w:p>
            <w:pPr>
              <w:pStyle w:val="TableParagraph"/>
              <w:ind w:left="64" w:right="70"/>
              <w:jc w:val="both"/>
              <w:rPr>
                <w:sz w:val="18"/>
              </w:rPr>
            </w:pPr>
            <w:r>
              <w:rPr>
                <w:sz w:val="18"/>
              </w:rPr>
              <w:t>Fue emitida la Ley Federal Anticorrupción en Contrataciones Públicas y la Ley Federal para</w:t>
            </w:r>
            <w:r>
              <w:rPr>
                <w:spacing w:val="-15"/>
                <w:sz w:val="18"/>
              </w:rPr>
              <w:t> </w:t>
            </w:r>
            <w:r>
              <w:rPr>
                <w:sz w:val="18"/>
              </w:rPr>
              <w:t>la</w:t>
            </w:r>
            <w:r>
              <w:rPr>
                <w:spacing w:val="-15"/>
                <w:sz w:val="18"/>
              </w:rPr>
              <w:t> </w:t>
            </w:r>
            <w:r>
              <w:rPr>
                <w:sz w:val="18"/>
              </w:rPr>
              <w:t>Prevención</w:t>
            </w:r>
            <w:r>
              <w:rPr>
                <w:spacing w:val="-15"/>
                <w:sz w:val="18"/>
              </w:rPr>
              <w:t> </w:t>
            </w:r>
            <w:r>
              <w:rPr>
                <w:sz w:val="18"/>
              </w:rPr>
              <w:t>e</w:t>
            </w:r>
            <w:r>
              <w:rPr>
                <w:spacing w:val="-15"/>
                <w:sz w:val="18"/>
              </w:rPr>
              <w:t> </w:t>
            </w:r>
            <w:r>
              <w:rPr>
                <w:sz w:val="18"/>
              </w:rPr>
              <w:t>Identificación</w:t>
            </w:r>
            <w:r>
              <w:rPr>
                <w:spacing w:val="-16"/>
                <w:sz w:val="18"/>
              </w:rPr>
              <w:t> </w:t>
            </w:r>
            <w:r>
              <w:rPr>
                <w:sz w:val="18"/>
              </w:rPr>
              <w:t>de</w:t>
            </w:r>
            <w:r>
              <w:rPr>
                <w:spacing w:val="-15"/>
                <w:sz w:val="18"/>
              </w:rPr>
              <w:t> </w:t>
            </w:r>
            <w:r>
              <w:rPr>
                <w:sz w:val="18"/>
              </w:rPr>
              <w:t>Operaciones</w:t>
            </w:r>
            <w:r>
              <w:rPr>
                <w:spacing w:val="-15"/>
                <w:sz w:val="18"/>
              </w:rPr>
              <w:t> </w:t>
            </w:r>
            <w:r>
              <w:rPr>
                <w:sz w:val="18"/>
              </w:rPr>
              <w:t>con</w:t>
            </w:r>
            <w:r>
              <w:rPr>
                <w:spacing w:val="-15"/>
                <w:sz w:val="18"/>
              </w:rPr>
              <w:t> </w:t>
            </w:r>
            <w:r>
              <w:rPr>
                <w:sz w:val="18"/>
              </w:rPr>
              <w:t>Recursos</w:t>
            </w:r>
            <w:r>
              <w:rPr>
                <w:spacing w:val="-14"/>
                <w:sz w:val="18"/>
              </w:rPr>
              <w:t> </w:t>
            </w:r>
            <w:r>
              <w:rPr>
                <w:sz w:val="18"/>
              </w:rPr>
              <w:t>de</w:t>
            </w:r>
            <w:r>
              <w:rPr>
                <w:spacing w:val="-15"/>
                <w:sz w:val="18"/>
              </w:rPr>
              <w:t> </w:t>
            </w:r>
            <w:r>
              <w:rPr>
                <w:sz w:val="18"/>
              </w:rPr>
              <w:t>Procedencia</w:t>
            </w:r>
            <w:r>
              <w:rPr>
                <w:spacing w:val="-15"/>
                <w:sz w:val="18"/>
              </w:rPr>
              <w:t> </w:t>
            </w:r>
            <w:r>
              <w:rPr>
                <w:sz w:val="18"/>
              </w:rPr>
              <w:t>Ilícita, ambas en</w:t>
            </w:r>
            <w:r>
              <w:rPr>
                <w:spacing w:val="-5"/>
                <w:sz w:val="18"/>
              </w:rPr>
              <w:t> </w:t>
            </w:r>
            <w:r>
              <w:rPr>
                <w:sz w:val="18"/>
              </w:rPr>
              <w:t>2012.</w:t>
            </w:r>
          </w:p>
        </w:tc>
      </w:tr>
      <w:tr>
        <w:trPr>
          <w:trHeight w:val="264" w:hRule="exact"/>
        </w:trPr>
        <w:tc>
          <w:tcPr>
            <w:tcW w:w="1378" w:type="dxa"/>
            <w:tcBorders>
              <w:left w:val="nil"/>
              <w:right w:val="nil"/>
            </w:tcBorders>
          </w:tcPr>
          <w:p>
            <w:pPr/>
          </w:p>
        </w:tc>
        <w:tc>
          <w:tcPr>
            <w:tcW w:w="7062" w:type="dxa"/>
            <w:tcBorders>
              <w:left w:val="nil"/>
              <w:right w:val="nil"/>
            </w:tcBorders>
          </w:tcPr>
          <w:p>
            <w:pPr/>
          </w:p>
        </w:tc>
      </w:tr>
      <w:tr>
        <w:trPr>
          <w:trHeight w:val="761" w:hRule="exact"/>
        </w:trPr>
        <w:tc>
          <w:tcPr>
            <w:tcW w:w="1378" w:type="dxa"/>
            <w:tcBorders>
              <w:bottom w:val="nil"/>
            </w:tcBorders>
          </w:tcPr>
          <w:p>
            <w:pPr>
              <w:pStyle w:val="TableParagraph"/>
              <w:rPr>
                <w:sz w:val="18"/>
              </w:rPr>
            </w:pPr>
          </w:p>
          <w:p>
            <w:pPr>
              <w:pStyle w:val="TableParagraph"/>
              <w:spacing w:before="4"/>
              <w:rPr>
                <w:sz w:val="17"/>
              </w:rPr>
            </w:pPr>
          </w:p>
          <w:p>
            <w:pPr>
              <w:pStyle w:val="TableParagraph"/>
              <w:ind w:left="343" w:right="344"/>
              <w:jc w:val="center"/>
              <w:rPr>
                <w:b/>
                <w:sz w:val="18"/>
              </w:rPr>
            </w:pPr>
            <w:r>
              <w:rPr>
                <w:b/>
                <w:sz w:val="18"/>
              </w:rPr>
              <w:t>Política</w:t>
            </w:r>
          </w:p>
        </w:tc>
        <w:tc>
          <w:tcPr>
            <w:tcW w:w="7062" w:type="dxa"/>
            <w:tcBorders>
              <w:bottom w:val="nil"/>
            </w:tcBorders>
          </w:tcPr>
          <w:p>
            <w:pPr>
              <w:pStyle w:val="TableParagraph"/>
              <w:spacing w:before="73"/>
              <w:ind w:left="64" w:right="74"/>
              <w:jc w:val="both"/>
              <w:rPr>
                <w:sz w:val="18"/>
              </w:rPr>
            </w:pPr>
            <w:r>
              <w:rPr>
                <w:sz w:val="18"/>
              </w:rPr>
              <w:t>El gobierno federal estableció que todos los ejecutores del gasto consolidaran la información sobre la gestión financiera y sobre el cumplimiento de los programas presupuestarios en la CHPF bajo protesta de decir verdad.</w:t>
            </w:r>
          </w:p>
        </w:tc>
      </w:tr>
      <w:tr>
        <w:trPr>
          <w:trHeight w:val="280" w:hRule="exact"/>
        </w:trPr>
        <w:tc>
          <w:tcPr>
            <w:tcW w:w="1378" w:type="dxa"/>
            <w:tcBorders>
              <w:top w:val="nil"/>
            </w:tcBorders>
          </w:tcPr>
          <w:p>
            <w:pPr/>
          </w:p>
        </w:tc>
        <w:tc>
          <w:tcPr>
            <w:tcW w:w="7062" w:type="dxa"/>
            <w:tcBorders>
              <w:top w:val="nil"/>
            </w:tcBorders>
          </w:tcPr>
          <w:p>
            <w:pPr>
              <w:pStyle w:val="TableParagraph"/>
              <w:spacing w:before="44"/>
              <w:ind w:left="64"/>
              <w:rPr>
                <w:sz w:val="18"/>
              </w:rPr>
            </w:pPr>
            <w:r>
              <w:rPr>
                <w:sz w:val="18"/>
              </w:rPr>
              <w:t>Se estableció la figura de contraloría social el 11 de abril de 2008.</w:t>
            </w:r>
          </w:p>
        </w:tc>
      </w:tr>
      <w:tr>
        <w:trPr>
          <w:trHeight w:val="264" w:hRule="exact"/>
        </w:trPr>
        <w:tc>
          <w:tcPr>
            <w:tcW w:w="1378" w:type="dxa"/>
            <w:tcBorders>
              <w:left w:val="nil"/>
              <w:right w:val="nil"/>
            </w:tcBorders>
          </w:tcPr>
          <w:p>
            <w:pPr/>
          </w:p>
        </w:tc>
        <w:tc>
          <w:tcPr>
            <w:tcW w:w="7062" w:type="dxa"/>
            <w:tcBorders>
              <w:left w:val="nil"/>
              <w:right w:val="nil"/>
            </w:tcBorders>
          </w:tcPr>
          <w:p>
            <w:pPr/>
          </w:p>
        </w:tc>
      </w:tr>
      <w:tr>
        <w:trPr>
          <w:trHeight w:val="721" w:hRule="exact"/>
        </w:trPr>
        <w:tc>
          <w:tcPr>
            <w:tcW w:w="1378" w:type="dxa"/>
            <w:tcBorders>
              <w:bottom w:val="nil"/>
            </w:tcBorders>
          </w:tcPr>
          <w:p>
            <w:pPr/>
          </w:p>
        </w:tc>
        <w:tc>
          <w:tcPr>
            <w:tcW w:w="7062" w:type="dxa"/>
            <w:tcBorders>
              <w:bottom w:val="nil"/>
            </w:tcBorders>
          </w:tcPr>
          <w:p>
            <w:pPr>
              <w:pStyle w:val="TableParagraph"/>
              <w:spacing w:before="2"/>
              <w:rPr>
                <w:sz w:val="15"/>
              </w:rPr>
            </w:pPr>
          </w:p>
          <w:p>
            <w:pPr>
              <w:pStyle w:val="TableParagraph"/>
              <w:ind w:left="64"/>
              <w:rPr>
                <w:sz w:val="18"/>
              </w:rPr>
            </w:pPr>
            <w:r>
              <w:rPr>
                <w:sz w:val="18"/>
              </w:rPr>
              <w:t>La armonización legal del Estado Mexicano con los convenios internacionales anticorrupción inició en 2007. Hasta 2013 no se habían concluido la armonización.</w:t>
            </w:r>
          </w:p>
        </w:tc>
      </w:tr>
      <w:tr>
        <w:trPr>
          <w:trHeight w:val="596" w:hRule="exact"/>
        </w:trPr>
        <w:tc>
          <w:tcPr>
            <w:tcW w:w="1378" w:type="dxa"/>
            <w:tcBorders>
              <w:top w:val="nil"/>
              <w:bottom w:val="nil"/>
            </w:tcBorders>
          </w:tcPr>
          <w:p>
            <w:pPr/>
          </w:p>
        </w:tc>
        <w:tc>
          <w:tcPr>
            <w:tcW w:w="7062" w:type="dxa"/>
            <w:tcBorders>
              <w:top w:val="nil"/>
              <w:bottom w:val="nil"/>
            </w:tcBorders>
          </w:tcPr>
          <w:p>
            <w:pPr>
              <w:pStyle w:val="TableParagraph"/>
              <w:spacing w:before="106"/>
              <w:ind w:left="64"/>
              <w:rPr>
                <w:sz w:val="18"/>
              </w:rPr>
            </w:pPr>
            <w:r>
              <w:rPr>
                <w:sz w:val="18"/>
              </w:rPr>
              <w:t>La SFP no elaboró un tablero de control de las actividades de los compromisos de las convenciones internacionales anticorrupción con la OEA y la OCDE.</w:t>
            </w:r>
          </w:p>
        </w:tc>
      </w:tr>
      <w:tr>
        <w:trPr>
          <w:trHeight w:val="750" w:hRule="exact"/>
        </w:trPr>
        <w:tc>
          <w:tcPr>
            <w:tcW w:w="1378" w:type="dxa"/>
            <w:tcBorders>
              <w:top w:val="nil"/>
              <w:bottom w:val="nil"/>
            </w:tcBorders>
          </w:tcPr>
          <w:p>
            <w:pPr/>
          </w:p>
        </w:tc>
        <w:tc>
          <w:tcPr>
            <w:tcW w:w="7062" w:type="dxa"/>
            <w:tcBorders>
              <w:top w:val="nil"/>
              <w:bottom w:val="nil"/>
            </w:tcBorders>
          </w:tcPr>
          <w:p>
            <w:pPr>
              <w:pStyle w:val="TableParagraph"/>
              <w:spacing w:before="55"/>
              <w:ind w:left="64" w:right="69"/>
              <w:jc w:val="both"/>
              <w:rPr>
                <w:sz w:val="18"/>
              </w:rPr>
            </w:pPr>
            <w:r>
              <w:rPr>
                <w:sz w:val="18"/>
              </w:rPr>
              <w:t>En</w:t>
            </w:r>
            <w:r>
              <w:rPr>
                <w:spacing w:val="-11"/>
                <w:sz w:val="18"/>
              </w:rPr>
              <w:t> </w:t>
            </w:r>
            <w:r>
              <w:rPr>
                <w:sz w:val="18"/>
              </w:rPr>
              <w:t>la</w:t>
            </w:r>
            <w:r>
              <w:rPr>
                <w:spacing w:val="-11"/>
                <w:sz w:val="18"/>
              </w:rPr>
              <w:t> </w:t>
            </w:r>
            <w:r>
              <w:rPr>
                <w:sz w:val="18"/>
              </w:rPr>
              <w:t>estructura</w:t>
            </w:r>
            <w:r>
              <w:rPr>
                <w:spacing w:val="-11"/>
                <w:sz w:val="18"/>
              </w:rPr>
              <w:t> </w:t>
            </w:r>
            <w:r>
              <w:rPr>
                <w:sz w:val="18"/>
              </w:rPr>
              <w:t>orgánica</w:t>
            </w:r>
            <w:r>
              <w:rPr>
                <w:spacing w:val="-11"/>
                <w:sz w:val="18"/>
              </w:rPr>
              <w:t> </w:t>
            </w:r>
            <w:r>
              <w:rPr>
                <w:sz w:val="18"/>
              </w:rPr>
              <w:t>de</w:t>
            </w:r>
            <w:r>
              <w:rPr>
                <w:spacing w:val="-14"/>
                <w:sz w:val="18"/>
              </w:rPr>
              <w:t> </w:t>
            </w:r>
            <w:r>
              <w:rPr>
                <w:sz w:val="18"/>
              </w:rPr>
              <w:t>la</w:t>
            </w:r>
            <w:r>
              <w:rPr>
                <w:spacing w:val="-14"/>
                <w:sz w:val="18"/>
              </w:rPr>
              <w:t> </w:t>
            </w:r>
            <w:r>
              <w:rPr>
                <w:sz w:val="18"/>
              </w:rPr>
              <w:t>SFP</w:t>
            </w:r>
            <w:r>
              <w:rPr>
                <w:spacing w:val="-11"/>
                <w:sz w:val="18"/>
              </w:rPr>
              <w:t> </w:t>
            </w:r>
            <w:r>
              <w:rPr>
                <w:sz w:val="18"/>
              </w:rPr>
              <w:t>se</w:t>
            </w:r>
            <w:r>
              <w:rPr>
                <w:spacing w:val="-11"/>
                <w:sz w:val="18"/>
              </w:rPr>
              <w:t> </w:t>
            </w:r>
            <w:r>
              <w:rPr>
                <w:sz w:val="18"/>
              </w:rPr>
              <w:t>privilegió</w:t>
            </w:r>
            <w:r>
              <w:rPr>
                <w:spacing w:val="-11"/>
                <w:sz w:val="18"/>
              </w:rPr>
              <w:t> </w:t>
            </w:r>
            <w:r>
              <w:rPr>
                <w:sz w:val="18"/>
              </w:rPr>
              <w:t>a</w:t>
            </w:r>
            <w:r>
              <w:rPr>
                <w:spacing w:val="-11"/>
                <w:sz w:val="18"/>
              </w:rPr>
              <w:t> </w:t>
            </w:r>
            <w:r>
              <w:rPr>
                <w:sz w:val="18"/>
              </w:rPr>
              <w:t>las</w:t>
            </w:r>
            <w:r>
              <w:rPr>
                <w:spacing w:val="-11"/>
                <w:sz w:val="18"/>
              </w:rPr>
              <w:t> </w:t>
            </w:r>
            <w:r>
              <w:rPr>
                <w:sz w:val="18"/>
              </w:rPr>
              <w:t>acciones</w:t>
            </w:r>
            <w:r>
              <w:rPr>
                <w:spacing w:val="-11"/>
                <w:sz w:val="18"/>
              </w:rPr>
              <w:t> </w:t>
            </w:r>
            <w:r>
              <w:rPr>
                <w:sz w:val="18"/>
              </w:rPr>
              <w:t>directivas,</w:t>
            </w:r>
            <w:r>
              <w:rPr>
                <w:spacing w:val="-11"/>
                <w:sz w:val="18"/>
              </w:rPr>
              <w:t> </w:t>
            </w:r>
            <w:r>
              <w:rPr>
                <w:sz w:val="18"/>
              </w:rPr>
              <w:t>en</w:t>
            </w:r>
            <w:r>
              <w:rPr>
                <w:spacing w:val="-11"/>
                <w:sz w:val="18"/>
              </w:rPr>
              <w:t> </w:t>
            </w:r>
            <w:r>
              <w:rPr>
                <w:sz w:val="18"/>
              </w:rPr>
              <w:t>detrimento de</w:t>
            </w:r>
            <w:r>
              <w:rPr>
                <w:spacing w:val="-9"/>
                <w:sz w:val="18"/>
              </w:rPr>
              <w:t> </w:t>
            </w:r>
            <w:r>
              <w:rPr>
                <w:sz w:val="18"/>
              </w:rPr>
              <w:t>las</w:t>
            </w:r>
            <w:r>
              <w:rPr>
                <w:spacing w:val="-8"/>
                <w:sz w:val="18"/>
              </w:rPr>
              <w:t> </w:t>
            </w:r>
            <w:r>
              <w:rPr>
                <w:sz w:val="18"/>
              </w:rPr>
              <w:t>operativas,</w:t>
            </w:r>
            <w:r>
              <w:rPr>
                <w:spacing w:val="-9"/>
                <w:sz w:val="18"/>
              </w:rPr>
              <w:t> </w:t>
            </w:r>
            <w:r>
              <w:rPr>
                <w:sz w:val="18"/>
              </w:rPr>
              <w:t>lo</w:t>
            </w:r>
            <w:r>
              <w:rPr>
                <w:spacing w:val="-9"/>
                <w:sz w:val="18"/>
              </w:rPr>
              <w:t> </w:t>
            </w:r>
            <w:r>
              <w:rPr>
                <w:sz w:val="18"/>
              </w:rPr>
              <w:t>que</w:t>
            </w:r>
            <w:r>
              <w:rPr>
                <w:spacing w:val="-9"/>
                <w:sz w:val="18"/>
              </w:rPr>
              <w:t> </w:t>
            </w:r>
            <w:r>
              <w:rPr>
                <w:sz w:val="18"/>
              </w:rPr>
              <w:t>incidió</w:t>
            </w:r>
            <w:r>
              <w:rPr>
                <w:spacing w:val="-9"/>
                <w:sz w:val="18"/>
              </w:rPr>
              <w:t> </w:t>
            </w:r>
            <w:r>
              <w:rPr>
                <w:sz w:val="18"/>
              </w:rPr>
              <w:t>que</w:t>
            </w:r>
            <w:r>
              <w:rPr>
                <w:spacing w:val="-9"/>
                <w:sz w:val="18"/>
              </w:rPr>
              <w:t> </w:t>
            </w:r>
            <w:r>
              <w:rPr>
                <w:sz w:val="18"/>
              </w:rPr>
              <w:t>la</w:t>
            </w:r>
            <w:r>
              <w:rPr>
                <w:spacing w:val="-9"/>
                <w:sz w:val="18"/>
              </w:rPr>
              <w:t> </w:t>
            </w:r>
            <w:r>
              <w:rPr>
                <w:sz w:val="18"/>
              </w:rPr>
              <w:t>operación</w:t>
            </w:r>
            <w:r>
              <w:rPr>
                <w:spacing w:val="-9"/>
                <w:sz w:val="18"/>
              </w:rPr>
              <w:t> </w:t>
            </w:r>
            <w:r>
              <w:rPr>
                <w:sz w:val="18"/>
              </w:rPr>
              <w:t>se</w:t>
            </w:r>
            <w:r>
              <w:rPr>
                <w:spacing w:val="-9"/>
                <w:sz w:val="18"/>
              </w:rPr>
              <w:t> </w:t>
            </w:r>
            <w:r>
              <w:rPr>
                <w:sz w:val="18"/>
              </w:rPr>
              <w:t>viera</w:t>
            </w:r>
            <w:r>
              <w:rPr>
                <w:spacing w:val="-9"/>
                <w:sz w:val="18"/>
              </w:rPr>
              <w:t> </w:t>
            </w:r>
            <w:r>
              <w:rPr>
                <w:sz w:val="18"/>
              </w:rPr>
              <w:t>limitada</w:t>
            </w:r>
            <w:r>
              <w:rPr>
                <w:spacing w:val="-9"/>
                <w:sz w:val="18"/>
              </w:rPr>
              <w:t> </w:t>
            </w:r>
            <w:r>
              <w:rPr>
                <w:sz w:val="18"/>
              </w:rPr>
              <w:t>para</w:t>
            </w:r>
            <w:r>
              <w:rPr>
                <w:spacing w:val="-9"/>
                <w:sz w:val="18"/>
              </w:rPr>
              <w:t> </w:t>
            </w:r>
            <w:r>
              <w:rPr>
                <w:sz w:val="18"/>
              </w:rPr>
              <w:t>lograr</w:t>
            </w:r>
            <w:r>
              <w:rPr>
                <w:spacing w:val="-9"/>
                <w:sz w:val="18"/>
              </w:rPr>
              <w:t> </w:t>
            </w:r>
            <w:r>
              <w:rPr>
                <w:sz w:val="18"/>
              </w:rPr>
              <w:t>la</w:t>
            </w:r>
            <w:r>
              <w:rPr>
                <w:spacing w:val="-9"/>
                <w:sz w:val="18"/>
              </w:rPr>
              <w:t> </w:t>
            </w:r>
            <w:r>
              <w:rPr>
                <w:sz w:val="18"/>
              </w:rPr>
              <w:t>eficacia y eficiencia de la</w:t>
            </w:r>
            <w:r>
              <w:rPr>
                <w:spacing w:val="-8"/>
                <w:sz w:val="18"/>
              </w:rPr>
              <w:t> </w:t>
            </w:r>
            <w:r>
              <w:rPr>
                <w:sz w:val="18"/>
              </w:rPr>
              <w:t>SFP.</w:t>
            </w:r>
          </w:p>
        </w:tc>
      </w:tr>
      <w:tr>
        <w:trPr>
          <w:trHeight w:val="533" w:hRule="exact"/>
        </w:trPr>
        <w:tc>
          <w:tcPr>
            <w:tcW w:w="1378" w:type="dxa"/>
            <w:vMerge w:val="restart"/>
            <w:tcBorders>
              <w:top w:val="nil"/>
            </w:tcBorders>
          </w:tcPr>
          <w:p>
            <w:pPr>
              <w:pStyle w:val="TableParagraph"/>
              <w:spacing w:before="8"/>
              <w:rPr>
                <w:sz w:val="19"/>
              </w:rPr>
            </w:pPr>
          </w:p>
          <w:p>
            <w:pPr>
              <w:pStyle w:val="TableParagraph"/>
              <w:ind w:left="107" w:right="107" w:hanging="1"/>
              <w:jc w:val="center"/>
              <w:rPr>
                <w:b/>
                <w:sz w:val="18"/>
              </w:rPr>
            </w:pPr>
            <w:r>
              <w:rPr>
                <w:b/>
                <w:sz w:val="18"/>
              </w:rPr>
              <w:t>Rendición de cuentas (Evaluación de la política)</w:t>
            </w:r>
          </w:p>
        </w:tc>
        <w:tc>
          <w:tcPr>
            <w:tcW w:w="7062" w:type="dxa"/>
            <w:tcBorders>
              <w:top w:val="nil"/>
              <w:bottom w:val="nil"/>
            </w:tcBorders>
          </w:tcPr>
          <w:p>
            <w:pPr>
              <w:pStyle w:val="TableParagraph"/>
              <w:spacing w:before="56"/>
              <w:ind w:left="64"/>
              <w:rPr>
                <w:sz w:val="18"/>
              </w:rPr>
            </w:pPr>
            <w:r>
              <w:rPr>
                <w:sz w:val="18"/>
              </w:rPr>
              <w:t>No</w:t>
            </w:r>
            <w:r>
              <w:rPr>
                <w:spacing w:val="-12"/>
                <w:sz w:val="18"/>
              </w:rPr>
              <w:t> </w:t>
            </w:r>
            <w:r>
              <w:rPr>
                <w:sz w:val="18"/>
              </w:rPr>
              <w:t>se</w:t>
            </w:r>
            <w:r>
              <w:rPr>
                <w:spacing w:val="-14"/>
                <w:sz w:val="18"/>
              </w:rPr>
              <w:t> </w:t>
            </w:r>
            <w:r>
              <w:rPr>
                <w:sz w:val="18"/>
              </w:rPr>
              <w:t>les</w:t>
            </w:r>
            <w:r>
              <w:rPr>
                <w:spacing w:val="-14"/>
                <w:sz w:val="18"/>
              </w:rPr>
              <w:t> </w:t>
            </w:r>
            <w:r>
              <w:rPr>
                <w:sz w:val="18"/>
              </w:rPr>
              <w:t>otorgaron</w:t>
            </w:r>
            <w:r>
              <w:rPr>
                <w:spacing w:val="-14"/>
                <w:sz w:val="18"/>
              </w:rPr>
              <w:t> </w:t>
            </w:r>
            <w:r>
              <w:rPr>
                <w:sz w:val="18"/>
              </w:rPr>
              <w:t>facultades</w:t>
            </w:r>
            <w:r>
              <w:rPr>
                <w:spacing w:val="-14"/>
                <w:sz w:val="18"/>
              </w:rPr>
              <w:t> </w:t>
            </w:r>
            <w:r>
              <w:rPr>
                <w:sz w:val="18"/>
              </w:rPr>
              <w:t>a</w:t>
            </w:r>
            <w:r>
              <w:rPr>
                <w:spacing w:val="-12"/>
                <w:sz w:val="18"/>
              </w:rPr>
              <w:t> </w:t>
            </w:r>
            <w:r>
              <w:rPr>
                <w:sz w:val="18"/>
              </w:rPr>
              <w:t>las</w:t>
            </w:r>
            <w:r>
              <w:rPr>
                <w:spacing w:val="-14"/>
                <w:sz w:val="18"/>
              </w:rPr>
              <w:t> </w:t>
            </w:r>
            <w:r>
              <w:rPr>
                <w:sz w:val="18"/>
              </w:rPr>
              <w:t>dependencias</w:t>
            </w:r>
            <w:r>
              <w:rPr>
                <w:spacing w:val="-14"/>
                <w:sz w:val="18"/>
              </w:rPr>
              <w:t> </w:t>
            </w:r>
            <w:r>
              <w:rPr>
                <w:sz w:val="18"/>
              </w:rPr>
              <w:t>para</w:t>
            </w:r>
            <w:r>
              <w:rPr>
                <w:spacing w:val="-14"/>
                <w:sz w:val="18"/>
              </w:rPr>
              <w:t> </w:t>
            </w:r>
            <w:r>
              <w:rPr>
                <w:sz w:val="18"/>
              </w:rPr>
              <w:t>desarrollar</w:t>
            </w:r>
            <w:r>
              <w:rPr>
                <w:spacing w:val="-15"/>
                <w:sz w:val="18"/>
              </w:rPr>
              <w:t> </w:t>
            </w:r>
            <w:r>
              <w:rPr>
                <w:sz w:val="18"/>
              </w:rPr>
              <w:t>e</w:t>
            </w:r>
            <w:r>
              <w:rPr>
                <w:spacing w:val="-15"/>
                <w:sz w:val="18"/>
              </w:rPr>
              <w:t> </w:t>
            </w:r>
            <w:r>
              <w:rPr>
                <w:sz w:val="18"/>
              </w:rPr>
              <w:t>implantar</w:t>
            </w:r>
            <w:r>
              <w:rPr>
                <w:spacing w:val="-15"/>
                <w:sz w:val="18"/>
              </w:rPr>
              <w:t> </w:t>
            </w:r>
            <w:r>
              <w:rPr>
                <w:sz w:val="18"/>
              </w:rPr>
              <w:t>servicios de inteligencia a fin de detectar, sancionar y erradicar las prácticas</w:t>
            </w:r>
            <w:r>
              <w:rPr>
                <w:spacing w:val="-27"/>
                <w:sz w:val="18"/>
              </w:rPr>
              <w:t> </w:t>
            </w:r>
            <w:r>
              <w:rPr>
                <w:sz w:val="18"/>
              </w:rPr>
              <w:t>corruptas.</w:t>
            </w:r>
          </w:p>
        </w:tc>
      </w:tr>
      <w:tr>
        <w:trPr>
          <w:trHeight w:val="588" w:hRule="exact"/>
        </w:trPr>
        <w:tc>
          <w:tcPr>
            <w:tcW w:w="1378" w:type="dxa"/>
            <w:vMerge/>
            <w:tcBorders>
              <w:bottom w:val="nil"/>
            </w:tcBorders>
          </w:tcPr>
          <w:p>
            <w:pPr/>
          </w:p>
        </w:tc>
        <w:tc>
          <w:tcPr>
            <w:tcW w:w="7062" w:type="dxa"/>
            <w:tcBorders>
              <w:top w:val="nil"/>
              <w:bottom w:val="nil"/>
            </w:tcBorders>
          </w:tcPr>
          <w:p>
            <w:pPr>
              <w:pStyle w:val="TableParagraph"/>
              <w:spacing w:before="44"/>
              <w:ind w:left="64"/>
              <w:rPr>
                <w:sz w:val="18"/>
              </w:rPr>
            </w:pPr>
            <w:r>
              <w:rPr>
                <w:sz w:val="18"/>
              </w:rPr>
              <w:t>No hubo evidencia de que la SFP se coordinara con la Secretaría de Relaciones Exteriores y la SEGOB para realizar la armonización legal.</w:t>
            </w:r>
          </w:p>
        </w:tc>
      </w:tr>
      <w:tr>
        <w:trPr>
          <w:trHeight w:val="1205" w:hRule="exact"/>
        </w:trPr>
        <w:tc>
          <w:tcPr>
            <w:tcW w:w="1378" w:type="dxa"/>
            <w:tcBorders>
              <w:top w:val="nil"/>
              <w:bottom w:val="nil"/>
            </w:tcBorders>
          </w:tcPr>
          <w:p>
            <w:pPr/>
          </w:p>
        </w:tc>
        <w:tc>
          <w:tcPr>
            <w:tcW w:w="7062" w:type="dxa"/>
            <w:tcBorders>
              <w:top w:val="nil"/>
              <w:bottom w:val="nil"/>
            </w:tcBorders>
          </w:tcPr>
          <w:p>
            <w:pPr>
              <w:pStyle w:val="TableParagraph"/>
              <w:spacing w:before="46"/>
              <w:ind w:left="64" w:right="61"/>
              <w:jc w:val="both"/>
              <w:rPr>
                <w:sz w:val="18"/>
              </w:rPr>
            </w:pPr>
            <w:r>
              <w:rPr>
                <w:sz w:val="18"/>
              </w:rPr>
              <w:t>A 2013 no se han otorgado facultades dependencia alguna para dar seguimiento a las convenciones contra la corrupción que ha suscrito el Estado mexicano (lo cual, de acuerdo</w:t>
            </w:r>
            <w:r>
              <w:rPr>
                <w:spacing w:val="-9"/>
                <w:sz w:val="18"/>
              </w:rPr>
              <w:t> </w:t>
            </w:r>
            <w:r>
              <w:rPr>
                <w:sz w:val="18"/>
              </w:rPr>
              <w:t>con</w:t>
            </w:r>
            <w:r>
              <w:rPr>
                <w:spacing w:val="-9"/>
                <w:sz w:val="18"/>
              </w:rPr>
              <w:t> </w:t>
            </w:r>
            <w:r>
              <w:rPr>
                <w:sz w:val="18"/>
              </w:rPr>
              <w:t>la</w:t>
            </w:r>
            <w:r>
              <w:rPr>
                <w:spacing w:val="-9"/>
                <w:sz w:val="18"/>
              </w:rPr>
              <w:t> </w:t>
            </w:r>
            <w:r>
              <w:rPr>
                <w:sz w:val="18"/>
              </w:rPr>
              <w:t>ASF</w:t>
            </w:r>
            <w:r>
              <w:rPr>
                <w:spacing w:val="-9"/>
                <w:sz w:val="18"/>
              </w:rPr>
              <w:t> </w:t>
            </w:r>
            <w:r>
              <w:rPr>
                <w:sz w:val="18"/>
              </w:rPr>
              <w:t>es</w:t>
            </w:r>
            <w:r>
              <w:rPr>
                <w:spacing w:val="-8"/>
                <w:sz w:val="18"/>
              </w:rPr>
              <w:t> </w:t>
            </w:r>
            <w:r>
              <w:rPr>
                <w:sz w:val="18"/>
              </w:rPr>
              <w:t>un</w:t>
            </w:r>
            <w:r>
              <w:rPr>
                <w:spacing w:val="-11"/>
                <w:sz w:val="18"/>
              </w:rPr>
              <w:t> </w:t>
            </w:r>
            <w:r>
              <w:rPr>
                <w:sz w:val="18"/>
              </w:rPr>
              <w:t>aspecto</w:t>
            </w:r>
            <w:r>
              <w:rPr>
                <w:spacing w:val="-11"/>
                <w:sz w:val="18"/>
              </w:rPr>
              <w:t> </w:t>
            </w:r>
            <w:r>
              <w:rPr>
                <w:sz w:val="18"/>
              </w:rPr>
              <w:t>importante</w:t>
            </w:r>
            <w:r>
              <w:rPr>
                <w:spacing w:val="-8"/>
                <w:sz w:val="18"/>
              </w:rPr>
              <w:t> </w:t>
            </w:r>
            <w:r>
              <w:rPr>
                <w:sz w:val="18"/>
              </w:rPr>
              <w:t>si</w:t>
            </w:r>
            <w:r>
              <w:rPr>
                <w:spacing w:val="-9"/>
                <w:sz w:val="18"/>
              </w:rPr>
              <w:t> </w:t>
            </w:r>
            <w:r>
              <w:rPr>
                <w:sz w:val="18"/>
              </w:rPr>
              <w:t>se</w:t>
            </w:r>
            <w:r>
              <w:rPr>
                <w:spacing w:val="-9"/>
                <w:sz w:val="18"/>
              </w:rPr>
              <w:t> </w:t>
            </w:r>
            <w:r>
              <w:rPr>
                <w:sz w:val="18"/>
              </w:rPr>
              <w:t>considera</w:t>
            </w:r>
            <w:r>
              <w:rPr>
                <w:spacing w:val="-9"/>
                <w:sz w:val="18"/>
              </w:rPr>
              <w:t> </w:t>
            </w:r>
            <w:r>
              <w:rPr>
                <w:sz w:val="18"/>
              </w:rPr>
              <w:t>que</w:t>
            </w:r>
            <w:r>
              <w:rPr>
                <w:spacing w:val="-11"/>
                <w:sz w:val="18"/>
              </w:rPr>
              <w:t> </w:t>
            </w:r>
            <w:r>
              <w:rPr>
                <w:sz w:val="18"/>
              </w:rPr>
              <w:t>se</w:t>
            </w:r>
            <w:r>
              <w:rPr>
                <w:spacing w:val="-9"/>
                <w:sz w:val="18"/>
              </w:rPr>
              <w:t> </w:t>
            </w:r>
            <w:r>
              <w:rPr>
                <w:sz w:val="18"/>
              </w:rPr>
              <w:t>ha</w:t>
            </w:r>
            <w:r>
              <w:rPr>
                <w:spacing w:val="-9"/>
                <w:sz w:val="18"/>
              </w:rPr>
              <w:t> </w:t>
            </w:r>
            <w:r>
              <w:rPr>
                <w:sz w:val="18"/>
              </w:rPr>
              <w:t>reconocido</w:t>
            </w:r>
            <w:r>
              <w:rPr>
                <w:spacing w:val="-9"/>
                <w:sz w:val="18"/>
              </w:rPr>
              <w:t> </w:t>
            </w:r>
            <w:r>
              <w:rPr>
                <w:sz w:val="18"/>
              </w:rPr>
              <w:t>que la corrupción trasciende internacionalmente y, por tanto, se requieren acciones para promover y facilitar la cooperación</w:t>
            </w:r>
            <w:r>
              <w:rPr>
                <w:spacing w:val="-18"/>
                <w:sz w:val="18"/>
              </w:rPr>
              <w:t> </w:t>
            </w:r>
            <w:r>
              <w:rPr>
                <w:sz w:val="18"/>
              </w:rPr>
              <w:t>internacional.</w:t>
            </w:r>
          </w:p>
        </w:tc>
      </w:tr>
      <w:tr>
        <w:trPr>
          <w:trHeight w:val="1034" w:hRule="exact"/>
        </w:trPr>
        <w:tc>
          <w:tcPr>
            <w:tcW w:w="1378" w:type="dxa"/>
            <w:tcBorders>
              <w:top w:val="nil"/>
            </w:tcBorders>
          </w:tcPr>
          <w:p>
            <w:pPr/>
          </w:p>
        </w:tc>
        <w:tc>
          <w:tcPr>
            <w:tcW w:w="7062" w:type="dxa"/>
            <w:tcBorders>
              <w:top w:val="nil"/>
            </w:tcBorders>
          </w:tcPr>
          <w:p>
            <w:pPr>
              <w:pStyle w:val="TableParagraph"/>
              <w:spacing w:before="104"/>
              <w:ind w:left="64" w:right="68"/>
              <w:jc w:val="both"/>
              <w:rPr>
                <w:sz w:val="18"/>
              </w:rPr>
            </w:pPr>
            <w:r>
              <w:rPr>
                <w:sz w:val="18"/>
              </w:rPr>
              <w:t>La</w:t>
            </w:r>
            <w:r>
              <w:rPr>
                <w:spacing w:val="-9"/>
                <w:sz w:val="18"/>
              </w:rPr>
              <w:t> </w:t>
            </w:r>
            <w:r>
              <w:rPr>
                <w:sz w:val="18"/>
              </w:rPr>
              <w:t>contraloría</w:t>
            </w:r>
            <w:r>
              <w:rPr>
                <w:spacing w:val="-8"/>
                <w:sz w:val="18"/>
              </w:rPr>
              <w:t> </w:t>
            </w:r>
            <w:r>
              <w:rPr>
                <w:sz w:val="18"/>
              </w:rPr>
              <w:t>social</w:t>
            </w:r>
            <w:r>
              <w:rPr>
                <w:spacing w:val="-9"/>
                <w:sz w:val="18"/>
              </w:rPr>
              <w:t> </w:t>
            </w:r>
            <w:r>
              <w:rPr>
                <w:sz w:val="18"/>
              </w:rPr>
              <w:t>no</w:t>
            </w:r>
            <w:r>
              <w:rPr>
                <w:spacing w:val="-11"/>
                <w:sz w:val="18"/>
              </w:rPr>
              <w:t> </w:t>
            </w:r>
            <w:r>
              <w:rPr>
                <w:sz w:val="18"/>
              </w:rPr>
              <w:t>permite</w:t>
            </w:r>
            <w:r>
              <w:rPr>
                <w:spacing w:val="-9"/>
                <w:sz w:val="18"/>
              </w:rPr>
              <w:t> </w:t>
            </w:r>
            <w:r>
              <w:rPr>
                <w:sz w:val="18"/>
              </w:rPr>
              <w:t>evaluar</w:t>
            </w:r>
            <w:r>
              <w:rPr>
                <w:spacing w:val="-9"/>
                <w:sz w:val="18"/>
              </w:rPr>
              <w:t> </w:t>
            </w:r>
            <w:r>
              <w:rPr>
                <w:sz w:val="18"/>
              </w:rPr>
              <w:t>la</w:t>
            </w:r>
            <w:r>
              <w:rPr>
                <w:spacing w:val="-9"/>
                <w:sz w:val="18"/>
              </w:rPr>
              <w:t> </w:t>
            </w:r>
            <w:r>
              <w:rPr>
                <w:sz w:val="18"/>
              </w:rPr>
              <w:t>contribución</w:t>
            </w:r>
            <w:r>
              <w:rPr>
                <w:spacing w:val="-9"/>
                <w:sz w:val="18"/>
              </w:rPr>
              <w:t> </w:t>
            </w:r>
            <w:r>
              <w:rPr>
                <w:sz w:val="18"/>
              </w:rPr>
              <w:t>de</w:t>
            </w:r>
            <w:r>
              <w:rPr>
                <w:spacing w:val="-11"/>
                <w:sz w:val="18"/>
              </w:rPr>
              <w:t> </w:t>
            </w:r>
            <w:r>
              <w:rPr>
                <w:sz w:val="18"/>
              </w:rPr>
              <w:t>sus</w:t>
            </w:r>
            <w:r>
              <w:rPr>
                <w:spacing w:val="-8"/>
                <w:sz w:val="18"/>
              </w:rPr>
              <w:t> </w:t>
            </w:r>
            <w:r>
              <w:rPr>
                <w:sz w:val="18"/>
              </w:rPr>
              <w:t>resultados</w:t>
            </w:r>
            <w:r>
              <w:rPr>
                <w:spacing w:val="-8"/>
                <w:sz w:val="18"/>
              </w:rPr>
              <w:t> </w:t>
            </w:r>
            <w:r>
              <w:rPr>
                <w:sz w:val="18"/>
              </w:rPr>
              <w:t>en</w:t>
            </w:r>
            <w:r>
              <w:rPr>
                <w:spacing w:val="-9"/>
                <w:sz w:val="18"/>
              </w:rPr>
              <w:t> </w:t>
            </w:r>
            <w:r>
              <w:rPr>
                <w:sz w:val="18"/>
              </w:rPr>
              <w:t>el</w:t>
            </w:r>
            <w:r>
              <w:rPr>
                <w:spacing w:val="-9"/>
                <w:sz w:val="18"/>
              </w:rPr>
              <w:t> </w:t>
            </w:r>
            <w:r>
              <w:rPr>
                <w:sz w:val="18"/>
              </w:rPr>
              <w:t>combate a la corrupción, ya que se realiza de manera cualitativa y sólo se informa sobre las acciones realizadas para formar la operación de dicha contraloría, pero no de su impacto en la disminución de actos de</w:t>
            </w:r>
            <w:r>
              <w:rPr>
                <w:spacing w:val="-22"/>
                <w:sz w:val="18"/>
              </w:rPr>
              <w:t> </w:t>
            </w:r>
            <w:r>
              <w:rPr>
                <w:sz w:val="18"/>
              </w:rPr>
              <w:t>corrupción.</w:t>
            </w:r>
          </w:p>
        </w:tc>
      </w:tr>
    </w:tbl>
    <w:p>
      <w:pPr>
        <w:pStyle w:val="BodyText"/>
        <w:spacing w:before="8"/>
        <w:rPr>
          <w:sz w:val="11"/>
        </w:rPr>
      </w:pPr>
    </w:p>
    <w:p>
      <w:pPr>
        <w:spacing w:before="0"/>
        <w:ind w:left="102" w:right="66" w:firstLine="0"/>
        <w:jc w:val="left"/>
        <w:rPr>
          <w:sz w:val="12"/>
        </w:rPr>
      </w:pPr>
      <w:r>
        <w:rPr>
          <w:sz w:val="12"/>
        </w:rPr>
        <w:t>FUENTE: Elaboración propia con base en: ASF (2013: 1-213).</w:t>
      </w:r>
    </w:p>
    <w:p>
      <w:pPr>
        <w:spacing w:before="20"/>
        <w:ind w:left="668" w:right="66" w:firstLine="0"/>
        <w:jc w:val="left"/>
        <w:rPr>
          <w:sz w:val="12"/>
        </w:rPr>
      </w:pPr>
      <w:r>
        <w:rPr>
          <w:sz w:val="12"/>
        </w:rPr>
        <w:t>Disponible en: </w:t>
      </w:r>
      <w:hyperlink r:id="rId225">
        <w:r>
          <w:rPr>
            <w:sz w:val="12"/>
          </w:rPr>
          <w:t>http://www.asf.gob.mx/Trans/Informes/IR2011i/Grupos/Gobierno/2011_0059_a.pdf</w:t>
        </w:r>
      </w:hyperlink>
    </w:p>
    <w:p>
      <w:pPr>
        <w:pStyle w:val="ListParagraph"/>
        <w:numPr>
          <w:ilvl w:val="0"/>
          <w:numId w:val="78"/>
        </w:numPr>
        <w:tabs>
          <w:tab w:pos="668" w:val="left" w:leader="none"/>
          <w:tab w:pos="669" w:val="left" w:leader="none"/>
        </w:tabs>
        <w:spacing w:line="146" w:lineRule="exact" w:before="22" w:after="0"/>
        <w:ind w:left="668" w:right="0" w:hanging="425"/>
        <w:jc w:val="left"/>
        <w:rPr>
          <w:sz w:val="12"/>
        </w:rPr>
      </w:pPr>
      <w:r>
        <w:rPr>
          <w:sz w:val="12"/>
        </w:rPr>
        <w:t>[Fecha de consulta: 30 de diciembre,</w:t>
      </w:r>
      <w:r>
        <w:rPr>
          <w:spacing w:val="-10"/>
          <w:sz w:val="12"/>
        </w:rPr>
        <w:t> </w:t>
      </w:r>
      <w:r>
        <w:rPr>
          <w:sz w:val="12"/>
        </w:rPr>
        <w:t>2015]</w:t>
      </w:r>
    </w:p>
    <w:p>
      <w:pPr>
        <w:pStyle w:val="ListParagraph"/>
        <w:numPr>
          <w:ilvl w:val="0"/>
          <w:numId w:val="78"/>
        </w:numPr>
        <w:tabs>
          <w:tab w:pos="668" w:val="left" w:leader="none"/>
          <w:tab w:pos="669" w:val="left" w:leader="none"/>
        </w:tabs>
        <w:spacing w:line="240" w:lineRule="auto" w:before="0" w:after="0"/>
        <w:ind w:left="668" w:right="116" w:hanging="425"/>
        <w:jc w:val="both"/>
        <w:rPr>
          <w:sz w:val="12"/>
        </w:rPr>
      </w:pPr>
      <w:r>
        <w:rPr>
          <w:sz w:val="12"/>
        </w:rPr>
        <w:t>En</w:t>
      </w:r>
      <w:r>
        <w:rPr>
          <w:spacing w:val="-3"/>
          <w:sz w:val="12"/>
        </w:rPr>
        <w:t> </w:t>
      </w:r>
      <w:r>
        <w:rPr>
          <w:sz w:val="12"/>
        </w:rPr>
        <w:t>los</w:t>
      </w:r>
      <w:r>
        <w:rPr>
          <w:spacing w:val="-4"/>
          <w:sz w:val="12"/>
        </w:rPr>
        <w:t> </w:t>
      </w:r>
      <w:r>
        <w:rPr>
          <w:sz w:val="12"/>
        </w:rPr>
        <w:t>informes</w:t>
      </w:r>
      <w:r>
        <w:rPr>
          <w:spacing w:val="-4"/>
          <w:sz w:val="12"/>
        </w:rPr>
        <w:t> </w:t>
      </w:r>
      <w:r>
        <w:rPr>
          <w:sz w:val="12"/>
        </w:rPr>
        <w:t>de</w:t>
      </w:r>
      <w:r>
        <w:rPr>
          <w:spacing w:val="-3"/>
          <w:sz w:val="12"/>
        </w:rPr>
        <w:t> </w:t>
      </w:r>
      <w:r>
        <w:rPr>
          <w:sz w:val="12"/>
        </w:rPr>
        <w:t>rendición</w:t>
      </w:r>
      <w:r>
        <w:rPr>
          <w:spacing w:val="-3"/>
          <w:sz w:val="12"/>
        </w:rPr>
        <w:t> </w:t>
      </w:r>
      <w:r>
        <w:rPr>
          <w:sz w:val="12"/>
        </w:rPr>
        <w:t>de</w:t>
      </w:r>
      <w:r>
        <w:rPr>
          <w:spacing w:val="-3"/>
          <w:sz w:val="12"/>
        </w:rPr>
        <w:t> </w:t>
      </w:r>
      <w:r>
        <w:rPr>
          <w:sz w:val="12"/>
        </w:rPr>
        <w:t>cuentas</w:t>
      </w:r>
      <w:r>
        <w:rPr>
          <w:spacing w:val="-4"/>
          <w:sz w:val="12"/>
        </w:rPr>
        <w:t> </w:t>
      </w:r>
      <w:r>
        <w:rPr>
          <w:sz w:val="12"/>
        </w:rPr>
        <w:t>(Cuenta</w:t>
      </w:r>
      <w:r>
        <w:rPr>
          <w:spacing w:val="-3"/>
          <w:sz w:val="12"/>
        </w:rPr>
        <w:t> </w:t>
      </w:r>
      <w:r>
        <w:rPr>
          <w:sz w:val="12"/>
        </w:rPr>
        <w:t>de</w:t>
      </w:r>
      <w:r>
        <w:rPr>
          <w:spacing w:val="-3"/>
          <w:sz w:val="12"/>
        </w:rPr>
        <w:t> </w:t>
      </w:r>
      <w:r>
        <w:rPr>
          <w:sz w:val="12"/>
        </w:rPr>
        <w:t>la</w:t>
      </w:r>
      <w:r>
        <w:rPr>
          <w:spacing w:val="-3"/>
          <w:sz w:val="12"/>
        </w:rPr>
        <w:t> </w:t>
      </w:r>
      <w:r>
        <w:rPr>
          <w:sz w:val="12"/>
        </w:rPr>
        <w:t>Hacienda</w:t>
      </w:r>
      <w:r>
        <w:rPr>
          <w:spacing w:val="-3"/>
          <w:sz w:val="12"/>
        </w:rPr>
        <w:t> </w:t>
      </w:r>
      <w:r>
        <w:rPr>
          <w:sz w:val="12"/>
        </w:rPr>
        <w:t>Pública</w:t>
      </w:r>
      <w:r>
        <w:rPr>
          <w:spacing w:val="-3"/>
          <w:sz w:val="12"/>
        </w:rPr>
        <w:t> </w:t>
      </w:r>
      <w:r>
        <w:rPr>
          <w:sz w:val="12"/>
        </w:rPr>
        <w:t>Federal,</w:t>
      </w:r>
      <w:r>
        <w:rPr>
          <w:spacing w:val="-3"/>
          <w:sz w:val="12"/>
        </w:rPr>
        <w:t> </w:t>
      </w:r>
      <w:r>
        <w:rPr>
          <w:sz w:val="12"/>
        </w:rPr>
        <w:t>Informe</w:t>
      </w:r>
      <w:r>
        <w:rPr>
          <w:spacing w:val="-3"/>
          <w:sz w:val="12"/>
        </w:rPr>
        <w:t> </w:t>
      </w:r>
      <w:r>
        <w:rPr>
          <w:sz w:val="12"/>
        </w:rPr>
        <w:t>de</w:t>
      </w:r>
      <w:r>
        <w:rPr>
          <w:spacing w:val="-3"/>
          <w:sz w:val="12"/>
        </w:rPr>
        <w:t> </w:t>
      </w:r>
      <w:r>
        <w:rPr>
          <w:sz w:val="12"/>
        </w:rPr>
        <w:t>Ejecución</w:t>
      </w:r>
      <w:r>
        <w:rPr>
          <w:spacing w:val="-3"/>
          <w:sz w:val="12"/>
        </w:rPr>
        <w:t> </w:t>
      </w:r>
      <w:r>
        <w:rPr>
          <w:sz w:val="12"/>
        </w:rPr>
        <w:t>del</w:t>
      </w:r>
      <w:r>
        <w:rPr>
          <w:spacing w:val="-2"/>
          <w:sz w:val="12"/>
        </w:rPr>
        <w:t> </w:t>
      </w:r>
      <w:r>
        <w:rPr>
          <w:sz w:val="12"/>
        </w:rPr>
        <w:t>Plan</w:t>
      </w:r>
      <w:r>
        <w:rPr>
          <w:spacing w:val="-3"/>
          <w:sz w:val="12"/>
        </w:rPr>
        <w:t> </w:t>
      </w:r>
      <w:r>
        <w:rPr>
          <w:sz w:val="12"/>
        </w:rPr>
        <w:t>Nacional</w:t>
      </w:r>
      <w:r>
        <w:rPr>
          <w:spacing w:val="-2"/>
          <w:sz w:val="12"/>
        </w:rPr>
        <w:t> </w:t>
      </w:r>
      <w:r>
        <w:rPr>
          <w:sz w:val="12"/>
        </w:rPr>
        <w:t>de</w:t>
      </w:r>
      <w:r>
        <w:rPr>
          <w:spacing w:val="-3"/>
          <w:sz w:val="12"/>
        </w:rPr>
        <w:t> </w:t>
      </w:r>
      <w:r>
        <w:rPr>
          <w:sz w:val="12"/>
        </w:rPr>
        <w:t>Desarrollo</w:t>
      </w:r>
      <w:r>
        <w:rPr>
          <w:spacing w:val="-3"/>
          <w:sz w:val="12"/>
        </w:rPr>
        <w:t> </w:t>
      </w:r>
      <w:r>
        <w:rPr>
          <w:sz w:val="12"/>
        </w:rPr>
        <w:t>e</w:t>
      </w:r>
      <w:r>
        <w:rPr>
          <w:spacing w:val="-5"/>
          <w:sz w:val="12"/>
        </w:rPr>
        <w:t> </w:t>
      </w:r>
      <w:r>
        <w:rPr>
          <w:sz w:val="12"/>
        </w:rPr>
        <w:t>Informes</w:t>
      </w:r>
      <w:r>
        <w:rPr>
          <w:spacing w:val="-4"/>
          <w:sz w:val="12"/>
        </w:rPr>
        <w:t> </w:t>
      </w:r>
      <w:r>
        <w:rPr>
          <w:sz w:val="12"/>
        </w:rPr>
        <w:t>de Labores) se muestran las metas de combate a la corrupción, pero no sus resultados y se informa sobre la asistencia a convenci ones internacionales anticorrupción, también sin</w:t>
      </w:r>
      <w:r>
        <w:rPr>
          <w:spacing w:val="-12"/>
          <w:sz w:val="12"/>
        </w:rPr>
        <w:t> </w:t>
      </w:r>
      <w:r>
        <w:rPr>
          <w:sz w:val="12"/>
        </w:rPr>
        <w:t>resultados.</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0"/>
        <w:rPr>
          <w:sz w:val="17"/>
        </w:rPr>
      </w:pPr>
    </w:p>
    <w:p>
      <w:pPr>
        <w:pStyle w:val="BodyText"/>
        <w:ind w:left="102" w:right="66"/>
      </w:pPr>
      <w:r>
        <w:rPr/>
        <w:t>Conclusiones del proceso de prevención:</w:t>
      </w:r>
    </w:p>
    <w:p>
      <w:pPr>
        <w:pStyle w:val="BodyText"/>
      </w:pPr>
    </w:p>
    <w:p>
      <w:pPr>
        <w:pStyle w:val="BodyText"/>
      </w:pPr>
    </w:p>
    <w:p>
      <w:pPr>
        <w:pStyle w:val="ListParagraph"/>
        <w:numPr>
          <w:ilvl w:val="0"/>
          <w:numId w:val="79"/>
        </w:numPr>
        <w:tabs>
          <w:tab w:pos="822" w:val="left" w:leader="none"/>
        </w:tabs>
        <w:spacing w:line="360" w:lineRule="auto" w:before="0" w:after="0"/>
        <w:ind w:left="822" w:right="125" w:hanging="360"/>
        <w:jc w:val="left"/>
        <w:rPr>
          <w:sz w:val="24"/>
        </w:rPr>
      </w:pPr>
      <w:r>
        <w:rPr>
          <w:sz w:val="24"/>
        </w:rPr>
        <w:t>El legislador realizó cambios al marco jurídico en los años ochenta, sin contar con una definición propia de</w:t>
      </w:r>
      <w:r>
        <w:rPr>
          <w:spacing w:val="-16"/>
          <w:sz w:val="24"/>
        </w:rPr>
        <w:t> </w:t>
      </w:r>
      <w:r>
        <w:rPr>
          <w:sz w:val="24"/>
        </w:rPr>
        <w:t>corrupción.</w:t>
      </w:r>
    </w:p>
    <w:p>
      <w:pPr>
        <w:spacing w:after="0" w:line="360" w:lineRule="auto"/>
        <w:jc w:val="left"/>
        <w:rPr>
          <w:sz w:val="24"/>
        </w:rPr>
        <w:sectPr>
          <w:pgSz w:w="11910" w:h="16840"/>
          <w:pgMar w:header="0" w:footer="1003" w:top="1340" w:bottom="1200" w:left="1600" w:right="1580"/>
        </w:sectPr>
      </w:pPr>
    </w:p>
    <w:p>
      <w:pPr>
        <w:pStyle w:val="ListParagraph"/>
        <w:numPr>
          <w:ilvl w:val="0"/>
          <w:numId w:val="79"/>
        </w:numPr>
        <w:tabs>
          <w:tab w:pos="742" w:val="left" w:leader="none"/>
        </w:tabs>
        <w:spacing w:line="360" w:lineRule="auto" w:before="55" w:after="0"/>
        <w:ind w:left="742" w:right="115" w:hanging="360"/>
        <w:jc w:val="both"/>
        <w:rPr>
          <w:sz w:val="24"/>
        </w:rPr>
      </w:pPr>
      <w:bookmarkStart w:name="_bookmark82" w:id="109"/>
      <w:bookmarkEnd w:id="109"/>
      <w:r>
        <w:rPr/>
      </w:r>
      <w:bookmarkStart w:name="_bookmark82" w:id="110"/>
      <w:bookmarkEnd w:id="110"/>
      <w:r>
        <w:rPr>
          <w:sz w:val="24"/>
        </w:rPr>
        <w:t>Des</w:t>
      </w:r>
      <w:r>
        <w:rPr>
          <w:sz w:val="24"/>
        </w:rPr>
        <w:t>de 2011 la Unidad de Inteligencia Financiera de la SHCP, ha venido atendiendo</w:t>
      </w:r>
      <w:r>
        <w:rPr>
          <w:spacing w:val="-7"/>
          <w:sz w:val="24"/>
        </w:rPr>
        <w:t> </w:t>
      </w:r>
      <w:r>
        <w:rPr>
          <w:sz w:val="24"/>
        </w:rPr>
        <w:t>16</w:t>
      </w:r>
      <w:r>
        <w:rPr>
          <w:spacing w:val="-7"/>
          <w:sz w:val="24"/>
        </w:rPr>
        <w:t> </w:t>
      </w:r>
      <w:r>
        <w:rPr>
          <w:sz w:val="24"/>
        </w:rPr>
        <w:t>de</w:t>
      </w:r>
      <w:r>
        <w:rPr>
          <w:spacing w:val="-5"/>
          <w:sz w:val="24"/>
        </w:rPr>
        <w:t> </w:t>
      </w:r>
      <w:r>
        <w:rPr>
          <w:sz w:val="24"/>
        </w:rPr>
        <w:t>las</w:t>
      </w:r>
      <w:r>
        <w:rPr>
          <w:spacing w:val="-7"/>
          <w:sz w:val="24"/>
        </w:rPr>
        <w:t> </w:t>
      </w:r>
      <w:r>
        <w:rPr>
          <w:sz w:val="24"/>
        </w:rPr>
        <w:t>40</w:t>
      </w:r>
      <w:r>
        <w:rPr>
          <w:spacing w:val="-5"/>
          <w:sz w:val="24"/>
        </w:rPr>
        <w:t> </w:t>
      </w:r>
      <w:r>
        <w:rPr>
          <w:sz w:val="24"/>
        </w:rPr>
        <w:t>recomendaciones</w:t>
      </w:r>
      <w:r>
        <w:rPr>
          <w:spacing w:val="-8"/>
          <w:sz w:val="24"/>
        </w:rPr>
        <w:t> </w:t>
      </w:r>
      <w:r>
        <w:rPr>
          <w:sz w:val="24"/>
        </w:rPr>
        <w:t>para</w:t>
      </w:r>
      <w:r>
        <w:rPr>
          <w:spacing w:val="-5"/>
          <w:sz w:val="24"/>
        </w:rPr>
        <w:t> </w:t>
      </w:r>
      <w:r>
        <w:rPr>
          <w:sz w:val="24"/>
        </w:rPr>
        <w:t>evitar</w:t>
      </w:r>
      <w:r>
        <w:rPr>
          <w:spacing w:val="-6"/>
          <w:sz w:val="24"/>
        </w:rPr>
        <w:t> </w:t>
      </w:r>
      <w:r>
        <w:rPr>
          <w:sz w:val="24"/>
        </w:rPr>
        <w:t>el</w:t>
      </w:r>
      <w:r>
        <w:rPr>
          <w:spacing w:val="-6"/>
          <w:sz w:val="24"/>
        </w:rPr>
        <w:t> </w:t>
      </w:r>
      <w:r>
        <w:rPr>
          <w:sz w:val="24"/>
        </w:rPr>
        <w:t>lavado</w:t>
      </w:r>
      <w:r>
        <w:rPr>
          <w:spacing w:val="-5"/>
          <w:sz w:val="24"/>
        </w:rPr>
        <w:t> </w:t>
      </w:r>
      <w:r>
        <w:rPr>
          <w:sz w:val="24"/>
        </w:rPr>
        <w:t>de</w:t>
      </w:r>
      <w:r>
        <w:rPr>
          <w:spacing w:val="-1"/>
          <w:sz w:val="24"/>
        </w:rPr>
        <w:t> </w:t>
      </w:r>
      <w:r>
        <w:rPr>
          <w:sz w:val="24"/>
        </w:rPr>
        <w:t>dinero que se relacionan con el combate a la</w:t>
      </w:r>
      <w:r>
        <w:rPr>
          <w:spacing w:val="-17"/>
          <w:sz w:val="24"/>
        </w:rPr>
        <w:t> </w:t>
      </w:r>
      <w:r>
        <w:rPr>
          <w:sz w:val="24"/>
        </w:rPr>
        <w:t>corrupción.</w:t>
      </w:r>
    </w:p>
    <w:p>
      <w:pPr>
        <w:pStyle w:val="BodyText"/>
      </w:pPr>
    </w:p>
    <w:p>
      <w:pPr>
        <w:pStyle w:val="ListParagraph"/>
        <w:numPr>
          <w:ilvl w:val="0"/>
          <w:numId w:val="79"/>
        </w:numPr>
        <w:tabs>
          <w:tab w:pos="742" w:val="left" w:leader="none"/>
        </w:tabs>
        <w:spacing w:line="360" w:lineRule="auto" w:before="142" w:after="0"/>
        <w:ind w:left="742" w:right="115" w:hanging="360"/>
        <w:jc w:val="both"/>
        <w:rPr>
          <w:sz w:val="24"/>
        </w:rPr>
      </w:pPr>
      <w:r>
        <w:rPr>
          <w:sz w:val="24"/>
        </w:rPr>
        <w:t>La operación de los OIC no permite combatir eficazmente la corrupción. En el periodo 2004-2011, la ASF determinó como su principal problemática la inactividad de los expedientes, fallas en su integración, falta de congruencia de las acciones determinadas, inadecuada fundamentación de las irregularidades determinadas, fallas en las formalidades para la notificación y problemas con la ejecución de las sanciones.</w:t>
      </w:r>
    </w:p>
    <w:p>
      <w:pPr>
        <w:pStyle w:val="BodyText"/>
        <w:spacing w:before="4"/>
        <w:rPr>
          <w:sz w:val="33"/>
        </w:rPr>
      </w:pPr>
    </w:p>
    <w:p>
      <w:pPr>
        <w:pStyle w:val="ListParagraph"/>
        <w:numPr>
          <w:ilvl w:val="0"/>
          <w:numId w:val="79"/>
        </w:numPr>
        <w:tabs>
          <w:tab w:pos="742" w:val="left" w:leader="none"/>
        </w:tabs>
        <w:spacing w:line="360" w:lineRule="auto" w:before="1" w:after="0"/>
        <w:ind w:left="742" w:right="119" w:hanging="360"/>
        <w:jc w:val="both"/>
        <w:rPr>
          <w:sz w:val="24"/>
        </w:rPr>
      </w:pPr>
      <w:r>
        <w:rPr>
          <w:sz w:val="24"/>
        </w:rPr>
        <w:t>La LSPCAPF, se publicó 31años después de planteada la necesidad de profesionalizar el servicio público (1983) y no estableció un mandato expreso para que toda la APF implemente el Servicio Profesional de Carrera</w:t>
      </w:r>
      <w:r>
        <w:rPr>
          <w:spacing w:val="-4"/>
          <w:sz w:val="24"/>
        </w:rPr>
        <w:t> </w:t>
      </w:r>
      <w:r>
        <w:rPr>
          <w:sz w:val="24"/>
        </w:rPr>
        <w:t>(SPC).</w:t>
      </w:r>
    </w:p>
    <w:p>
      <w:pPr>
        <w:pStyle w:val="BodyText"/>
        <w:spacing w:before="4"/>
        <w:rPr>
          <w:sz w:val="33"/>
        </w:rPr>
      </w:pPr>
    </w:p>
    <w:p>
      <w:pPr>
        <w:pStyle w:val="ListParagraph"/>
        <w:numPr>
          <w:ilvl w:val="0"/>
          <w:numId w:val="79"/>
        </w:numPr>
        <w:tabs>
          <w:tab w:pos="742" w:val="left" w:leader="none"/>
        </w:tabs>
        <w:spacing w:line="360" w:lineRule="auto" w:before="1" w:after="0"/>
        <w:ind w:left="742" w:right="120" w:hanging="360"/>
        <w:jc w:val="both"/>
        <w:rPr>
          <w:sz w:val="24"/>
        </w:rPr>
      </w:pPr>
      <w:r>
        <w:rPr>
          <w:sz w:val="24"/>
        </w:rPr>
        <w:t>A 2010 la SFP y el Instituto de Administración y Avalúos de Bienes Nacionales no habían acreditado el cumplimiento de los objetivos del Sistema de Administración</w:t>
      </w:r>
      <w:r>
        <w:rPr>
          <w:spacing w:val="-13"/>
          <w:sz w:val="24"/>
        </w:rPr>
        <w:t> </w:t>
      </w:r>
      <w:r>
        <w:rPr>
          <w:sz w:val="24"/>
        </w:rPr>
        <w:t>Inmobiliaria.</w:t>
      </w:r>
    </w:p>
    <w:p>
      <w:pPr>
        <w:pStyle w:val="BodyText"/>
        <w:spacing w:before="2"/>
        <w:rPr>
          <w:sz w:val="33"/>
        </w:rPr>
      </w:pPr>
    </w:p>
    <w:p>
      <w:pPr>
        <w:pStyle w:val="ListParagraph"/>
        <w:numPr>
          <w:ilvl w:val="0"/>
          <w:numId w:val="79"/>
        </w:numPr>
        <w:tabs>
          <w:tab w:pos="742" w:val="left" w:leader="none"/>
        </w:tabs>
        <w:spacing w:line="360" w:lineRule="auto" w:before="0" w:after="0"/>
        <w:ind w:left="742" w:right="119" w:hanging="360"/>
        <w:jc w:val="both"/>
        <w:rPr>
          <w:sz w:val="24"/>
        </w:rPr>
      </w:pPr>
      <w:r>
        <w:rPr>
          <w:sz w:val="24"/>
        </w:rPr>
        <w:t>En el periodo 2001 a 2010, no se estableció ningún programa presupuestario para registrar el gasto destinado al combate a la corrupción.</w:t>
      </w:r>
      <w:r>
        <w:rPr>
          <w:spacing w:val="-19"/>
          <w:sz w:val="24"/>
        </w:rPr>
        <w:t> </w:t>
      </w:r>
      <w:r>
        <w:rPr>
          <w:sz w:val="24"/>
        </w:rPr>
        <w:t>En</w:t>
      </w:r>
      <w:r>
        <w:rPr>
          <w:spacing w:val="-19"/>
          <w:sz w:val="24"/>
        </w:rPr>
        <w:t> </w:t>
      </w:r>
      <w:r>
        <w:rPr>
          <w:sz w:val="24"/>
        </w:rPr>
        <w:t>el</w:t>
      </w:r>
      <w:r>
        <w:rPr>
          <w:spacing w:val="-18"/>
          <w:sz w:val="24"/>
        </w:rPr>
        <w:t> </w:t>
      </w:r>
      <w:r>
        <w:rPr>
          <w:sz w:val="24"/>
        </w:rPr>
        <w:t>periodo</w:t>
      </w:r>
      <w:r>
        <w:rPr>
          <w:spacing w:val="-19"/>
          <w:sz w:val="24"/>
        </w:rPr>
        <w:t> </w:t>
      </w:r>
      <w:r>
        <w:rPr>
          <w:sz w:val="24"/>
        </w:rPr>
        <w:t>2007-2012</w:t>
      </w:r>
      <w:r>
        <w:rPr>
          <w:spacing w:val="-19"/>
          <w:sz w:val="24"/>
        </w:rPr>
        <w:t> </w:t>
      </w:r>
      <w:r>
        <w:rPr>
          <w:sz w:val="24"/>
        </w:rPr>
        <w:t>se</w:t>
      </w:r>
      <w:r>
        <w:rPr>
          <w:spacing w:val="-19"/>
          <w:sz w:val="24"/>
        </w:rPr>
        <w:t> </w:t>
      </w:r>
      <w:r>
        <w:rPr>
          <w:sz w:val="24"/>
        </w:rPr>
        <w:t>asignaron</w:t>
      </w:r>
      <w:r>
        <w:rPr>
          <w:spacing w:val="-16"/>
          <w:sz w:val="24"/>
        </w:rPr>
        <w:t> </w:t>
      </w:r>
      <w:r>
        <w:rPr>
          <w:sz w:val="24"/>
        </w:rPr>
        <w:t>recursos</w:t>
      </w:r>
      <w:r>
        <w:rPr>
          <w:spacing w:val="-20"/>
          <w:sz w:val="24"/>
        </w:rPr>
        <w:t> </w:t>
      </w:r>
      <w:r>
        <w:rPr>
          <w:sz w:val="24"/>
        </w:rPr>
        <w:t>a</w:t>
      </w:r>
      <w:r>
        <w:rPr>
          <w:spacing w:val="-19"/>
          <w:sz w:val="24"/>
        </w:rPr>
        <w:t> </w:t>
      </w:r>
      <w:r>
        <w:rPr>
          <w:sz w:val="24"/>
        </w:rPr>
        <w:t>un</w:t>
      </w:r>
      <w:r>
        <w:rPr>
          <w:spacing w:val="-19"/>
          <w:sz w:val="24"/>
        </w:rPr>
        <w:t> </w:t>
      </w:r>
      <w:r>
        <w:rPr>
          <w:sz w:val="24"/>
        </w:rPr>
        <w:t>programa anticorrupción,</w:t>
      </w:r>
      <w:r>
        <w:rPr>
          <w:spacing w:val="-9"/>
          <w:sz w:val="24"/>
        </w:rPr>
        <w:t> </w:t>
      </w:r>
      <w:r>
        <w:rPr>
          <w:sz w:val="24"/>
        </w:rPr>
        <w:t>pero</w:t>
      </w:r>
      <w:r>
        <w:rPr>
          <w:spacing w:val="-9"/>
          <w:sz w:val="24"/>
        </w:rPr>
        <w:t> </w:t>
      </w:r>
      <w:r>
        <w:rPr>
          <w:sz w:val="24"/>
        </w:rPr>
        <w:t>éste</w:t>
      </w:r>
      <w:r>
        <w:rPr>
          <w:spacing w:val="-6"/>
          <w:sz w:val="24"/>
        </w:rPr>
        <w:t> </w:t>
      </w:r>
      <w:r>
        <w:rPr>
          <w:sz w:val="24"/>
        </w:rPr>
        <w:t>no</w:t>
      </w:r>
      <w:r>
        <w:rPr>
          <w:spacing w:val="-9"/>
          <w:sz w:val="24"/>
        </w:rPr>
        <w:t> </w:t>
      </w:r>
      <w:r>
        <w:rPr>
          <w:sz w:val="24"/>
        </w:rPr>
        <w:t>tuvo</w:t>
      </w:r>
      <w:r>
        <w:rPr>
          <w:spacing w:val="-8"/>
          <w:sz w:val="24"/>
        </w:rPr>
        <w:t> </w:t>
      </w:r>
      <w:r>
        <w:rPr>
          <w:sz w:val="24"/>
        </w:rPr>
        <w:t>la</w:t>
      </w:r>
      <w:r>
        <w:rPr>
          <w:spacing w:val="-9"/>
          <w:sz w:val="24"/>
        </w:rPr>
        <w:t> </w:t>
      </w:r>
      <w:r>
        <w:rPr>
          <w:sz w:val="24"/>
        </w:rPr>
        <w:t>obligación</w:t>
      </w:r>
      <w:r>
        <w:rPr>
          <w:spacing w:val="-10"/>
          <w:sz w:val="24"/>
        </w:rPr>
        <w:t> </w:t>
      </w:r>
      <w:r>
        <w:rPr>
          <w:sz w:val="24"/>
        </w:rPr>
        <w:t>de</w:t>
      </w:r>
      <w:r>
        <w:rPr>
          <w:spacing w:val="-9"/>
          <w:sz w:val="24"/>
        </w:rPr>
        <w:t> </w:t>
      </w:r>
      <w:r>
        <w:rPr>
          <w:sz w:val="24"/>
        </w:rPr>
        <w:t>reportar</w:t>
      </w:r>
      <w:r>
        <w:rPr>
          <w:spacing w:val="-10"/>
          <w:sz w:val="24"/>
        </w:rPr>
        <w:t> </w:t>
      </w:r>
      <w:r>
        <w:rPr>
          <w:sz w:val="24"/>
        </w:rPr>
        <w:t>sus</w:t>
      </w:r>
      <w:r>
        <w:rPr>
          <w:spacing w:val="-9"/>
          <w:sz w:val="24"/>
        </w:rPr>
        <w:t> </w:t>
      </w:r>
      <w:r>
        <w:rPr>
          <w:sz w:val="24"/>
        </w:rPr>
        <w:t>actividades con base en indicadores de</w:t>
      </w:r>
      <w:r>
        <w:rPr>
          <w:spacing w:val="-14"/>
          <w:sz w:val="24"/>
        </w:rPr>
        <w:t> </w:t>
      </w:r>
      <w:r>
        <w:rPr>
          <w:sz w:val="24"/>
        </w:rPr>
        <w:t>desempeño.</w:t>
      </w:r>
    </w:p>
    <w:p>
      <w:pPr>
        <w:pStyle w:val="BodyText"/>
        <w:spacing w:before="5"/>
        <w:rPr>
          <w:sz w:val="33"/>
        </w:rPr>
      </w:pPr>
    </w:p>
    <w:p>
      <w:pPr>
        <w:pStyle w:val="ListParagraph"/>
        <w:numPr>
          <w:ilvl w:val="0"/>
          <w:numId w:val="79"/>
        </w:numPr>
        <w:tabs>
          <w:tab w:pos="742" w:val="left" w:leader="none"/>
        </w:tabs>
        <w:spacing w:line="360" w:lineRule="auto" w:before="0" w:after="0"/>
        <w:ind w:left="742" w:right="119" w:hanging="360"/>
        <w:jc w:val="both"/>
        <w:rPr>
          <w:sz w:val="24"/>
        </w:rPr>
      </w:pPr>
      <w:r>
        <w:rPr>
          <w:sz w:val="24"/>
        </w:rPr>
        <w:t>En</w:t>
      </w:r>
      <w:r>
        <w:rPr>
          <w:spacing w:val="-9"/>
          <w:sz w:val="24"/>
        </w:rPr>
        <w:t> </w:t>
      </w:r>
      <w:r>
        <w:rPr>
          <w:sz w:val="24"/>
        </w:rPr>
        <w:t>materia</w:t>
      </w:r>
      <w:r>
        <w:rPr>
          <w:spacing w:val="-7"/>
          <w:sz w:val="24"/>
        </w:rPr>
        <w:t> </w:t>
      </w:r>
      <w:r>
        <w:rPr>
          <w:sz w:val="24"/>
        </w:rPr>
        <w:t>de</w:t>
      </w:r>
      <w:r>
        <w:rPr>
          <w:spacing w:val="-9"/>
          <w:sz w:val="24"/>
        </w:rPr>
        <w:t> </w:t>
      </w:r>
      <w:r>
        <w:rPr>
          <w:sz w:val="24"/>
        </w:rPr>
        <w:t>transparencia,</w:t>
      </w:r>
      <w:r>
        <w:rPr>
          <w:spacing w:val="-5"/>
          <w:sz w:val="24"/>
        </w:rPr>
        <w:t> </w:t>
      </w:r>
      <w:r>
        <w:rPr>
          <w:sz w:val="24"/>
        </w:rPr>
        <w:t>el</w:t>
      </w:r>
      <w:r>
        <w:rPr>
          <w:spacing w:val="-8"/>
          <w:sz w:val="24"/>
        </w:rPr>
        <w:t> </w:t>
      </w:r>
      <w:r>
        <w:rPr>
          <w:sz w:val="24"/>
        </w:rPr>
        <w:t>proceso</w:t>
      </w:r>
      <w:r>
        <w:rPr>
          <w:spacing w:val="-7"/>
          <w:sz w:val="24"/>
        </w:rPr>
        <w:t> </w:t>
      </w:r>
      <w:r>
        <w:rPr>
          <w:sz w:val="24"/>
        </w:rPr>
        <w:t>administrativo</w:t>
      </w:r>
      <w:r>
        <w:rPr>
          <w:spacing w:val="-7"/>
          <w:sz w:val="24"/>
        </w:rPr>
        <w:t> </w:t>
      </w:r>
      <w:r>
        <w:rPr>
          <w:sz w:val="24"/>
        </w:rPr>
        <w:t>no</w:t>
      </w:r>
      <w:r>
        <w:rPr>
          <w:spacing w:val="-7"/>
          <w:sz w:val="24"/>
        </w:rPr>
        <w:t> </w:t>
      </w:r>
      <w:r>
        <w:rPr>
          <w:sz w:val="24"/>
        </w:rPr>
        <w:t>ha</w:t>
      </w:r>
      <w:r>
        <w:rPr>
          <w:spacing w:val="-7"/>
          <w:sz w:val="24"/>
        </w:rPr>
        <w:t> </w:t>
      </w:r>
      <w:r>
        <w:rPr>
          <w:sz w:val="24"/>
        </w:rPr>
        <w:t>obtenido</w:t>
      </w:r>
      <w:r>
        <w:rPr>
          <w:spacing w:val="-7"/>
          <w:sz w:val="24"/>
        </w:rPr>
        <w:t> </w:t>
      </w:r>
      <w:r>
        <w:rPr>
          <w:sz w:val="24"/>
        </w:rPr>
        <w:t>los resultados programados a 2013, en términos de que ésta contribuya a abatir la corrupción y elevar la confianza de la sociedad en las instituciones</w:t>
      </w:r>
      <w:r>
        <w:rPr>
          <w:spacing w:val="-8"/>
          <w:sz w:val="24"/>
        </w:rPr>
        <w:t> </w:t>
      </w:r>
      <w:r>
        <w:rPr>
          <w:sz w:val="24"/>
        </w:rPr>
        <w:t>gubernamentales.</w:t>
      </w:r>
    </w:p>
    <w:p>
      <w:pPr>
        <w:spacing w:after="0" w:line="360" w:lineRule="auto"/>
        <w:jc w:val="both"/>
        <w:rPr>
          <w:sz w:val="24"/>
        </w:rPr>
        <w:sectPr>
          <w:pgSz w:w="11910" w:h="16840"/>
          <w:pgMar w:header="0" w:footer="1003" w:top="1340" w:bottom="1200" w:left="1680" w:right="1580"/>
        </w:sectPr>
      </w:pPr>
    </w:p>
    <w:p>
      <w:pPr>
        <w:spacing w:before="57"/>
        <w:ind w:left="2814" w:right="0" w:firstLine="0"/>
        <w:jc w:val="left"/>
        <w:rPr>
          <w:sz w:val="20"/>
        </w:rPr>
      </w:pPr>
      <w:r>
        <w:rPr>
          <w:sz w:val="20"/>
        </w:rPr>
        <w:t>Cuadro 4. 6. Proceso de detección</w:t>
      </w:r>
    </w:p>
    <w:p>
      <w:pPr>
        <w:pStyle w:val="BodyText"/>
        <w:spacing w:before="7"/>
        <w:rPr>
          <w:sz w:val="17"/>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02"/>
        <w:gridCol w:w="7710"/>
      </w:tblGrid>
      <w:tr>
        <w:trPr>
          <w:trHeight w:val="347" w:hRule="exact"/>
        </w:trPr>
        <w:tc>
          <w:tcPr>
            <w:tcW w:w="1502" w:type="dxa"/>
            <w:tcBorders>
              <w:bottom w:val="nil"/>
            </w:tcBorders>
          </w:tcPr>
          <w:p>
            <w:pPr/>
          </w:p>
        </w:tc>
        <w:tc>
          <w:tcPr>
            <w:tcW w:w="7710" w:type="dxa"/>
            <w:tcBorders>
              <w:bottom w:val="nil"/>
            </w:tcBorders>
          </w:tcPr>
          <w:p>
            <w:pPr>
              <w:pStyle w:val="TableParagraph"/>
              <w:spacing w:before="47"/>
              <w:ind w:left="64" w:right="-18"/>
              <w:rPr>
                <w:sz w:val="18"/>
              </w:rPr>
            </w:pPr>
            <w:r>
              <w:rPr>
                <w:sz w:val="18"/>
              </w:rPr>
              <w:t>Ley General del Sistema Nacional de Seguridad Pública (2009)</w:t>
            </w:r>
          </w:p>
        </w:tc>
      </w:tr>
      <w:tr>
        <w:trPr>
          <w:trHeight w:val="548" w:hRule="exact"/>
        </w:trPr>
        <w:tc>
          <w:tcPr>
            <w:tcW w:w="1502" w:type="dxa"/>
            <w:tcBorders>
              <w:top w:val="nil"/>
              <w:bottom w:val="nil"/>
            </w:tcBorders>
          </w:tcPr>
          <w:p>
            <w:pPr>
              <w:pStyle w:val="TableParagraph"/>
              <w:spacing w:before="4"/>
              <w:rPr>
                <w:sz w:val="19"/>
              </w:rPr>
            </w:pPr>
          </w:p>
          <w:p>
            <w:pPr>
              <w:pStyle w:val="TableParagraph"/>
              <w:ind w:left="446"/>
              <w:rPr>
                <w:b/>
                <w:sz w:val="18"/>
              </w:rPr>
            </w:pPr>
            <w:r>
              <w:rPr>
                <w:b/>
                <w:sz w:val="18"/>
              </w:rPr>
              <w:t>Estado</w:t>
            </w:r>
          </w:p>
        </w:tc>
        <w:tc>
          <w:tcPr>
            <w:tcW w:w="7710" w:type="dxa"/>
            <w:tcBorders>
              <w:top w:val="nil"/>
              <w:bottom w:val="nil"/>
            </w:tcBorders>
          </w:tcPr>
          <w:p>
            <w:pPr>
              <w:pStyle w:val="TableParagraph"/>
              <w:spacing w:before="69"/>
              <w:ind w:left="64" w:right="-18"/>
              <w:rPr>
                <w:sz w:val="18"/>
              </w:rPr>
            </w:pPr>
            <w:r>
              <w:rPr>
                <w:sz w:val="18"/>
              </w:rPr>
              <w:t>Ley Federal para la Prevención e Identificación de Operaciones con Recursos de Procedencia Ilícita (2012)</w:t>
            </w:r>
          </w:p>
        </w:tc>
      </w:tr>
      <w:tr>
        <w:trPr>
          <w:trHeight w:val="465" w:hRule="exact"/>
        </w:trPr>
        <w:tc>
          <w:tcPr>
            <w:tcW w:w="1502" w:type="dxa"/>
            <w:tcBorders>
              <w:top w:val="nil"/>
            </w:tcBorders>
          </w:tcPr>
          <w:p>
            <w:pPr/>
          </w:p>
        </w:tc>
        <w:tc>
          <w:tcPr>
            <w:tcW w:w="7710" w:type="dxa"/>
            <w:tcBorders>
              <w:top w:val="nil"/>
            </w:tcBorders>
          </w:tcPr>
          <w:p>
            <w:pPr>
              <w:pStyle w:val="TableParagraph"/>
              <w:spacing w:before="44"/>
              <w:ind w:left="64" w:right="-18"/>
              <w:rPr>
                <w:sz w:val="18"/>
              </w:rPr>
            </w:pPr>
            <w:r>
              <w:rPr>
                <w:sz w:val="18"/>
              </w:rPr>
              <w:t>En la Ley de Fiscalización y Rendición de Cuentas de la Federación emitida en el 2000 y reformada en 2009, que dispuso la ejecución de auditorías de desempeño.</w:t>
            </w:r>
          </w:p>
        </w:tc>
      </w:tr>
      <w:tr>
        <w:trPr>
          <w:trHeight w:val="314" w:hRule="exact"/>
        </w:trPr>
        <w:tc>
          <w:tcPr>
            <w:tcW w:w="1502" w:type="dxa"/>
            <w:tcBorders>
              <w:left w:val="nil"/>
              <w:right w:val="nil"/>
            </w:tcBorders>
          </w:tcPr>
          <w:p>
            <w:pPr/>
          </w:p>
        </w:tc>
        <w:tc>
          <w:tcPr>
            <w:tcW w:w="7710" w:type="dxa"/>
            <w:tcBorders>
              <w:left w:val="nil"/>
              <w:right w:val="nil"/>
            </w:tcBorders>
          </w:tcPr>
          <w:p>
            <w:pPr/>
          </w:p>
        </w:tc>
      </w:tr>
      <w:tr>
        <w:trPr>
          <w:trHeight w:val="631" w:hRule="exact"/>
        </w:trPr>
        <w:tc>
          <w:tcPr>
            <w:tcW w:w="1502" w:type="dxa"/>
          </w:tcPr>
          <w:p>
            <w:pPr>
              <w:pStyle w:val="TableParagraph"/>
              <w:spacing w:before="7"/>
              <w:rPr>
                <w:sz w:val="17"/>
              </w:rPr>
            </w:pPr>
          </w:p>
          <w:p>
            <w:pPr>
              <w:pStyle w:val="TableParagraph"/>
              <w:ind w:left="424"/>
              <w:rPr>
                <w:b/>
                <w:sz w:val="18"/>
              </w:rPr>
            </w:pPr>
            <w:r>
              <w:rPr>
                <w:b/>
                <w:sz w:val="18"/>
              </w:rPr>
              <w:t>Política</w:t>
            </w:r>
          </w:p>
        </w:tc>
        <w:tc>
          <w:tcPr>
            <w:tcW w:w="7710" w:type="dxa"/>
          </w:tcPr>
          <w:p>
            <w:pPr>
              <w:pStyle w:val="TableParagraph"/>
              <w:ind w:left="64" w:right="72"/>
              <w:jc w:val="both"/>
              <w:rPr>
                <w:sz w:val="18"/>
              </w:rPr>
            </w:pPr>
            <w:r>
              <w:rPr>
                <w:sz w:val="18"/>
              </w:rPr>
              <w:t>Las</w:t>
            </w:r>
            <w:r>
              <w:rPr>
                <w:spacing w:val="-12"/>
                <w:sz w:val="18"/>
              </w:rPr>
              <w:t> </w:t>
            </w:r>
            <w:r>
              <w:rPr>
                <w:sz w:val="18"/>
              </w:rPr>
              <w:t>dependencias</w:t>
            </w:r>
            <w:r>
              <w:rPr>
                <w:spacing w:val="-12"/>
                <w:sz w:val="18"/>
              </w:rPr>
              <w:t> </w:t>
            </w:r>
            <w:r>
              <w:rPr>
                <w:sz w:val="18"/>
              </w:rPr>
              <w:t>que</w:t>
            </w:r>
            <w:r>
              <w:rPr>
                <w:spacing w:val="-12"/>
                <w:sz w:val="18"/>
              </w:rPr>
              <w:t> </w:t>
            </w:r>
            <w:r>
              <w:rPr>
                <w:sz w:val="18"/>
              </w:rPr>
              <w:t>participan</w:t>
            </w:r>
            <w:r>
              <w:rPr>
                <w:spacing w:val="-12"/>
                <w:sz w:val="18"/>
              </w:rPr>
              <w:t> </w:t>
            </w:r>
            <w:r>
              <w:rPr>
                <w:sz w:val="18"/>
              </w:rPr>
              <w:t>en</w:t>
            </w:r>
            <w:r>
              <w:rPr>
                <w:spacing w:val="-12"/>
                <w:sz w:val="18"/>
              </w:rPr>
              <w:t> </w:t>
            </w:r>
            <w:r>
              <w:rPr>
                <w:sz w:val="18"/>
              </w:rPr>
              <w:t>el</w:t>
            </w:r>
            <w:r>
              <w:rPr>
                <w:spacing w:val="-12"/>
                <w:sz w:val="18"/>
              </w:rPr>
              <w:t> </w:t>
            </w:r>
            <w:r>
              <w:rPr>
                <w:sz w:val="18"/>
              </w:rPr>
              <w:t>combate</w:t>
            </w:r>
            <w:r>
              <w:rPr>
                <w:spacing w:val="-12"/>
                <w:sz w:val="18"/>
              </w:rPr>
              <w:t> </w:t>
            </w:r>
            <w:r>
              <w:rPr>
                <w:sz w:val="18"/>
              </w:rPr>
              <w:t>a</w:t>
            </w:r>
            <w:r>
              <w:rPr>
                <w:spacing w:val="-15"/>
                <w:sz w:val="18"/>
              </w:rPr>
              <w:t> </w:t>
            </w:r>
            <w:r>
              <w:rPr>
                <w:sz w:val="18"/>
              </w:rPr>
              <w:t>la</w:t>
            </w:r>
            <w:r>
              <w:rPr>
                <w:spacing w:val="-12"/>
                <w:sz w:val="18"/>
              </w:rPr>
              <w:t> </w:t>
            </w:r>
            <w:r>
              <w:rPr>
                <w:sz w:val="18"/>
              </w:rPr>
              <w:t>corrupción,</w:t>
            </w:r>
            <w:r>
              <w:rPr>
                <w:spacing w:val="-12"/>
                <w:sz w:val="18"/>
              </w:rPr>
              <w:t> </w:t>
            </w:r>
            <w:r>
              <w:rPr>
                <w:sz w:val="18"/>
              </w:rPr>
              <w:t>cuentan</w:t>
            </w:r>
            <w:r>
              <w:rPr>
                <w:spacing w:val="-12"/>
                <w:sz w:val="18"/>
              </w:rPr>
              <w:t> </w:t>
            </w:r>
            <w:r>
              <w:rPr>
                <w:sz w:val="18"/>
              </w:rPr>
              <w:t>con</w:t>
            </w:r>
            <w:r>
              <w:rPr>
                <w:spacing w:val="-12"/>
                <w:sz w:val="18"/>
              </w:rPr>
              <w:t> </w:t>
            </w:r>
            <w:r>
              <w:rPr>
                <w:sz w:val="18"/>
              </w:rPr>
              <w:t>las</w:t>
            </w:r>
            <w:r>
              <w:rPr>
                <w:spacing w:val="-12"/>
                <w:sz w:val="18"/>
              </w:rPr>
              <w:t> </w:t>
            </w:r>
            <w:r>
              <w:rPr>
                <w:sz w:val="18"/>
              </w:rPr>
              <w:t>facultades</w:t>
            </w:r>
            <w:r>
              <w:rPr>
                <w:spacing w:val="-14"/>
                <w:sz w:val="18"/>
              </w:rPr>
              <w:t> </w:t>
            </w:r>
            <w:r>
              <w:rPr>
                <w:sz w:val="18"/>
              </w:rPr>
              <w:t>para investigar las conductas de los servidores públicos, que puedan constituir responsabilidades administrativas.</w:t>
            </w:r>
          </w:p>
        </w:tc>
      </w:tr>
      <w:tr>
        <w:trPr>
          <w:trHeight w:val="317" w:hRule="exact"/>
        </w:trPr>
        <w:tc>
          <w:tcPr>
            <w:tcW w:w="1502" w:type="dxa"/>
            <w:tcBorders>
              <w:left w:val="nil"/>
              <w:right w:val="nil"/>
            </w:tcBorders>
          </w:tcPr>
          <w:p>
            <w:pPr/>
          </w:p>
        </w:tc>
        <w:tc>
          <w:tcPr>
            <w:tcW w:w="7710" w:type="dxa"/>
            <w:tcBorders>
              <w:left w:val="nil"/>
              <w:right w:val="nil"/>
            </w:tcBorders>
          </w:tcPr>
          <w:p>
            <w:pPr/>
          </w:p>
        </w:tc>
      </w:tr>
      <w:tr>
        <w:trPr>
          <w:trHeight w:val="629" w:hRule="exact"/>
        </w:trPr>
        <w:tc>
          <w:tcPr>
            <w:tcW w:w="1502" w:type="dxa"/>
            <w:tcBorders>
              <w:bottom w:val="nil"/>
            </w:tcBorders>
          </w:tcPr>
          <w:p>
            <w:pPr/>
          </w:p>
        </w:tc>
        <w:tc>
          <w:tcPr>
            <w:tcW w:w="7710" w:type="dxa"/>
            <w:tcBorders>
              <w:bottom w:val="nil"/>
            </w:tcBorders>
          </w:tcPr>
          <w:p>
            <w:pPr>
              <w:pStyle w:val="TableParagraph"/>
              <w:spacing w:before="131"/>
              <w:ind w:left="64" w:right="-18"/>
              <w:rPr>
                <w:sz w:val="18"/>
              </w:rPr>
            </w:pPr>
            <w:r>
              <w:rPr>
                <w:sz w:val="18"/>
              </w:rPr>
              <w:t>De 1983 a 2006 no se identificaron disposiciones que establecieran los sistemas de inteligencia para prever, detectar y combatir la corrupción.</w:t>
            </w:r>
          </w:p>
        </w:tc>
      </w:tr>
      <w:tr>
        <w:trPr>
          <w:trHeight w:val="615" w:hRule="exact"/>
        </w:trPr>
        <w:tc>
          <w:tcPr>
            <w:tcW w:w="1502" w:type="dxa"/>
            <w:tcBorders>
              <w:top w:val="nil"/>
              <w:bottom w:val="nil"/>
            </w:tcBorders>
          </w:tcPr>
          <w:p>
            <w:pPr/>
          </w:p>
        </w:tc>
        <w:tc>
          <w:tcPr>
            <w:tcW w:w="7710" w:type="dxa"/>
            <w:tcBorders>
              <w:top w:val="nil"/>
              <w:bottom w:val="nil"/>
            </w:tcBorders>
          </w:tcPr>
          <w:p>
            <w:pPr>
              <w:pStyle w:val="TableParagraph"/>
              <w:spacing w:before="61"/>
              <w:ind w:left="64" w:right="62"/>
              <w:rPr>
                <w:sz w:val="18"/>
              </w:rPr>
            </w:pPr>
            <w:r>
              <w:rPr>
                <w:sz w:val="18"/>
              </w:rPr>
              <w:t>La LOAPF no otorgó facultades a la SFP para llevar a cabo el seguimiento de la evolución de la situación patrimonial de los servidores públicos.</w:t>
            </w:r>
          </w:p>
        </w:tc>
      </w:tr>
      <w:tr>
        <w:trPr>
          <w:trHeight w:val="677" w:hRule="exact"/>
        </w:trPr>
        <w:tc>
          <w:tcPr>
            <w:tcW w:w="1502" w:type="dxa"/>
            <w:tcBorders>
              <w:top w:val="nil"/>
              <w:bottom w:val="nil"/>
            </w:tcBorders>
          </w:tcPr>
          <w:p>
            <w:pPr/>
          </w:p>
        </w:tc>
        <w:tc>
          <w:tcPr>
            <w:tcW w:w="7710" w:type="dxa"/>
            <w:tcBorders>
              <w:top w:val="nil"/>
              <w:bottom w:val="nil"/>
            </w:tcBorders>
          </w:tcPr>
          <w:p>
            <w:pPr>
              <w:pStyle w:val="TableParagraph"/>
              <w:spacing w:before="121"/>
              <w:ind w:left="64" w:right="-18"/>
              <w:rPr>
                <w:sz w:val="18"/>
              </w:rPr>
            </w:pPr>
            <w:r>
              <w:rPr>
                <w:sz w:val="18"/>
              </w:rPr>
              <w:t>En la planificación nacional 1983-1990 no se estableció disposición para los consejos de participación ciudadana, sólo se establecieron mecanismos de participación social.</w:t>
            </w:r>
          </w:p>
        </w:tc>
      </w:tr>
      <w:tr>
        <w:trPr>
          <w:trHeight w:val="1170" w:hRule="exact"/>
        </w:trPr>
        <w:tc>
          <w:tcPr>
            <w:tcW w:w="1502" w:type="dxa"/>
            <w:tcBorders>
              <w:top w:val="nil"/>
              <w:bottom w:val="nil"/>
            </w:tcBorders>
          </w:tcPr>
          <w:p>
            <w:pPr/>
          </w:p>
        </w:tc>
        <w:tc>
          <w:tcPr>
            <w:tcW w:w="7710" w:type="dxa"/>
            <w:tcBorders>
              <w:top w:val="nil"/>
              <w:bottom w:val="nil"/>
            </w:tcBorders>
          </w:tcPr>
          <w:p>
            <w:pPr>
              <w:pStyle w:val="TableParagraph"/>
              <w:spacing w:before="121"/>
              <w:ind w:left="64" w:right="70"/>
              <w:jc w:val="both"/>
              <w:rPr>
                <w:sz w:val="18"/>
              </w:rPr>
            </w:pPr>
            <w:r>
              <w:rPr>
                <w:sz w:val="18"/>
              </w:rPr>
              <w:t>En el Programa Nacional de Rendición de Cuentas, Transparencia y Combate a la Corrupción, 2008-2012 (PNRCTCC) no registró resultados en el indicador relativo a la participación ciudadana. La SFP emitió una guía de participación ciudadana, sin mostrar el porcentaje de dependencias y entidades de la APF que cumplieron con los lineamientos para garantizar la participación.</w:t>
            </w:r>
          </w:p>
        </w:tc>
      </w:tr>
      <w:tr>
        <w:trPr>
          <w:trHeight w:val="1203" w:hRule="exact"/>
        </w:trPr>
        <w:tc>
          <w:tcPr>
            <w:tcW w:w="1502" w:type="dxa"/>
            <w:tcBorders>
              <w:top w:val="nil"/>
              <w:bottom w:val="nil"/>
            </w:tcBorders>
          </w:tcPr>
          <w:p>
            <w:pPr>
              <w:pStyle w:val="TableParagraph"/>
              <w:spacing w:before="124"/>
              <w:ind w:left="110" w:right="110"/>
              <w:jc w:val="center"/>
              <w:rPr>
                <w:b/>
                <w:sz w:val="18"/>
              </w:rPr>
            </w:pPr>
            <w:r>
              <w:rPr>
                <w:b/>
                <w:sz w:val="18"/>
              </w:rPr>
              <w:t>Rendición de cuentas (Evaluación de la política)</w:t>
            </w:r>
          </w:p>
        </w:tc>
        <w:tc>
          <w:tcPr>
            <w:tcW w:w="7710" w:type="dxa"/>
            <w:tcBorders>
              <w:top w:val="nil"/>
              <w:bottom w:val="nil"/>
            </w:tcBorders>
          </w:tcPr>
          <w:p>
            <w:pPr>
              <w:pStyle w:val="TableParagraph"/>
              <w:ind w:left="64" w:right="68"/>
              <w:jc w:val="both"/>
              <w:rPr>
                <w:sz w:val="18"/>
              </w:rPr>
            </w:pPr>
            <w:r>
              <w:rPr>
                <w:sz w:val="18"/>
              </w:rPr>
              <w:t>El indicador de las organizaciones civiles que participan en el monitoreo de la gestión pública para contribuir a la transparencia y al combate a la corrupción, tuvo un cumplimiento menor al 50%, y no se precisó el número de instancias que existen, de qué tipo son, cuáles son sus funciones, en qué campo de la política se inscriben en el combate a la corrupción, y si son funcionales para los objetivos que fueron creadas.</w:t>
            </w:r>
          </w:p>
        </w:tc>
      </w:tr>
      <w:tr>
        <w:trPr>
          <w:trHeight w:val="1360" w:hRule="exact"/>
        </w:trPr>
        <w:tc>
          <w:tcPr>
            <w:tcW w:w="1502" w:type="dxa"/>
            <w:tcBorders>
              <w:top w:val="nil"/>
              <w:bottom w:val="nil"/>
            </w:tcBorders>
          </w:tcPr>
          <w:p>
            <w:pPr/>
          </w:p>
        </w:tc>
        <w:tc>
          <w:tcPr>
            <w:tcW w:w="7710" w:type="dxa"/>
            <w:tcBorders>
              <w:top w:val="nil"/>
              <w:bottom w:val="nil"/>
            </w:tcBorders>
          </w:tcPr>
          <w:p>
            <w:pPr>
              <w:pStyle w:val="TableParagraph"/>
              <w:spacing w:before="153"/>
              <w:ind w:left="64" w:right="65"/>
              <w:jc w:val="both"/>
              <w:rPr>
                <w:sz w:val="18"/>
              </w:rPr>
            </w:pPr>
            <w:r>
              <w:rPr>
                <w:sz w:val="18"/>
              </w:rPr>
              <w:t>La LOAPF no estableció un mandato expreso para que los organismos descentralizados y las entidades del sector paraestatal implementen el SPC. La Ley estableció que el sistema debió optar en su totalidad en un periodo que no excediera de tres años a partir de la entrada en vigencia de la ley, por lo que la plena operación del servicio debió lograrse en 2006, situación que no se concretó debido a que el SPC aún está en su fase de consolidación.</w:t>
            </w:r>
          </w:p>
        </w:tc>
      </w:tr>
      <w:tr>
        <w:trPr>
          <w:trHeight w:val="788" w:hRule="exact"/>
        </w:trPr>
        <w:tc>
          <w:tcPr>
            <w:tcW w:w="1502" w:type="dxa"/>
            <w:tcBorders>
              <w:top w:val="nil"/>
              <w:bottom w:val="nil"/>
            </w:tcBorders>
          </w:tcPr>
          <w:p>
            <w:pPr/>
          </w:p>
        </w:tc>
        <w:tc>
          <w:tcPr>
            <w:tcW w:w="7710" w:type="dxa"/>
            <w:tcBorders>
              <w:top w:val="nil"/>
              <w:bottom w:val="nil"/>
            </w:tcBorders>
          </w:tcPr>
          <w:p>
            <w:pPr>
              <w:pStyle w:val="TableParagraph"/>
              <w:spacing w:before="152"/>
              <w:ind w:left="64" w:right="70"/>
              <w:jc w:val="both"/>
              <w:rPr>
                <w:sz w:val="18"/>
              </w:rPr>
            </w:pPr>
            <w:r>
              <w:rPr>
                <w:sz w:val="18"/>
              </w:rPr>
              <w:t>No se diseñó, ni se instrumentaron indicadores para medir y evaluar el cumplimiento de los objetivos rectores del SPC, consistentes en legalidad, eficiencia, objetividad, calidad, imparcialidad, equidad, competencia por mérito y equidad de género.</w:t>
            </w:r>
          </w:p>
        </w:tc>
      </w:tr>
      <w:tr>
        <w:trPr>
          <w:trHeight w:val="829" w:hRule="exact"/>
        </w:trPr>
        <w:tc>
          <w:tcPr>
            <w:tcW w:w="1502" w:type="dxa"/>
            <w:tcBorders>
              <w:top w:val="nil"/>
            </w:tcBorders>
          </w:tcPr>
          <w:p>
            <w:pPr/>
          </w:p>
        </w:tc>
        <w:tc>
          <w:tcPr>
            <w:tcW w:w="7710" w:type="dxa"/>
            <w:tcBorders>
              <w:top w:val="nil"/>
            </w:tcBorders>
          </w:tcPr>
          <w:p>
            <w:pPr>
              <w:pStyle w:val="TableParagraph"/>
              <w:ind w:left="64" w:right="69"/>
              <w:jc w:val="both"/>
              <w:rPr>
                <w:sz w:val="18"/>
              </w:rPr>
            </w:pPr>
            <w:r>
              <w:rPr>
                <w:sz w:val="18"/>
              </w:rPr>
              <w:t>Los indicadores de control de confianza han mostrado una limitada cobertura para construirse en un elemento eficaz contra el combate a la corrupción, ya que los Centros de Evaluación y Control de Confianza Estatales atendieron al 21.7% de los servidores públicos.</w:t>
            </w:r>
          </w:p>
        </w:tc>
      </w:tr>
    </w:tbl>
    <w:p>
      <w:pPr>
        <w:pStyle w:val="BodyText"/>
        <w:spacing w:before="10"/>
        <w:rPr>
          <w:sz w:val="11"/>
        </w:rPr>
      </w:pPr>
    </w:p>
    <w:p>
      <w:pPr>
        <w:spacing w:line="137" w:lineRule="exact" w:before="0"/>
        <w:ind w:left="102" w:right="0" w:firstLine="0"/>
        <w:jc w:val="left"/>
        <w:rPr>
          <w:sz w:val="12"/>
        </w:rPr>
      </w:pPr>
      <w:r>
        <w:rPr>
          <w:sz w:val="12"/>
        </w:rPr>
        <w:t>FUENTE: Elaboración propia con base en: ASF (2013: 1-213).</w:t>
      </w:r>
    </w:p>
    <w:p>
      <w:pPr>
        <w:spacing w:before="0"/>
        <w:ind w:left="668" w:right="3619" w:firstLine="0"/>
        <w:jc w:val="left"/>
        <w:rPr>
          <w:sz w:val="12"/>
        </w:rPr>
      </w:pPr>
      <w:r>
        <w:rPr>
          <w:sz w:val="12"/>
        </w:rPr>
        <w:t>Disponible en: </w:t>
      </w:r>
      <w:hyperlink r:id="rId225">
        <w:r>
          <w:rPr>
            <w:sz w:val="12"/>
          </w:rPr>
          <w:t>http://www.asf.gob.mx/Trans/Informes/IR2011i/Grupos/Gobierno/2011_0059_a.pdf</w:t>
        </w:r>
      </w:hyperlink>
      <w:r>
        <w:rPr>
          <w:sz w:val="12"/>
        </w:rPr>
        <w:t> [Fecha de consulta: 30 de diciembre, 2015]</w:t>
      </w:r>
    </w:p>
    <w:p>
      <w:pPr>
        <w:pStyle w:val="BodyText"/>
        <w:rPr>
          <w:sz w:val="12"/>
        </w:rPr>
      </w:pPr>
    </w:p>
    <w:p>
      <w:pPr>
        <w:pStyle w:val="BodyText"/>
        <w:rPr>
          <w:sz w:val="12"/>
        </w:rPr>
      </w:pPr>
    </w:p>
    <w:p>
      <w:pPr>
        <w:pStyle w:val="BodyText"/>
        <w:rPr>
          <w:sz w:val="12"/>
        </w:rPr>
      </w:pPr>
    </w:p>
    <w:p>
      <w:pPr>
        <w:pStyle w:val="BodyText"/>
        <w:spacing w:before="3"/>
        <w:rPr>
          <w:sz w:val="14"/>
        </w:rPr>
      </w:pPr>
    </w:p>
    <w:p>
      <w:pPr>
        <w:pStyle w:val="BodyText"/>
        <w:ind w:left="102"/>
      </w:pPr>
      <w:r>
        <w:rPr/>
        <w:t>Conclusiones del proceso de detección:</w:t>
      </w:r>
    </w:p>
    <w:p>
      <w:pPr>
        <w:pStyle w:val="BodyText"/>
      </w:pPr>
    </w:p>
    <w:p>
      <w:pPr>
        <w:pStyle w:val="BodyText"/>
      </w:pPr>
    </w:p>
    <w:p>
      <w:pPr>
        <w:pStyle w:val="ListParagraph"/>
        <w:numPr>
          <w:ilvl w:val="1"/>
          <w:numId w:val="79"/>
        </w:numPr>
        <w:tabs>
          <w:tab w:pos="822" w:val="left" w:leader="none"/>
        </w:tabs>
        <w:spacing w:line="360" w:lineRule="auto" w:before="0" w:after="0"/>
        <w:ind w:left="822" w:right="881" w:hanging="360"/>
        <w:jc w:val="both"/>
        <w:rPr>
          <w:sz w:val="24"/>
        </w:rPr>
      </w:pPr>
      <w:r>
        <w:rPr>
          <w:sz w:val="24"/>
        </w:rPr>
        <w:t>La SFP no realizó trabajos de inteligencia para detectar a servidores públicos que recurrieron a prácticas ilegales en el desarrollo de sus funciones.  El  60.9%  determinados  por  la  SFP  y  los  OIC  fueron</w:t>
      </w:r>
      <w:r>
        <w:rPr>
          <w:spacing w:val="35"/>
          <w:sz w:val="24"/>
        </w:rPr>
        <w:t> </w:t>
      </w:r>
      <w:r>
        <w:rPr>
          <w:sz w:val="24"/>
        </w:rPr>
        <w:t>por</w:t>
      </w:r>
    </w:p>
    <w:p>
      <w:pPr>
        <w:spacing w:after="0" w:line="360" w:lineRule="auto"/>
        <w:jc w:val="both"/>
        <w:rPr>
          <w:sz w:val="24"/>
        </w:rPr>
        <w:sectPr>
          <w:footerReference w:type="even" r:id="rId226"/>
          <w:footerReference w:type="default" r:id="rId227"/>
          <w:pgSz w:w="11910" w:h="16840"/>
          <w:pgMar w:footer="1003" w:header="0" w:top="1340" w:bottom="1200" w:left="1600" w:right="820"/>
          <w:pgNumType w:start="140"/>
        </w:sectPr>
      </w:pPr>
    </w:p>
    <w:p>
      <w:pPr>
        <w:pStyle w:val="BodyText"/>
        <w:spacing w:line="362" w:lineRule="auto" w:before="55"/>
        <w:ind w:left="741"/>
      </w:pPr>
      <w:r>
        <w:rPr/>
        <w:t>incumplimiento en la presentación de la declaración de situación patrimonial y por quejas y denuncias.</w:t>
      </w:r>
    </w:p>
    <w:p>
      <w:pPr>
        <w:pStyle w:val="BodyText"/>
      </w:pPr>
    </w:p>
    <w:p>
      <w:pPr>
        <w:pStyle w:val="ListParagraph"/>
        <w:numPr>
          <w:ilvl w:val="1"/>
          <w:numId w:val="79"/>
        </w:numPr>
        <w:tabs>
          <w:tab w:pos="742" w:val="left" w:leader="none"/>
        </w:tabs>
        <w:spacing w:line="360" w:lineRule="auto" w:before="139" w:after="0"/>
        <w:ind w:left="742" w:right="120" w:hanging="360"/>
        <w:jc w:val="both"/>
        <w:rPr>
          <w:sz w:val="24"/>
        </w:rPr>
      </w:pPr>
      <w:r>
        <w:rPr>
          <w:sz w:val="24"/>
        </w:rPr>
        <w:t>La</w:t>
      </w:r>
      <w:r>
        <w:rPr>
          <w:spacing w:val="-19"/>
          <w:sz w:val="24"/>
        </w:rPr>
        <w:t> </w:t>
      </w:r>
      <w:r>
        <w:rPr>
          <w:sz w:val="24"/>
        </w:rPr>
        <w:t>política</w:t>
      </w:r>
      <w:r>
        <w:rPr>
          <w:spacing w:val="-19"/>
          <w:sz w:val="24"/>
        </w:rPr>
        <w:t> </w:t>
      </w:r>
      <w:r>
        <w:rPr>
          <w:sz w:val="24"/>
        </w:rPr>
        <w:t>pública</w:t>
      </w:r>
      <w:r>
        <w:rPr>
          <w:spacing w:val="-21"/>
          <w:sz w:val="24"/>
        </w:rPr>
        <w:t> </w:t>
      </w:r>
      <w:r>
        <w:rPr>
          <w:sz w:val="24"/>
        </w:rPr>
        <w:t>de</w:t>
      </w:r>
      <w:r>
        <w:rPr>
          <w:spacing w:val="-19"/>
          <w:sz w:val="24"/>
        </w:rPr>
        <w:t> </w:t>
      </w:r>
      <w:r>
        <w:rPr>
          <w:sz w:val="24"/>
        </w:rPr>
        <w:t>combate</w:t>
      </w:r>
      <w:r>
        <w:rPr>
          <w:spacing w:val="-21"/>
          <w:sz w:val="24"/>
        </w:rPr>
        <w:t> </w:t>
      </w:r>
      <w:r>
        <w:rPr>
          <w:sz w:val="24"/>
        </w:rPr>
        <w:t>a</w:t>
      </w:r>
      <w:r>
        <w:rPr>
          <w:spacing w:val="-19"/>
          <w:sz w:val="24"/>
        </w:rPr>
        <w:t> </w:t>
      </w:r>
      <w:r>
        <w:rPr>
          <w:sz w:val="24"/>
        </w:rPr>
        <w:t>la</w:t>
      </w:r>
      <w:r>
        <w:rPr>
          <w:spacing w:val="-15"/>
          <w:sz w:val="24"/>
        </w:rPr>
        <w:t> </w:t>
      </w:r>
      <w:r>
        <w:rPr>
          <w:sz w:val="24"/>
        </w:rPr>
        <w:t>corrupción</w:t>
      </w:r>
      <w:r>
        <w:rPr>
          <w:spacing w:val="-21"/>
          <w:sz w:val="24"/>
        </w:rPr>
        <w:t> </w:t>
      </w:r>
      <w:r>
        <w:rPr>
          <w:sz w:val="24"/>
        </w:rPr>
        <w:t>ha</w:t>
      </w:r>
      <w:r>
        <w:rPr>
          <w:spacing w:val="-19"/>
          <w:sz w:val="24"/>
        </w:rPr>
        <w:t> </w:t>
      </w:r>
      <w:r>
        <w:rPr>
          <w:sz w:val="24"/>
        </w:rPr>
        <w:t>operado</w:t>
      </w:r>
      <w:r>
        <w:rPr>
          <w:spacing w:val="-19"/>
          <w:sz w:val="24"/>
        </w:rPr>
        <w:t> </w:t>
      </w:r>
      <w:r>
        <w:rPr>
          <w:sz w:val="24"/>
        </w:rPr>
        <w:t>sin</w:t>
      </w:r>
      <w:r>
        <w:rPr>
          <w:spacing w:val="-19"/>
          <w:sz w:val="24"/>
        </w:rPr>
        <w:t> </w:t>
      </w:r>
      <w:r>
        <w:rPr>
          <w:sz w:val="24"/>
        </w:rPr>
        <w:t>coordinación entre las dependencias y entidades de la APF, ésta sólo ha suscrito mecanismos</w:t>
      </w:r>
      <w:r>
        <w:rPr>
          <w:spacing w:val="-4"/>
          <w:sz w:val="24"/>
        </w:rPr>
        <w:t> </w:t>
      </w:r>
      <w:r>
        <w:rPr>
          <w:sz w:val="24"/>
        </w:rPr>
        <w:t>de</w:t>
      </w:r>
      <w:r>
        <w:rPr>
          <w:spacing w:val="-4"/>
          <w:sz w:val="24"/>
        </w:rPr>
        <w:t> </w:t>
      </w:r>
      <w:r>
        <w:rPr>
          <w:sz w:val="24"/>
        </w:rPr>
        <w:t>coordinación</w:t>
      </w:r>
      <w:r>
        <w:rPr>
          <w:spacing w:val="-4"/>
          <w:sz w:val="24"/>
        </w:rPr>
        <w:t> </w:t>
      </w:r>
      <w:r>
        <w:rPr>
          <w:sz w:val="24"/>
        </w:rPr>
        <w:t>con</w:t>
      </w:r>
      <w:r>
        <w:rPr>
          <w:spacing w:val="-4"/>
          <w:sz w:val="24"/>
        </w:rPr>
        <w:t> </w:t>
      </w:r>
      <w:r>
        <w:rPr>
          <w:sz w:val="24"/>
        </w:rPr>
        <w:t>5</w:t>
      </w:r>
      <w:r>
        <w:rPr>
          <w:spacing w:val="-6"/>
          <w:sz w:val="24"/>
        </w:rPr>
        <w:t> </w:t>
      </w:r>
      <w:r>
        <w:rPr>
          <w:sz w:val="24"/>
        </w:rPr>
        <w:t>de</w:t>
      </w:r>
      <w:r>
        <w:rPr>
          <w:spacing w:val="-4"/>
          <w:sz w:val="24"/>
        </w:rPr>
        <w:t> </w:t>
      </w:r>
      <w:r>
        <w:rPr>
          <w:sz w:val="24"/>
        </w:rPr>
        <w:t>las</w:t>
      </w:r>
      <w:r>
        <w:rPr>
          <w:spacing w:val="-6"/>
          <w:sz w:val="24"/>
        </w:rPr>
        <w:t> </w:t>
      </w:r>
      <w:r>
        <w:rPr>
          <w:sz w:val="24"/>
        </w:rPr>
        <w:t>316</w:t>
      </w:r>
      <w:r>
        <w:rPr>
          <w:spacing w:val="-4"/>
          <w:sz w:val="24"/>
        </w:rPr>
        <w:t> </w:t>
      </w:r>
      <w:r>
        <w:rPr>
          <w:sz w:val="24"/>
        </w:rPr>
        <w:t>existentes.</w:t>
      </w:r>
      <w:r>
        <w:rPr>
          <w:spacing w:val="-6"/>
          <w:sz w:val="24"/>
        </w:rPr>
        <w:t> </w:t>
      </w:r>
      <w:r>
        <w:rPr>
          <w:sz w:val="24"/>
        </w:rPr>
        <w:t>La</w:t>
      </w:r>
      <w:r>
        <w:rPr>
          <w:spacing w:val="-4"/>
          <w:sz w:val="24"/>
        </w:rPr>
        <w:t> </w:t>
      </w:r>
      <w:r>
        <w:rPr>
          <w:sz w:val="24"/>
        </w:rPr>
        <w:t>SFP</w:t>
      </w:r>
      <w:r>
        <w:rPr>
          <w:spacing w:val="-4"/>
          <w:sz w:val="24"/>
        </w:rPr>
        <w:t> </w:t>
      </w:r>
      <w:r>
        <w:rPr>
          <w:sz w:val="24"/>
        </w:rPr>
        <w:t>carece de coordinación con los otros Poderes de la Unión y con los órganos constitucionalmente</w:t>
      </w:r>
      <w:r>
        <w:rPr>
          <w:spacing w:val="-12"/>
          <w:sz w:val="24"/>
        </w:rPr>
        <w:t> </w:t>
      </w:r>
      <w:r>
        <w:rPr>
          <w:sz w:val="24"/>
        </w:rPr>
        <w:t>autónomos.</w:t>
      </w:r>
    </w:p>
    <w:p>
      <w:pPr>
        <w:pStyle w:val="BodyText"/>
        <w:spacing w:before="2"/>
      </w:pPr>
    </w:p>
    <w:p>
      <w:pPr>
        <w:pStyle w:val="ListParagraph"/>
        <w:numPr>
          <w:ilvl w:val="1"/>
          <w:numId w:val="79"/>
        </w:numPr>
        <w:tabs>
          <w:tab w:pos="742" w:val="left" w:leader="none"/>
        </w:tabs>
        <w:spacing w:line="360" w:lineRule="auto" w:before="0" w:after="0"/>
        <w:ind w:left="742" w:right="122" w:hanging="360"/>
        <w:jc w:val="both"/>
        <w:rPr>
          <w:sz w:val="24"/>
        </w:rPr>
      </w:pPr>
      <w:r>
        <w:rPr>
          <w:sz w:val="24"/>
        </w:rPr>
        <w:t>La</w:t>
      </w:r>
      <w:r>
        <w:rPr>
          <w:spacing w:val="-6"/>
          <w:sz w:val="24"/>
        </w:rPr>
        <w:t> </w:t>
      </w:r>
      <w:r>
        <w:rPr>
          <w:sz w:val="24"/>
        </w:rPr>
        <w:t>SFP</w:t>
      </w:r>
      <w:r>
        <w:rPr>
          <w:spacing w:val="-6"/>
          <w:sz w:val="24"/>
        </w:rPr>
        <w:t> </w:t>
      </w:r>
      <w:r>
        <w:rPr>
          <w:sz w:val="24"/>
        </w:rPr>
        <w:t>no</w:t>
      </w:r>
      <w:r>
        <w:rPr>
          <w:spacing w:val="-6"/>
          <w:sz w:val="24"/>
        </w:rPr>
        <w:t> </w:t>
      </w:r>
      <w:r>
        <w:rPr>
          <w:sz w:val="24"/>
        </w:rPr>
        <w:t>logró</w:t>
      </w:r>
      <w:r>
        <w:rPr>
          <w:spacing w:val="-7"/>
          <w:sz w:val="24"/>
        </w:rPr>
        <w:t> </w:t>
      </w:r>
      <w:r>
        <w:rPr>
          <w:sz w:val="24"/>
        </w:rPr>
        <w:t>disminuir</w:t>
      </w:r>
      <w:r>
        <w:rPr>
          <w:spacing w:val="-8"/>
          <w:sz w:val="24"/>
        </w:rPr>
        <w:t> </w:t>
      </w:r>
      <w:r>
        <w:rPr>
          <w:sz w:val="24"/>
        </w:rPr>
        <w:t>significativamente</w:t>
      </w:r>
      <w:r>
        <w:rPr>
          <w:spacing w:val="-8"/>
          <w:sz w:val="24"/>
        </w:rPr>
        <w:t> </w:t>
      </w:r>
      <w:r>
        <w:rPr>
          <w:sz w:val="24"/>
        </w:rPr>
        <w:t>el</w:t>
      </w:r>
      <w:r>
        <w:rPr>
          <w:spacing w:val="-7"/>
          <w:sz w:val="24"/>
        </w:rPr>
        <w:t> </w:t>
      </w:r>
      <w:r>
        <w:rPr>
          <w:sz w:val="24"/>
        </w:rPr>
        <w:t>número</w:t>
      </w:r>
      <w:r>
        <w:rPr>
          <w:spacing w:val="-7"/>
          <w:sz w:val="24"/>
        </w:rPr>
        <w:t> </w:t>
      </w:r>
      <w:r>
        <w:rPr>
          <w:sz w:val="24"/>
        </w:rPr>
        <w:t>de</w:t>
      </w:r>
      <w:r>
        <w:rPr>
          <w:spacing w:val="-6"/>
          <w:sz w:val="24"/>
        </w:rPr>
        <w:t> </w:t>
      </w:r>
      <w:r>
        <w:rPr>
          <w:sz w:val="24"/>
        </w:rPr>
        <w:t>observaciones recurrentes derivados de los actos de fiscalización de la ASF, debido a que</w:t>
      </w:r>
      <w:r>
        <w:rPr>
          <w:spacing w:val="-5"/>
          <w:sz w:val="24"/>
        </w:rPr>
        <w:t> </w:t>
      </w:r>
      <w:r>
        <w:rPr>
          <w:sz w:val="24"/>
        </w:rPr>
        <w:t>no</w:t>
      </w:r>
      <w:r>
        <w:rPr>
          <w:spacing w:val="-7"/>
          <w:sz w:val="24"/>
        </w:rPr>
        <w:t> </w:t>
      </w:r>
      <w:r>
        <w:rPr>
          <w:sz w:val="24"/>
        </w:rPr>
        <w:t>ha</w:t>
      </w:r>
      <w:r>
        <w:rPr>
          <w:spacing w:val="-7"/>
          <w:sz w:val="24"/>
        </w:rPr>
        <w:t> </w:t>
      </w:r>
      <w:r>
        <w:rPr>
          <w:sz w:val="24"/>
        </w:rPr>
        <w:t>determinado</w:t>
      </w:r>
      <w:r>
        <w:rPr>
          <w:spacing w:val="-5"/>
          <w:sz w:val="24"/>
        </w:rPr>
        <w:t> </w:t>
      </w:r>
      <w:r>
        <w:rPr>
          <w:sz w:val="24"/>
        </w:rPr>
        <w:t>todas</w:t>
      </w:r>
      <w:r>
        <w:rPr>
          <w:spacing w:val="-8"/>
          <w:sz w:val="24"/>
        </w:rPr>
        <w:t> </w:t>
      </w:r>
      <w:r>
        <w:rPr>
          <w:sz w:val="24"/>
        </w:rPr>
        <w:t>las</w:t>
      </w:r>
      <w:r>
        <w:rPr>
          <w:spacing w:val="-7"/>
          <w:sz w:val="24"/>
        </w:rPr>
        <w:t> </w:t>
      </w:r>
      <w:r>
        <w:rPr>
          <w:sz w:val="24"/>
        </w:rPr>
        <w:t>causas</w:t>
      </w:r>
      <w:r>
        <w:rPr>
          <w:spacing w:val="-8"/>
          <w:sz w:val="24"/>
        </w:rPr>
        <w:t> </w:t>
      </w:r>
      <w:r>
        <w:rPr>
          <w:sz w:val="24"/>
        </w:rPr>
        <w:t>reales</w:t>
      </w:r>
      <w:r>
        <w:rPr>
          <w:spacing w:val="-5"/>
          <w:sz w:val="24"/>
        </w:rPr>
        <w:t> </w:t>
      </w:r>
      <w:r>
        <w:rPr>
          <w:sz w:val="24"/>
        </w:rPr>
        <w:t>de</w:t>
      </w:r>
      <w:r>
        <w:rPr>
          <w:spacing w:val="-7"/>
          <w:sz w:val="24"/>
        </w:rPr>
        <w:t> </w:t>
      </w:r>
      <w:r>
        <w:rPr>
          <w:sz w:val="24"/>
        </w:rPr>
        <w:t>dichas</w:t>
      </w:r>
      <w:r>
        <w:rPr>
          <w:spacing w:val="-8"/>
          <w:sz w:val="24"/>
        </w:rPr>
        <w:t> </w:t>
      </w:r>
      <w:r>
        <w:rPr>
          <w:sz w:val="24"/>
        </w:rPr>
        <w:t>observaciones.</w:t>
      </w:r>
    </w:p>
    <w:p>
      <w:pPr>
        <w:pStyle w:val="BodyText"/>
        <w:spacing w:before="5"/>
      </w:pPr>
    </w:p>
    <w:p>
      <w:pPr>
        <w:pStyle w:val="ListParagraph"/>
        <w:numPr>
          <w:ilvl w:val="1"/>
          <w:numId w:val="79"/>
        </w:numPr>
        <w:tabs>
          <w:tab w:pos="742" w:val="left" w:leader="none"/>
        </w:tabs>
        <w:spacing w:line="360" w:lineRule="auto" w:before="0" w:after="0"/>
        <w:ind w:left="742" w:right="120" w:hanging="360"/>
        <w:jc w:val="both"/>
        <w:rPr>
          <w:sz w:val="24"/>
        </w:rPr>
      </w:pPr>
      <w:r>
        <w:rPr>
          <w:sz w:val="24"/>
        </w:rPr>
        <w:t>La SFP, durante el periodo 1983-2012, recuperó 48,737.3 millones de pesos por afectaciones al erario público detectadas con las auditorías practicadas.</w:t>
      </w:r>
    </w:p>
    <w:p>
      <w:pPr>
        <w:pStyle w:val="BodyText"/>
        <w:spacing w:before="2"/>
      </w:pPr>
    </w:p>
    <w:p>
      <w:pPr>
        <w:pStyle w:val="ListParagraph"/>
        <w:numPr>
          <w:ilvl w:val="1"/>
          <w:numId w:val="79"/>
        </w:numPr>
        <w:tabs>
          <w:tab w:pos="742" w:val="left" w:leader="none"/>
        </w:tabs>
        <w:spacing w:line="360" w:lineRule="auto" w:before="0" w:after="0"/>
        <w:ind w:left="742" w:right="116" w:hanging="360"/>
        <w:jc w:val="both"/>
        <w:rPr>
          <w:sz w:val="24"/>
        </w:rPr>
      </w:pPr>
      <w:r>
        <w:rPr>
          <w:sz w:val="24"/>
        </w:rPr>
        <w:t>La declaración de situación patrimonial es un instrumento inefectivo para combatir la corrupción, ya que sólo los servidores públicos de mando medio y superior (el 19.5% al 2012) están obligados a presentarla y fue hasta 2011 que se verifica la evolución</w:t>
      </w:r>
      <w:r>
        <w:rPr>
          <w:spacing w:val="-16"/>
          <w:sz w:val="24"/>
        </w:rPr>
        <w:t> </w:t>
      </w:r>
      <w:r>
        <w:rPr>
          <w:sz w:val="24"/>
        </w:rPr>
        <w:t>patrimonial.</w:t>
      </w:r>
    </w:p>
    <w:p>
      <w:pPr>
        <w:pStyle w:val="BodyText"/>
      </w:pPr>
    </w:p>
    <w:p>
      <w:pPr>
        <w:pStyle w:val="ListParagraph"/>
        <w:numPr>
          <w:ilvl w:val="1"/>
          <w:numId w:val="79"/>
        </w:numPr>
        <w:tabs>
          <w:tab w:pos="742" w:val="left" w:leader="none"/>
        </w:tabs>
        <w:spacing w:line="360" w:lineRule="auto" w:before="142" w:after="0"/>
        <w:ind w:left="742" w:right="118" w:hanging="360"/>
        <w:jc w:val="both"/>
        <w:rPr>
          <w:sz w:val="24"/>
        </w:rPr>
      </w:pPr>
      <w:r>
        <w:rPr>
          <w:sz w:val="24"/>
        </w:rPr>
        <w:t>El Sistema de Atención Telefónica para atender a la ciudadanía dejó de existir en 2011 debido a la cancelación de recursos, y con las reformas</w:t>
      </w:r>
      <w:r>
        <w:rPr>
          <w:spacing w:val="-45"/>
          <w:sz w:val="24"/>
        </w:rPr>
        <w:t> </w:t>
      </w:r>
      <w:r>
        <w:rPr>
          <w:sz w:val="24"/>
        </w:rPr>
        <w:t>al Reglamento Interior de la SFP, se extinguió la Unidad de Atención Ciudadana,</w:t>
      </w:r>
      <w:r>
        <w:rPr>
          <w:spacing w:val="-9"/>
          <w:sz w:val="24"/>
        </w:rPr>
        <w:t> </w:t>
      </w:r>
      <w:r>
        <w:rPr>
          <w:sz w:val="24"/>
        </w:rPr>
        <w:t>lo</w:t>
      </w:r>
      <w:r>
        <w:rPr>
          <w:spacing w:val="-9"/>
          <w:sz w:val="24"/>
        </w:rPr>
        <w:t> </w:t>
      </w:r>
      <w:r>
        <w:rPr>
          <w:sz w:val="24"/>
        </w:rPr>
        <w:t>cual</w:t>
      </w:r>
      <w:r>
        <w:rPr>
          <w:spacing w:val="-10"/>
          <w:sz w:val="24"/>
        </w:rPr>
        <w:t> </w:t>
      </w:r>
      <w:r>
        <w:rPr>
          <w:sz w:val="24"/>
        </w:rPr>
        <w:t>restringió</w:t>
      </w:r>
      <w:r>
        <w:rPr>
          <w:spacing w:val="-7"/>
          <w:sz w:val="24"/>
        </w:rPr>
        <w:t> </w:t>
      </w:r>
      <w:r>
        <w:rPr>
          <w:sz w:val="24"/>
        </w:rPr>
        <w:t>la</w:t>
      </w:r>
      <w:r>
        <w:rPr>
          <w:spacing w:val="-7"/>
          <w:sz w:val="24"/>
        </w:rPr>
        <w:t> </w:t>
      </w:r>
      <w:r>
        <w:rPr>
          <w:sz w:val="24"/>
        </w:rPr>
        <w:t>posibilidad</w:t>
      </w:r>
      <w:r>
        <w:rPr>
          <w:spacing w:val="-9"/>
          <w:sz w:val="24"/>
        </w:rPr>
        <w:t> </w:t>
      </w:r>
      <w:r>
        <w:rPr>
          <w:sz w:val="24"/>
        </w:rPr>
        <w:t>de</w:t>
      </w:r>
      <w:r>
        <w:rPr>
          <w:spacing w:val="-11"/>
          <w:sz w:val="24"/>
        </w:rPr>
        <w:t> </w:t>
      </w:r>
      <w:r>
        <w:rPr>
          <w:sz w:val="24"/>
        </w:rPr>
        <w:t>la</w:t>
      </w:r>
      <w:r>
        <w:rPr>
          <w:spacing w:val="-7"/>
          <w:sz w:val="24"/>
        </w:rPr>
        <w:t> </w:t>
      </w:r>
      <w:r>
        <w:rPr>
          <w:sz w:val="24"/>
        </w:rPr>
        <w:t>población</w:t>
      </w:r>
      <w:r>
        <w:rPr>
          <w:spacing w:val="-7"/>
          <w:sz w:val="24"/>
        </w:rPr>
        <w:t> </w:t>
      </w:r>
      <w:r>
        <w:rPr>
          <w:sz w:val="24"/>
        </w:rPr>
        <w:t>para</w:t>
      </w:r>
      <w:r>
        <w:rPr>
          <w:spacing w:val="-9"/>
          <w:sz w:val="24"/>
        </w:rPr>
        <w:t> </w:t>
      </w:r>
      <w:r>
        <w:rPr>
          <w:sz w:val="24"/>
        </w:rPr>
        <w:t>poner</w:t>
      </w:r>
      <w:r>
        <w:rPr>
          <w:spacing w:val="-8"/>
          <w:sz w:val="24"/>
        </w:rPr>
        <w:t> </w:t>
      </w:r>
      <w:r>
        <w:rPr>
          <w:sz w:val="24"/>
        </w:rPr>
        <w:t>sus quejas y formular sus</w:t>
      </w:r>
      <w:r>
        <w:rPr>
          <w:spacing w:val="-13"/>
          <w:sz w:val="24"/>
        </w:rPr>
        <w:t> </w:t>
      </w:r>
      <w:r>
        <w:rPr>
          <w:sz w:val="24"/>
        </w:rPr>
        <w:t>denuncias.</w:t>
      </w:r>
    </w:p>
    <w:p>
      <w:pPr>
        <w:spacing w:after="0" w:line="360" w:lineRule="auto"/>
        <w:jc w:val="both"/>
        <w:rPr>
          <w:sz w:val="24"/>
        </w:rPr>
        <w:sectPr>
          <w:pgSz w:w="11910" w:h="16840"/>
          <w:pgMar w:header="0" w:footer="1003" w:top="1340" w:bottom="1200" w:left="1680" w:right="1580"/>
        </w:sectPr>
      </w:pPr>
    </w:p>
    <w:p>
      <w:pPr>
        <w:spacing w:before="57"/>
        <w:ind w:left="1599" w:right="0" w:firstLine="0"/>
        <w:jc w:val="left"/>
        <w:rPr>
          <w:sz w:val="20"/>
        </w:rPr>
      </w:pPr>
      <w:bookmarkStart w:name="_bookmark83" w:id="111"/>
      <w:bookmarkEnd w:id="111"/>
      <w:r>
        <w:rPr/>
      </w:r>
      <w:r>
        <w:rPr>
          <w:sz w:val="20"/>
        </w:rPr>
        <w:t>Cuadro 4. 7. Procesos de procuración e impartición de justicia</w:t>
      </w:r>
    </w:p>
    <w:p>
      <w:pPr>
        <w:pStyle w:val="BodyText"/>
        <w:spacing w:before="7"/>
        <w:rPr>
          <w:sz w:val="17"/>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1"/>
        <w:gridCol w:w="7588"/>
      </w:tblGrid>
      <w:tr>
        <w:trPr>
          <w:trHeight w:val="3920" w:hRule="exact"/>
        </w:trPr>
        <w:tc>
          <w:tcPr>
            <w:tcW w:w="13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4"/>
              <w:rPr>
                <w:sz w:val="19"/>
              </w:rPr>
            </w:pPr>
          </w:p>
          <w:p>
            <w:pPr>
              <w:pStyle w:val="TableParagraph"/>
              <w:spacing w:before="1"/>
              <w:ind w:left="297" w:right="300"/>
              <w:jc w:val="center"/>
              <w:rPr>
                <w:b/>
                <w:sz w:val="20"/>
              </w:rPr>
            </w:pPr>
            <w:r>
              <w:rPr>
                <w:b/>
                <w:sz w:val="20"/>
              </w:rPr>
              <w:t>Estado</w:t>
            </w:r>
          </w:p>
        </w:tc>
        <w:tc>
          <w:tcPr>
            <w:tcW w:w="7588" w:type="dxa"/>
          </w:tcPr>
          <w:p>
            <w:pPr>
              <w:pStyle w:val="TableParagraph"/>
              <w:ind w:left="64" w:right="69"/>
              <w:jc w:val="both"/>
              <w:rPr>
                <w:sz w:val="20"/>
              </w:rPr>
            </w:pPr>
            <w:r>
              <w:rPr>
                <w:sz w:val="20"/>
              </w:rPr>
              <w:t>El</w:t>
            </w:r>
            <w:r>
              <w:rPr>
                <w:spacing w:val="-14"/>
                <w:sz w:val="20"/>
              </w:rPr>
              <w:t> </w:t>
            </w:r>
            <w:r>
              <w:rPr>
                <w:sz w:val="20"/>
              </w:rPr>
              <w:t>marco</w:t>
            </w:r>
            <w:r>
              <w:rPr>
                <w:spacing w:val="-14"/>
                <w:sz w:val="20"/>
              </w:rPr>
              <w:t> </w:t>
            </w:r>
            <w:r>
              <w:rPr>
                <w:sz w:val="20"/>
              </w:rPr>
              <w:t>legal</w:t>
            </w:r>
            <w:r>
              <w:rPr>
                <w:spacing w:val="-14"/>
                <w:sz w:val="20"/>
              </w:rPr>
              <w:t> </w:t>
            </w:r>
            <w:r>
              <w:rPr>
                <w:sz w:val="20"/>
              </w:rPr>
              <w:t>considera</w:t>
            </w:r>
            <w:r>
              <w:rPr>
                <w:spacing w:val="-11"/>
                <w:sz w:val="20"/>
              </w:rPr>
              <w:t> </w:t>
            </w:r>
            <w:r>
              <w:rPr>
                <w:sz w:val="20"/>
              </w:rPr>
              <w:t>disposiciones</w:t>
            </w:r>
            <w:r>
              <w:rPr>
                <w:spacing w:val="-13"/>
                <w:sz w:val="20"/>
              </w:rPr>
              <w:t> </w:t>
            </w:r>
            <w:r>
              <w:rPr>
                <w:sz w:val="20"/>
              </w:rPr>
              <w:t>específicas</w:t>
            </w:r>
            <w:r>
              <w:rPr>
                <w:spacing w:val="-13"/>
                <w:sz w:val="20"/>
              </w:rPr>
              <w:t> </w:t>
            </w:r>
            <w:r>
              <w:rPr>
                <w:sz w:val="20"/>
              </w:rPr>
              <w:t>establecidas</w:t>
            </w:r>
            <w:r>
              <w:rPr>
                <w:spacing w:val="-12"/>
                <w:sz w:val="20"/>
              </w:rPr>
              <w:t> </w:t>
            </w:r>
            <w:r>
              <w:rPr>
                <w:sz w:val="20"/>
              </w:rPr>
              <w:t>en</w:t>
            </w:r>
            <w:r>
              <w:rPr>
                <w:spacing w:val="-14"/>
                <w:sz w:val="20"/>
              </w:rPr>
              <w:t> </w:t>
            </w:r>
            <w:r>
              <w:rPr>
                <w:sz w:val="20"/>
              </w:rPr>
              <w:t>las</w:t>
            </w:r>
            <w:r>
              <w:rPr>
                <w:spacing w:val="-13"/>
                <w:sz w:val="20"/>
              </w:rPr>
              <w:t> </w:t>
            </w:r>
            <w:r>
              <w:rPr>
                <w:sz w:val="20"/>
              </w:rPr>
              <w:t>convenciones internacionales anticorrupción y nacionales (CPEUM, LOAPF, LFRASP y Código Penal Federal), para recabar las evidencias que acreditan la probable responsabilidad de los servidores</w:t>
            </w:r>
            <w:r>
              <w:rPr>
                <w:spacing w:val="-12"/>
                <w:sz w:val="20"/>
              </w:rPr>
              <w:t> </w:t>
            </w:r>
            <w:r>
              <w:rPr>
                <w:sz w:val="20"/>
              </w:rPr>
              <w:t>públicos.</w:t>
            </w:r>
          </w:p>
          <w:p>
            <w:pPr>
              <w:pStyle w:val="TableParagraph"/>
              <w:rPr>
                <w:sz w:val="20"/>
              </w:rPr>
            </w:pPr>
          </w:p>
          <w:p>
            <w:pPr>
              <w:pStyle w:val="TableParagraph"/>
              <w:spacing w:before="1"/>
              <w:ind w:left="64" w:right="74"/>
              <w:jc w:val="both"/>
              <w:rPr>
                <w:sz w:val="20"/>
              </w:rPr>
            </w:pPr>
            <w:r>
              <w:rPr>
                <w:sz w:val="20"/>
              </w:rPr>
              <w:t>Las dependencias, entidades y órganos facultados para realizar acciones de procuración e impartición de justicia son:</w:t>
            </w:r>
          </w:p>
          <w:p>
            <w:pPr>
              <w:pStyle w:val="TableParagraph"/>
              <w:numPr>
                <w:ilvl w:val="0"/>
                <w:numId w:val="80"/>
              </w:numPr>
              <w:tabs>
                <w:tab w:pos="786" w:val="left" w:leader="none"/>
              </w:tabs>
              <w:spacing w:line="240" w:lineRule="auto" w:before="0" w:after="0"/>
              <w:ind w:left="785" w:right="70" w:hanging="361"/>
              <w:jc w:val="both"/>
              <w:rPr>
                <w:sz w:val="20"/>
              </w:rPr>
            </w:pPr>
            <w:r>
              <w:rPr>
                <w:sz w:val="20"/>
              </w:rPr>
              <w:t>En el ámbito administrativo: En el Poder Ejecutivo los OIC, así como las instituciones equivalentes de los poderes Legislativo y Judicial (contralorías internas y Visitaduría Judicial) y en los órganos constitucionalmente autónomos.</w:t>
            </w:r>
          </w:p>
          <w:p>
            <w:pPr>
              <w:pStyle w:val="TableParagraph"/>
              <w:numPr>
                <w:ilvl w:val="0"/>
                <w:numId w:val="80"/>
              </w:numPr>
              <w:tabs>
                <w:tab w:pos="786" w:val="left" w:leader="none"/>
              </w:tabs>
              <w:spacing w:line="240" w:lineRule="auto" w:before="0" w:after="0"/>
              <w:ind w:left="785" w:right="67" w:hanging="361"/>
              <w:jc w:val="both"/>
              <w:rPr>
                <w:sz w:val="20"/>
              </w:rPr>
            </w:pPr>
            <w:r>
              <w:rPr>
                <w:sz w:val="20"/>
              </w:rPr>
              <w:t>En el ámbito penal: Corresponde a la Procuraduría General de la República (PGR)</w:t>
            </w:r>
            <w:r>
              <w:rPr>
                <w:spacing w:val="-13"/>
                <w:sz w:val="20"/>
              </w:rPr>
              <w:t> </w:t>
            </w:r>
            <w:r>
              <w:rPr>
                <w:sz w:val="20"/>
              </w:rPr>
              <w:t>a</w:t>
            </w:r>
            <w:r>
              <w:rPr>
                <w:spacing w:val="-13"/>
                <w:sz w:val="20"/>
              </w:rPr>
              <w:t> </w:t>
            </w:r>
            <w:r>
              <w:rPr>
                <w:sz w:val="20"/>
              </w:rPr>
              <w:t>través</w:t>
            </w:r>
            <w:r>
              <w:rPr>
                <w:spacing w:val="-10"/>
                <w:sz w:val="20"/>
              </w:rPr>
              <w:t> </w:t>
            </w:r>
            <w:r>
              <w:rPr>
                <w:sz w:val="20"/>
              </w:rPr>
              <w:t>del</w:t>
            </w:r>
            <w:r>
              <w:rPr>
                <w:spacing w:val="-12"/>
                <w:sz w:val="20"/>
              </w:rPr>
              <w:t> </w:t>
            </w:r>
            <w:r>
              <w:rPr>
                <w:sz w:val="20"/>
              </w:rPr>
              <w:t>Ministerio</w:t>
            </w:r>
            <w:r>
              <w:rPr>
                <w:spacing w:val="-13"/>
                <w:sz w:val="20"/>
              </w:rPr>
              <w:t> </w:t>
            </w:r>
            <w:r>
              <w:rPr>
                <w:sz w:val="20"/>
              </w:rPr>
              <w:t>Público,</w:t>
            </w:r>
            <w:r>
              <w:rPr>
                <w:spacing w:val="-12"/>
                <w:sz w:val="20"/>
              </w:rPr>
              <w:t> </w:t>
            </w:r>
            <w:r>
              <w:rPr>
                <w:sz w:val="20"/>
              </w:rPr>
              <w:t>para</w:t>
            </w:r>
            <w:r>
              <w:rPr>
                <w:spacing w:val="-12"/>
                <w:sz w:val="20"/>
              </w:rPr>
              <w:t> </w:t>
            </w:r>
            <w:r>
              <w:rPr>
                <w:sz w:val="20"/>
              </w:rPr>
              <w:t>perseguir</w:t>
            </w:r>
            <w:r>
              <w:rPr>
                <w:spacing w:val="-10"/>
                <w:sz w:val="20"/>
              </w:rPr>
              <w:t> </w:t>
            </w:r>
            <w:r>
              <w:rPr>
                <w:sz w:val="20"/>
              </w:rPr>
              <w:t>delitos</w:t>
            </w:r>
            <w:r>
              <w:rPr>
                <w:spacing w:val="-13"/>
                <w:sz w:val="20"/>
              </w:rPr>
              <w:t> </w:t>
            </w:r>
            <w:r>
              <w:rPr>
                <w:sz w:val="20"/>
              </w:rPr>
              <w:t>de</w:t>
            </w:r>
            <w:r>
              <w:rPr>
                <w:spacing w:val="-13"/>
                <w:sz w:val="20"/>
              </w:rPr>
              <w:t> </w:t>
            </w:r>
            <w:r>
              <w:rPr>
                <w:sz w:val="20"/>
              </w:rPr>
              <w:t>orden</w:t>
            </w:r>
            <w:r>
              <w:rPr>
                <w:spacing w:val="-12"/>
                <w:sz w:val="20"/>
              </w:rPr>
              <w:t> </w:t>
            </w:r>
            <w:r>
              <w:rPr>
                <w:sz w:val="20"/>
              </w:rPr>
              <w:t>federal cometidos por servidores</w:t>
            </w:r>
            <w:r>
              <w:rPr>
                <w:spacing w:val="-7"/>
                <w:sz w:val="20"/>
              </w:rPr>
              <w:t> </w:t>
            </w:r>
            <w:r>
              <w:rPr>
                <w:sz w:val="20"/>
              </w:rPr>
              <w:t>públicos.</w:t>
            </w:r>
          </w:p>
          <w:p>
            <w:pPr>
              <w:pStyle w:val="TableParagraph"/>
              <w:ind w:left="778" w:right="68"/>
              <w:jc w:val="both"/>
              <w:rPr>
                <w:sz w:val="20"/>
              </w:rPr>
            </w:pPr>
            <w:r>
              <w:rPr>
                <w:sz w:val="20"/>
              </w:rPr>
              <w:t>SCJN, Tribunal Electoral del Poder Judicial de la Federación, Tribunales Unitarios</w:t>
            </w:r>
            <w:r>
              <w:rPr>
                <w:spacing w:val="-12"/>
                <w:sz w:val="20"/>
              </w:rPr>
              <w:t> </w:t>
            </w:r>
            <w:r>
              <w:rPr>
                <w:sz w:val="20"/>
              </w:rPr>
              <w:t>de</w:t>
            </w:r>
            <w:r>
              <w:rPr>
                <w:spacing w:val="-14"/>
                <w:sz w:val="20"/>
              </w:rPr>
              <w:t> </w:t>
            </w:r>
            <w:r>
              <w:rPr>
                <w:sz w:val="20"/>
              </w:rPr>
              <w:t>Circuito,</w:t>
            </w:r>
            <w:r>
              <w:rPr>
                <w:spacing w:val="-17"/>
                <w:sz w:val="20"/>
              </w:rPr>
              <w:t> </w:t>
            </w:r>
            <w:r>
              <w:rPr>
                <w:sz w:val="20"/>
              </w:rPr>
              <w:t>Tribunales</w:t>
            </w:r>
            <w:r>
              <w:rPr>
                <w:spacing w:val="-15"/>
                <w:sz w:val="20"/>
              </w:rPr>
              <w:t> </w:t>
            </w:r>
            <w:r>
              <w:rPr>
                <w:sz w:val="20"/>
              </w:rPr>
              <w:t>Colegiados</w:t>
            </w:r>
            <w:r>
              <w:rPr>
                <w:spacing w:val="-15"/>
                <w:sz w:val="20"/>
              </w:rPr>
              <w:t> </w:t>
            </w:r>
            <w:r>
              <w:rPr>
                <w:sz w:val="20"/>
              </w:rPr>
              <w:t>de</w:t>
            </w:r>
            <w:r>
              <w:rPr>
                <w:spacing w:val="-10"/>
                <w:sz w:val="20"/>
              </w:rPr>
              <w:t> </w:t>
            </w:r>
            <w:r>
              <w:rPr>
                <w:sz w:val="20"/>
              </w:rPr>
              <w:t>Circuito,</w:t>
            </w:r>
            <w:r>
              <w:rPr>
                <w:spacing w:val="-14"/>
                <w:sz w:val="20"/>
              </w:rPr>
              <w:t> </w:t>
            </w:r>
            <w:r>
              <w:rPr>
                <w:sz w:val="20"/>
              </w:rPr>
              <w:t>Juzgados</w:t>
            </w:r>
            <w:r>
              <w:rPr>
                <w:spacing w:val="-13"/>
                <w:sz w:val="20"/>
              </w:rPr>
              <w:t> </w:t>
            </w:r>
            <w:r>
              <w:rPr>
                <w:sz w:val="20"/>
              </w:rPr>
              <w:t>de</w:t>
            </w:r>
            <w:r>
              <w:rPr>
                <w:spacing w:val="-14"/>
                <w:sz w:val="20"/>
              </w:rPr>
              <w:t> </w:t>
            </w:r>
            <w:r>
              <w:rPr>
                <w:sz w:val="20"/>
              </w:rPr>
              <w:t>Distrito y el Consejo de la Judicatura</w:t>
            </w:r>
            <w:r>
              <w:rPr>
                <w:spacing w:val="-14"/>
                <w:sz w:val="20"/>
              </w:rPr>
              <w:t> </w:t>
            </w:r>
            <w:r>
              <w:rPr>
                <w:sz w:val="20"/>
              </w:rPr>
              <w:t>Federal.</w:t>
            </w:r>
          </w:p>
        </w:tc>
      </w:tr>
      <w:tr>
        <w:trPr>
          <w:trHeight w:val="264" w:hRule="exact"/>
        </w:trPr>
        <w:tc>
          <w:tcPr>
            <w:tcW w:w="1361" w:type="dxa"/>
            <w:tcBorders>
              <w:left w:val="nil"/>
              <w:right w:val="nil"/>
            </w:tcBorders>
          </w:tcPr>
          <w:p>
            <w:pPr/>
          </w:p>
        </w:tc>
        <w:tc>
          <w:tcPr>
            <w:tcW w:w="7588" w:type="dxa"/>
            <w:tcBorders>
              <w:left w:val="nil"/>
              <w:right w:val="nil"/>
            </w:tcBorders>
          </w:tcPr>
          <w:p>
            <w:pPr/>
          </w:p>
        </w:tc>
      </w:tr>
      <w:tr>
        <w:trPr>
          <w:trHeight w:val="269" w:hRule="exact"/>
        </w:trPr>
        <w:tc>
          <w:tcPr>
            <w:tcW w:w="1361" w:type="dxa"/>
            <w:tcBorders>
              <w:bottom w:val="nil"/>
            </w:tcBorders>
          </w:tcPr>
          <w:p>
            <w:pPr/>
          </w:p>
        </w:tc>
        <w:tc>
          <w:tcPr>
            <w:tcW w:w="7588" w:type="dxa"/>
            <w:tcBorders>
              <w:bottom w:val="nil"/>
            </w:tcBorders>
          </w:tcPr>
          <w:p>
            <w:pPr>
              <w:pStyle w:val="TableParagraph"/>
              <w:spacing w:before="11"/>
              <w:ind w:left="64"/>
              <w:rPr>
                <w:sz w:val="20"/>
              </w:rPr>
            </w:pPr>
            <w:r>
              <w:rPr>
                <w:sz w:val="20"/>
              </w:rPr>
              <w:t>Sanciones administrativas: Conforme al artículo 13 de la LFRASP.</w:t>
            </w:r>
          </w:p>
        </w:tc>
      </w:tr>
      <w:tr>
        <w:trPr>
          <w:trHeight w:val="775" w:hRule="exact"/>
        </w:trPr>
        <w:tc>
          <w:tcPr>
            <w:tcW w:w="1361" w:type="dxa"/>
            <w:tcBorders>
              <w:top w:val="nil"/>
            </w:tcBorders>
          </w:tcPr>
          <w:p>
            <w:pPr>
              <w:pStyle w:val="TableParagraph"/>
              <w:spacing w:before="133"/>
              <w:ind w:left="298" w:right="300"/>
              <w:jc w:val="center"/>
              <w:rPr>
                <w:b/>
                <w:sz w:val="20"/>
              </w:rPr>
            </w:pPr>
            <w:r>
              <w:rPr>
                <w:b/>
                <w:sz w:val="20"/>
              </w:rPr>
              <w:t>Política</w:t>
            </w:r>
          </w:p>
        </w:tc>
        <w:tc>
          <w:tcPr>
            <w:tcW w:w="7588" w:type="dxa"/>
            <w:tcBorders>
              <w:top w:val="nil"/>
            </w:tcBorders>
          </w:tcPr>
          <w:p>
            <w:pPr>
              <w:pStyle w:val="TableParagraph"/>
              <w:spacing w:line="276" w:lineRule="auto" w:before="1"/>
              <w:ind w:left="64"/>
              <w:rPr>
                <w:sz w:val="20"/>
              </w:rPr>
            </w:pPr>
            <w:r>
              <w:rPr>
                <w:sz w:val="20"/>
              </w:rPr>
              <w:t>Sanciones penales: Conforme al Título Décimo del Capítulo II del Código Penal Federal.</w:t>
            </w:r>
          </w:p>
        </w:tc>
      </w:tr>
      <w:tr>
        <w:trPr>
          <w:trHeight w:val="266" w:hRule="exact"/>
        </w:trPr>
        <w:tc>
          <w:tcPr>
            <w:tcW w:w="1361" w:type="dxa"/>
            <w:tcBorders>
              <w:left w:val="nil"/>
              <w:right w:val="nil"/>
            </w:tcBorders>
          </w:tcPr>
          <w:p>
            <w:pPr/>
          </w:p>
        </w:tc>
        <w:tc>
          <w:tcPr>
            <w:tcW w:w="7588" w:type="dxa"/>
            <w:tcBorders>
              <w:left w:val="nil"/>
              <w:right w:val="nil"/>
            </w:tcBorders>
          </w:tcPr>
          <w:p>
            <w:pPr/>
          </w:p>
        </w:tc>
      </w:tr>
      <w:tr>
        <w:trPr>
          <w:trHeight w:val="5989" w:hRule="exact"/>
        </w:trPr>
        <w:tc>
          <w:tcPr>
            <w:tcW w:w="13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6"/>
              <w:rPr>
                <w:sz w:val="29"/>
              </w:rPr>
            </w:pPr>
          </w:p>
          <w:p>
            <w:pPr>
              <w:pStyle w:val="TableParagraph"/>
              <w:ind w:left="112" w:right="117" w:firstLine="2"/>
              <w:jc w:val="center"/>
              <w:rPr>
                <w:b/>
                <w:sz w:val="20"/>
              </w:rPr>
            </w:pPr>
            <w:r>
              <w:rPr>
                <w:b/>
                <w:sz w:val="20"/>
              </w:rPr>
              <w:t>Rendición de cuentas </w:t>
            </w:r>
            <w:r>
              <w:rPr>
                <w:b/>
                <w:w w:val="95"/>
                <w:sz w:val="20"/>
              </w:rPr>
              <w:t>(Evaluación </w:t>
            </w:r>
            <w:r>
              <w:rPr>
                <w:b/>
                <w:sz w:val="20"/>
              </w:rPr>
              <w:t>de la política)</w:t>
            </w:r>
          </w:p>
        </w:tc>
        <w:tc>
          <w:tcPr>
            <w:tcW w:w="7588" w:type="dxa"/>
          </w:tcPr>
          <w:p>
            <w:pPr>
              <w:pStyle w:val="TableParagraph"/>
              <w:spacing w:line="227" w:lineRule="exact"/>
              <w:ind w:left="64"/>
              <w:jc w:val="both"/>
              <w:rPr>
                <w:sz w:val="20"/>
              </w:rPr>
            </w:pPr>
            <w:r>
              <w:rPr>
                <w:sz w:val="20"/>
              </w:rPr>
              <w:t>Procuración:</w:t>
            </w:r>
          </w:p>
          <w:p>
            <w:pPr>
              <w:pStyle w:val="TableParagraph"/>
              <w:ind w:left="64" w:right="69"/>
              <w:jc w:val="both"/>
              <w:rPr>
                <w:sz w:val="20"/>
              </w:rPr>
            </w:pPr>
            <w:r>
              <w:rPr>
                <w:sz w:val="20"/>
              </w:rPr>
              <w:t>De 1983 a 1988 se presentaron normas y procedimientos tradicionales, inoperantes e</w:t>
            </w:r>
            <w:r>
              <w:rPr>
                <w:spacing w:val="-6"/>
                <w:sz w:val="20"/>
              </w:rPr>
              <w:t> </w:t>
            </w:r>
            <w:r>
              <w:rPr>
                <w:sz w:val="20"/>
              </w:rPr>
              <w:t>ineficientes,</w:t>
            </w:r>
            <w:r>
              <w:rPr>
                <w:spacing w:val="-5"/>
                <w:sz w:val="20"/>
              </w:rPr>
              <w:t> </w:t>
            </w:r>
            <w:r>
              <w:rPr>
                <w:sz w:val="20"/>
              </w:rPr>
              <w:t>sin</w:t>
            </w:r>
            <w:r>
              <w:rPr>
                <w:spacing w:val="-6"/>
                <w:sz w:val="20"/>
              </w:rPr>
              <w:t> </w:t>
            </w:r>
            <w:r>
              <w:rPr>
                <w:sz w:val="20"/>
              </w:rPr>
              <w:t>una</w:t>
            </w:r>
            <w:r>
              <w:rPr>
                <w:spacing w:val="-3"/>
                <w:sz w:val="20"/>
              </w:rPr>
              <w:t> </w:t>
            </w:r>
            <w:r>
              <w:rPr>
                <w:sz w:val="20"/>
              </w:rPr>
              <w:t>eficiencia</w:t>
            </w:r>
            <w:r>
              <w:rPr>
                <w:spacing w:val="-3"/>
                <w:sz w:val="20"/>
              </w:rPr>
              <w:t> </w:t>
            </w:r>
            <w:r>
              <w:rPr>
                <w:sz w:val="20"/>
              </w:rPr>
              <w:t>en</w:t>
            </w:r>
            <w:r>
              <w:rPr>
                <w:spacing w:val="-3"/>
                <w:sz w:val="20"/>
              </w:rPr>
              <w:t> </w:t>
            </w:r>
            <w:r>
              <w:rPr>
                <w:sz w:val="20"/>
              </w:rPr>
              <w:t>las</w:t>
            </w:r>
            <w:r>
              <w:rPr>
                <w:spacing w:val="-5"/>
                <w:sz w:val="20"/>
              </w:rPr>
              <w:t> </w:t>
            </w:r>
            <w:r>
              <w:rPr>
                <w:sz w:val="20"/>
              </w:rPr>
              <w:t>funciones y</w:t>
            </w:r>
            <w:r>
              <w:rPr>
                <w:spacing w:val="-9"/>
                <w:sz w:val="20"/>
              </w:rPr>
              <w:t> </w:t>
            </w:r>
            <w:r>
              <w:rPr>
                <w:sz w:val="20"/>
              </w:rPr>
              <w:t>actividades</w:t>
            </w:r>
            <w:r>
              <w:rPr>
                <w:spacing w:val="-5"/>
                <w:sz w:val="20"/>
              </w:rPr>
              <w:t> </w:t>
            </w:r>
            <w:r>
              <w:rPr>
                <w:sz w:val="20"/>
              </w:rPr>
              <w:t>del</w:t>
            </w:r>
            <w:r>
              <w:rPr>
                <w:spacing w:val="-6"/>
                <w:sz w:val="20"/>
              </w:rPr>
              <w:t> </w:t>
            </w:r>
            <w:r>
              <w:rPr>
                <w:sz w:val="20"/>
              </w:rPr>
              <w:t>Ministerio</w:t>
            </w:r>
            <w:r>
              <w:rPr>
                <w:spacing w:val="-3"/>
                <w:sz w:val="20"/>
              </w:rPr>
              <w:t> </w:t>
            </w:r>
            <w:r>
              <w:rPr>
                <w:sz w:val="20"/>
              </w:rPr>
              <w:t>Público y de la Policía Judicial en la fase de averiguación previa que armonice con las necesidades de la defensa social y las debidas garantías de los</w:t>
            </w:r>
            <w:r>
              <w:rPr>
                <w:spacing w:val="-23"/>
                <w:sz w:val="20"/>
              </w:rPr>
              <w:t> </w:t>
            </w:r>
            <w:r>
              <w:rPr>
                <w:sz w:val="20"/>
              </w:rPr>
              <w:t>inculpados.</w:t>
            </w:r>
          </w:p>
          <w:p>
            <w:pPr>
              <w:pStyle w:val="TableParagraph"/>
              <w:ind w:left="64" w:right="68"/>
              <w:jc w:val="both"/>
              <w:rPr>
                <w:sz w:val="20"/>
              </w:rPr>
            </w:pPr>
            <w:r>
              <w:rPr>
                <w:sz w:val="20"/>
              </w:rPr>
              <w:t>De</w:t>
            </w:r>
            <w:r>
              <w:rPr>
                <w:spacing w:val="-10"/>
                <w:sz w:val="20"/>
              </w:rPr>
              <w:t> </w:t>
            </w:r>
            <w:r>
              <w:rPr>
                <w:sz w:val="20"/>
              </w:rPr>
              <w:t>1989</w:t>
            </w:r>
            <w:r>
              <w:rPr>
                <w:spacing w:val="-11"/>
                <w:sz w:val="20"/>
              </w:rPr>
              <w:t> </w:t>
            </w:r>
            <w:r>
              <w:rPr>
                <w:sz w:val="20"/>
              </w:rPr>
              <w:t>a</w:t>
            </w:r>
            <w:r>
              <w:rPr>
                <w:spacing w:val="-8"/>
                <w:sz w:val="20"/>
              </w:rPr>
              <w:t> </w:t>
            </w:r>
            <w:r>
              <w:rPr>
                <w:sz w:val="20"/>
              </w:rPr>
              <w:t>2012</w:t>
            </w:r>
            <w:r>
              <w:rPr>
                <w:spacing w:val="-10"/>
                <w:sz w:val="20"/>
              </w:rPr>
              <w:t> </w:t>
            </w:r>
            <w:r>
              <w:rPr>
                <w:sz w:val="20"/>
              </w:rPr>
              <w:t>no</w:t>
            </w:r>
            <w:r>
              <w:rPr>
                <w:spacing w:val="-11"/>
                <w:sz w:val="20"/>
              </w:rPr>
              <w:t> </w:t>
            </w:r>
            <w:r>
              <w:rPr>
                <w:sz w:val="20"/>
              </w:rPr>
              <w:t>se</w:t>
            </w:r>
            <w:r>
              <w:rPr>
                <w:spacing w:val="-8"/>
                <w:sz w:val="20"/>
              </w:rPr>
              <w:t> </w:t>
            </w:r>
            <w:r>
              <w:rPr>
                <w:sz w:val="20"/>
              </w:rPr>
              <w:t>especificó</w:t>
            </w:r>
            <w:r>
              <w:rPr>
                <w:spacing w:val="-10"/>
                <w:sz w:val="20"/>
              </w:rPr>
              <w:t> </w:t>
            </w:r>
            <w:r>
              <w:rPr>
                <w:sz w:val="20"/>
              </w:rPr>
              <w:t>la</w:t>
            </w:r>
            <w:r>
              <w:rPr>
                <w:spacing w:val="-10"/>
                <w:sz w:val="20"/>
              </w:rPr>
              <w:t> </w:t>
            </w:r>
            <w:r>
              <w:rPr>
                <w:sz w:val="20"/>
              </w:rPr>
              <w:t>problemática</w:t>
            </w:r>
            <w:r>
              <w:rPr>
                <w:spacing w:val="-10"/>
                <w:sz w:val="20"/>
              </w:rPr>
              <w:t> </w:t>
            </w:r>
            <w:r>
              <w:rPr>
                <w:sz w:val="20"/>
              </w:rPr>
              <w:t>sobre</w:t>
            </w:r>
            <w:r>
              <w:rPr>
                <w:spacing w:val="-8"/>
                <w:sz w:val="20"/>
              </w:rPr>
              <w:t> </w:t>
            </w:r>
            <w:r>
              <w:rPr>
                <w:sz w:val="20"/>
              </w:rPr>
              <w:t>las</w:t>
            </w:r>
            <w:r>
              <w:rPr>
                <w:spacing w:val="-9"/>
                <w:sz w:val="20"/>
              </w:rPr>
              <w:t> </w:t>
            </w:r>
            <w:r>
              <w:rPr>
                <w:sz w:val="20"/>
              </w:rPr>
              <w:t>sanciones</w:t>
            </w:r>
            <w:r>
              <w:rPr>
                <w:spacing w:val="-9"/>
                <w:sz w:val="20"/>
              </w:rPr>
              <w:t> </w:t>
            </w:r>
            <w:r>
              <w:rPr>
                <w:sz w:val="20"/>
              </w:rPr>
              <w:t>administrativas en la impartición de justicia, sobre delitos o actos de corrupción de servidores públicos.</w:t>
            </w:r>
          </w:p>
          <w:p>
            <w:pPr>
              <w:pStyle w:val="TableParagraph"/>
              <w:ind w:left="64" w:right="68"/>
              <w:jc w:val="both"/>
              <w:rPr>
                <w:sz w:val="20"/>
              </w:rPr>
            </w:pPr>
            <w:r>
              <w:rPr>
                <w:sz w:val="20"/>
              </w:rPr>
              <w:t>Los</w:t>
            </w:r>
            <w:r>
              <w:rPr>
                <w:spacing w:val="-9"/>
                <w:sz w:val="20"/>
              </w:rPr>
              <w:t> </w:t>
            </w:r>
            <w:r>
              <w:rPr>
                <w:sz w:val="20"/>
              </w:rPr>
              <w:t>informes</w:t>
            </w:r>
            <w:r>
              <w:rPr>
                <w:spacing w:val="-9"/>
                <w:sz w:val="20"/>
              </w:rPr>
              <w:t> </w:t>
            </w:r>
            <w:r>
              <w:rPr>
                <w:sz w:val="20"/>
              </w:rPr>
              <w:t>de</w:t>
            </w:r>
            <w:r>
              <w:rPr>
                <w:spacing w:val="-11"/>
                <w:sz w:val="20"/>
              </w:rPr>
              <w:t> </w:t>
            </w:r>
            <w:r>
              <w:rPr>
                <w:sz w:val="20"/>
              </w:rPr>
              <w:t>rendición</w:t>
            </w:r>
            <w:r>
              <w:rPr>
                <w:spacing w:val="-8"/>
                <w:sz w:val="20"/>
              </w:rPr>
              <w:t> </w:t>
            </w:r>
            <w:r>
              <w:rPr>
                <w:sz w:val="20"/>
              </w:rPr>
              <w:t>de</w:t>
            </w:r>
            <w:r>
              <w:rPr>
                <w:spacing w:val="-10"/>
                <w:sz w:val="20"/>
              </w:rPr>
              <w:t> </w:t>
            </w:r>
            <w:r>
              <w:rPr>
                <w:sz w:val="20"/>
              </w:rPr>
              <w:t>cuentas</w:t>
            </w:r>
            <w:r>
              <w:rPr>
                <w:spacing w:val="-9"/>
                <w:sz w:val="20"/>
              </w:rPr>
              <w:t> </w:t>
            </w:r>
            <w:r>
              <w:rPr>
                <w:sz w:val="20"/>
              </w:rPr>
              <w:t>se</w:t>
            </w:r>
            <w:r>
              <w:rPr>
                <w:spacing w:val="-10"/>
                <w:sz w:val="20"/>
              </w:rPr>
              <w:t> </w:t>
            </w:r>
            <w:r>
              <w:rPr>
                <w:sz w:val="20"/>
              </w:rPr>
              <w:t>remiten</w:t>
            </w:r>
            <w:r>
              <w:rPr>
                <w:spacing w:val="-11"/>
                <w:sz w:val="20"/>
              </w:rPr>
              <w:t> </w:t>
            </w:r>
            <w:r>
              <w:rPr>
                <w:sz w:val="20"/>
              </w:rPr>
              <w:t>a</w:t>
            </w:r>
            <w:r>
              <w:rPr>
                <w:spacing w:val="-10"/>
                <w:sz w:val="20"/>
              </w:rPr>
              <w:t> </w:t>
            </w:r>
            <w:r>
              <w:rPr>
                <w:sz w:val="20"/>
              </w:rPr>
              <w:t>la</w:t>
            </w:r>
            <w:r>
              <w:rPr>
                <w:spacing w:val="-10"/>
                <w:sz w:val="20"/>
              </w:rPr>
              <w:t> </w:t>
            </w:r>
            <w:r>
              <w:rPr>
                <w:sz w:val="20"/>
              </w:rPr>
              <w:t>formulación</w:t>
            </w:r>
            <w:r>
              <w:rPr>
                <w:spacing w:val="-11"/>
                <w:sz w:val="20"/>
              </w:rPr>
              <w:t> </w:t>
            </w:r>
            <w:r>
              <w:rPr>
                <w:sz w:val="20"/>
              </w:rPr>
              <w:t>de</w:t>
            </w:r>
            <w:r>
              <w:rPr>
                <w:spacing w:val="-10"/>
                <w:sz w:val="20"/>
              </w:rPr>
              <w:t> </w:t>
            </w:r>
            <w:r>
              <w:rPr>
                <w:sz w:val="20"/>
              </w:rPr>
              <w:t>los</w:t>
            </w:r>
            <w:r>
              <w:rPr>
                <w:spacing w:val="-9"/>
                <w:sz w:val="20"/>
              </w:rPr>
              <w:t> </w:t>
            </w:r>
            <w:r>
              <w:rPr>
                <w:sz w:val="20"/>
              </w:rPr>
              <w:t>lineamientos de los OIC (antes contralorías internas). Los reportes no hacen ninguna referencia sobre</w:t>
            </w:r>
            <w:r>
              <w:rPr>
                <w:spacing w:val="-6"/>
                <w:sz w:val="20"/>
              </w:rPr>
              <w:t> </w:t>
            </w:r>
            <w:r>
              <w:rPr>
                <w:sz w:val="20"/>
              </w:rPr>
              <w:t>el</w:t>
            </w:r>
            <w:r>
              <w:rPr>
                <w:spacing w:val="-4"/>
                <w:sz w:val="20"/>
              </w:rPr>
              <w:t> </w:t>
            </w:r>
            <w:r>
              <w:rPr>
                <w:sz w:val="20"/>
              </w:rPr>
              <w:t>estado</w:t>
            </w:r>
            <w:r>
              <w:rPr>
                <w:spacing w:val="-6"/>
                <w:sz w:val="20"/>
              </w:rPr>
              <w:t> </w:t>
            </w:r>
            <w:r>
              <w:rPr>
                <w:sz w:val="20"/>
              </w:rPr>
              <w:t>que</w:t>
            </w:r>
            <w:r>
              <w:rPr>
                <w:spacing w:val="-6"/>
                <w:sz w:val="20"/>
              </w:rPr>
              <w:t> </w:t>
            </w:r>
            <w:r>
              <w:rPr>
                <w:sz w:val="20"/>
              </w:rPr>
              <w:t>guarda</w:t>
            </w:r>
            <w:r>
              <w:rPr>
                <w:spacing w:val="-4"/>
                <w:sz w:val="20"/>
              </w:rPr>
              <w:t> </w:t>
            </w:r>
            <w:r>
              <w:rPr>
                <w:sz w:val="20"/>
              </w:rPr>
              <w:t>el</w:t>
            </w:r>
            <w:r>
              <w:rPr>
                <w:spacing w:val="-7"/>
                <w:sz w:val="20"/>
              </w:rPr>
              <w:t> </w:t>
            </w:r>
            <w:r>
              <w:rPr>
                <w:sz w:val="20"/>
              </w:rPr>
              <w:t>control</w:t>
            </w:r>
            <w:r>
              <w:rPr>
                <w:spacing w:val="-4"/>
                <w:sz w:val="20"/>
              </w:rPr>
              <w:t> </w:t>
            </w:r>
            <w:r>
              <w:rPr>
                <w:sz w:val="20"/>
              </w:rPr>
              <w:t>interno</w:t>
            </w:r>
            <w:r>
              <w:rPr>
                <w:spacing w:val="-5"/>
                <w:sz w:val="20"/>
              </w:rPr>
              <w:t> </w:t>
            </w:r>
            <w:r>
              <w:rPr>
                <w:sz w:val="20"/>
              </w:rPr>
              <w:t>de</w:t>
            </w:r>
            <w:r>
              <w:rPr>
                <w:spacing w:val="-6"/>
                <w:sz w:val="20"/>
              </w:rPr>
              <w:t> </w:t>
            </w:r>
            <w:r>
              <w:rPr>
                <w:sz w:val="20"/>
              </w:rPr>
              <w:t>las</w:t>
            </w:r>
            <w:r>
              <w:rPr>
                <w:spacing w:val="-5"/>
                <w:sz w:val="20"/>
              </w:rPr>
              <w:t> </w:t>
            </w:r>
            <w:r>
              <w:rPr>
                <w:sz w:val="20"/>
              </w:rPr>
              <w:t>dependencias</w:t>
            </w:r>
            <w:r>
              <w:rPr>
                <w:spacing w:val="-2"/>
                <w:sz w:val="20"/>
              </w:rPr>
              <w:t> </w:t>
            </w:r>
            <w:r>
              <w:rPr>
                <w:sz w:val="20"/>
              </w:rPr>
              <w:t>y</w:t>
            </w:r>
            <w:r>
              <w:rPr>
                <w:spacing w:val="-8"/>
                <w:sz w:val="20"/>
              </w:rPr>
              <w:t> </w:t>
            </w:r>
            <w:r>
              <w:rPr>
                <w:sz w:val="20"/>
              </w:rPr>
              <w:t>entidades,</w:t>
            </w:r>
            <w:r>
              <w:rPr>
                <w:spacing w:val="-5"/>
                <w:sz w:val="20"/>
              </w:rPr>
              <w:t> </w:t>
            </w:r>
            <w:r>
              <w:rPr>
                <w:sz w:val="20"/>
              </w:rPr>
              <w:t>ni</w:t>
            </w:r>
            <w:r>
              <w:rPr>
                <w:spacing w:val="-4"/>
                <w:sz w:val="20"/>
              </w:rPr>
              <w:t> </w:t>
            </w:r>
            <w:r>
              <w:rPr>
                <w:sz w:val="20"/>
              </w:rPr>
              <w:t>de los OIC para identificar posibles riesgos que motiven actos de</w:t>
            </w:r>
            <w:r>
              <w:rPr>
                <w:spacing w:val="-21"/>
                <w:sz w:val="20"/>
              </w:rPr>
              <w:t> </w:t>
            </w:r>
            <w:r>
              <w:rPr>
                <w:sz w:val="20"/>
              </w:rPr>
              <w:t>corrupción.</w:t>
            </w:r>
          </w:p>
          <w:p>
            <w:pPr>
              <w:pStyle w:val="TableParagraph"/>
              <w:ind w:left="64" w:right="65"/>
              <w:jc w:val="both"/>
              <w:rPr>
                <w:sz w:val="20"/>
              </w:rPr>
            </w:pPr>
            <w:r>
              <w:rPr>
                <w:sz w:val="20"/>
              </w:rPr>
              <w:t>Los reportes de rendición de cuentas sobre la operación de los OIC no permiten evaluar la eficacia del combate a la corrupción, ya que con las visitas de inspección realizadas por la SFP en el periodo 2004-2011 se determinó que la principal problemática de los OIC se relaciona con los expedientes: fallas en su integración, falta de congruencia de las acciones determinadas, fallas en las formalidades para la notificación y problemas con la ejecución de las sanciones.</w:t>
            </w:r>
          </w:p>
          <w:p>
            <w:pPr>
              <w:pStyle w:val="TableParagraph"/>
              <w:spacing w:before="9"/>
              <w:rPr>
                <w:sz w:val="19"/>
              </w:rPr>
            </w:pPr>
          </w:p>
          <w:p>
            <w:pPr>
              <w:pStyle w:val="TableParagraph"/>
              <w:spacing w:before="1"/>
              <w:ind w:left="64"/>
              <w:jc w:val="both"/>
              <w:rPr>
                <w:sz w:val="20"/>
              </w:rPr>
            </w:pPr>
            <w:r>
              <w:rPr>
                <w:sz w:val="20"/>
              </w:rPr>
              <w:t>Impartición:</w:t>
            </w:r>
          </w:p>
          <w:p>
            <w:pPr>
              <w:pStyle w:val="TableParagraph"/>
              <w:ind w:left="64" w:right="74"/>
              <w:jc w:val="both"/>
              <w:rPr>
                <w:sz w:val="20"/>
              </w:rPr>
            </w:pPr>
            <w:r>
              <w:rPr>
                <w:sz w:val="20"/>
              </w:rPr>
              <w:t>Se evidenció que sólo se propusieron acciones en el ámbito administrativo (atender las denuncias y sugerencias de los ciudadanos) y no penal, debido a la independencia del Poder Judicial.</w:t>
            </w:r>
          </w:p>
          <w:p>
            <w:pPr>
              <w:pStyle w:val="TableParagraph"/>
              <w:ind w:left="64" w:right="73"/>
              <w:jc w:val="both"/>
              <w:rPr>
                <w:sz w:val="20"/>
              </w:rPr>
            </w:pPr>
            <w:r>
              <w:rPr>
                <w:sz w:val="20"/>
              </w:rPr>
              <w:t>En el ámbito penal se buscó abatir el rezago en las averiguaciones previas y elevar la calidad y eficacia en la integración de las averiguaciones previas e impulsar la investigación ministerial.</w:t>
            </w:r>
          </w:p>
        </w:tc>
      </w:tr>
    </w:tbl>
    <w:p>
      <w:pPr>
        <w:pStyle w:val="BodyText"/>
        <w:spacing w:before="10"/>
        <w:rPr>
          <w:sz w:val="11"/>
        </w:rPr>
      </w:pPr>
    </w:p>
    <w:p>
      <w:pPr>
        <w:spacing w:line="137" w:lineRule="exact" w:before="0"/>
        <w:ind w:left="102" w:right="0" w:firstLine="0"/>
        <w:jc w:val="left"/>
        <w:rPr>
          <w:sz w:val="12"/>
        </w:rPr>
      </w:pPr>
      <w:r>
        <w:rPr>
          <w:sz w:val="12"/>
        </w:rPr>
        <w:t>FUENTE: Elaboración propia con base en: ASF (2013: 1-213).</w:t>
      </w:r>
    </w:p>
    <w:p>
      <w:pPr>
        <w:spacing w:before="0"/>
        <w:ind w:left="668" w:right="3359" w:firstLine="0"/>
        <w:jc w:val="left"/>
        <w:rPr>
          <w:sz w:val="12"/>
        </w:rPr>
      </w:pPr>
      <w:r>
        <w:rPr>
          <w:sz w:val="12"/>
        </w:rPr>
        <w:t>Disponible en: </w:t>
      </w:r>
      <w:hyperlink r:id="rId225">
        <w:r>
          <w:rPr>
            <w:sz w:val="12"/>
          </w:rPr>
          <w:t>http://www.asf.gob.mx/Trans/Informes/IR2011i/Grupos/Gobierno/2011_0059_a.pdf</w:t>
        </w:r>
      </w:hyperlink>
      <w:r>
        <w:rPr>
          <w:sz w:val="12"/>
        </w:rPr>
        <w:t> [Fecha de consulta: 30 de diciembre  , 2015]</w:t>
      </w:r>
    </w:p>
    <w:p>
      <w:pPr>
        <w:spacing w:after="0"/>
        <w:jc w:val="left"/>
        <w:rPr>
          <w:sz w:val="12"/>
        </w:rPr>
        <w:sectPr>
          <w:pgSz w:w="11910" w:h="16840"/>
          <w:pgMar w:header="0" w:footer="1003" w:top="1340" w:bottom="1200" w:left="1600" w:right="1080"/>
        </w:sectPr>
      </w:pPr>
    </w:p>
    <w:p>
      <w:pPr>
        <w:pStyle w:val="BodyText"/>
        <w:spacing w:before="55"/>
        <w:ind w:left="102" w:right="66"/>
      </w:pPr>
      <w:r>
        <w:rPr/>
        <w:t>Conclusiones de los procesos de procuración de justicia:</w:t>
      </w:r>
    </w:p>
    <w:p>
      <w:pPr>
        <w:pStyle w:val="ListParagraph"/>
        <w:numPr>
          <w:ilvl w:val="2"/>
          <w:numId w:val="79"/>
        </w:numPr>
        <w:tabs>
          <w:tab w:pos="822" w:val="left" w:leader="none"/>
        </w:tabs>
        <w:spacing w:line="360" w:lineRule="auto" w:before="139" w:after="0"/>
        <w:ind w:left="822" w:right="115" w:hanging="360"/>
        <w:jc w:val="both"/>
        <w:rPr>
          <w:sz w:val="24"/>
        </w:rPr>
      </w:pPr>
      <w:r>
        <w:rPr>
          <w:sz w:val="24"/>
        </w:rPr>
        <w:t>Procuración en el ámbito administrativo: La atención de las quejas y denuncias</w:t>
      </w:r>
      <w:r>
        <w:rPr>
          <w:spacing w:val="-13"/>
          <w:sz w:val="24"/>
        </w:rPr>
        <w:t> </w:t>
      </w:r>
      <w:r>
        <w:rPr>
          <w:sz w:val="24"/>
        </w:rPr>
        <w:t>de</w:t>
      </w:r>
      <w:r>
        <w:rPr>
          <w:spacing w:val="-11"/>
          <w:sz w:val="24"/>
        </w:rPr>
        <w:t> </w:t>
      </w:r>
      <w:r>
        <w:rPr>
          <w:sz w:val="24"/>
        </w:rPr>
        <w:t>la</w:t>
      </w:r>
      <w:r>
        <w:rPr>
          <w:spacing w:val="-11"/>
          <w:sz w:val="24"/>
        </w:rPr>
        <w:t> </w:t>
      </w:r>
      <w:r>
        <w:rPr>
          <w:sz w:val="24"/>
        </w:rPr>
        <w:t>ciudadanía</w:t>
      </w:r>
      <w:r>
        <w:rPr>
          <w:spacing w:val="-11"/>
          <w:sz w:val="24"/>
        </w:rPr>
        <w:t> </w:t>
      </w:r>
      <w:r>
        <w:rPr>
          <w:sz w:val="24"/>
        </w:rPr>
        <w:t>por</w:t>
      </w:r>
      <w:r>
        <w:rPr>
          <w:spacing w:val="-15"/>
          <w:sz w:val="24"/>
        </w:rPr>
        <w:t> </w:t>
      </w:r>
      <w:r>
        <w:rPr>
          <w:sz w:val="24"/>
        </w:rPr>
        <w:t>parte</w:t>
      </w:r>
      <w:r>
        <w:rPr>
          <w:spacing w:val="-13"/>
          <w:sz w:val="24"/>
        </w:rPr>
        <w:t> </w:t>
      </w:r>
      <w:r>
        <w:rPr>
          <w:sz w:val="24"/>
        </w:rPr>
        <w:t>de</w:t>
      </w:r>
      <w:r>
        <w:rPr>
          <w:spacing w:val="-11"/>
          <w:sz w:val="24"/>
        </w:rPr>
        <w:t> </w:t>
      </w:r>
      <w:r>
        <w:rPr>
          <w:sz w:val="24"/>
        </w:rPr>
        <w:t>la</w:t>
      </w:r>
      <w:r>
        <w:rPr>
          <w:spacing w:val="-13"/>
          <w:sz w:val="24"/>
        </w:rPr>
        <w:t> </w:t>
      </w:r>
      <w:r>
        <w:rPr>
          <w:sz w:val="24"/>
        </w:rPr>
        <w:t>SFP</w:t>
      </w:r>
      <w:r>
        <w:rPr>
          <w:spacing w:val="-11"/>
          <w:sz w:val="24"/>
        </w:rPr>
        <w:t> </w:t>
      </w:r>
      <w:r>
        <w:rPr>
          <w:sz w:val="24"/>
        </w:rPr>
        <w:t>y</w:t>
      </w:r>
      <w:r>
        <w:rPr>
          <w:spacing w:val="-14"/>
          <w:sz w:val="24"/>
        </w:rPr>
        <w:t> </w:t>
      </w:r>
      <w:r>
        <w:rPr>
          <w:sz w:val="24"/>
        </w:rPr>
        <w:t>de</w:t>
      </w:r>
      <w:r>
        <w:rPr>
          <w:spacing w:val="-11"/>
          <w:sz w:val="24"/>
        </w:rPr>
        <w:t> </w:t>
      </w:r>
      <w:r>
        <w:rPr>
          <w:sz w:val="24"/>
        </w:rPr>
        <w:t>su</w:t>
      </w:r>
      <w:r>
        <w:rPr>
          <w:spacing w:val="-13"/>
          <w:sz w:val="24"/>
        </w:rPr>
        <w:t> </w:t>
      </w:r>
      <w:r>
        <w:rPr>
          <w:sz w:val="24"/>
        </w:rPr>
        <w:t>contraloría</w:t>
      </w:r>
      <w:r>
        <w:rPr>
          <w:spacing w:val="-11"/>
          <w:sz w:val="24"/>
        </w:rPr>
        <w:t> </w:t>
      </w:r>
      <w:r>
        <w:rPr>
          <w:sz w:val="24"/>
        </w:rPr>
        <w:t>interna no ha consolidado una percepción de la confianza y credibilidad, ya que de las 213,936 quejas y denuncias recibidas de 2001 a 2012, el 59.8% fue concluido por falta de elementos y sólo el 14.8% se turnó al área de responsabilidades.</w:t>
      </w:r>
    </w:p>
    <w:p>
      <w:pPr>
        <w:pStyle w:val="BodyText"/>
      </w:pPr>
    </w:p>
    <w:p>
      <w:pPr>
        <w:pStyle w:val="ListParagraph"/>
        <w:numPr>
          <w:ilvl w:val="2"/>
          <w:numId w:val="79"/>
        </w:numPr>
        <w:tabs>
          <w:tab w:pos="822" w:val="left" w:leader="none"/>
        </w:tabs>
        <w:spacing w:line="360" w:lineRule="auto" w:before="142" w:after="0"/>
        <w:ind w:left="822" w:right="117" w:hanging="360"/>
        <w:jc w:val="both"/>
        <w:rPr>
          <w:sz w:val="24"/>
        </w:rPr>
      </w:pPr>
      <w:r>
        <w:rPr>
          <w:sz w:val="24"/>
        </w:rPr>
        <w:t>Procuración en el ámbito penal: La conclusión de las Averiguaciones Previas por parte de la PGR incrementa la percepción de impunidad, ya que, de las 16,190 averiguaciones iniciadas en contra de servidores públicos,</w:t>
      </w:r>
      <w:r>
        <w:rPr>
          <w:spacing w:val="-5"/>
          <w:sz w:val="24"/>
        </w:rPr>
        <w:t> </w:t>
      </w:r>
      <w:r>
        <w:rPr>
          <w:sz w:val="24"/>
        </w:rPr>
        <w:t>de</w:t>
      </w:r>
      <w:r>
        <w:rPr>
          <w:spacing w:val="-3"/>
          <w:sz w:val="24"/>
        </w:rPr>
        <w:t> </w:t>
      </w:r>
      <w:r>
        <w:rPr>
          <w:sz w:val="24"/>
        </w:rPr>
        <w:t>la</w:t>
      </w:r>
      <w:r>
        <w:rPr>
          <w:spacing w:val="-3"/>
          <w:sz w:val="24"/>
        </w:rPr>
        <w:t> </w:t>
      </w:r>
      <w:r>
        <w:rPr>
          <w:sz w:val="24"/>
        </w:rPr>
        <w:t>APF</w:t>
      </w:r>
      <w:r>
        <w:rPr>
          <w:spacing w:val="-6"/>
          <w:sz w:val="24"/>
        </w:rPr>
        <w:t> </w:t>
      </w:r>
      <w:r>
        <w:rPr>
          <w:sz w:val="24"/>
        </w:rPr>
        <w:t>y</w:t>
      </w:r>
      <w:r>
        <w:rPr>
          <w:spacing w:val="-6"/>
          <w:sz w:val="24"/>
        </w:rPr>
        <w:t> </w:t>
      </w:r>
      <w:r>
        <w:rPr>
          <w:sz w:val="24"/>
        </w:rPr>
        <w:t>de</w:t>
      </w:r>
      <w:r>
        <w:rPr>
          <w:spacing w:val="-3"/>
          <w:sz w:val="24"/>
        </w:rPr>
        <w:t> </w:t>
      </w:r>
      <w:r>
        <w:rPr>
          <w:sz w:val="24"/>
        </w:rPr>
        <w:t>la</w:t>
      </w:r>
      <w:r>
        <w:rPr>
          <w:spacing w:val="-3"/>
          <w:sz w:val="24"/>
        </w:rPr>
        <w:t> </w:t>
      </w:r>
      <w:r>
        <w:rPr>
          <w:sz w:val="24"/>
        </w:rPr>
        <w:t>PGR,</w:t>
      </w:r>
      <w:r>
        <w:rPr>
          <w:spacing w:val="-5"/>
          <w:sz w:val="24"/>
        </w:rPr>
        <w:t> </w:t>
      </w:r>
      <w:r>
        <w:rPr>
          <w:sz w:val="24"/>
        </w:rPr>
        <w:t>20.2%</w:t>
      </w:r>
      <w:r>
        <w:rPr>
          <w:spacing w:val="-6"/>
          <w:sz w:val="24"/>
        </w:rPr>
        <w:t> </w:t>
      </w:r>
      <w:r>
        <w:rPr>
          <w:sz w:val="24"/>
        </w:rPr>
        <w:t>fue</w:t>
      </w:r>
      <w:r>
        <w:rPr>
          <w:spacing w:val="-5"/>
          <w:sz w:val="24"/>
        </w:rPr>
        <w:t> </w:t>
      </w:r>
      <w:r>
        <w:rPr>
          <w:sz w:val="24"/>
        </w:rPr>
        <w:t>concluido</w:t>
      </w:r>
      <w:r>
        <w:rPr>
          <w:spacing w:val="-5"/>
          <w:sz w:val="24"/>
        </w:rPr>
        <w:t> </w:t>
      </w:r>
      <w:r>
        <w:rPr>
          <w:sz w:val="24"/>
        </w:rPr>
        <w:t>por</w:t>
      </w:r>
      <w:r>
        <w:rPr>
          <w:spacing w:val="-4"/>
          <w:sz w:val="24"/>
        </w:rPr>
        <w:t> </w:t>
      </w:r>
      <w:r>
        <w:rPr>
          <w:sz w:val="24"/>
        </w:rPr>
        <w:t>No</w:t>
      </w:r>
      <w:r>
        <w:rPr>
          <w:spacing w:val="-5"/>
          <w:sz w:val="24"/>
        </w:rPr>
        <w:t> </w:t>
      </w:r>
      <w:r>
        <w:rPr>
          <w:sz w:val="24"/>
        </w:rPr>
        <w:t>Ejercicio</w:t>
      </w:r>
      <w:r>
        <w:rPr>
          <w:spacing w:val="-3"/>
          <w:sz w:val="24"/>
        </w:rPr>
        <w:t> </w:t>
      </w:r>
      <w:r>
        <w:rPr>
          <w:sz w:val="24"/>
        </w:rPr>
        <w:t>de la Acción Penal y 10.7% fueron</w:t>
      </w:r>
      <w:r>
        <w:rPr>
          <w:spacing w:val="-16"/>
          <w:sz w:val="24"/>
        </w:rPr>
        <w:t> </w:t>
      </w:r>
      <w:r>
        <w:rPr>
          <w:sz w:val="24"/>
        </w:rPr>
        <w:t>consignados.</w:t>
      </w:r>
    </w:p>
    <w:p>
      <w:pPr>
        <w:pStyle w:val="BodyText"/>
      </w:pPr>
    </w:p>
    <w:p>
      <w:pPr>
        <w:pStyle w:val="BodyText"/>
        <w:spacing w:before="142"/>
        <w:ind w:left="102" w:right="66"/>
      </w:pPr>
      <w:r>
        <w:rPr/>
        <w:t>Conclusiones de los procesos de impartición de justicia:</w:t>
      </w:r>
    </w:p>
    <w:p>
      <w:pPr>
        <w:pStyle w:val="BodyText"/>
      </w:pPr>
    </w:p>
    <w:p>
      <w:pPr>
        <w:pStyle w:val="BodyText"/>
      </w:pPr>
    </w:p>
    <w:p>
      <w:pPr>
        <w:pStyle w:val="ListParagraph"/>
        <w:numPr>
          <w:ilvl w:val="0"/>
          <w:numId w:val="81"/>
        </w:numPr>
        <w:tabs>
          <w:tab w:pos="822" w:val="left" w:leader="none"/>
        </w:tabs>
        <w:spacing w:line="240" w:lineRule="auto" w:before="0" w:after="0"/>
        <w:ind w:left="822" w:right="0" w:hanging="360"/>
        <w:jc w:val="left"/>
        <w:rPr>
          <w:sz w:val="24"/>
        </w:rPr>
      </w:pPr>
      <w:r>
        <w:rPr>
          <w:sz w:val="24"/>
        </w:rPr>
        <w:t>Impartición en el ámbito</w:t>
      </w:r>
      <w:r>
        <w:rPr>
          <w:spacing w:val="-12"/>
          <w:sz w:val="24"/>
        </w:rPr>
        <w:t> </w:t>
      </w:r>
      <w:r>
        <w:rPr>
          <w:sz w:val="24"/>
        </w:rPr>
        <w:t>administrativo:</w:t>
      </w:r>
    </w:p>
    <w:p>
      <w:pPr>
        <w:pStyle w:val="BodyText"/>
        <w:spacing w:line="360" w:lineRule="auto" w:before="139"/>
        <w:ind w:left="821" w:right="121"/>
        <w:jc w:val="both"/>
      </w:pPr>
      <w:r>
        <w:rPr/>
        <w:t>De 1983 a 2012, la SFP y los OIC impusieron 158,352 sanciones administrativas a servidores públicos de la APF, de las cuales 87.8% fueron administrativas y 12.2% fueron económicas por 67,922.9 miles de pesos.</w:t>
      </w:r>
    </w:p>
    <w:p>
      <w:pPr>
        <w:pStyle w:val="BodyText"/>
      </w:pPr>
    </w:p>
    <w:p>
      <w:pPr>
        <w:pStyle w:val="BodyText"/>
        <w:spacing w:line="360" w:lineRule="auto" w:before="142"/>
        <w:ind w:left="810" w:right="116"/>
        <w:jc w:val="both"/>
      </w:pPr>
      <w:r>
        <w:rPr/>
        <w:t>Al 2011, el Servicio de Administración Tributaria contaba con 11,968 créditos fiscales de asuntos remitidos por la SFP, por un monto de 33,927.0</w:t>
      </w:r>
      <w:r>
        <w:rPr>
          <w:spacing w:val="-8"/>
        </w:rPr>
        <w:t> </w:t>
      </w:r>
      <w:r>
        <w:rPr/>
        <w:t>millones</w:t>
      </w:r>
      <w:r>
        <w:rPr>
          <w:spacing w:val="-9"/>
        </w:rPr>
        <w:t> </w:t>
      </w:r>
      <w:r>
        <w:rPr/>
        <w:t>de</w:t>
      </w:r>
      <w:r>
        <w:rPr>
          <w:spacing w:val="-11"/>
        </w:rPr>
        <w:t> </w:t>
      </w:r>
      <w:r>
        <w:rPr/>
        <w:t>pesos</w:t>
      </w:r>
      <w:r>
        <w:rPr>
          <w:spacing w:val="-9"/>
        </w:rPr>
        <w:t> </w:t>
      </w:r>
      <w:r>
        <w:rPr/>
        <w:t>de</w:t>
      </w:r>
      <w:r>
        <w:rPr>
          <w:spacing w:val="-11"/>
        </w:rPr>
        <w:t> </w:t>
      </w:r>
      <w:r>
        <w:rPr/>
        <w:t>ejercicios</w:t>
      </w:r>
      <w:r>
        <w:rPr>
          <w:spacing w:val="-9"/>
        </w:rPr>
        <w:t> </w:t>
      </w:r>
      <w:r>
        <w:rPr/>
        <w:t>previos,</w:t>
      </w:r>
      <w:r>
        <w:rPr>
          <w:spacing w:val="-8"/>
        </w:rPr>
        <w:t> </w:t>
      </w:r>
      <w:r>
        <w:rPr/>
        <w:t>y</w:t>
      </w:r>
      <w:r>
        <w:rPr>
          <w:spacing w:val="-12"/>
        </w:rPr>
        <w:t> </w:t>
      </w:r>
      <w:r>
        <w:rPr/>
        <w:t>en</w:t>
      </w:r>
      <w:r>
        <w:rPr>
          <w:spacing w:val="-8"/>
        </w:rPr>
        <w:t> </w:t>
      </w:r>
      <w:r>
        <w:rPr/>
        <w:t>ese</w:t>
      </w:r>
      <w:r>
        <w:rPr>
          <w:spacing w:val="-8"/>
        </w:rPr>
        <w:t> </w:t>
      </w:r>
      <w:r>
        <w:rPr/>
        <w:t>año</w:t>
      </w:r>
      <w:r>
        <w:rPr>
          <w:spacing w:val="-11"/>
        </w:rPr>
        <w:t> </w:t>
      </w:r>
      <w:r>
        <w:rPr/>
        <w:t>no</w:t>
      </w:r>
      <w:r>
        <w:rPr>
          <w:spacing w:val="-8"/>
        </w:rPr>
        <w:t> </w:t>
      </w:r>
      <w:r>
        <w:rPr/>
        <w:t>registró más</w:t>
      </w:r>
      <w:r>
        <w:rPr>
          <w:spacing w:val="-2"/>
        </w:rPr>
        <w:t> </w:t>
      </w:r>
      <w:r>
        <w:rPr/>
        <w:t>cobros.</w:t>
      </w:r>
    </w:p>
    <w:p>
      <w:pPr>
        <w:pStyle w:val="BodyText"/>
      </w:pPr>
    </w:p>
    <w:p>
      <w:pPr>
        <w:pStyle w:val="BodyText"/>
        <w:spacing w:line="360" w:lineRule="auto" w:before="142"/>
        <w:ind w:left="810" w:right="123"/>
        <w:jc w:val="both"/>
      </w:pPr>
      <w:r>
        <w:rPr/>
        <w:t>La SFP y los OIC determinaron que dos terceras partes de las sanciones administrativas que se impusieron de 1983 a 2012 fueron no graves y un tercio graves.</w:t>
      </w:r>
    </w:p>
    <w:p>
      <w:pPr>
        <w:pStyle w:val="BodyText"/>
      </w:pPr>
    </w:p>
    <w:p>
      <w:pPr>
        <w:pStyle w:val="BodyText"/>
        <w:spacing w:line="360" w:lineRule="auto" w:before="142"/>
        <w:ind w:left="810" w:right="120"/>
        <w:jc w:val="both"/>
      </w:pPr>
      <w:r>
        <w:rPr/>
        <w:t>En el periodo 1995-2012, la Secretaría Ejecutiva de Disciplina del Poder Judicial</w:t>
      </w:r>
      <w:r>
        <w:rPr>
          <w:spacing w:val="-7"/>
        </w:rPr>
        <w:t> </w:t>
      </w:r>
      <w:r>
        <w:rPr/>
        <w:t>de</w:t>
      </w:r>
      <w:r>
        <w:rPr>
          <w:spacing w:val="-6"/>
        </w:rPr>
        <w:t> </w:t>
      </w:r>
      <w:r>
        <w:rPr/>
        <w:t>la</w:t>
      </w:r>
      <w:r>
        <w:rPr>
          <w:spacing w:val="-6"/>
        </w:rPr>
        <w:t> </w:t>
      </w:r>
      <w:r>
        <w:rPr/>
        <w:t>Federación,</w:t>
      </w:r>
      <w:r>
        <w:rPr>
          <w:spacing w:val="-9"/>
        </w:rPr>
        <w:t> </w:t>
      </w:r>
      <w:r>
        <w:rPr/>
        <w:t>mediante</w:t>
      </w:r>
      <w:r>
        <w:rPr>
          <w:spacing w:val="-6"/>
        </w:rPr>
        <w:t> </w:t>
      </w:r>
      <w:r>
        <w:rPr/>
        <w:t>los</w:t>
      </w:r>
      <w:r>
        <w:rPr>
          <w:spacing w:val="-9"/>
        </w:rPr>
        <w:t> </w:t>
      </w:r>
      <w:r>
        <w:rPr/>
        <w:t>procedimientos</w:t>
      </w:r>
      <w:r>
        <w:rPr>
          <w:spacing w:val="-7"/>
        </w:rPr>
        <w:t> </w:t>
      </w:r>
      <w:r>
        <w:rPr/>
        <w:t>establecidos</w:t>
      </w:r>
      <w:r>
        <w:rPr>
          <w:spacing w:val="-9"/>
        </w:rPr>
        <w:t> </w:t>
      </w:r>
      <w:r>
        <w:rPr/>
        <w:t>en</w:t>
      </w:r>
      <w:r>
        <w:rPr>
          <w:spacing w:val="-6"/>
        </w:rPr>
        <w:t> </w:t>
      </w:r>
      <w:r>
        <w:rPr/>
        <w:t>la Ley, reglamentos y acuerdos que emite el Pleno en materia</w:t>
      </w:r>
      <w:r>
        <w:rPr>
          <w:spacing w:val="42"/>
        </w:rPr>
        <w:t> </w:t>
      </w:r>
      <w:r>
        <w:rPr/>
        <w:t>disciplinaria,</w:t>
      </w:r>
    </w:p>
    <w:p>
      <w:pPr>
        <w:spacing w:after="0" w:line="360" w:lineRule="auto"/>
        <w:jc w:val="both"/>
        <w:sectPr>
          <w:pgSz w:w="11910" w:h="16840"/>
          <w:pgMar w:header="0" w:footer="1003" w:top="1340" w:bottom="1200" w:left="1600" w:right="1580"/>
        </w:sectPr>
      </w:pPr>
    </w:p>
    <w:p>
      <w:pPr>
        <w:pStyle w:val="BodyText"/>
        <w:spacing w:line="360" w:lineRule="auto" w:before="55"/>
        <w:ind w:left="810" w:right="118"/>
        <w:jc w:val="both"/>
      </w:pPr>
      <w:r>
        <w:rPr/>
        <w:t>impuso 1,053 sanciones (donde más del 90% son graves), de las cuales 99.3%</w:t>
      </w:r>
      <w:r>
        <w:rPr>
          <w:spacing w:val="-19"/>
        </w:rPr>
        <w:t> </w:t>
      </w:r>
      <w:r>
        <w:rPr/>
        <w:t>fueron</w:t>
      </w:r>
      <w:r>
        <w:rPr>
          <w:spacing w:val="-15"/>
        </w:rPr>
        <w:t> </w:t>
      </w:r>
      <w:r>
        <w:rPr/>
        <w:t>administrativas,</w:t>
      </w:r>
      <w:r>
        <w:rPr>
          <w:spacing w:val="-13"/>
        </w:rPr>
        <w:t> </w:t>
      </w:r>
      <w:r>
        <w:rPr/>
        <w:t>y</w:t>
      </w:r>
      <w:r>
        <w:rPr>
          <w:spacing w:val="-16"/>
        </w:rPr>
        <w:t> </w:t>
      </w:r>
      <w:r>
        <w:rPr/>
        <w:t>0.7%</w:t>
      </w:r>
      <w:r>
        <w:rPr>
          <w:spacing w:val="-19"/>
        </w:rPr>
        <w:t> </w:t>
      </w:r>
      <w:r>
        <w:rPr/>
        <w:t>fueron</w:t>
      </w:r>
      <w:r>
        <w:rPr>
          <w:spacing w:val="-15"/>
        </w:rPr>
        <w:t> </w:t>
      </w:r>
      <w:r>
        <w:rPr/>
        <w:t>económicas;</w:t>
      </w:r>
      <w:r>
        <w:rPr>
          <w:spacing w:val="-15"/>
        </w:rPr>
        <w:t> </w:t>
      </w:r>
      <w:r>
        <w:rPr/>
        <w:t>sin</w:t>
      </w:r>
      <w:r>
        <w:rPr>
          <w:spacing w:val="-16"/>
        </w:rPr>
        <w:t> </w:t>
      </w:r>
      <w:r>
        <w:rPr/>
        <w:t>embargo,</w:t>
      </w:r>
      <w:r>
        <w:rPr>
          <w:spacing w:val="-16"/>
        </w:rPr>
        <w:t> </w:t>
      </w:r>
      <w:r>
        <w:rPr/>
        <w:t>no se reportó el monto de las</w:t>
      </w:r>
      <w:r>
        <w:rPr>
          <w:spacing w:val="-11"/>
        </w:rPr>
        <w:t> </w:t>
      </w:r>
      <w:r>
        <w:rPr/>
        <w:t>sanciones.</w:t>
      </w:r>
    </w:p>
    <w:p>
      <w:pPr>
        <w:pStyle w:val="BodyText"/>
      </w:pPr>
    </w:p>
    <w:p>
      <w:pPr>
        <w:pStyle w:val="BodyText"/>
        <w:spacing w:line="360" w:lineRule="auto" w:before="142"/>
        <w:ind w:left="810" w:right="117"/>
        <w:jc w:val="both"/>
      </w:pPr>
      <w:r>
        <w:rPr/>
        <w:t>Las Contralorías Internas del Poder Legislativo, el Poder Judicial y los Organismos Constitucionalmente Autónomos impusieron 1,234 sanciones, de las cuales 95.9% fueron administrativas, y 4.1% fueron económicas, aunque no reportaron los montos de las sanciones.</w:t>
      </w:r>
    </w:p>
    <w:p>
      <w:pPr>
        <w:pStyle w:val="BodyText"/>
      </w:pPr>
    </w:p>
    <w:p>
      <w:pPr>
        <w:pStyle w:val="BodyText"/>
        <w:spacing w:line="360" w:lineRule="auto" w:before="142"/>
        <w:ind w:left="810" w:right="116"/>
        <w:jc w:val="both"/>
      </w:pPr>
      <w:r>
        <w:rPr/>
        <w:t>La SFP tiene una efectividad en la imposición de sanciones administrativas superior al 98.0%, ya que es en esta proporción que las sentencias que dicta no son impugnadas o bien, aun siéndolo, la resolución de la autoridad competente mantiene firme la decisión de la dependencia.</w:t>
      </w:r>
    </w:p>
    <w:p>
      <w:pPr>
        <w:pStyle w:val="BodyText"/>
      </w:pPr>
    </w:p>
    <w:p>
      <w:pPr>
        <w:pStyle w:val="ListParagraph"/>
        <w:numPr>
          <w:ilvl w:val="0"/>
          <w:numId w:val="81"/>
        </w:numPr>
        <w:tabs>
          <w:tab w:pos="822" w:val="left" w:leader="none"/>
        </w:tabs>
        <w:spacing w:line="240" w:lineRule="auto" w:before="142" w:after="0"/>
        <w:ind w:left="822" w:right="0" w:hanging="360"/>
        <w:jc w:val="left"/>
        <w:rPr>
          <w:sz w:val="24"/>
        </w:rPr>
      </w:pPr>
      <w:r>
        <w:rPr>
          <w:sz w:val="24"/>
        </w:rPr>
        <w:t>Impartición en el ámbito</w:t>
      </w:r>
      <w:r>
        <w:rPr>
          <w:spacing w:val="-10"/>
          <w:sz w:val="24"/>
        </w:rPr>
        <w:t> </w:t>
      </w:r>
      <w:r>
        <w:rPr>
          <w:sz w:val="24"/>
        </w:rPr>
        <w:t>penal:</w:t>
      </w:r>
    </w:p>
    <w:p>
      <w:pPr>
        <w:pStyle w:val="BodyText"/>
        <w:spacing w:line="360" w:lineRule="auto" w:before="137"/>
        <w:ind w:left="821" w:right="117"/>
        <w:jc w:val="both"/>
      </w:pPr>
      <w:r>
        <w:rPr/>
        <w:t>En</w:t>
      </w:r>
      <w:r>
        <w:rPr>
          <w:spacing w:val="-5"/>
        </w:rPr>
        <w:t> </w:t>
      </w:r>
      <w:r>
        <w:rPr/>
        <w:t>el</w:t>
      </w:r>
      <w:r>
        <w:rPr>
          <w:spacing w:val="-5"/>
        </w:rPr>
        <w:t> </w:t>
      </w:r>
      <w:r>
        <w:rPr/>
        <w:t>periodo</w:t>
      </w:r>
      <w:r>
        <w:rPr>
          <w:spacing w:val="-6"/>
        </w:rPr>
        <w:t> </w:t>
      </w:r>
      <w:r>
        <w:rPr/>
        <w:t>2007-2011,</w:t>
      </w:r>
      <w:r>
        <w:rPr>
          <w:spacing w:val="-5"/>
        </w:rPr>
        <w:t> </w:t>
      </w:r>
      <w:r>
        <w:rPr/>
        <w:t>la</w:t>
      </w:r>
      <w:r>
        <w:rPr>
          <w:spacing w:val="-6"/>
        </w:rPr>
        <w:t> </w:t>
      </w:r>
      <w:r>
        <w:rPr/>
        <w:t>SFP</w:t>
      </w:r>
      <w:r>
        <w:rPr>
          <w:spacing w:val="-5"/>
        </w:rPr>
        <w:t> </w:t>
      </w:r>
      <w:r>
        <w:rPr/>
        <w:t>presentó</w:t>
      </w:r>
      <w:r>
        <w:rPr>
          <w:spacing w:val="-5"/>
        </w:rPr>
        <w:t> </w:t>
      </w:r>
      <w:r>
        <w:rPr/>
        <w:t>226</w:t>
      </w:r>
      <w:r>
        <w:rPr>
          <w:spacing w:val="-5"/>
        </w:rPr>
        <w:t> </w:t>
      </w:r>
      <w:r>
        <w:rPr/>
        <w:t>denuncias</w:t>
      </w:r>
      <w:r>
        <w:rPr>
          <w:spacing w:val="-4"/>
        </w:rPr>
        <w:t> </w:t>
      </w:r>
      <w:r>
        <w:rPr/>
        <w:t>penales</w:t>
      </w:r>
      <w:r>
        <w:rPr>
          <w:spacing w:val="-6"/>
        </w:rPr>
        <w:t> </w:t>
      </w:r>
      <w:r>
        <w:rPr/>
        <w:t>ante</w:t>
      </w:r>
      <w:r>
        <w:rPr>
          <w:spacing w:val="-4"/>
        </w:rPr>
        <w:t> </w:t>
      </w:r>
      <w:r>
        <w:rPr/>
        <w:t>la PGR. La dependencia careció de la información para difundir cuántos asuntos</w:t>
      </w:r>
      <w:r>
        <w:rPr>
          <w:spacing w:val="-9"/>
        </w:rPr>
        <w:t> </w:t>
      </w:r>
      <w:r>
        <w:rPr/>
        <w:t>investigados</w:t>
      </w:r>
      <w:r>
        <w:rPr>
          <w:spacing w:val="-11"/>
        </w:rPr>
        <w:t> </w:t>
      </w:r>
      <w:r>
        <w:rPr/>
        <w:t>por</w:t>
      </w:r>
      <w:r>
        <w:rPr>
          <w:spacing w:val="-9"/>
        </w:rPr>
        <w:t> </w:t>
      </w:r>
      <w:r>
        <w:rPr/>
        <w:t>la</w:t>
      </w:r>
      <w:r>
        <w:rPr>
          <w:spacing w:val="-8"/>
        </w:rPr>
        <w:t> </w:t>
      </w:r>
      <w:r>
        <w:rPr/>
        <w:t>procuraduría</w:t>
      </w:r>
      <w:r>
        <w:rPr>
          <w:spacing w:val="-10"/>
        </w:rPr>
        <w:t> </w:t>
      </w:r>
      <w:r>
        <w:rPr/>
        <w:t>fueron</w:t>
      </w:r>
      <w:r>
        <w:rPr>
          <w:spacing w:val="-8"/>
        </w:rPr>
        <w:t> </w:t>
      </w:r>
      <w:r>
        <w:rPr/>
        <w:t>sancionados</w:t>
      </w:r>
      <w:r>
        <w:rPr>
          <w:spacing w:val="-11"/>
        </w:rPr>
        <w:t> </w:t>
      </w:r>
      <w:r>
        <w:rPr/>
        <w:t>penalmente por actos de</w:t>
      </w:r>
      <w:r>
        <w:rPr>
          <w:spacing w:val="-10"/>
        </w:rPr>
        <w:t> </w:t>
      </w:r>
      <w:r>
        <w:rPr/>
        <w:t>corrupción.</w:t>
      </w:r>
    </w:p>
    <w:p>
      <w:pPr>
        <w:pStyle w:val="BodyText"/>
      </w:pPr>
    </w:p>
    <w:p>
      <w:pPr>
        <w:pStyle w:val="BodyText"/>
        <w:spacing w:line="360" w:lineRule="auto" w:before="142"/>
        <w:ind w:left="810" w:right="117"/>
        <w:jc w:val="both"/>
      </w:pPr>
      <w:r>
        <w:rPr/>
        <w:t>La SFP y la PGR desconocen la cantidad de servidores públicos que son sancionados penalmente, ya que no dan seguimiento a las consignaciones</w:t>
      </w:r>
      <w:r>
        <w:rPr>
          <w:spacing w:val="-17"/>
        </w:rPr>
        <w:t> </w:t>
      </w:r>
      <w:r>
        <w:rPr/>
        <w:t>que</w:t>
      </w:r>
      <w:r>
        <w:rPr>
          <w:spacing w:val="-19"/>
        </w:rPr>
        <w:t> </w:t>
      </w:r>
      <w:r>
        <w:rPr/>
        <w:t>la</w:t>
      </w:r>
      <w:r>
        <w:rPr>
          <w:spacing w:val="-22"/>
        </w:rPr>
        <w:t> </w:t>
      </w:r>
      <w:r>
        <w:rPr/>
        <w:t>PGR</w:t>
      </w:r>
      <w:r>
        <w:rPr>
          <w:spacing w:val="-17"/>
        </w:rPr>
        <w:t> </w:t>
      </w:r>
      <w:r>
        <w:rPr/>
        <w:t>realiza</w:t>
      </w:r>
      <w:r>
        <w:rPr>
          <w:spacing w:val="-17"/>
        </w:rPr>
        <w:t> </w:t>
      </w:r>
      <w:r>
        <w:rPr/>
        <w:t>al</w:t>
      </w:r>
      <w:r>
        <w:rPr>
          <w:spacing w:val="-20"/>
        </w:rPr>
        <w:t> </w:t>
      </w:r>
      <w:r>
        <w:rPr/>
        <w:t>Poder</w:t>
      </w:r>
      <w:r>
        <w:rPr>
          <w:spacing w:val="-18"/>
        </w:rPr>
        <w:t> </w:t>
      </w:r>
      <w:r>
        <w:rPr/>
        <w:t>Judicial</w:t>
      </w:r>
      <w:r>
        <w:rPr>
          <w:spacing w:val="-18"/>
        </w:rPr>
        <w:t> </w:t>
      </w:r>
      <w:r>
        <w:rPr/>
        <w:t>de</w:t>
      </w:r>
      <w:r>
        <w:rPr>
          <w:spacing w:val="-17"/>
        </w:rPr>
        <w:t> </w:t>
      </w:r>
      <w:r>
        <w:rPr/>
        <w:t>la</w:t>
      </w:r>
      <w:r>
        <w:rPr>
          <w:spacing w:val="-17"/>
        </w:rPr>
        <w:t> </w:t>
      </w:r>
      <w:r>
        <w:rPr/>
        <w:t>Federación</w:t>
      </w:r>
      <w:r>
        <w:rPr>
          <w:spacing w:val="-17"/>
        </w:rPr>
        <w:t> </w:t>
      </w:r>
      <w:r>
        <w:rPr/>
        <w:t>para la</w:t>
      </w:r>
      <w:r>
        <w:rPr>
          <w:spacing w:val="-6"/>
        </w:rPr>
        <w:t> </w:t>
      </w:r>
      <w:r>
        <w:rPr/>
        <w:t>impartición</w:t>
      </w:r>
      <w:r>
        <w:rPr>
          <w:spacing w:val="-6"/>
        </w:rPr>
        <w:t> </w:t>
      </w:r>
      <w:r>
        <w:rPr/>
        <w:t>de</w:t>
      </w:r>
      <w:r>
        <w:rPr>
          <w:spacing w:val="-6"/>
        </w:rPr>
        <w:t> </w:t>
      </w:r>
      <w:r>
        <w:rPr/>
        <w:t>la</w:t>
      </w:r>
      <w:r>
        <w:rPr>
          <w:spacing w:val="-6"/>
        </w:rPr>
        <w:t> </w:t>
      </w:r>
      <w:r>
        <w:rPr/>
        <w:t>justicia</w:t>
      </w:r>
      <w:r>
        <w:rPr>
          <w:spacing w:val="-6"/>
        </w:rPr>
        <w:t> </w:t>
      </w:r>
      <w:r>
        <w:rPr/>
        <w:t>a</w:t>
      </w:r>
      <w:r>
        <w:rPr>
          <w:spacing w:val="-6"/>
        </w:rPr>
        <w:t> </w:t>
      </w:r>
      <w:r>
        <w:rPr/>
        <w:t>los</w:t>
      </w:r>
      <w:r>
        <w:rPr>
          <w:spacing w:val="-6"/>
        </w:rPr>
        <w:t> </w:t>
      </w:r>
      <w:r>
        <w:rPr/>
        <w:t>servidores</w:t>
      </w:r>
      <w:r>
        <w:rPr>
          <w:spacing w:val="-7"/>
        </w:rPr>
        <w:t> </w:t>
      </w:r>
      <w:r>
        <w:rPr/>
        <w:t>públicos,</w:t>
      </w:r>
      <w:r>
        <w:rPr>
          <w:spacing w:val="-6"/>
        </w:rPr>
        <w:t> </w:t>
      </w:r>
      <w:r>
        <w:rPr/>
        <w:t>a</w:t>
      </w:r>
      <w:r>
        <w:rPr>
          <w:spacing w:val="-6"/>
        </w:rPr>
        <w:t> </w:t>
      </w:r>
      <w:r>
        <w:rPr/>
        <w:t>los</w:t>
      </w:r>
      <w:r>
        <w:rPr>
          <w:spacing w:val="-9"/>
        </w:rPr>
        <w:t> </w:t>
      </w:r>
      <w:r>
        <w:rPr/>
        <w:t>que</w:t>
      </w:r>
      <w:r>
        <w:rPr>
          <w:spacing w:val="-6"/>
        </w:rPr>
        <w:t> </w:t>
      </w:r>
      <w:r>
        <w:rPr/>
        <w:t>durante</w:t>
      </w:r>
      <w:r>
        <w:rPr>
          <w:spacing w:val="-6"/>
        </w:rPr>
        <w:t> </w:t>
      </w:r>
      <w:r>
        <w:rPr/>
        <w:t>las averiguaciones previas se les comprobó la comisión de delitos que contravienen el Código Penal</w:t>
      </w:r>
      <w:r>
        <w:rPr>
          <w:spacing w:val="-11"/>
        </w:rPr>
        <w:t> </w:t>
      </w:r>
      <w:r>
        <w:rPr/>
        <w:t>Federal.</w:t>
      </w:r>
    </w:p>
    <w:p>
      <w:pPr>
        <w:pStyle w:val="BodyText"/>
      </w:pPr>
    </w:p>
    <w:p>
      <w:pPr>
        <w:pStyle w:val="BodyText"/>
        <w:spacing w:before="8"/>
        <w:rPr>
          <w:sz w:val="29"/>
        </w:rPr>
      </w:pPr>
    </w:p>
    <w:p>
      <w:pPr>
        <w:pStyle w:val="BodyText"/>
        <w:spacing w:line="360" w:lineRule="auto"/>
        <w:ind w:left="102" w:right="119" w:firstLine="707"/>
        <w:jc w:val="both"/>
      </w:pPr>
      <w:r>
        <w:rPr/>
        <w:t>La revisión de la política evidenció que existe una falta de vinculación del gasto con los objetivos de mediano plazo para afrontar el problema de corrupción. Se determinó que, aunque existen estrategias y líneas de acción en los planes nacionales de desarrollo y los programas sectoriales de mediano plazo, éstos no pudieron operarse por la falta de recursos.</w:t>
      </w:r>
    </w:p>
    <w:p>
      <w:pPr>
        <w:spacing w:after="0" w:line="360" w:lineRule="auto"/>
        <w:jc w:val="both"/>
        <w:sectPr>
          <w:pgSz w:w="11910" w:h="16840"/>
          <w:pgMar w:header="0" w:footer="1003" w:top="1340" w:bottom="1200" w:left="1600" w:right="1580"/>
        </w:sectPr>
      </w:pPr>
    </w:p>
    <w:p>
      <w:pPr>
        <w:pStyle w:val="BodyText"/>
        <w:spacing w:line="360" w:lineRule="auto" w:before="55"/>
        <w:ind w:left="102" w:right="116" w:firstLine="707"/>
        <w:jc w:val="both"/>
      </w:pPr>
      <w:r>
        <w:rPr/>
        <w:t>Para cumplir con los objetivos de la política pública del PND 2007-2012, la SFP instrumentó el PNRCTCC 2008–2012, como un programa de carácter especial y de observancia obligatoria para la APF, con el propósito de tener una cultura social de rendición de cuentas, combate a la corrupción y respeto a la legalidad. Aunque el PNRCTCC previó la elaboración de programas anuales para la integración del anteproyecto del presupuesto, en el periodo 2000-2011 no se identificó ningún programa presupuestario cuyos recursos estuvieran vinculados con el combate a la corrupción.</w:t>
      </w:r>
    </w:p>
    <w:p>
      <w:pPr>
        <w:pStyle w:val="BodyText"/>
      </w:pPr>
    </w:p>
    <w:p>
      <w:pPr>
        <w:pStyle w:val="BodyText"/>
        <w:spacing w:line="360" w:lineRule="auto" w:before="142"/>
        <w:ind w:left="102" w:right="117" w:firstLine="427"/>
        <w:jc w:val="both"/>
      </w:pPr>
      <w:r>
        <w:rPr/>
        <w:t>La ASF consideró que en 30 años (1983-2013), la política de combate a la corrupción del gobierno federal no ha establecido acciones sistemáticas para enfrentarla</w:t>
      </w:r>
      <w:r>
        <w:rPr>
          <w:spacing w:val="-8"/>
        </w:rPr>
        <w:t> </w:t>
      </w:r>
      <w:r>
        <w:rPr/>
        <w:t>y</w:t>
      </w:r>
      <w:r>
        <w:rPr>
          <w:spacing w:val="-12"/>
        </w:rPr>
        <w:t> </w:t>
      </w:r>
      <w:r>
        <w:rPr/>
        <w:t>tampoco</w:t>
      </w:r>
      <w:r>
        <w:rPr>
          <w:spacing w:val="-13"/>
        </w:rPr>
        <w:t> </w:t>
      </w:r>
      <w:r>
        <w:rPr/>
        <w:t>ha</w:t>
      </w:r>
      <w:r>
        <w:rPr>
          <w:spacing w:val="-8"/>
        </w:rPr>
        <w:t> </w:t>
      </w:r>
      <w:r>
        <w:rPr/>
        <w:t>coadyuvado</w:t>
      </w:r>
      <w:r>
        <w:rPr>
          <w:spacing w:val="-11"/>
        </w:rPr>
        <w:t> </w:t>
      </w:r>
      <w:r>
        <w:rPr/>
        <w:t>en</w:t>
      </w:r>
      <w:r>
        <w:rPr>
          <w:spacing w:val="-11"/>
        </w:rPr>
        <w:t> </w:t>
      </w:r>
      <w:r>
        <w:rPr/>
        <w:t>el</w:t>
      </w:r>
      <w:r>
        <w:rPr>
          <w:spacing w:val="-12"/>
        </w:rPr>
        <w:t> </w:t>
      </w:r>
      <w:r>
        <w:rPr/>
        <w:t>diseño</w:t>
      </w:r>
      <w:r>
        <w:rPr>
          <w:spacing w:val="-11"/>
        </w:rPr>
        <w:t> </w:t>
      </w:r>
      <w:r>
        <w:rPr/>
        <w:t>de</w:t>
      </w:r>
      <w:r>
        <w:rPr>
          <w:spacing w:val="-11"/>
        </w:rPr>
        <w:t> </w:t>
      </w:r>
      <w:r>
        <w:rPr/>
        <w:t>una</w:t>
      </w:r>
      <w:r>
        <w:rPr>
          <w:spacing w:val="-11"/>
        </w:rPr>
        <w:t> </w:t>
      </w:r>
      <w:r>
        <w:rPr/>
        <w:t>política</w:t>
      </w:r>
      <w:r>
        <w:rPr>
          <w:spacing w:val="-8"/>
        </w:rPr>
        <w:t> </w:t>
      </w:r>
      <w:r>
        <w:rPr/>
        <w:t>de</w:t>
      </w:r>
      <w:r>
        <w:rPr>
          <w:spacing w:val="-11"/>
        </w:rPr>
        <w:t> </w:t>
      </w:r>
      <w:r>
        <w:rPr/>
        <w:t>Estado</w:t>
      </w:r>
      <w:r>
        <w:rPr>
          <w:spacing w:val="-11"/>
        </w:rPr>
        <w:t> </w:t>
      </w:r>
      <w:r>
        <w:rPr/>
        <w:t>con el mismo fin, lo que limitó el establecimiento de protocolos para prevenir, detectar, investigar y sancionar las prácticas indebidas en la</w:t>
      </w:r>
      <w:r>
        <w:rPr>
          <w:spacing w:val="-20"/>
        </w:rPr>
        <w:t> </w:t>
      </w:r>
      <w:r>
        <w:rPr/>
        <w:t>APF.</w:t>
      </w:r>
    </w:p>
    <w:p>
      <w:pPr>
        <w:pStyle w:val="BodyText"/>
      </w:pPr>
    </w:p>
    <w:p>
      <w:pPr>
        <w:pStyle w:val="BodyText"/>
        <w:spacing w:line="360" w:lineRule="auto" w:before="142"/>
        <w:ind w:left="102" w:right="122" w:firstLine="427"/>
        <w:jc w:val="both"/>
      </w:pPr>
      <w:r>
        <w:rPr/>
        <w:t>La revisión destacó que a los órganos de control les falta desarrollar las capacidades para consolidar sus objetivos anticorrupción, lo que, aunado a su dependencia con el Poder Ejecutivo, les impide garantizar el cumplimiento de metas y objetivos.</w:t>
      </w:r>
    </w:p>
    <w:p>
      <w:pPr>
        <w:pStyle w:val="BodyText"/>
      </w:pPr>
    </w:p>
    <w:p>
      <w:pPr>
        <w:pStyle w:val="BodyText"/>
        <w:spacing w:line="360" w:lineRule="auto" w:before="142"/>
        <w:ind w:left="102" w:right="120" w:firstLine="427"/>
        <w:jc w:val="both"/>
      </w:pPr>
      <w:r>
        <w:rPr/>
        <w:t>De acuerdo con la auditoría, la APF no ha logrado una participación ciudadana permanente y coordinada con los tres órdenes de gobierno y los tres poderes de la Unión.</w:t>
      </w:r>
    </w:p>
    <w:p>
      <w:pPr>
        <w:pStyle w:val="BodyText"/>
      </w:pPr>
    </w:p>
    <w:p>
      <w:pPr>
        <w:pStyle w:val="BodyText"/>
        <w:spacing w:line="360" w:lineRule="auto" w:before="142"/>
        <w:ind w:left="102" w:right="121" w:firstLine="427"/>
        <w:jc w:val="both"/>
      </w:pPr>
      <w:r>
        <w:rPr/>
        <w:t>Lo anterior implica que, en materia de revisión de cuentas, la política del Estado es insuficiente para reducir la corrupción y generar las bases fundacionales</w:t>
      </w:r>
      <w:r>
        <w:rPr>
          <w:spacing w:val="-6"/>
        </w:rPr>
        <w:t> </w:t>
      </w:r>
      <w:r>
        <w:rPr/>
        <w:t>de</w:t>
      </w:r>
      <w:r>
        <w:rPr>
          <w:spacing w:val="-6"/>
        </w:rPr>
        <w:t> </w:t>
      </w:r>
      <w:r>
        <w:rPr/>
        <w:t>una</w:t>
      </w:r>
      <w:r>
        <w:rPr>
          <w:spacing w:val="-6"/>
        </w:rPr>
        <w:t> </w:t>
      </w:r>
      <w:r>
        <w:rPr/>
        <w:t>gobernanza,</w:t>
      </w:r>
      <w:r>
        <w:rPr>
          <w:spacing w:val="-6"/>
        </w:rPr>
        <w:t> </w:t>
      </w:r>
      <w:r>
        <w:rPr/>
        <w:t>por</w:t>
      </w:r>
      <w:r>
        <w:rPr>
          <w:spacing w:val="-7"/>
        </w:rPr>
        <w:t> </w:t>
      </w:r>
      <w:r>
        <w:rPr/>
        <w:t>la</w:t>
      </w:r>
      <w:r>
        <w:rPr>
          <w:spacing w:val="-6"/>
        </w:rPr>
        <w:t> </w:t>
      </w:r>
      <w:r>
        <w:rPr/>
        <w:t>escasa</w:t>
      </w:r>
      <w:r>
        <w:rPr>
          <w:spacing w:val="-6"/>
        </w:rPr>
        <w:t> </w:t>
      </w:r>
      <w:r>
        <w:rPr/>
        <w:t>participación</w:t>
      </w:r>
      <w:r>
        <w:rPr>
          <w:spacing w:val="-6"/>
        </w:rPr>
        <w:t> </w:t>
      </w:r>
      <w:r>
        <w:rPr/>
        <w:t>de</w:t>
      </w:r>
      <w:r>
        <w:rPr>
          <w:spacing w:val="-6"/>
        </w:rPr>
        <w:t> </w:t>
      </w:r>
      <w:r>
        <w:rPr/>
        <w:t>la</w:t>
      </w:r>
      <w:r>
        <w:rPr>
          <w:spacing w:val="-6"/>
        </w:rPr>
        <w:t> </w:t>
      </w:r>
      <w:r>
        <w:rPr/>
        <w:t>sociedad</w:t>
      </w:r>
      <w:r>
        <w:rPr>
          <w:spacing w:val="-6"/>
        </w:rPr>
        <w:t> </w:t>
      </w:r>
      <w:r>
        <w:rPr/>
        <w:t>en la política, ya que la implementación de la política de combate a la corrupción está</w:t>
      </w:r>
      <w:r>
        <w:rPr>
          <w:spacing w:val="-8"/>
        </w:rPr>
        <w:t> </w:t>
      </w:r>
      <w:r>
        <w:rPr/>
        <w:t>fragmentada.</w:t>
      </w:r>
      <w:r>
        <w:rPr>
          <w:spacing w:val="-9"/>
        </w:rPr>
        <w:t> </w:t>
      </w:r>
      <w:r>
        <w:rPr/>
        <w:t>Lo</w:t>
      </w:r>
      <w:r>
        <w:rPr>
          <w:spacing w:val="-8"/>
        </w:rPr>
        <w:t> </w:t>
      </w:r>
      <w:r>
        <w:rPr/>
        <w:t>anterior</w:t>
      </w:r>
      <w:r>
        <w:rPr>
          <w:spacing w:val="-7"/>
        </w:rPr>
        <w:t> </w:t>
      </w:r>
      <w:r>
        <w:rPr/>
        <w:t>debido</w:t>
      </w:r>
      <w:r>
        <w:rPr>
          <w:spacing w:val="-6"/>
        </w:rPr>
        <w:t> </w:t>
      </w:r>
      <w:r>
        <w:rPr/>
        <w:t>a</w:t>
      </w:r>
      <w:r>
        <w:rPr>
          <w:spacing w:val="-8"/>
        </w:rPr>
        <w:t> </w:t>
      </w:r>
      <w:r>
        <w:rPr/>
        <w:t>que</w:t>
      </w:r>
      <w:r>
        <w:rPr>
          <w:spacing w:val="-6"/>
        </w:rPr>
        <w:t> </w:t>
      </w:r>
      <w:r>
        <w:rPr/>
        <w:t>la</w:t>
      </w:r>
      <w:r>
        <w:rPr>
          <w:spacing w:val="-11"/>
        </w:rPr>
        <w:t> </w:t>
      </w:r>
      <w:r>
        <w:rPr/>
        <w:t>evaluación</w:t>
      </w:r>
      <w:r>
        <w:rPr>
          <w:spacing w:val="-8"/>
        </w:rPr>
        <w:t> </w:t>
      </w:r>
      <w:r>
        <w:rPr/>
        <w:t>de</w:t>
      </w:r>
      <w:r>
        <w:rPr>
          <w:spacing w:val="-6"/>
        </w:rPr>
        <w:t> </w:t>
      </w:r>
      <w:r>
        <w:rPr/>
        <w:t>la</w:t>
      </w:r>
      <w:r>
        <w:rPr>
          <w:spacing w:val="-9"/>
        </w:rPr>
        <w:t> </w:t>
      </w:r>
      <w:r>
        <w:rPr/>
        <w:t>misma</w:t>
      </w:r>
      <w:r>
        <w:rPr>
          <w:spacing w:val="-6"/>
        </w:rPr>
        <w:t> </w:t>
      </w:r>
      <w:r>
        <w:rPr/>
        <w:t>(mediante la fiscalización) indica que sigue pendiente para el Estado disminuir la corrupción, lograr mejores condiciones de vida, y aumentar su</w:t>
      </w:r>
      <w:r>
        <w:rPr>
          <w:spacing w:val="-19"/>
        </w:rPr>
        <w:t> </w:t>
      </w:r>
      <w:r>
        <w:rPr/>
        <w:t>legitimación.</w:t>
      </w:r>
    </w:p>
    <w:p>
      <w:pPr>
        <w:spacing w:after="0" w:line="360" w:lineRule="auto"/>
        <w:jc w:val="both"/>
        <w:sectPr>
          <w:pgSz w:w="11910" w:h="16840"/>
          <w:pgMar w:header="0" w:footer="1003" w:top="1340" w:bottom="1200" w:left="1600" w:right="1580"/>
        </w:sectPr>
      </w:pPr>
    </w:p>
    <w:p>
      <w:pPr>
        <w:pStyle w:val="Heading2"/>
        <w:numPr>
          <w:ilvl w:val="1"/>
          <w:numId w:val="69"/>
        </w:numPr>
        <w:tabs>
          <w:tab w:pos="555" w:val="left" w:leader="none"/>
        </w:tabs>
        <w:spacing w:line="240" w:lineRule="auto" w:before="56" w:after="0"/>
        <w:ind w:left="554" w:right="0" w:hanging="432"/>
        <w:jc w:val="both"/>
      </w:pPr>
      <w:bookmarkStart w:name="_bookmark84" w:id="112"/>
      <w:bookmarkEnd w:id="112"/>
      <w:r>
        <w:rPr>
          <w:b w:val="0"/>
        </w:rPr>
      </w:r>
      <w:bookmarkStart w:name="_bookmark84" w:id="113"/>
      <w:bookmarkEnd w:id="113"/>
      <w:r>
        <w:rPr/>
        <w:t>For</w:t>
      </w:r>
      <w:r>
        <w:rPr/>
        <w:t>talecimiento de la Administración</w:t>
      </w:r>
      <w:r>
        <w:rPr>
          <w:spacing w:val="-7"/>
        </w:rPr>
        <w:t> </w:t>
      </w:r>
      <w:r>
        <w:rPr/>
        <w:t>Pública</w:t>
      </w:r>
    </w:p>
    <w:p>
      <w:pPr>
        <w:pStyle w:val="BodyText"/>
        <w:rPr>
          <w:b/>
          <w:sz w:val="26"/>
        </w:rPr>
      </w:pPr>
    </w:p>
    <w:p>
      <w:pPr>
        <w:pStyle w:val="BodyText"/>
        <w:rPr>
          <w:b/>
          <w:sz w:val="26"/>
        </w:rPr>
      </w:pPr>
    </w:p>
    <w:p>
      <w:pPr>
        <w:pStyle w:val="BodyText"/>
        <w:spacing w:before="5"/>
        <w:rPr>
          <w:b/>
          <w:sz w:val="20"/>
        </w:rPr>
      </w:pPr>
    </w:p>
    <w:p>
      <w:pPr>
        <w:pStyle w:val="BodyText"/>
        <w:spacing w:line="360" w:lineRule="auto" w:before="1"/>
        <w:ind w:left="122" w:right="118"/>
        <w:jc w:val="both"/>
      </w:pPr>
      <w:r>
        <w:rPr/>
        <w:t>Todo gobierno que se considere democrático debe rendir cuentas a la sociedad y</w:t>
      </w:r>
      <w:r>
        <w:rPr>
          <w:spacing w:val="-8"/>
        </w:rPr>
        <w:t> </w:t>
      </w:r>
      <w:r>
        <w:rPr/>
        <w:t>sujetarse</w:t>
      </w:r>
      <w:r>
        <w:rPr>
          <w:spacing w:val="-5"/>
        </w:rPr>
        <w:t> </w:t>
      </w:r>
      <w:r>
        <w:rPr/>
        <w:t>al</w:t>
      </w:r>
      <w:r>
        <w:rPr>
          <w:spacing w:val="-6"/>
        </w:rPr>
        <w:t> </w:t>
      </w:r>
      <w:r>
        <w:rPr/>
        <w:t>escrutinio</w:t>
      </w:r>
      <w:r>
        <w:rPr>
          <w:spacing w:val="-5"/>
        </w:rPr>
        <w:t> </w:t>
      </w:r>
      <w:r>
        <w:rPr/>
        <w:t>público.</w:t>
      </w:r>
      <w:r>
        <w:rPr>
          <w:spacing w:val="-2"/>
        </w:rPr>
        <w:t> </w:t>
      </w:r>
      <w:r>
        <w:rPr/>
        <w:t>Las</w:t>
      </w:r>
      <w:r>
        <w:rPr>
          <w:spacing w:val="-5"/>
        </w:rPr>
        <w:t> </w:t>
      </w:r>
      <w:r>
        <w:rPr/>
        <w:t>instituciones</w:t>
      </w:r>
      <w:r>
        <w:rPr>
          <w:spacing w:val="-8"/>
        </w:rPr>
        <w:t> </w:t>
      </w:r>
      <w:r>
        <w:rPr/>
        <w:t>deben</w:t>
      </w:r>
      <w:r>
        <w:rPr>
          <w:spacing w:val="-7"/>
        </w:rPr>
        <w:t> </w:t>
      </w:r>
      <w:r>
        <w:rPr/>
        <w:t>aportar</w:t>
      </w:r>
      <w:r>
        <w:rPr>
          <w:spacing w:val="-6"/>
        </w:rPr>
        <w:t> </w:t>
      </w:r>
      <w:r>
        <w:rPr/>
        <w:t>elementos</w:t>
      </w:r>
      <w:r>
        <w:rPr>
          <w:spacing w:val="-8"/>
        </w:rPr>
        <w:t> </w:t>
      </w:r>
      <w:r>
        <w:rPr/>
        <w:t>para la democracia mediante atender las demandas ciudadanas; disminuir la corrupción; combatir la impunidad; desalentar el uso ineficaz, ineficiente o ilegal de los recursos públicos, e impulsar la participación social para investigar y castigar los ilícitos. Para lograr tales fines, es necesario fortalecer a las instituciones desde sus objetivos, misión, visión y quehacer</w:t>
      </w:r>
      <w:r>
        <w:rPr>
          <w:spacing w:val="-25"/>
        </w:rPr>
        <w:t> </w:t>
      </w:r>
      <w:r>
        <w:rPr/>
        <w:t>cotidiano.</w:t>
      </w:r>
    </w:p>
    <w:p>
      <w:pPr>
        <w:pStyle w:val="BodyText"/>
        <w:spacing w:line="360" w:lineRule="auto"/>
        <w:ind w:left="122" w:right="115" w:firstLine="427"/>
        <w:jc w:val="both"/>
        <w:rPr>
          <w:sz w:val="16"/>
        </w:rPr>
      </w:pPr>
      <w:r>
        <w:rPr/>
        <w:t>En</w:t>
      </w:r>
      <w:r>
        <w:rPr>
          <w:spacing w:val="-17"/>
        </w:rPr>
        <w:t> </w:t>
      </w:r>
      <w:r>
        <w:rPr/>
        <w:t>ese</w:t>
      </w:r>
      <w:r>
        <w:rPr>
          <w:spacing w:val="-17"/>
        </w:rPr>
        <w:t> </w:t>
      </w:r>
      <w:r>
        <w:rPr/>
        <w:t>sentido</w:t>
      </w:r>
      <w:r>
        <w:rPr>
          <w:spacing w:val="-15"/>
        </w:rPr>
        <w:t> </w:t>
      </w:r>
      <w:r>
        <w:rPr/>
        <w:t>el</w:t>
      </w:r>
      <w:r>
        <w:rPr>
          <w:spacing w:val="-18"/>
        </w:rPr>
        <w:t> </w:t>
      </w:r>
      <w:r>
        <w:rPr/>
        <w:t>Sistema</w:t>
      </w:r>
      <w:r>
        <w:rPr>
          <w:spacing w:val="-17"/>
        </w:rPr>
        <w:t> </w:t>
      </w:r>
      <w:r>
        <w:rPr/>
        <w:t>Nacional</w:t>
      </w:r>
      <w:r>
        <w:rPr>
          <w:spacing w:val="-18"/>
        </w:rPr>
        <w:t> </w:t>
      </w:r>
      <w:r>
        <w:rPr/>
        <w:t>de</w:t>
      </w:r>
      <w:r>
        <w:rPr>
          <w:spacing w:val="-17"/>
        </w:rPr>
        <w:t> </w:t>
      </w:r>
      <w:r>
        <w:rPr/>
        <w:t>Fiscalización</w:t>
      </w:r>
      <w:r>
        <w:rPr>
          <w:spacing w:val="-13"/>
        </w:rPr>
        <w:t> </w:t>
      </w:r>
      <w:r>
        <w:rPr/>
        <w:t>(SNF)</w:t>
      </w:r>
      <w:r>
        <w:rPr>
          <w:position w:val="8"/>
          <w:sz w:val="16"/>
        </w:rPr>
        <w:t>148</w:t>
      </w:r>
      <w:r>
        <w:rPr>
          <w:spacing w:val="4"/>
          <w:position w:val="8"/>
          <w:sz w:val="16"/>
        </w:rPr>
        <w:t> </w:t>
      </w:r>
      <w:r>
        <w:rPr/>
        <w:t>que</w:t>
      </w:r>
      <w:r>
        <w:rPr>
          <w:spacing w:val="-17"/>
        </w:rPr>
        <w:t> </w:t>
      </w:r>
      <w:r>
        <w:rPr/>
        <w:t>tiene</w:t>
      </w:r>
      <w:r>
        <w:rPr>
          <w:spacing w:val="-19"/>
        </w:rPr>
        <w:t> </w:t>
      </w:r>
      <w:r>
        <w:rPr/>
        <w:t>como propósito coadyuvar a consolidar una estrategia interinstitucional, mediante la articulación de la auditoría interna y la fiscalización superior, para ello es necesario incentivar la colaboración y corresponsabilidad en el diseño y aplicación de un modelo de mejores prácticas en la</w:t>
      </w:r>
      <w:r>
        <w:rPr>
          <w:spacing w:val="-19"/>
        </w:rPr>
        <w:t> </w:t>
      </w:r>
      <w:r>
        <w:rPr/>
        <w:t>materia.</w:t>
      </w:r>
      <w:r>
        <w:rPr>
          <w:position w:val="8"/>
          <w:sz w:val="16"/>
        </w:rPr>
        <w:t>149</w:t>
      </w:r>
    </w:p>
    <w:p>
      <w:pPr>
        <w:pStyle w:val="BodyText"/>
        <w:spacing w:line="360" w:lineRule="auto" w:before="1"/>
        <w:ind w:left="122" w:right="118" w:firstLine="427"/>
        <w:jc w:val="both"/>
      </w:pPr>
      <w:r>
        <w:rPr/>
        <w:t>El SNF busca establecer un ambiente de coordinación para garantizar a la ciudadanía que los recursos públicos se vigilarán ordenada, sistemática e integralmente.</w:t>
      </w:r>
    </w:p>
    <w:p>
      <w:pPr>
        <w:pStyle w:val="BodyText"/>
        <w:spacing w:line="360" w:lineRule="auto" w:before="3"/>
        <w:ind w:left="122" w:right="117" w:firstLine="427"/>
        <w:jc w:val="both"/>
      </w:pPr>
      <w:r>
        <w:rPr/>
        <w:t>La</w:t>
      </w:r>
      <w:r>
        <w:rPr>
          <w:spacing w:val="-20"/>
        </w:rPr>
        <w:t> </w:t>
      </w:r>
      <w:r>
        <w:rPr/>
        <w:t>auditoría</w:t>
      </w:r>
      <w:r>
        <w:rPr>
          <w:spacing w:val="-18"/>
        </w:rPr>
        <w:t> </w:t>
      </w:r>
      <w:r>
        <w:rPr/>
        <w:t>interna</w:t>
      </w:r>
      <w:r>
        <w:rPr>
          <w:spacing w:val="-20"/>
        </w:rPr>
        <w:t> </w:t>
      </w:r>
      <w:r>
        <w:rPr/>
        <w:t>realizada</w:t>
      </w:r>
      <w:r>
        <w:rPr>
          <w:spacing w:val="-18"/>
        </w:rPr>
        <w:t> </w:t>
      </w:r>
      <w:r>
        <w:rPr/>
        <w:t>por</w:t>
      </w:r>
      <w:r>
        <w:rPr>
          <w:spacing w:val="-21"/>
        </w:rPr>
        <w:t> </w:t>
      </w:r>
      <w:r>
        <w:rPr/>
        <w:t>el</w:t>
      </w:r>
      <w:r>
        <w:rPr>
          <w:spacing w:val="-19"/>
        </w:rPr>
        <w:t> </w:t>
      </w:r>
      <w:r>
        <w:rPr/>
        <w:t>Poder</w:t>
      </w:r>
      <w:r>
        <w:rPr>
          <w:spacing w:val="-19"/>
        </w:rPr>
        <w:t> </w:t>
      </w:r>
      <w:r>
        <w:rPr/>
        <w:t>Ejecutivo</w:t>
      </w:r>
      <w:r>
        <w:rPr>
          <w:spacing w:val="-18"/>
        </w:rPr>
        <w:t> </w:t>
      </w:r>
      <w:r>
        <w:rPr/>
        <w:t>(SFP)</w:t>
      </w:r>
      <w:r>
        <w:rPr>
          <w:spacing w:val="-13"/>
        </w:rPr>
        <w:t> </w:t>
      </w:r>
      <w:r>
        <w:rPr/>
        <w:t>puede</w:t>
      </w:r>
      <w:r>
        <w:rPr>
          <w:spacing w:val="-18"/>
        </w:rPr>
        <w:t> </w:t>
      </w:r>
      <w:r>
        <w:rPr/>
        <w:t>constituirse con un enfoque sistemático y disciplinado, para evaluar y mejorar la efectividad de la gestión del riesgo, del control y de las prácticas de buen gobierno. Por su parte, las Entidades de Fiscalización Superior del Poder Legislativo fiscalizan externamente los recursos que maneja el</w:t>
      </w:r>
      <w:r>
        <w:rPr>
          <w:spacing w:val="-17"/>
        </w:rPr>
        <w:t> </w:t>
      </w:r>
      <w:r>
        <w:rPr/>
        <w:t>Estado.</w:t>
      </w:r>
    </w:p>
    <w:p>
      <w:pPr>
        <w:pStyle w:val="BodyText"/>
        <w:spacing w:line="360" w:lineRule="auto" w:before="5"/>
        <w:ind w:left="122" w:right="115" w:firstLine="427"/>
        <w:jc w:val="both"/>
      </w:pPr>
      <w:r>
        <w:rPr/>
        <w:t>El establecimiento de acciones de coordinación entre ambos Poderes es indispensable para la creación de un entorno preventivo sólido. Los niveles de supervisión en las tres órdenes de gobierno deben tener la capacidad y competencia necesaria para mantener una vigilancia suficiente sobre el desempeño de los entes públicos.</w:t>
      </w:r>
    </w:p>
    <w:p>
      <w:pPr>
        <w:pStyle w:val="BodyText"/>
        <w:rPr>
          <w:sz w:val="20"/>
        </w:rPr>
      </w:pP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0024;mso-wrap-distance-left:0;mso-wrap-distance-right:0" from="85.103996pt,14.936814pt" to="229.123996pt,14.936814pt" stroked="true" strokeweight=".72003pt" strokecolor="#000000">
            <w10:wrap type="topAndBottom"/>
          </v:line>
        </w:pict>
      </w:r>
    </w:p>
    <w:p>
      <w:pPr>
        <w:spacing w:line="249" w:lineRule="auto" w:before="62"/>
        <w:ind w:left="122" w:right="125" w:firstLine="0"/>
        <w:jc w:val="both"/>
        <w:rPr>
          <w:sz w:val="16"/>
        </w:rPr>
      </w:pPr>
      <w:r>
        <w:rPr>
          <w:rFonts w:ascii="Times New Roman" w:hAnsi="Times New Roman"/>
          <w:position w:val="7"/>
          <w:sz w:val="13"/>
        </w:rPr>
        <w:t>148</w:t>
      </w:r>
      <w:r>
        <w:rPr>
          <w:sz w:val="16"/>
        </w:rPr>
        <w:t>El objetivo del SNF es la articulación legal y operativa de todos los órganos encargados de la fiscalización de los recursos públicos de la nación. Este sistema requiere que los tres órdenes de gobierno tengan una visión, estándares, principios éticos y capacidades técnicas uniformes para combatir la impunidad y la corrupción.</w:t>
      </w:r>
    </w:p>
    <w:p>
      <w:pPr>
        <w:spacing w:line="247" w:lineRule="auto" w:before="11"/>
        <w:ind w:left="122" w:right="119" w:firstLine="0"/>
        <w:jc w:val="both"/>
        <w:rPr>
          <w:sz w:val="16"/>
        </w:rPr>
      </w:pPr>
      <w:r>
        <w:rPr>
          <w:rFonts w:ascii="Cambria" w:hAnsi="Cambria"/>
          <w:position w:val="6"/>
          <w:sz w:val="16"/>
        </w:rPr>
        <w:t>149</w:t>
      </w:r>
      <w:r>
        <w:rPr>
          <w:sz w:val="16"/>
        </w:rPr>
        <w:t>La ASF considera que el SNF tiene por objeto el que las instituciones fiscalizadoras internas y externas, independientemente del poder al que estén suscritas y de su esfera de gobierno, trabajen conjuntamente para lograr revisiones</w:t>
      </w:r>
      <w:r>
        <w:rPr>
          <w:spacing w:val="-5"/>
          <w:sz w:val="16"/>
        </w:rPr>
        <w:t> </w:t>
      </w:r>
      <w:r>
        <w:rPr>
          <w:sz w:val="16"/>
        </w:rPr>
        <w:t>coordinadas,</w:t>
      </w:r>
      <w:r>
        <w:rPr>
          <w:spacing w:val="-5"/>
          <w:sz w:val="16"/>
        </w:rPr>
        <w:t> </w:t>
      </w:r>
      <w:r>
        <w:rPr>
          <w:sz w:val="16"/>
        </w:rPr>
        <w:t>más</w:t>
      </w:r>
      <w:r>
        <w:rPr>
          <w:spacing w:val="-5"/>
          <w:sz w:val="16"/>
        </w:rPr>
        <w:t> </w:t>
      </w:r>
      <w:r>
        <w:rPr>
          <w:sz w:val="16"/>
        </w:rPr>
        <w:t>sistemáticas</w:t>
      </w:r>
      <w:r>
        <w:rPr>
          <w:spacing w:val="-3"/>
          <w:sz w:val="16"/>
        </w:rPr>
        <w:t> </w:t>
      </w:r>
      <w:r>
        <w:rPr>
          <w:sz w:val="16"/>
        </w:rPr>
        <w:t>y</w:t>
      </w:r>
      <w:r>
        <w:rPr>
          <w:spacing w:val="-5"/>
          <w:sz w:val="16"/>
        </w:rPr>
        <w:t> </w:t>
      </w:r>
      <w:r>
        <w:rPr>
          <w:sz w:val="16"/>
        </w:rPr>
        <w:t>de</w:t>
      </w:r>
      <w:r>
        <w:rPr>
          <w:spacing w:val="-7"/>
          <w:sz w:val="16"/>
        </w:rPr>
        <w:t> </w:t>
      </w:r>
      <w:r>
        <w:rPr>
          <w:sz w:val="16"/>
        </w:rPr>
        <w:t>mayor</w:t>
      </w:r>
      <w:r>
        <w:rPr>
          <w:spacing w:val="-7"/>
          <w:sz w:val="16"/>
        </w:rPr>
        <w:t> </w:t>
      </w:r>
      <w:r>
        <w:rPr>
          <w:sz w:val="16"/>
        </w:rPr>
        <w:t>cobertura,</w:t>
      </w:r>
      <w:r>
        <w:rPr>
          <w:spacing w:val="-3"/>
          <w:sz w:val="16"/>
        </w:rPr>
        <w:t> </w:t>
      </w:r>
      <w:r>
        <w:rPr>
          <w:sz w:val="16"/>
        </w:rPr>
        <w:t>lo</w:t>
      </w:r>
      <w:r>
        <w:rPr>
          <w:spacing w:val="-4"/>
          <w:sz w:val="16"/>
        </w:rPr>
        <w:t> </w:t>
      </w:r>
      <w:r>
        <w:rPr>
          <w:sz w:val="16"/>
        </w:rPr>
        <w:t>que</w:t>
      </w:r>
      <w:r>
        <w:rPr>
          <w:spacing w:val="-4"/>
          <w:sz w:val="16"/>
        </w:rPr>
        <w:t> </w:t>
      </w:r>
      <w:r>
        <w:rPr>
          <w:sz w:val="16"/>
        </w:rPr>
        <w:t>permitirá</w:t>
      </w:r>
      <w:r>
        <w:rPr>
          <w:spacing w:val="-5"/>
          <w:sz w:val="16"/>
        </w:rPr>
        <w:t> </w:t>
      </w:r>
      <w:r>
        <w:rPr>
          <w:sz w:val="16"/>
        </w:rPr>
        <w:t>aumentar</w:t>
      </w:r>
      <w:r>
        <w:rPr>
          <w:spacing w:val="-4"/>
          <w:sz w:val="16"/>
        </w:rPr>
        <w:t> </w:t>
      </w:r>
      <w:r>
        <w:rPr>
          <w:sz w:val="16"/>
        </w:rPr>
        <w:t>el</w:t>
      </w:r>
      <w:r>
        <w:rPr>
          <w:spacing w:val="-3"/>
          <w:sz w:val="16"/>
        </w:rPr>
        <w:t> </w:t>
      </w:r>
      <w:r>
        <w:rPr>
          <w:sz w:val="16"/>
        </w:rPr>
        <w:t>alcance</w:t>
      </w:r>
      <w:r>
        <w:rPr>
          <w:spacing w:val="-7"/>
          <w:sz w:val="16"/>
        </w:rPr>
        <w:t> </w:t>
      </w:r>
      <w:r>
        <w:rPr>
          <w:sz w:val="16"/>
        </w:rPr>
        <w:t>de</w:t>
      </w:r>
      <w:r>
        <w:rPr>
          <w:spacing w:val="-4"/>
          <w:sz w:val="16"/>
        </w:rPr>
        <w:t> </w:t>
      </w:r>
      <w:r>
        <w:rPr>
          <w:sz w:val="16"/>
        </w:rPr>
        <w:t>las</w:t>
      </w:r>
      <w:r>
        <w:rPr>
          <w:spacing w:val="-3"/>
          <w:sz w:val="16"/>
        </w:rPr>
        <w:t> </w:t>
      </w:r>
      <w:r>
        <w:rPr>
          <w:sz w:val="16"/>
        </w:rPr>
        <w:t>auditorías</w:t>
      </w:r>
      <w:r>
        <w:rPr>
          <w:spacing w:val="-3"/>
          <w:sz w:val="16"/>
        </w:rPr>
        <w:t> </w:t>
      </w:r>
      <w:r>
        <w:rPr>
          <w:sz w:val="16"/>
        </w:rPr>
        <w:t>y la duplicación u omisión de</w:t>
      </w:r>
      <w:r>
        <w:rPr>
          <w:spacing w:val="-13"/>
          <w:sz w:val="16"/>
        </w:rPr>
        <w:t> </w:t>
      </w:r>
      <w:r>
        <w:rPr>
          <w:sz w:val="16"/>
        </w:rPr>
        <w:t>funciones.</w:t>
      </w:r>
    </w:p>
    <w:p>
      <w:pPr>
        <w:spacing w:after="0" w:line="247" w:lineRule="auto"/>
        <w:jc w:val="both"/>
        <w:rPr>
          <w:sz w:val="16"/>
        </w:rPr>
        <w:sectPr>
          <w:pgSz w:w="11910" w:h="16840"/>
          <w:pgMar w:header="0" w:footer="1003" w:top="1340" w:bottom="1200" w:left="1580" w:right="1580"/>
        </w:sectPr>
      </w:pPr>
    </w:p>
    <w:p>
      <w:pPr>
        <w:pStyle w:val="BodyText"/>
        <w:spacing w:line="360" w:lineRule="auto" w:before="55"/>
        <w:ind w:left="122" w:right="116" w:firstLine="427"/>
        <w:jc w:val="right"/>
      </w:pPr>
      <w:r>
        <w:rPr/>
        <w:t>En el SNF se considera que al no existir coordinación debida ni</w:t>
      </w:r>
      <w:r>
        <w:rPr>
          <w:spacing w:val="56"/>
        </w:rPr>
        <w:t> </w:t>
      </w:r>
      <w:r>
        <w:rPr/>
        <w:t>contar</w:t>
      </w:r>
      <w:r>
        <w:rPr>
          <w:spacing w:val="9"/>
        </w:rPr>
        <w:t> </w:t>
      </w:r>
      <w:r>
        <w:rPr/>
        <w:t>con</w:t>
      </w:r>
      <w:r>
        <w:rPr>
          <w:w w:val="99"/>
        </w:rPr>
        <w:t> </w:t>
      </w:r>
      <w:r>
        <w:rPr/>
        <w:t>políticas comunes, las instituciones muestran limitaciones. La</w:t>
      </w:r>
      <w:r>
        <w:rPr>
          <w:spacing w:val="18"/>
        </w:rPr>
        <w:t> </w:t>
      </w:r>
      <w:r>
        <w:rPr/>
        <w:t>fragmentación</w:t>
      </w:r>
      <w:r>
        <w:rPr>
          <w:spacing w:val="3"/>
        </w:rPr>
        <w:t> </w:t>
      </w:r>
      <w:r>
        <w:rPr/>
        <w:t>de</w:t>
      </w:r>
      <w:r>
        <w:rPr>
          <w:w w:val="99"/>
        </w:rPr>
        <w:t> </w:t>
      </w:r>
      <w:r>
        <w:rPr/>
        <w:t>los</w:t>
      </w:r>
      <w:r>
        <w:rPr>
          <w:spacing w:val="-4"/>
        </w:rPr>
        <w:t> </w:t>
      </w:r>
      <w:r>
        <w:rPr/>
        <w:t>esfuerzos</w:t>
      </w:r>
      <w:r>
        <w:rPr>
          <w:spacing w:val="-7"/>
        </w:rPr>
        <w:t> </w:t>
      </w:r>
      <w:r>
        <w:rPr/>
        <w:t>por</w:t>
      </w:r>
      <w:r>
        <w:rPr>
          <w:spacing w:val="-5"/>
        </w:rPr>
        <w:t> </w:t>
      </w:r>
      <w:r>
        <w:rPr/>
        <w:t>vigilar</w:t>
      </w:r>
      <w:r>
        <w:rPr>
          <w:spacing w:val="-7"/>
        </w:rPr>
        <w:t> </w:t>
      </w:r>
      <w:r>
        <w:rPr/>
        <w:t>el</w:t>
      </w:r>
      <w:r>
        <w:rPr>
          <w:spacing w:val="-7"/>
        </w:rPr>
        <w:t> </w:t>
      </w:r>
      <w:r>
        <w:rPr/>
        <w:t>uso</w:t>
      </w:r>
      <w:r>
        <w:rPr>
          <w:spacing w:val="-4"/>
        </w:rPr>
        <w:t> </w:t>
      </w:r>
      <w:r>
        <w:rPr/>
        <w:t>de</w:t>
      </w:r>
      <w:r>
        <w:rPr>
          <w:spacing w:val="-6"/>
        </w:rPr>
        <w:t> </w:t>
      </w:r>
      <w:r>
        <w:rPr/>
        <w:t>los</w:t>
      </w:r>
      <w:r>
        <w:rPr>
          <w:spacing w:val="-2"/>
        </w:rPr>
        <w:t> </w:t>
      </w:r>
      <w:r>
        <w:rPr/>
        <w:t>recursos</w:t>
      </w:r>
      <w:r>
        <w:rPr>
          <w:spacing w:val="-7"/>
        </w:rPr>
        <w:t> </w:t>
      </w:r>
      <w:r>
        <w:rPr/>
        <w:t>públicos</w:t>
      </w:r>
      <w:r>
        <w:rPr>
          <w:spacing w:val="-7"/>
        </w:rPr>
        <w:t> </w:t>
      </w:r>
      <w:r>
        <w:rPr/>
        <w:t>a</w:t>
      </w:r>
      <w:r>
        <w:rPr>
          <w:spacing w:val="-6"/>
        </w:rPr>
        <w:t> </w:t>
      </w:r>
      <w:r>
        <w:rPr/>
        <w:t>nivel</w:t>
      </w:r>
      <w:r>
        <w:rPr>
          <w:spacing w:val="-7"/>
        </w:rPr>
        <w:t> </w:t>
      </w:r>
      <w:r>
        <w:rPr/>
        <w:t>municipal,</w:t>
      </w:r>
      <w:r>
        <w:rPr>
          <w:spacing w:val="-7"/>
        </w:rPr>
        <w:t> </w:t>
      </w:r>
      <w:r>
        <w:rPr/>
        <w:t>estatal</w:t>
      </w:r>
      <w:r>
        <w:rPr>
          <w:w w:val="99"/>
        </w:rPr>
        <w:t> </w:t>
      </w:r>
      <w:r>
        <w:rPr/>
        <w:t>y</w:t>
      </w:r>
      <w:r>
        <w:rPr>
          <w:spacing w:val="-13"/>
        </w:rPr>
        <w:t> </w:t>
      </w:r>
      <w:r>
        <w:rPr/>
        <w:t>federal,</w:t>
      </w:r>
      <w:r>
        <w:rPr>
          <w:spacing w:val="-13"/>
        </w:rPr>
        <w:t> </w:t>
      </w:r>
      <w:r>
        <w:rPr/>
        <w:t>ha</w:t>
      </w:r>
      <w:r>
        <w:rPr>
          <w:spacing w:val="-10"/>
        </w:rPr>
        <w:t> </w:t>
      </w:r>
      <w:r>
        <w:rPr/>
        <w:t>dejado</w:t>
      </w:r>
      <w:r>
        <w:rPr>
          <w:spacing w:val="-10"/>
        </w:rPr>
        <w:t> </w:t>
      </w:r>
      <w:r>
        <w:rPr/>
        <w:t>espacios</w:t>
      </w:r>
      <w:r>
        <w:rPr>
          <w:spacing w:val="-10"/>
        </w:rPr>
        <w:t> </w:t>
      </w:r>
      <w:r>
        <w:rPr/>
        <w:t>a</w:t>
      </w:r>
      <w:r>
        <w:rPr>
          <w:spacing w:val="-10"/>
        </w:rPr>
        <w:t> </w:t>
      </w:r>
      <w:r>
        <w:rPr/>
        <w:t>la</w:t>
      </w:r>
      <w:r>
        <w:rPr>
          <w:spacing w:val="-12"/>
        </w:rPr>
        <w:t> </w:t>
      </w:r>
      <w:r>
        <w:rPr/>
        <w:t>opacidad,</w:t>
      </w:r>
      <w:r>
        <w:rPr>
          <w:spacing w:val="-12"/>
        </w:rPr>
        <w:t> </w:t>
      </w:r>
      <w:r>
        <w:rPr/>
        <w:t>a</w:t>
      </w:r>
      <w:r>
        <w:rPr>
          <w:spacing w:val="-12"/>
        </w:rPr>
        <w:t> </w:t>
      </w:r>
      <w:r>
        <w:rPr/>
        <w:t>la</w:t>
      </w:r>
      <w:r>
        <w:rPr>
          <w:spacing w:val="-10"/>
        </w:rPr>
        <w:t> </w:t>
      </w:r>
      <w:r>
        <w:rPr/>
        <w:t>discrecionalidad</w:t>
      </w:r>
      <w:r>
        <w:rPr>
          <w:spacing w:val="-10"/>
        </w:rPr>
        <w:t> </w:t>
      </w:r>
      <w:r>
        <w:rPr/>
        <w:t>y</w:t>
      </w:r>
      <w:r>
        <w:rPr>
          <w:spacing w:val="-13"/>
        </w:rPr>
        <w:t> </w:t>
      </w:r>
      <w:r>
        <w:rPr/>
        <w:t>la</w:t>
      </w:r>
      <w:r>
        <w:rPr>
          <w:spacing w:val="-10"/>
        </w:rPr>
        <w:t> </w:t>
      </w:r>
      <w:r>
        <w:rPr/>
        <w:t>corrupción.</w:t>
      </w:r>
      <w:r>
        <w:rPr>
          <w:w w:val="100"/>
        </w:rPr>
        <w:t> </w:t>
      </w:r>
      <w:r>
        <w:rPr/>
        <w:t>El SNF pretende formar un frente común, en los tres ámbitos de</w:t>
      </w:r>
      <w:r>
        <w:rPr>
          <w:spacing w:val="38"/>
        </w:rPr>
        <w:t> </w:t>
      </w:r>
      <w:r>
        <w:rPr/>
        <w:t>gobierno</w:t>
      </w:r>
      <w:r>
        <w:rPr>
          <w:spacing w:val="3"/>
        </w:rPr>
        <w:t> </w:t>
      </w:r>
      <w:r>
        <w:rPr/>
        <w:t>y desde todos los enfoques (académico e institucional), para examinar a</w:t>
      </w:r>
      <w:r>
        <w:rPr>
          <w:spacing w:val="40"/>
        </w:rPr>
        <w:t> </w:t>
      </w:r>
      <w:r>
        <w:rPr/>
        <w:t>fondo</w:t>
      </w:r>
      <w:r>
        <w:rPr>
          <w:spacing w:val="3"/>
        </w:rPr>
        <w:t> </w:t>
      </w:r>
      <w:r>
        <w:rPr/>
        <w:t>la</w:t>
      </w:r>
      <w:r>
        <w:rPr>
          <w:w w:val="99"/>
        </w:rPr>
        <w:t> </w:t>
      </w:r>
      <w:r>
        <w:rPr/>
        <w:t>gestión pública, con el fin de mejorar sustancialmente la rendición de  </w:t>
      </w:r>
      <w:r>
        <w:rPr>
          <w:spacing w:val="27"/>
        </w:rPr>
        <w:t> </w:t>
      </w:r>
      <w:r>
        <w:rPr/>
        <w:t>cuentas.</w:t>
      </w:r>
    </w:p>
    <w:p>
      <w:pPr>
        <w:pStyle w:val="BodyText"/>
        <w:spacing w:line="360" w:lineRule="auto" w:before="5"/>
        <w:ind w:left="122" w:right="52"/>
      </w:pPr>
      <w:r>
        <w:rPr/>
        <w:t>La fragmentación tendería subsanarse a través de la implementación de esta medida de política coordinada.</w:t>
      </w:r>
    </w:p>
    <w:p>
      <w:pPr>
        <w:pStyle w:val="BodyText"/>
      </w:pPr>
    </w:p>
    <w:p>
      <w:pPr>
        <w:pStyle w:val="BodyText"/>
        <w:spacing w:before="142"/>
        <w:ind w:left="549" w:right="52"/>
      </w:pPr>
      <w:r>
        <w:rPr/>
        <w:t>El SNF sugiere las medidas siguientes:</w:t>
      </w:r>
    </w:p>
    <w:p>
      <w:pPr>
        <w:pStyle w:val="ListParagraph"/>
        <w:numPr>
          <w:ilvl w:val="0"/>
          <w:numId w:val="82"/>
        </w:numPr>
        <w:tabs>
          <w:tab w:pos="842" w:val="left" w:leader="none"/>
        </w:tabs>
        <w:spacing w:line="360" w:lineRule="auto" w:before="139" w:after="0"/>
        <w:ind w:left="842" w:right="124" w:hanging="360"/>
        <w:jc w:val="both"/>
        <w:rPr>
          <w:sz w:val="24"/>
        </w:rPr>
      </w:pPr>
      <w:r>
        <w:rPr>
          <w:sz w:val="24"/>
        </w:rPr>
        <w:t>Contar con una norma que establezca controles internos eficaces que se ajusten a los modelos internacionales más</w:t>
      </w:r>
      <w:r>
        <w:rPr>
          <w:spacing w:val="-19"/>
          <w:sz w:val="24"/>
        </w:rPr>
        <w:t> </w:t>
      </w:r>
      <w:r>
        <w:rPr>
          <w:sz w:val="24"/>
        </w:rPr>
        <w:t>reconocidos.</w:t>
      </w:r>
    </w:p>
    <w:p>
      <w:pPr>
        <w:pStyle w:val="ListParagraph"/>
        <w:numPr>
          <w:ilvl w:val="0"/>
          <w:numId w:val="82"/>
        </w:numPr>
        <w:tabs>
          <w:tab w:pos="842" w:val="left" w:leader="none"/>
        </w:tabs>
        <w:spacing w:line="240" w:lineRule="auto" w:before="5" w:after="0"/>
        <w:ind w:left="842" w:right="0" w:hanging="360"/>
        <w:jc w:val="left"/>
        <w:rPr>
          <w:sz w:val="24"/>
        </w:rPr>
      </w:pPr>
      <w:r>
        <w:rPr>
          <w:sz w:val="24"/>
        </w:rPr>
        <w:t>Los órganos de control internos deben realizar</w:t>
      </w:r>
      <w:r>
        <w:rPr>
          <w:spacing w:val="-25"/>
          <w:sz w:val="24"/>
        </w:rPr>
        <w:t> </w:t>
      </w:r>
      <w:r>
        <w:rPr>
          <w:sz w:val="24"/>
        </w:rPr>
        <w:t>autoevaluaciones.</w:t>
      </w:r>
    </w:p>
    <w:p>
      <w:pPr>
        <w:pStyle w:val="ListParagraph"/>
        <w:numPr>
          <w:ilvl w:val="0"/>
          <w:numId w:val="82"/>
        </w:numPr>
        <w:tabs>
          <w:tab w:pos="842" w:val="left" w:leader="none"/>
        </w:tabs>
        <w:spacing w:line="360" w:lineRule="auto" w:before="137" w:after="0"/>
        <w:ind w:left="842" w:right="115" w:hanging="360"/>
        <w:jc w:val="both"/>
        <w:rPr>
          <w:sz w:val="24"/>
        </w:rPr>
      </w:pPr>
      <w:r>
        <w:rPr>
          <w:sz w:val="24"/>
        </w:rPr>
        <w:t>Garantizar que las entidades fiscalizadoras superiores de las legislaturas locales realicen su trabajo de forma conjunta con los auditores internos y los controles</w:t>
      </w:r>
      <w:r>
        <w:rPr>
          <w:spacing w:val="-6"/>
          <w:sz w:val="24"/>
        </w:rPr>
        <w:t> </w:t>
      </w:r>
      <w:r>
        <w:rPr>
          <w:sz w:val="24"/>
        </w:rPr>
        <w:t>internos</w:t>
      </w:r>
    </w:p>
    <w:p>
      <w:pPr>
        <w:pStyle w:val="BodyText"/>
      </w:pPr>
    </w:p>
    <w:p>
      <w:pPr>
        <w:pStyle w:val="BodyText"/>
        <w:spacing w:line="360" w:lineRule="auto" w:before="142"/>
        <w:ind w:left="122" w:right="115" w:firstLine="427"/>
        <w:jc w:val="both"/>
      </w:pPr>
      <w:r>
        <w:rPr/>
        <w:t>El 22 de noviembre de 2012, las Comisiones Unidas de Gobernación y de Seguridad Pública, emitieron el dictamen con proyecto de decreto que reforma, adiciona y deroga diversas disposiciones de la LOAPF. En el documento se presentó la propuesta de reorganizar la estructura de la APF.</w:t>
      </w:r>
    </w:p>
    <w:p>
      <w:pPr>
        <w:pStyle w:val="BodyText"/>
      </w:pPr>
    </w:p>
    <w:p>
      <w:pPr>
        <w:pStyle w:val="BodyText"/>
        <w:spacing w:line="360" w:lineRule="auto" w:before="142"/>
        <w:ind w:left="122" w:right="118" w:firstLine="427"/>
        <w:jc w:val="both"/>
        <w:rPr>
          <w:sz w:val="14"/>
        </w:rPr>
      </w:pPr>
      <w:r>
        <w:rPr/>
        <w:t>En la propuesta se consideró la creación de un nuevo régimen de control gubernamental, la eliminación de la SFP y distribuir sus facultades en distintas dependencias y órganos (principalmente en la SHCP), consolidar las unidades de auditoría preventiva en la APF y crear un órgano con autonomía técnica.</w:t>
      </w:r>
      <w:r>
        <w:rPr>
          <w:position w:val="8"/>
          <w:sz w:val="14"/>
        </w:rPr>
        <w:t>150</w:t>
      </w:r>
    </w:p>
    <w:p>
      <w:pPr>
        <w:pStyle w:val="BodyText"/>
        <w:spacing w:line="360" w:lineRule="auto" w:before="5"/>
        <w:ind w:left="122" w:right="115" w:firstLine="427"/>
        <w:jc w:val="both"/>
      </w:pPr>
      <w:r>
        <w:rPr/>
        <w:t>En el dictamen se consideró que el diseño orgánico de la APF, desde la creación de la Secretaría de la Contraloría, en 1982, ha sido insatisfactorio. El documento consideró que el combate a la corrupción requiere la participación activa de la sociedad y de nuevas instituciones.</w:t>
      </w:r>
    </w:p>
    <w:p>
      <w:pPr>
        <w:pStyle w:val="BodyText"/>
        <w:spacing w:before="9"/>
        <w:rPr>
          <w:sz w:val="20"/>
        </w:rPr>
      </w:pPr>
      <w:r>
        <w:rPr/>
        <w:pict>
          <v:line style="position:absolute;mso-position-horizontal-relative:page;mso-position-vertical-relative:paragraph;z-index:10048;mso-wrap-distance-left:0;mso-wrap-distance-right:0" from="85.103996pt,14.273891pt" to="229.123996pt,14.273891pt" stroked="true" strokeweight=".72003pt" strokecolor="#000000">
            <w10:wrap type="topAndBottom"/>
          </v:line>
        </w:pict>
      </w:r>
    </w:p>
    <w:p>
      <w:pPr>
        <w:spacing w:line="244" w:lineRule="auto" w:before="62"/>
        <w:ind w:left="122" w:right="114" w:firstLine="0"/>
        <w:jc w:val="both"/>
        <w:rPr>
          <w:sz w:val="16"/>
        </w:rPr>
      </w:pPr>
      <w:r>
        <w:rPr>
          <w:rFonts w:ascii="Times New Roman" w:hAnsi="Times New Roman"/>
          <w:position w:val="7"/>
          <w:sz w:val="13"/>
        </w:rPr>
        <w:t>150</w:t>
      </w:r>
      <w:r>
        <w:rPr>
          <w:sz w:val="16"/>
        </w:rPr>
        <w:t>El</w:t>
      </w:r>
      <w:r>
        <w:rPr>
          <w:spacing w:val="-6"/>
          <w:sz w:val="16"/>
        </w:rPr>
        <w:t> </w:t>
      </w:r>
      <w:r>
        <w:rPr>
          <w:sz w:val="16"/>
        </w:rPr>
        <w:t>21</w:t>
      </w:r>
      <w:r>
        <w:rPr>
          <w:spacing w:val="-4"/>
          <w:sz w:val="16"/>
        </w:rPr>
        <w:t> </w:t>
      </w:r>
      <w:r>
        <w:rPr>
          <w:sz w:val="16"/>
        </w:rPr>
        <w:t>de</w:t>
      </w:r>
      <w:r>
        <w:rPr>
          <w:spacing w:val="-7"/>
          <w:sz w:val="16"/>
        </w:rPr>
        <w:t> </w:t>
      </w:r>
      <w:r>
        <w:rPr>
          <w:sz w:val="16"/>
        </w:rPr>
        <w:t>agosto</w:t>
      </w:r>
      <w:r>
        <w:rPr>
          <w:spacing w:val="-7"/>
          <w:sz w:val="16"/>
        </w:rPr>
        <w:t> </w:t>
      </w:r>
      <w:r>
        <w:rPr>
          <w:sz w:val="16"/>
        </w:rPr>
        <w:t>de</w:t>
      </w:r>
      <w:r>
        <w:rPr>
          <w:spacing w:val="-7"/>
          <w:sz w:val="16"/>
        </w:rPr>
        <w:t> </w:t>
      </w:r>
      <w:r>
        <w:rPr>
          <w:sz w:val="16"/>
        </w:rPr>
        <w:t>2012</w:t>
      </w:r>
      <w:r>
        <w:rPr>
          <w:spacing w:val="-6"/>
          <w:sz w:val="16"/>
        </w:rPr>
        <w:t> </w:t>
      </w:r>
      <w:r>
        <w:rPr>
          <w:sz w:val="16"/>
        </w:rPr>
        <w:t>el</w:t>
      </w:r>
      <w:r>
        <w:rPr>
          <w:spacing w:val="-6"/>
          <w:sz w:val="16"/>
        </w:rPr>
        <w:t> </w:t>
      </w:r>
      <w:r>
        <w:rPr>
          <w:sz w:val="16"/>
        </w:rPr>
        <w:t>Presidente</w:t>
      </w:r>
      <w:r>
        <w:rPr>
          <w:spacing w:val="-6"/>
          <w:sz w:val="16"/>
        </w:rPr>
        <w:t> </w:t>
      </w:r>
      <w:r>
        <w:rPr>
          <w:sz w:val="16"/>
        </w:rPr>
        <w:t>Electo</w:t>
      </w:r>
      <w:r>
        <w:rPr>
          <w:spacing w:val="-6"/>
          <w:sz w:val="16"/>
        </w:rPr>
        <w:t> </w:t>
      </w:r>
      <w:r>
        <w:rPr>
          <w:sz w:val="16"/>
        </w:rPr>
        <w:t>dio</w:t>
      </w:r>
      <w:r>
        <w:rPr>
          <w:spacing w:val="-6"/>
          <w:sz w:val="16"/>
        </w:rPr>
        <w:t> </w:t>
      </w:r>
      <w:r>
        <w:rPr>
          <w:sz w:val="16"/>
        </w:rPr>
        <w:t>a</w:t>
      </w:r>
      <w:r>
        <w:rPr>
          <w:spacing w:val="-7"/>
          <w:sz w:val="16"/>
        </w:rPr>
        <w:t> </w:t>
      </w:r>
      <w:r>
        <w:rPr>
          <w:sz w:val="16"/>
        </w:rPr>
        <w:t>conocer</w:t>
      </w:r>
      <w:r>
        <w:rPr>
          <w:spacing w:val="-7"/>
          <w:sz w:val="16"/>
        </w:rPr>
        <w:t> </w:t>
      </w:r>
      <w:r>
        <w:rPr>
          <w:sz w:val="16"/>
        </w:rPr>
        <w:t>su</w:t>
      </w:r>
      <w:r>
        <w:rPr>
          <w:spacing w:val="-7"/>
          <w:sz w:val="16"/>
        </w:rPr>
        <w:t> </w:t>
      </w:r>
      <w:r>
        <w:rPr>
          <w:sz w:val="16"/>
        </w:rPr>
        <w:t>intención</w:t>
      </w:r>
      <w:r>
        <w:rPr>
          <w:spacing w:val="-7"/>
          <w:sz w:val="16"/>
        </w:rPr>
        <w:t> </w:t>
      </w:r>
      <w:r>
        <w:rPr>
          <w:sz w:val="16"/>
        </w:rPr>
        <w:t>de</w:t>
      </w:r>
      <w:r>
        <w:rPr>
          <w:spacing w:val="-7"/>
          <w:sz w:val="16"/>
        </w:rPr>
        <w:t> </w:t>
      </w:r>
      <w:r>
        <w:rPr>
          <w:sz w:val="16"/>
        </w:rPr>
        <w:t>crear</w:t>
      </w:r>
      <w:r>
        <w:rPr>
          <w:spacing w:val="-7"/>
          <w:sz w:val="16"/>
        </w:rPr>
        <w:t> </w:t>
      </w:r>
      <w:r>
        <w:rPr>
          <w:sz w:val="16"/>
        </w:rPr>
        <w:t>un</w:t>
      </w:r>
      <w:r>
        <w:rPr>
          <w:spacing w:val="-4"/>
          <w:sz w:val="16"/>
        </w:rPr>
        <w:t> </w:t>
      </w:r>
      <w:r>
        <w:rPr>
          <w:sz w:val="16"/>
        </w:rPr>
        <w:t>proyecto</w:t>
      </w:r>
      <w:r>
        <w:rPr>
          <w:spacing w:val="-7"/>
          <w:sz w:val="16"/>
        </w:rPr>
        <w:t> </w:t>
      </w:r>
      <w:r>
        <w:rPr>
          <w:sz w:val="16"/>
        </w:rPr>
        <w:t>de</w:t>
      </w:r>
      <w:r>
        <w:rPr>
          <w:spacing w:val="-4"/>
          <w:sz w:val="16"/>
        </w:rPr>
        <w:t> </w:t>
      </w:r>
      <w:r>
        <w:rPr>
          <w:sz w:val="16"/>
        </w:rPr>
        <w:t>Ley</w:t>
      </w:r>
      <w:r>
        <w:rPr>
          <w:spacing w:val="-7"/>
          <w:sz w:val="16"/>
        </w:rPr>
        <w:t> </w:t>
      </w:r>
      <w:r>
        <w:rPr>
          <w:sz w:val="16"/>
        </w:rPr>
        <w:t>para</w:t>
      </w:r>
      <w:r>
        <w:rPr>
          <w:spacing w:val="-4"/>
          <w:sz w:val="16"/>
        </w:rPr>
        <w:t> </w:t>
      </w:r>
      <w:r>
        <w:rPr>
          <w:sz w:val="16"/>
        </w:rPr>
        <w:t>la</w:t>
      </w:r>
      <w:r>
        <w:rPr>
          <w:spacing w:val="-3"/>
          <w:sz w:val="16"/>
        </w:rPr>
        <w:t> </w:t>
      </w:r>
      <w:r>
        <w:rPr>
          <w:sz w:val="16"/>
        </w:rPr>
        <w:t>Comisión Nacional Anticorrupción, a través de una iniciativa por parte del PRI al H. Congreso de la Unión para eliminar la SFP y con ello crear un sistema de contrapesos y atender aquellos casos de corrupción que se encuentran al margen de la justicia.</w:t>
      </w:r>
    </w:p>
    <w:p>
      <w:pPr>
        <w:spacing w:after="0" w:line="244" w:lineRule="auto"/>
        <w:jc w:val="both"/>
        <w:rPr>
          <w:sz w:val="16"/>
        </w:rPr>
        <w:sectPr>
          <w:pgSz w:w="11910" w:h="16840"/>
          <w:pgMar w:header="0" w:footer="1003" w:top="1340" w:bottom="1200" w:left="1580" w:right="1580"/>
        </w:sectPr>
      </w:pPr>
    </w:p>
    <w:p>
      <w:pPr>
        <w:pStyle w:val="BodyText"/>
        <w:spacing w:line="360" w:lineRule="auto" w:before="55"/>
        <w:ind w:left="102" w:right="118" w:firstLine="427"/>
        <w:jc w:val="both"/>
      </w:pPr>
      <w:r>
        <w:rPr/>
        <w:t>El</w:t>
      </w:r>
      <w:r>
        <w:rPr>
          <w:spacing w:val="-11"/>
        </w:rPr>
        <w:t> </w:t>
      </w:r>
      <w:r>
        <w:rPr/>
        <w:t>documento</w:t>
      </w:r>
      <w:r>
        <w:rPr>
          <w:spacing w:val="-12"/>
        </w:rPr>
        <w:t> </w:t>
      </w:r>
      <w:r>
        <w:rPr/>
        <w:t>prevé</w:t>
      </w:r>
      <w:r>
        <w:rPr>
          <w:spacing w:val="-9"/>
        </w:rPr>
        <w:t> </w:t>
      </w:r>
      <w:r>
        <w:rPr/>
        <w:t>que</w:t>
      </w:r>
      <w:r>
        <w:rPr>
          <w:spacing w:val="-9"/>
        </w:rPr>
        <w:t> </w:t>
      </w:r>
      <w:r>
        <w:rPr/>
        <w:t>cada</w:t>
      </w:r>
      <w:r>
        <w:rPr>
          <w:spacing w:val="-12"/>
        </w:rPr>
        <w:t> </w:t>
      </w:r>
      <w:r>
        <w:rPr/>
        <w:t>dependencia</w:t>
      </w:r>
      <w:r>
        <w:rPr>
          <w:spacing w:val="-10"/>
        </w:rPr>
        <w:t> </w:t>
      </w:r>
      <w:r>
        <w:rPr/>
        <w:t>y</w:t>
      </w:r>
      <w:r>
        <w:rPr>
          <w:spacing w:val="-15"/>
        </w:rPr>
        <w:t> </w:t>
      </w:r>
      <w:r>
        <w:rPr/>
        <w:t>entidad</w:t>
      </w:r>
      <w:r>
        <w:rPr>
          <w:spacing w:val="-9"/>
        </w:rPr>
        <w:t> </w:t>
      </w:r>
      <w:r>
        <w:rPr/>
        <w:t>cuente</w:t>
      </w:r>
      <w:r>
        <w:rPr>
          <w:spacing w:val="-11"/>
        </w:rPr>
        <w:t> </w:t>
      </w:r>
      <w:r>
        <w:rPr/>
        <w:t>con</w:t>
      </w:r>
      <w:r>
        <w:rPr>
          <w:spacing w:val="-9"/>
        </w:rPr>
        <w:t> </w:t>
      </w:r>
      <w:r>
        <w:rPr/>
        <w:t>una</w:t>
      </w:r>
      <w:r>
        <w:rPr>
          <w:spacing w:val="-9"/>
        </w:rPr>
        <w:t> </w:t>
      </w:r>
      <w:r>
        <w:rPr/>
        <w:t>unidad de auditoría preventiva, basado en las estructuras de los órganos internos de control, orientados a vigilar el cumplimiento del marco jurídico y normativo. Se propone que éstas formen parte del</w:t>
      </w:r>
      <w:r>
        <w:rPr>
          <w:spacing w:val="-16"/>
        </w:rPr>
        <w:t> </w:t>
      </w:r>
      <w:r>
        <w:rPr/>
        <w:t>SNF.</w:t>
      </w:r>
    </w:p>
    <w:p>
      <w:pPr>
        <w:pStyle w:val="BodyText"/>
        <w:spacing w:line="360" w:lineRule="auto" w:before="2"/>
        <w:ind w:left="102" w:right="122" w:firstLine="359"/>
        <w:jc w:val="both"/>
      </w:pPr>
      <w:r>
        <w:rPr/>
        <w:t>La</w:t>
      </w:r>
      <w:r>
        <w:rPr>
          <w:spacing w:val="-11"/>
        </w:rPr>
        <w:t> </w:t>
      </w:r>
      <w:r>
        <w:rPr/>
        <w:t>reforma</w:t>
      </w:r>
      <w:r>
        <w:rPr>
          <w:spacing w:val="-13"/>
        </w:rPr>
        <w:t> </w:t>
      </w:r>
      <w:r>
        <w:rPr/>
        <w:t>a</w:t>
      </w:r>
      <w:r>
        <w:rPr>
          <w:spacing w:val="-11"/>
        </w:rPr>
        <w:t> </w:t>
      </w:r>
      <w:r>
        <w:rPr/>
        <w:t>la</w:t>
      </w:r>
      <w:r>
        <w:rPr>
          <w:spacing w:val="-11"/>
        </w:rPr>
        <w:t> </w:t>
      </w:r>
      <w:r>
        <w:rPr/>
        <w:t>LOAPF</w:t>
      </w:r>
      <w:r>
        <w:rPr>
          <w:spacing w:val="-11"/>
        </w:rPr>
        <w:t> </w:t>
      </w:r>
      <w:r>
        <w:rPr/>
        <w:t>efectuada</w:t>
      </w:r>
      <w:r>
        <w:rPr>
          <w:spacing w:val="-11"/>
        </w:rPr>
        <w:t> </w:t>
      </w:r>
      <w:r>
        <w:rPr/>
        <w:t>el</w:t>
      </w:r>
      <w:r>
        <w:rPr>
          <w:spacing w:val="-12"/>
        </w:rPr>
        <w:t> </w:t>
      </w:r>
      <w:r>
        <w:rPr/>
        <w:t>2</w:t>
      </w:r>
      <w:r>
        <w:rPr>
          <w:spacing w:val="-13"/>
        </w:rPr>
        <w:t> </w:t>
      </w:r>
      <w:r>
        <w:rPr/>
        <w:t>de</w:t>
      </w:r>
      <w:r>
        <w:rPr>
          <w:spacing w:val="-13"/>
        </w:rPr>
        <w:t> </w:t>
      </w:r>
      <w:r>
        <w:rPr/>
        <w:t>enero</w:t>
      </w:r>
      <w:r>
        <w:rPr>
          <w:spacing w:val="-11"/>
        </w:rPr>
        <w:t> </w:t>
      </w:r>
      <w:r>
        <w:rPr/>
        <w:t>de</w:t>
      </w:r>
      <w:r>
        <w:rPr>
          <w:spacing w:val="-13"/>
        </w:rPr>
        <w:t> </w:t>
      </w:r>
      <w:r>
        <w:rPr/>
        <w:t>2013,</w:t>
      </w:r>
      <w:r>
        <w:rPr>
          <w:spacing w:val="-11"/>
        </w:rPr>
        <w:t> </w:t>
      </w:r>
      <w:r>
        <w:rPr/>
        <w:t>para</w:t>
      </w:r>
      <w:r>
        <w:rPr>
          <w:spacing w:val="-11"/>
        </w:rPr>
        <w:t> </w:t>
      </w:r>
      <w:r>
        <w:rPr/>
        <w:t>otorgar</w:t>
      </w:r>
      <w:r>
        <w:rPr>
          <w:spacing w:val="-12"/>
        </w:rPr>
        <w:t> </w:t>
      </w:r>
      <w:r>
        <w:rPr/>
        <w:t>nuevas atribuciones a la SHCP que anteriormente correspondían a la SFP sobre las actividades preventivas y de detección en la APF en los puntos</w:t>
      </w:r>
      <w:r>
        <w:rPr>
          <w:spacing w:val="-24"/>
        </w:rPr>
        <w:t> </w:t>
      </w:r>
      <w:r>
        <w:rPr/>
        <w:t>siguientes:</w:t>
      </w:r>
    </w:p>
    <w:p>
      <w:pPr>
        <w:pStyle w:val="BodyText"/>
      </w:pPr>
    </w:p>
    <w:p>
      <w:pPr>
        <w:pStyle w:val="ListParagraph"/>
        <w:numPr>
          <w:ilvl w:val="0"/>
          <w:numId w:val="83"/>
        </w:numPr>
        <w:tabs>
          <w:tab w:pos="822" w:val="left" w:leader="none"/>
        </w:tabs>
        <w:spacing w:line="240" w:lineRule="auto" w:before="142" w:after="0"/>
        <w:ind w:left="822" w:right="0" w:hanging="360"/>
        <w:jc w:val="left"/>
        <w:rPr>
          <w:sz w:val="24"/>
        </w:rPr>
      </w:pPr>
      <w:r>
        <w:rPr>
          <w:sz w:val="24"/>
        </w:rPr>
        <w:t>Coordinar y supervisar el control</w:t>
      </w:r>
      <w:r>
        <w:rPr>
          <w:spacing w:val="-15"/>
          <w:sz w:val="24"/>
        </w:rPr>
        <w:t> </w:t>
      </w:r>
      <w:r>
        <w:rPr>
          <w:sz w:val="24"/>
        </w:rPr>
        <w:t>gubernamental;</w:t>
      </w:r>
    </w:p>
    <w:p>
      <w:pPr>
        <w:pStyle w:val="ListParagraph"/>
        <w:numPr>
          <w:ilvl w:val="0"/>
          <w:numId w:val="83"/>
        </w:numPr>
        <w:tabs>
          <w:tab w:pos="822" w:val="left" w:leader="none"/>
        </w:tabs>
        <w:spacing w:line="360" w:lineRule="auto" w:before="140" w:after="0"/>
        <w:ind w:left="822" w:right="124" w:hanging="360"/>
        <w:jc w:val="both"/>
        <w:rPr>
          <w:sz w:val="24"/>
        </w:rPr>
      </w:pPr>
      <w:r>
        <w:rPr>
          <w:sz w:val="24"/>
        </w:rPr>
        <w:t>Emitir normas para que los recursos humanos y patrimoniales sean aplicados con criterios de eficiencia y simplificación</w:t>
      </w:r>
      <w:r>
        <w:rPr>
          <w:spacing w:val="-26"/>
          <w:sz w:val="24"/>
        </w:rPr>
        <w:t> </w:t>
      </w:r>
      <w:r>
        <w:rPr>
          <w:sz w:val="24"/>
        </w:rPr>
        <w:t>administrativa;</w:t>
      </w:r>
    </w:p>
    <w:p>
      <w:pPr>
        <w:pStyle w:val="ListParagraph"/>
        <w:numPr>
          <w:ilvl w:val="0"/>
          <w:numId w:val="83"/>
        </w:numPr>
        <w:tabs>
          <w:tab w:pos="822" w:val="left" w:leader="none"/>
        </w:tabs>
        <w:spacing w:line="240" w:lineRule="auto" w:before="5" w:after="0"/>
        <w:ind w:left="822" w:right="0" w:hanging="360"/>
        <w:jc w:val="left"/>
        <w:rPr>
          <w:sz w:val="24"/>
        </w:rPr>
      </w:pPr>
      <w:r>
        <w:rPr>
          <w:sz w:val="24"/>
        </w:rPr>
        <w:t>Coordinar el desarrollo administrativo integral en la</w:t>
      </w:r>
      <w:r>
        <w:rPr>
          <w:spacing w:val="-15"/>
          <w:sz w:val="24"/>
        </w:rPr>
        <w:t> </w:t>
      </w:r>
      <w:r>
        <w:rPr>
          <w:sz w:val="24"/>
        </w:rPr>
        <w:t>APF.</w:t>
      </w:r>
    </w:p>
    <w:p>
      <w:pPr>
        <w:pStyle w:val="ListParagraph"/>
        <w:numPr>
          <w:ilvl w:val="0"/>
          <w:numId w:val="83"/>
        </w:numPr>
        <w:tabs>
          <w:tab w:pos="822" w:val="left" w:leader="none"/>
        </w:tabs>
        <w:spacing w:line="360" w:lineRule="auto" w:before="137" w:after="0"/>
        <w:ind w:left="822" w:right="116" w:hanging="360"/>
        <w:jc w:val="both"/>
        <w:rPr>
          <w:sz w:val="24"/>
        </w:rPr>
      </w:pPr>
      <w:r>
        <w:rPr>
          <w:sz w:val="24"/>
        </w:rPr>
        <w:t>Expedir las normas y procedimientos para la práctica de las auditorías</w:t>
      </w:r>
      <w:r>
        <w:rPr>
          <w:spacing w:val="-42"/>
          <w:sz w:val="24"/>
        </w:rPr>
        <w:t> </w:t>
      </w:r>
      <w:r>
        <w:rPr>
          <w:sz w:val="24"/>
        </w:rPr>
        <w:t>en la APF y generar las bases generales para la realización de</w:t>
      </w:r>
      <w:r>
        <w:rPr>
          <w:spacing w:val="-29"/>
          <w:sz w:val="24"/>
        </w:rPr>
        <w:t> </w:t>
      </w:r>
      <w:r>
        <w:rPr>
          <w:sz w:val="24"/>
        </w:rPr>
        <w:t>auditorías.</w:t>
      </w:r>
    </w:p>
    <w:p>
      <w:pPr>
        <w:pStyle w:val="ListParagraph"/>
        <w:numPr>
          <w:ilvl w:val="0"/>
          <w:numId w:val="83"/>
        </w:numPr>
        <w:tabs>
          <w:tab w:pos="822" w:val="left" w:leader="none"/>
        </w:tabs>
        <w:spacing w:line="360" w:lineRule="auto" w:before="2" w:after="0"/>
        <w:ind w:left="822" w:right="123" w:hanging="360"/>
        <w:jc w:val="both"/>
        <w:rPr>
          <w:sz w:val="24"/>
        </w:rPr>
      </w:pPr>
      <w:r>
        <w:rPr>
          <w:sz w:val="24"/>
        </w:rPr>
        <w:t>Llevar y normar el registro de servidores públicos de la APF, sus declaraciones patrimoniales y su seguimiento, así como la información sobre las sanciones administrativas</w:t>
      </w:r>
      <w:r>
        <w:rPr>
          <w:spacing w:val="-12"/>
          <w:sz w:val="24"/>
        </w:rPr>
        <w:t> </w:t>
      </w:r>
      <w:r>
        <w:rPr>
          <w:sz w:val="24"/>
        </w:rPr>
        <w:t>impuestas.</w:t>
      </w:r>
    </w:p>
    <w:p>
      <w:pPr>
        <w:pStyle w:val="ListParagraph"/>
        <w:numPr>
          <w:ilvl w:val="0"/>
          <w:numId w:val="83"/>
        </w:numPr>
        <w:tabs>
          <w:tab w:pos="822" w:val="left" w:leader="none"/>
        </w:tabs>
        <w:spacing w:line="360" w:lineRule="auto" w:before="5" w:after="0"/>
        <w:ind w:left="822" w:right="123" w:hanging="360"/>
        <w:jc w:val="both"/>
        <w:rPr>
          <w:sz w:val="24"/>
        </w:rPr>
      </w:pPr>
      <w:r>
        <w:rPr>
          <w:sz w:val="24"/>
        </w:rPr>
        <w:t>Emitir políticas, normas, lineamientos y procedimientos en materia de patrimonio inmobiliario, las adquisiciones, arrendamientos, servicios y obras</w:t>
      </w:r>
      <w:r>
        <w:rPr>
          <w:spacing w:val="-4"/>
          <w:sz w:val="24"/>
        </w:rPr>
        <w:t> </w:t>
      </w:r>
      <w:r>
        <w:rPr>
          <w:sz w:val="24"/>
        </w:rPr>
        <w:t>públicas.</w:t>
      </w:r>
    </w:p>
    <w:p>
      <w:pPr>
        <w:pStyle w:val="ListParagraph"/>
        <w:numPr>
          <w:ilvl w:val="0"/>
          <w:numId w:val="83"/>
        </w:numPr>
        <w:tabs>
          <w:tab w:pos="822" w:val="left" w:leader="none"/>
        </w:tabs>
        <w:spacing w:line="360" w:lineRule="auto" w:before="2" w:after="0"/>
        <w:ind w:left="822" w:right="122" w:hanging="360"/>
        <w:jc w:val="both"/>
        <w:rPr>
          <w:sz w:val="24"/>
        </w:rPr>
      </w:pPr>
      <w:r>
        <w:rPr>
          <w:sz w:val="24"/>
        </w:rPr>
        <w:t>Conducir la política inmobiliaria de la Administración Pública Federal, administrar los inmuebles de propiedad federal y llevar el registro público de la propiedad inmobiliaria federal y el inventario</w:t>
      </w:r>
      <w:r>
        <w:rPr>
          <w:spacing w:val="-24"/>
          <w:sz w:val="24"/>
        </w:rPr>
        <w:t> </w:t>
      </w:r>
      <w:r>
        <w:rPr>
          <w:sz w:val="24"/>
        </w:rPr>
        <w:t>general.</w:t>
      </w:r>
    </w:p>
    <w:p>
      <w:pPr>
        <w:pStyle w:val="BodyText"/>
      </w:pPr>
    </w:p>
    <w:p>
      <w:pPr>
        <w:pStyle w:val="BodyText"/>
      </w:pPr>
    </w:p>
    <w:p>
      <w:pPr>
        <w:pStyle w:val="BodyText"/>
      </w:pPr>
    </w:p>
    <w:p>
      <w:pPr>
        <w:pStyle w:val="BodyText"/>
      </w:pPr>
    </w:p>
    <w:p>
      <w:pPr>
        <w:pStyle w:val="Heading2"/>
        <w:numPr>
          <w:ilvl w:val="1"/>
          <w:numId w:val="69"/>
        </w:numPr>
        <w:tabs>
          <w:tab w:pos="535" w:val="left" w:leader="none"/>
        </w:tabs>
        <w:spacing w:line="240" w:lineRule="auto" w:before="142" w:after="0"/>
        <w:ind w:left="534" w:right="0" w:hanging="432"/>
        <w:jc w:val="both"/>
      </w:pPr>
      <w:bookmarkStart w:name="_bookmark85" w:id="114"/>
      <w:bookmarkEnd w:id="114"/>
      <w:r>
        <w:rPr>
          <w:b w:val="0"/>
        </w:rPr>
      </w:r>
      <w:bookmarkStart w:name="_bookmark85" w:id="115"/>
      <w:bookmarkEnd w:id="115"/>
      <w:r>
        <w:rPr/>
        <w:t>Ha</w:t>
      </w:r>
      <w:r>
        <w:rPr/>
        <w:t>cia la gobernanza y el buen</w:t>
      </w:r>
      <w:r>
        <w:rPr>
          <w:spacing w:val="-9"/>
        </w:rPr>
        <w:t> </w:t>
      </w:r>
      <w:r>
        <w:rPr/>
        <w:t>gobierno</w:t>
      </w:r>
    </w:p>
    <w:p>
      <w:pPr>
        <w:pStyle w:val="BodyText"/>
        <w:rPr>
          <w:b/>
          <w:sz w:val="26"/>
        </w:rPr>
      </w:pPr>
    </w:p>
    <w:p>
      <w:pPr>
        <w:pStyle w:val="BodyText"/>
        <w:rPr>
          <w:b/>
          <w:sz w:val="26"/>
        </w:rPr>
      </w:pPr>
    </w:p>
    <w:p>
      <w:pPr>
        <w:pStyle w:val="BodyText"/>
        <w:spacing w:before="7"/>
        <w:rPr>
          <w:b/>
          <w:sz w:val="22"/>
        </w:rPr>
      </w:pPr>
    </w:p>
    <w:p>
      <w:pPr>
        <w:pStyle w:val="BodyText"/>
        <w:spacing w:line="360" w:lineRule="auto"/>
        <w:ind w:left="102" w:right="123"/>
        <w:jc w:val="both"/>
      </w:pPr>
      <w:r>
        <w:rPr/>
        <w:t>La gobernanza, considerada como una forma de participación coordinada entre los sectores social, privado y gubernamental, ha realizado importantes aportaciones</w:t>
      </w:r>
      <w:r>
        <w:rPr>
          <w:spacing w:val="-12"/>
        </w:rPr>
        <w:t> </w:t>
      </w:r>
      <w:r>
        <w:rPr/>
        <w:t>a</w:t>
      </w:r>
      <w:r>
        <w:rPr>
          <w:spacing w:val="-11"/>
        </w:rPr>
        <w:t> </w:t>
      </w:r>
      <w:r>
        <w:rPr/>
        <w:t>la</w:t>
      </w:r>
      <w:r>
        <w:rPr>
          <w:spacing w:val="-11"/>
        </w:rPr>
        <w:t> </w:t>
      </w:r>
      <w:r>
        <w:rPr/>
        <w:t>rendición</w:t>
      </w:r>
      <w:r>
        <w:rPr>
          <w:spacing w:val="-10"/>
        </w:rPr>
        <w:t> </w:t>
      </w:r>
      <w:r>
        <w:rPr/>
        <w:t>de</w:t>
      </w:r>
      <w:r>
        <w:rPr>
          <w:spacing w:val="-11"/>
        </w:rPr>
        <w:t> </w:t>
      </w:r>
      <w:r>
        <w:rPr/>
        <w:t>cuentas</w:t>
      </w:r>
      <w:r>
        <w:rPr>
          <w:spacing w:val="-12"/>
        </w:rPr>
        <w:t> </w:t>
      </w:r>
      <w:r>
        <w:rPr/>
        <w:t>en</w:t>
      </w:r>
      <w:r>
        <w:rPr>
          <w:spacing w:val="-11"/>
        </w:rPr>
        <w:t> </w:t>
      </w:r>
      <w:r>
        <w:rPr/>
        <w:t>el</w:t>
      </w:r>
      <w:r>
        <w:rPr>
          <w:spacing w:val="-14"/>
        </w:rPr>
        <w:t> </w:t>
      </w:r>
      <w:r>
        <w:rPr/>
        <w:t>mundo.</w:t>
      </w:r>
      <w:r>
        <w:rPr>
          <w:spacing w:val="-11"/>
        </w:rPr>
        <w:t> </w:t>
      </w:r>
      <w:r>
        <w:rPr/>
        <w:t>El</w:t>
      </w:r>
      <w:r>
        <w:rPr>
          <w:spacing w:val="-12"/>
        </w:rPr>
        <w:t> </w:t>
      </w:r>
      <w:r>
        <w:rPr/>
        <w:t>Banco</w:t>
      </w:r>
      <w:r>
        <w:rPr>
          <w:spacing w:val="-11"/>
        </w:rPr>
        <w:t> </w:t>
      </w:r>
      <w:r>
        <w:rPr/>
        <w:t>Mundial</w:t>
      </w:r>
      <w:r>
        <w:rPr>
          <w:spacing w:val="-12"/>
        </w:rPr>
        <w:t> </w:t>
      </w:r>
      <w:r>
        <w:rPr/>
        <w:t>considera que una buena gobernanza es imprescindible para un adecuado manejo macroeconómico, el crecimiento y la</w:t>
      </w:r>
      <w:r>
        <w:rPr>
          <w:spacing w:val="-19"/>
        </w:rPr>
        <w:t> </w:t>
      </w:r>
      <w:r>
        <w:rPr/>
        <w:t>competitividad.</w:t>
      </w:r>
    </w:p>
    <w:p>
      <w:pPr>
        <w:spacing w:after="0" w:line="360" w:lineRule="auto"/>
        <w:jc w:val="both"/>
        <w:sectPr>
          <w:pgSz w:w="11910" w:h="16840"/>
          <w:pgMar w:header="0" w:footer="1003" w:top="1340" w:bottom="1200" w:left="1600" w:right="1580"/>
        </w:sectPr>
      </w:pPr>
    </w:p>
    <w:p>
      <w:pPr>
        <w:pStyle w:val="BodyText"/>
        <w:spacing w:line="360" w:lineRule="auto" w:before="55"/>
        <w:ind w:left="102" w:right="114" w:firstLine="427"/>
        <w:jc w:val="both"/>
      </w:pPr>
      <w:r>
        <w:rPr/>
        <w:t>Las 43 organizaciones de la Red por la Rendición de Cuentas (RRC) han analizado las causas por las que México carece de una auténtica rendición de cuentas. A pesar de que reconocen avances, tanto académicos como las organizaciones sociales e instituciones gubernamentales coinciden en destacar que todavía no se cuenta un sistema articulado de rendición de cuentas, pero</w:t>
      </w:r>
      <w:r>
        <w:rPr>
          <w:spacing w:val="-31"/>
        </w:rPr>
        <w:t> </w:t>
      </w:r>
      <w:r>
        <w:rPr/>
        <w:t>sí con</w:t>
      </w:r>
      <w:r>
        <w:rPr>
          <w:spacing w:val="-6"/>
        </w:rPr>
        <w:t> </w:t>
      </w:r>
      <w:r>
        <w:rPr/>
        <w:t>múltiples</w:t>
      </w:r>
      <w:r>
        <w:rPr>
          <w:spacing w:val="-7"/>
        </w:rPr>
        <w:t> </w:t>
      </w:r>
      <w:r>
        <w:rPr/>
        <w:t>ejemplos</w:t>
      </w:r>
      <w:r>
        <w:rPr>
          <w:spacing w:val="-7"/>
        </w:rPr>
        <w:t> </w:t>
      </w:r>
      <w:r>
        <w:rPr/>
        <w:t>de</w:t>
      </w:r>
      <w:r>
        <w:rPr>
          <w:spacing w:val="-6"/>
        </w:rPr>
        <w:t> </w:t>
      </w:r>
      <w:r>
        <w:rPr/>
        <w:t>simulación,</w:t>
      </w:r>
      <w:r>
        <w:rPr>
          <w:spacing w:val="-4"/>
        </w:rPr>
        <w:t> </w:t>
      </w:r>
      <w:r>
        <w:rPr/>
        <w:t>impunidad</w:t>
      </w:r>
      <w:r>
        <w:rPr>
          <w:spacing w:val="-6"/>
        </w:rPr>
        <w:t> </w:t>
      </w:r>
      <w:r>
        <w:rPr/>
        <w:t>y</w:t>
      </w:r>
      <w:r>
        <w:rPr>
          <w:spacing w:val="-7"/>
        </w:rPr>
        <w:t> </w:t>
      </w:r>
      <w:r>
        <w:rPr/>
        <w:t>retrocesos</w:t>
      </w:r>
      <w:r>
        <w:rPr>
          <w:spacing w:val="-7"/>
        </w:rPr>
        <w:t> </w:t>
      </w:r>
      <w:r>
        <w:rPr/>
        <w:t>a</w:t>
      </w:r>
      <w:r>
        <w:rPr>
          <w:spacing w:val="-6"/>
        </w:rPr>
        <w:t> </w:t>
      </w:r>
      <w:r>
        <w:rPr/>
        <w:t>lo</w:t>
      </w:r>
      <w:r>
        <w:rPr>
          <w:spacing w:val="-6"/>
        </w:rPr>
        <w:t> </w:t>
      </w:r>
      <w:r>
        <w:rPr/>
        <w:t>avanzado.</w:t>
      </w:r>
      <w:r>
        <w:rPr>
          <w:spacing w:val="2"/>
        </w:rPr>
        <w:t> </w:t>
      </w:r>
      <w:r>
        <w:rPr/>
        <w:t>La propuesta</w:t>
      </w:r>
      <w:r>
        <w:rPr>
          <w:spacing w:val="-18"/>
        </w:rPr>
        <w:t> </w:t>
      </w:r>
      <w:r>
        <w:rPr/>
        <w:t>de</w:t>
      </w:r>
      <w:r>
        <w:rPr>
          <w:spacing w:val="-16"/>
        </w:rPr>
        <w:t> </w:t>
      </w:r>
      <w:r>
        <w:rPr/>
        <w:t>la</w:t>
      </w:r>
      <w:r>
        <w:rPr>
          <w:spacing w:val="-16"/>
        </w:rPr>
        <w:t> </w:t>
      </w:r>
      <w:r>
        <w:rPr/>
        <w:t>RRC</w:t>
      </w:r>
      <w:r>
        <w:rPr>
          <w:spacing w:val="-17"/>
        </w:rPr>
        <w:t> </w:t>
      </w:r>
      <w:r>
        <w:rPr/>
        <w:t>consiste</w:t>
      </w:r>
      <w:r>
        <w:rPr>
          <w:spacing w:val="-18"/>
        </w:rPr>
        <w:t> </w:t>
      </w:r>
      <w:r>
        <w:rPr/>
        <w:t>en</w:t>
      </w:r>
      <w:r>
        <w:rPr>
          <w:spacing w:val="-16"/>
        </w:rPr>
        <w:t> </w:t>
      </w:r>
      <w:r>
        <w:rPr/>
        <w:t>una</w:t>
      </w:r>
      <w:r>
        <w:rPr>
          <w:spacing w:val="-16"/>
        </w:rPr>
        <w:t> </w:t>
      </w:r>
      <w:r>
        <w:rPr/>
        <w:t>serie</w:t>
      </w:r>
      <w:r>
        <w:rPr>
          <w:spacing w:val="-16"/>
        </w:rPr>
        <w:t> </w:t>
      </w:r>
      <w:r>
        <w:rPr/>
        <w:t>de</w:t>
      </w:r>
      <w:r>
        <w:rPr>
          <w:spacing w:val="-18"/>
        </w:rPr>
        <w:t> </w:t>
      </w:r>
      <w:r>
        <w:rPr/>
        <w:t>acciones</w:t>
      </w:r>
      <w:r>
        <w:rPr>
          <w:spacing w:val="-19"/>
        </w:rPr>
        <w:t> </w:t>
      </w:r>
      <w:r>
        <w:rPr/>
        <w:t>propositivas</w:t>
      </w:r>
      <w:r>
        <w:rPr>
          <w:spacing w:val="-16"/>
        </w:rPr>
        <w:t> </w:t>
      </w:r>
      <w:r>
        <w:rPr/>
        <w:t>que</w:t>
      </w:r>
      <w:r>
        <w:rPr>
          <w:spacing w:val="-16"/>
        </w:rPr>
        <w:t> </w:t>
      </w:r>
      <w:r>
        <w:rPr/>
        <w:t>orientan a los aspectos</w:t>
      </w:r>
      <w:r>
        <w:rPr>
          <w:spacing w:val="-8"/>
        </w:rPr>
        <w:t> </w:t>
      </w:r>
      <w:r>
        <w:rPr/>
        <w:t>siguientes:</w:t>
      </w:r>
    </w:p>
    <w:p>
      <w:pPr>
        <w:pStyle w:val="ListParagraph"/>
        <w:numPr>
          <w:ilvl w:val="0"/>
          <w:numId w:val="84"/>
        </w:numPr>
        <w:tabs>
          <w:tab w:pos="822" w:val="left" w:leader="none"/>
        </w:tabs>
        <w:spacing w:line="360" w:lineRule="auto" w:before="204" w:after="0"/>
        <w:ind w:left="822" w:right="124" w:hanging="360"/>
        <w:jc w:val="both"/>
        <w:rPr>
          <w:sz w:val="24"/>
        </w:rPr>
      </w:pPr>
      <w:r>
        <w:rPr>
          <w:sz w:val="24"/>
        </w:rPr>
        <w:t>Determinar los contenidos mínimos que debería cumplir una reforma constitucional y legal para garantizar la rendición de cuentas en el</w:t>
      </w:r>
      <w:r>
        <w:rPr>
          <w:spacing w:val="-26"/>
          <w:sz w:val="24"/>
        </w:rPr>
        <w:t> </w:t>
      </w:r>
      <w:r>
        <w:rPr>
          <w:sz w:val="24"/>
        </w:rPr>
        <w:t>país.</w:t>
      </w:r>
    </w:p>
    <w:p>
      <w:pPr>
        <w:pStyle w:val="ListParagraph"/>
        <w:numPr>
          <w:ilvl w:val="0"/>
          <w:numId w:val="84"/>
        </w:numPr>
        <w:tabs>
          <w:tab w:pos="822" w:val="left" w:leader="none"/>
        </w:tabs>
        <w:spacing w:line="360" w:lineRule="auto" w:before="5" w:after="0"/>
        <w:ind w:left="822" w:right="125" w:hanging="360"/>
        <w:jc w:val="both"/>
        <w:rPr>
          <w:sz w:val="24"/>
        </w:rPr>
      </w:pPr>
      <w:r>
        <w:rPr>
          <w:sz w:val="24"/>
        </w:rPr>
        <w:t>Diseñar el sentido y los contenidos de las instituciones que deben establecerse para conseguir que las entidades federativas y los municipios no se rezaguen ni se contrapongan al establecimiento de una política nacional para rendir</w:t>
      </w:r>
      <w:r>
        <w:rPr>
          <w:spacing w:val="-15"/>
          <w:sz w:val="24"/>
        </w:rPr>
        <w:t> </w:t>
      </w:r>
      <w:r>
        <w:rPr>
          <w:sz w:val="24"/>
        </w:rPr>
        <w:t>cuentas.</w:t>
      </w:r>
    </w:p>
    <w:p>
      <w:pPr>
        <w:pStyle w:val="ListParagraph"/>
        <w:numPr>
          <w:ilvl w:val="0"/>
          <w:numId w:val="84"/>
        </w:numPr>
        <w:tabs>
          <w:tab w:pos="822" w:val="left" w:leader="none"/>
        </w:tabs>
        <w:spacing w:line="360" w:lineRule="auto" w:before="5" w:after="0"/>
        <w:ind w:left="822" w:right="123" w:hanging="360"/>
        <w:jc w:val="both"/>
        <w:rPr>
          <w:sz w:val="24"/>
        </w:rPr>
      </w:pPr>
      <w:r>
        <w:rPr>
          <w:sz w:val="24"/>
        </w:rPr>
        <w:t>Identificar</w:t>
      </w:r>
      <w:r>
        <w:rPr>
          <w:spacing w:val="-8"/>
          <w:sz w:val="24"/>
        </w:rPr>
        <w:t> </w:t>
      </w:r>
      <w:r>
        <w:rPr>
          <w:sz w:val="24"/>
        </w:rPr>
        <w:t>los</w:t>
      </w:r>
      <w:r>
        <w:rPr>
          <w:spacing w:val="-12"/>
          <w:sz w:val="24"/>
        </w:rPr>
        <w:t> </w:t>
      </w:r>
      <w:r>
        <w:rPr>
          <w:sz w:val="24"/>
        </w:rPr>
        <w:t>mecanismos</w:t>
      </w:r>
      <w:r>
        <w:rPr>
          <w:spacing w:val="-10"/>
          <w:sz w:val="24"/>
        </w:rPr>
        <w:t> </w:t>
      </w:r>
      <w:r>
        <w:rPr>
          <w:sz w:val="24"/>
        </w:rPr>
        <w:t>organizacionales</w:t>
      </w:r>
      <w:r>
        <w:rPr>
          <w:spacing w:val="-12"/>
          <w:sz w:val="24"/>
        </w:rPr>
        <w:t> </w:t>
      </w:r>
      <w:r>
        <w:rPr>
          <w:sz w:val="24"/>
        </w:rPr>
        <w:t>y</w:t>
      </w:r>
      <w:r>
        <w:rPr>
          <w:spacing w:val="-10"/>
          <w:sz w:val="24"/>
        </w:rPr>
        <w:t> </w:t>
      </w:r>
      <w:r>
        <w:rPr>
          <w:sz w:val="24"/>
        </w:rPr>
        <w:t>de</w:t>
      </w:r>
      <w:r>
        <w:rPr>
          <w:spacing w:val="-7"/>
          <w:sz w:val="24"/>
        </w:rPr>
        <w:t> </w:t>
      </w:r>
      <w:r>
        <w:rPr>
          <w:sz w:val="24"/>
        </w:rPr>
        <w:t>gestión</w:t>
      </w:r>
      <w:r>
        <w:rPr>
          <w:spacing w:val="-9"/>
          <w:sz w:val="24"/>
        </w:rPr>
        <w:t> </w:t>
      </w:r>
      <w:r>
        <w:rPr>
          <w:sz w:val="24"/>
        </w:rPr>
        <w:t>necesarios</w:t>
      </w:r>
      <w:r>
        <w:rPr>
          <w:spacing w:val="-8"/>
          <w:sz w:val="24"/>
        </w:rPr>
        <w:t> </w:t>
      </w:r>
      <w:r>
        <w:rPr>
          <w:sz w:val="24"/>
        </w:rPr>
        <w:t>para que pueda operar una verdadera política de rendición de cuentas en los tres órdenes de gobierno, en los poderes públicos y en los organismos autónomos.</w:t>
      </w:r>
    </w:p>
    <w:p>
      <w:pPr>
        <w:pStyle w:val="ListParagraph"/>
        <w:numPr>
          <w:ilvl w:val="0"/>
          <w:numId w:val="84"/>
        </w:numPr>
        <w:tabs>
          <w:tab w:pos="822" w:val="left" w:leader="none"/>
        </w:tabs>
        <w:spacing w:line="360" w:lineRule="auto" w:before="3" w:after="0"/>
        <w:ind w:left="822" w:right="119" w:hanging="360"/>
        <w:jc w:val="both"/>
        <w:rPr>
          <w:sz w:val="24"/>
        </w:rPr>
      </w:pPr>
      <w:r>
        <w:rPr>
          <w:sz w:val="24"/>
        </w:rPr>
        <w:t>Mejorar sustantivamente los mecanismos de gestión y responsabilidad pública (objetiva, administrativa, política y penal) para garantizar un sistema de responsabilidades que vincule la evaluación del desempeño institucional y el ejercicio de recursos públicos con sus consecuencias sancionatorias mediante la rendición de</w:t>
      </w:r>
      <w:r>
        <w:rPr>
          <w:spacing w:val="-14"/>
          <w:sz w:val="24"/>
        </w:rPr>
        <w:t> </w:t>
      </w:r>
      <w:r>
        <w:rPr>
          <w:sz w:val="24"/>
        </w:rPr>
        <w:t>cuentas.</w:t>
      </w:r>
    </w:p>
    <w:p>
      <w:pPr>
        <w:pStyle w:val="ListParagraph"/>
        <w:numPr>
          <w:ilvl w:val="0"/>
          <w:numId w:val="84"/>
        </w:numPr>
        <w:tabs>
          <w:tab w:pos="822" w:val="left" w:leader="none"/>
        </w:tabs>
        <w:spacing w:line="360" w:lineRule="auto" w:before="5" w:after="0"/>
        <w:ind w:left="822" w:right="118" w:hanging="360"/>
        <w:jc w:val="both"/>
        <w:rPr>
          <w:sz w:val="24"/>
        </w:rPr>
      </w:pPr>
      <w:r>
        <w:rPr>
          <w:sz w:val="24"/>
        </w:rPr>
        <w:t>Incorporar a las organizaciones de la sociedad como actores institucionales permanentes y activos de la rendición de cuentas en el país.</w:t>
      </w:r>
    </w:p>
    <w:p>
      <w:pPr>
        <w:pStyle w:val="ListParagraph"/>
        <w:numPr>
          <w:ilvl w:val="0"/>
          <w:numId w:val="84"/>
        </w:numPr>
        <w:tabs>
          <w:tab w:pos="822" w:val="left" w:leader="none"/>
        </w:tabs>
        <w:spacing w:line="360" w:lineRule="auto" w:before="3" w:after="0"/>
        <w:ind w:left="822" w:right="124" w:hanging="360"/>
        <w:jc w:val="both"/>
        <w:rPr>
          <w:sz w:val="24"/>
        </w:rPr>
      </w:pPr>
      <w:r>
        <w:rPr>
          <w:sz w:val="24"/>
        </w:rPr>
        <w:t>Comprometer a todos a los partidos políticos a incorporar en sus valores y programas de gobierno la rendición de cuentas como un compromiso verificable y exigible por parte de los</w:t>
      </w:r>
      <w:r>
        <w:rPr>
          <w:spacing w:val="-16"/>
          <w:sz w:val="24"/>
        </w:rPr>
        <w:t> </w:t>
      </w:r>
      <w:r>
        <w:rPr>
          <w:sz w:val="24"/>
        </w:rPr>
        <w:t>ciudadanos.</w:t>
      </w:r>
    </w:p>
    <w:p>
      <w:pPr>
        <w:pStyle w:val="ListParagraph"/>
        <w:numPr>
          <w:ilvl w:val="0"/>
          <w:numId w:val="84"/>
        </w:numPr>
        <w:tabs>
          <w:tab w:pos="822" w:val="left" w:leader="none"/>
        </w:tabs>
        <w:spacing w:line="360" w:lineRule="auto" w:before="5" w:after="0"/>
        <w:ind w:left="822" w:right="123" w:hanging="360"/>
        <w:jc w:val="both"/>
        <w:rPr>
          <w:sz w:val="24"/>
        </w:rPr>
      </w:pPr>
      <w:r>
        <w:rPr>
          <w:sz w:val="24"/>
        </w:rPr>
        <w:t>Afirmar la rendición de cuentas en el debate público para consolidar el régimen democrático y garantizar la plena vigencia y efectividad de los derechos fundamentales, para conseguir una gestión pública en los tres órdenes de</w:t>
      </w:r>
      <w:r>
        <w:rPr>
          <w:spacing w:val="-7"/>
          <w:sz w:val="24"/>
        </w:rPr>
        <w:t> </w:t>
      </w:r>
      <w:r>
        <w:rPr>
          <w:sz w:val="24"/>
        </w:rPr>
        <w:t>gobierno.</w:t>
      </w:r>
    </w:p>
    <w:p>
      <w:pPr>
        <w:spacing w:after="0" w:line="360" w:lineRule="auto"/>
        <w:jc w:val="both"/>
        <w:rPr>
          <w:sz w:val="24"/>
        </w:rPr>
        <w:sectPr>
          <w:pgSz w:w="11910" w:h="16840"/>
          <w:pgMar w:header="0" w:footer="1003" w:top="1340" w:bottom="1200" w:left="1600" w:right="1580"/>
        </w:sectPr>
      </w:pPr>
    </w:p>
    <w:p>
      <w:pPr>
        <w:pStyle w:val="BodyText"/>
        <w:spacing w:before="55"/>
        <w:ind w:left="529" w:right="255"/>
      </w:pPr>
      <w:r>
        <w:rPr/>
        <w:t>Otras propuestas (Michel, 2008) señalan lo siguiente:</w:t>
      </w:r>
    </w:p>
    <w:p>
      <w:pPr>
        <w:pStyle w:val="BodyText"/>
      </w:pPr>
    </w:p>
    <w:p>
      <w:pPr>
        <w:pStyle w:val="BodyText"/>
      </w:pPr>
    </w:p>
    <w:p>
      <w:pPr>
        <w:pStyle w:val="ListParagraph"/>
        <w:numPr>
          <w:ilvl w:val="0"/>
          <w:numId w:val="85"/>
        </w:numPr>
        <w:tabs>
          <w:tab w:pos="822" w:val="left" w:leader="none"/>
        </w:tabs>
        <w:spacing w:line="360" w:lineRule="auto" w:before="0" w:after="0"/>
        <w:ind w:left="822" w:right="112" w:hanging="360"/>
        <w:jc w:val="left"/>
        <w:rPr>
          <w:sz w:val="24"/>
        </w:rPr>
      </w:pPr>
      <w:r>
        <w:rPr>
          <w:sz w:val="24"/>
        </w:rPr>
        <w:t>Avanzar hacia un modelo de fiscalización más integral que permita mayores revisiones al</w:t>
      </w:r>
      <w:r>
        <w:rPr>
          <w:spacing w:val="-14"/>
          <w:sz w:val="24"/>
        </w:rPr>
        <w:t> </w:t>
      </w:r>
      <w:r>
        <w:rPr>
          <w:sz w:val="24"/>
        </w:rPr>
        <w:t>desempeño.</w:t>
      </w:r>
    </w:p>
    <w:p>
      <w:pPr>
        <w:pStyle w:val="ListParagraph"/>
        <w:numPr>
          <w:ilvl w:val="0"/>
          <w:numId w:val="85"/>
        </w:numPr>
        <w:tabs>
          <w:tab w:pos="822" w:val="left" w:leader="none"/>
        </w:tabs>
        <w:spacing w:line="360" w:lineRule="auto" w:before="2" w:after="0"/>
        <w:ind w:left="822" w:right="110" w:hanging="360"/>
        <w:jc w:val="left"/>
        <w:rPr>
          <w:sz w:val="24"/>
        </w:rPr>
      </w:pPr>
      <w:r>
        <w:rPr>
          <w:sz w:val="24"/>
        </w:rPr>
        <w:t>Utilizar la información derivada de la fiscalización para programar la asignación</w:t>
      </w:r>
      <w:r>
        <w:rPr>
          <w:spacing w:val="-7"/>
          <w:sz w:val="24"/>
        </w:rPr>
        <w:t> </w:t>
      </w:r>
      <w:r>
        <w:rPr>
          <w:sz w:val="24"/>
        </w:rPr>
        <w:t>presupuestal.</w:t>
      </w:r>
    </w:p>
    <w:p>
      <w:pPr>
        <w:pStyle w:val="ListParagraph"/>
        <w:numPr>
          <w:ilvl w:val="0"/>
          <w:numId w:val="85"/>
        </w:numPr>
        <w:tabs>
          <w:tab w:pos="822" w:val="left" w:leader="none"/>
        </w:tabs>
        <w:spacing w:line="240" w:lineRule="auto" w:before="2" w:after="0"/>
        <w:ind w:left="822" w:right="0" w:hanging="360"/>
        <w:jc w:val="left"/>
        <w:rPr>
          <w:sz w:val="24"/>
        </w:rPr>
      </w:pPr>
      <w:r>
        <w:rPr>
          <w:sz w:val="24"/>
        </w:rPr>
        <w:t>Mejorar la calidad de la información</w:t>
      </w:r>
      <w:r>
        <w:rPr>
          <w:spacing w:val="-21"/>
          <w:sz w:val="24"/>
        </w:rPr>
        <w:t> </w:t>
      </w:r>
      <w:r>
        <w:rPr>
          <w:sz w:val="24"/>
        </w:rPr>
        <w:t>auditable.</w:t>
      </w:r>
    </w:p>
    <w:p>
      <w:pPr>
        <w:pStyle w:val="ListParagraph"/>
        <w:numPr>
          <w:ilvl w:val="0"/>
          <w:numId w:val="85"/>
        </w:numPr>
        <w:tabs>
          <w:tab w:pos="822" w:val="left" w:leader="none"/>
        </w:tabs>
        <w:spacing w:line="360" w:lineRule="auto" w:before="139" w:after="0"/>
        <w:ind w:left="822" w:right="111" w:hanging="360"/>
        <w:jc w:val="left"/>
        <w:rPr>
          <w:sz w:val="24"/>
        </w:rPr>
      </w:pPr>
      <w:r>
        <w:rPr>
          <w:sz w:val="24"/>
        </w:rPr>
        <w:t>Canalizar el marco jurídico de actuación de la rendición de cuentas hacia una fiscalización de alto</w:t>
      </w:r>
      <w:r>
        <w:rPr>
          <w:spacing w:val="-13"/>
          <w:sz w:val="24"/>
        </w:rPr>
        <w:t> </w:t>
      </w:r>
      <w:r>
        <w:rPr>
          <w:sz w:val="24"/>
        </w:rPr>
        <w:t>impacto.</w:t>
      </w:r>
    </w:p>
    <w:p>
      <w:pPr>
        <w:pStyle w:val="ListParagraph"/>
        <w:numPr>
          <w:ilvl w:val="0"/>
          <w:numId w:val="85"/>
        </w:numPr>
        <w:tabs>
          <w:tab w:pos="822" w:val="left" w:leader="none"/>
        </w:tabs>
        <w:spacing w:line="240" w:lineRule="auto" w:before="5" w:after="0"/>
        <w:ind w:left="822" w:right="0" w:hanging="360"/>
        <w:jc w:val="left"/>
        <w:rPr>
          <w:sz w:val="24"/>
        </w:rPr>
      </w:pPr>
      <w:r>
        <w:rPr>
          <w:sz w:val="24"/>
        </w:rPr>
        <w:t>Impulsar la participación de la sociedad</w:t>
      </w:r>
      <w:r>
        <w:rPr>
          <w:spacing w:val="-13"/>
          <w:sz w:val="24"/>
        </w:rPr>
        <w:t> </w:t>
      </w:r>
      <w:r>
        <w:rPr>
          <w:sz w:val="24"/>
        </w:rPr>
        <w:t>civil.</w:t>
      </w:r>
    </w:p>
    <w:p>
      <w:pPr>
        <w:pStyle w:val="ListParagraph"/>
        <w:numPr>
          <w:ilvl w:val="0"/>
          <w:numId w:val="85"/>
        </w:numPr>
        <w:tabs>
          <w:tab w:pos="821" w:val="left" w:leader="none"/>
          <w:tab w:pos="822" w:val="left" w:leader="none"/>
        </w:tabs>
        <w:spacing w:line="240" w:lineRule="auto" w:before="137" w:after="0"/>
        <w:ind w:left="822" w:right="0" w:hanging="360"/>
        <w:jc w:val="left"/>
        <w:rPr>
          <w:sz w:val="24"/>
        </w:rPr>
      </w:pPr>
      <w:r>
        <w:rPr>
          <w:sz w:val="24"/>
        </w:rPr>
        <w:t>Aprovechar las tecnologías de la</w:t>
      </w:r>
      <w:r>
        <w:rPr>
          <w:spacing w:val="-14"/>
          <w:sz w:val="24"/>
        </w:rPr>
        <w:t> </w:t>
      </w:r>
      <w:r>
        <w:rPr>
          <w:sz w:val="24"/>
        </w:rPr>
        <w:t>información.</w:t>
      </w:r>
    </w:p>
    <w:p>
      <w:pPr>
        <w:pStyle w:val="BodyText"/>
      </w:pPr>
    </w:p>
    <w:p>
      <w:pPr>
        <w:pStyle w:val="BodyText"/>
        <w:spacing w:before="9"/>
        <w:rPr>
          <w:sz w:val="23"/>
        </w:rPr>
      </w:pPr>
    </w:p>
    <w:p>
      <w:pPr>
        <w:pStyle w:val="BodyText"/>
        <w:spacing w:line="360" w:lineRule="auto"/>
        <w:ind w:left="102" w:right="198" w:firstLine="427"/>
        <w:jc w:val="both"/>
      </w:pPr>
      <w:r>
        <w:rPr/>
        <w:t>La OCDE en el documento </w:t>
      </w:r>
      <w:r>
        <w:rPr>
          <w:i/>
        </w:rPr>
        <w:t>OCDE (2011), Hacia una gestión pública más </w:t>
      </w:r>
      <w:r>
        <w:rPr>
          <w:i/>
        </w:rPr>
        <w:t>efectiva y dinámica en México</w:t>
      </w:r>
      <w:r>
        <w:rPr/>
        <w:t>, publicado en 2011, presentó el estudio de la gobernanza</w:t>
      </w:r>
      <w:r>
        <w:rPr>
          <w:spacing w:val="-17"/>
        </w:rPr>
        <w:t> </w:t>
      </w:r>
      <w:r>
        <w:rPr/>
        <w:t>pública</w:t>
      </w:r>
      <w:r>
        <w:rPr>
          <w:spacing w:val="-16"/>
        </w:rPr>
        <w:t> </w:t>
      </w:r>
      <w:r>
        <w:rPr/>
        <w:t>de</w:t>
      </w:r>
      <w:r>
        <w:rPr>
          <w:spacing w:val="-16"/>
        </w:rPr>
        <w:t> </w:t>
      </w:r>
      <w:r>
        <w:rPr/>
        <w:t>México</w:t>
      </w:r>
      <w:r>
        <w:rPr>
          <w:spacing w:val="-14"/>
        </w:rPr>
        <w:t> </w:t>
      </w:r>
      <w:r>
        <w:rPr/>
        <w:t>mediante</w:t>
      </w:r>
      <w:r>
        <w:rPr>
          <w:spacing w:val="-16"/>
        </w:rPr>
        <w:t> </w:t>
      </w:r>
      <w:r>
        <w:rPr/>
        <w:t>el</w:t>
      </w:r>
      <w:r>
        <w:rPr>
          <w:spacing w:val="-18"/>
        </w:rPr>
        <w:t> </w:t>
      </w:r>
      <w:r>
        <w:rPr/>
        <w:t>análisis</w:t>
      </w:r>
      <w:r>
        <w:rPr>
          <w:spacing w:val="-15"/>
        </w:rPr>
        <w:t> </w:t>
      </w:r>
      <w:r>
        <w:rPr/>
        <w:t>de</w:t>
      </w:r>
      <w:r>
        <w:rPr>
          <w:spacing w:val="-16"/>
        </w:rPr>
        <w:t> </w:t>
      </w:r>
      <w:r>
        <w:rPr/>
        <w:t>tres</w:t>
      </w:r>
      <w:r>
        <w:rPr>
          <w:spacing w:val="-17"/>
        </w:rPr>
        <w:t> </w:t>
      </w:r>
      <w:r>
        <w:rPr/>
        <w:t>elementos:</w:t>
      </w:r>
      <w:r>
        <w:rPr>
          <w:spacing w:val="-14"/>
        </w:rPr>
        <w:t> </w:t>
      </w:r>
      <w:r>
        <w:rPr/>
        <w:t>el</w:t>
      </w:r>
      <w:r>
        <w:rPr>
          <w:spacing w:val="-18"/>
        </w:rPr>
        <w:t> </w:t>
      </w:r>
      <w:r>
        <w:rPr/>
        <w:t>proceso de racionalización de las regulaciones del gobierno (disminución del tamaño del Estado), el impacto de las políticas de gobierno electrónico y la operación del servicio civil mexicano (los dos últimos a cargo de la</w:t>
      </w:r>
      <w:r>
        <w:rPr>
          <w:spacing w:val="-17"/>
        </w:rPr>
        <w:t> </w:t>
      </w:r>
      <w:r>
        <w:rPr/>
        <w:t>SFP).</w:t>
      </w:r>
    </w:p>
    <w:p>
      <w:pPr>
        <w:pStyle w:val="BodyText"/>
      </w:pPr>
    </w:p>
    <w:p>
      <w:pPr>
        <w:pStyle w:val="BodyText"/>
        <w:spacing w:line="360" w:lineRule="auto" w:before="142"/>
        <w:ind w:left="102" w:right="197" w:firstLine="427"/>
        <w:jc w:val="both"/>
      </w:pPr>
      <w:r>
        <w:rPr/>
        <w:t>La organización consideró que, a pesar de las limitaciones, estas reformas han significado importantes contribuciones a la buena gobernanza y deberían continuar implementándose para garantizar un impacto positivo duradero.</w:t>
      </w:r>
    </w:p>
    <w:p>
      <w:pPr>
        <w:pStyle w:val="BodyText"/>
        <w:spacing w:line="360" w:lineRule="auto" w:before="2"/>
        <w:ind w:left="102" w:right="195" w:firstLine="427"/>
        <w:jc w:val="both"/>
      </w:pPr>
      <w:r>
        <w:rPr/>
        <w:t>La OCDE comentó que estas reformas son congruentes con la agenda establecida por los países miembros de la organización en la </w:t>
      </w:r>
      <w:r>
        <w:rPr>
          <w:i/>
        </w:rPr>
        <w:t>Conferencia</w:t>
      </w:r>
      <w:r>
        <w:rPr>
          <w:i/>
          <w:spacing w:val="-43"/>
        </w:rPr>
        <w:t> </w:t>
      </w:r>
      <w:r>
        <w:rPr>
          <w:i/>
        </w:rPr>
        <w:t>sobre </w:t>
      </w:r>
      <w:r>
        <w:rPr>
          <w:i/>
        </w:rPr>
        <w:t>Política</w:t>
      </w:r>
      <w:r>
        <w:rPr>
          <w:i/>
          <w:spacing w:val="-6"/>
        </w:rPr>
        <w:t> </w:t>
      </w:r>
      <w:r>
        <w:rPr>
          <w:i/>
        </w:rPr>
        <w:t>Regulatoria</w:t>
      </w:r>
      <w:r>
        <w:rPr>
          <w:i/>
          <w:spacing w:val="-4"/>
        </w:rPr>
        <w:t> </w:t>
      </w:r>
      <w:r>
        <w:rPr/>
        <w:t>que</w:t>
      </w:r>
      <w:r>
        <w:rPr>
          <w:spacing w:val="-6"/>
        </w:rPr>
        <w:t> </w:t>
      </w:r>
      <w:r>
        <w:rPr/>
        <w:t>se</w:t>
      </w:r>
      <w:r>
        <w:rPr>
          <w:spacing w:val="-6"/>
        </w:rPr>
        <w:t> </w:t>
      </w:r>
      <w:r>
        <w:rPr/>
        <w:t>realizó</w:t>
      </w:r>
      <w:r>
        <w:rPr>
          <w:spacing w:val="-6"/>
        </w:rPr>
        <w:t> </w:t>
      </w:r>
      <w:r>
        <w:rPr/>
        <w:t>en</w:t>
      </w:r>
      <w:r>
        <w:rPr>
          <w:spacing w:val="-6"/>
        </w:rPr>
        <w:t> </w:t>
      </w:r>
      <w:r>
        <w:rPr/>
        <w:t>octubre</w:t>
      </w:r>
      <w:r>
        <w:rPr>
          <w:spacing w:val="-9"/>
        </w:rPr>
        <w:t> </w:t>
      </w:r>
      <w:r>
        <w:rPr/>
        <w:t>de</w:t>
      </w:r>
      <w:r>
        <w:rPr>
          <w:spacing w:val="-6"/>
        </w:rPr>
        <w:t> </w:t>
      </w:r>
      <w:r>
        <w:rPr/>
        <w:t>2010.</w:t>
      </w:r>
      <w:r>
        <w:rPr>
          <w:spacing w:val="-6"/>
        </w:rPr>
        <w:t> </w:t>
      </w:r>
      <w:r>
        <w:rPr/>
        <w:t>En</w:t>
      </w:r>
      <w:r>
        <w:rPr>
          <w:spacing w:val="-6"/>
        </w:rPr>
        <w:t> </w:t>
      </w:r>
      <w:r>
        <w:rPr/>
        <w:t>la</w:t>
      </w:r>
      <w:r>
        <w:rPr>
          <w:spacing w:val="-6"/>
        </w:rPr>
        <w:t> </w:t>
      </w:r>
      <w:r>
        <w:rPr/>
        <w:t>reunión</w:t>
      </w:r>
      <w:r>
        <w:rPr>
          <w:spacing w:val="-6"/>
        </w:rPr>
        <w:t> </w:t>
      </w:r>
      <w:r>
        <w:rPr/>
        <w:t>se</w:t>
      </w:r>
      <w:r>
        <w:rPr>
          <w:spacing w:val="-6"/>
        </w:rPr>
        <w:t> </w:t>
      </w:r>
      <w:r>
        <w:rPr/>
        <w:t>destacó la</w:t>
      </w:r>
      <w:r>
        <w:rPr>
          <w:spacing w:val="-4"/>
        </w:rPr>
        <w:t> </w:t>
      </w:r>
      <w:r>
        <w:rPr/>
        <w:t>importancia</w:t>
      </w:r>
      <w:r>
        <w:rPr>
          <w:spacing w:val="-4"/>
        </w:rPr>
        <w:t> </w:t>
      </w:r>
      <w:r>
        <w:rPr/>
        <w:t>de</w:t>
      </w:r>
      <w:r>
        <w:rPr>
          <w:spacing w:val="-4"/>
        </w:rPr>
        <w:t> </w:t>
      </w:r>
      <w:r>
        <w:rPr/>
        <w:t>la</w:t>
      </w:r>
      <w:r>
        <w:rPr>
          <w:spacing w:val="-4"/>
        </w:rPr>
        <w:t> </w:t>
      </w:r>
      <w:r>
        <w:rPr/>
        <w:t>gestión</w:t>
      </w:r>
      <w:r>
        <w:rPr>
          <w:spacing w:val="-4"/>
        </w:rPr>
        <w:t> </w:t>
      </w:r>
      <w:r>
        <w:rPr/>
        <w:t>y</w:t>
      </w:r>
      <w:r>
        <w:rPr>
          <w:spacing w:val="-7"/>
        </w:rPr>
        <w:t> </w:t>
      </w:r>
      <w:r>
        <w:rPr/>
        <w:t>la</w:t>
      </w:r>
      <w:r>
        <w:rPr>
          <w:spacing w:val="-4"/>
        </w:rPr>
        <w:t> </w:t>
      </w:r>
      <w:r>
        <w:rPr/>
        <w:t>gobernanza</w:t>
      </w:r>
      <w:r>
        <w:rPr>
          <w:spacing w:val="-4"/>
        </w:rPr>
        <w:t> </w:t>
      </w:r>
      <w:r>
        <w:rPr/>
        <w:t>en</w:t>
      </w:r>
      <w:r>
        <w:rPr>
          <w:spacing w:val="-4"/>
        </w:rPr>
        <w:t> </w:t>
      </w:r>
      <w:r>
        <w:rPr/>
        <w:t>la</w:t>
      </w:r>
      <w:r>
        <w:rPr>
          <w:spacing w:val="-4"/>
        </w:rPr>
        <w:t> </w:t>
      </w:r>
      <w:r>
        <w:rPr/>
        <w:t>regulación</w:t>
      </w:r>
      <w:r>
        <w:rPr>
          <w:spacing w:val="-4"/>
        </w:rPr>
        <w:t> </w:t>
      </w:r>
      <w:r>
        <w:rPr/>
        <w:t>por</w:t>
      </w:r>
      <w:r>
        <w:rPr>
          <w:spacing w:val="-5"/>
        </w:rPr>
        <w:t> </w:t>
      </w:r>
      <w:r>
        <w:rPr/>
        <w:t>medio</w:t>
      </w:r>
      <w:r>
        <w:rPr>
          <w:spacing w:val="-4"/>
        </w:rPr>
        <w:t> </w:t>
      </w:r>
      <w:r>
        <w:rPr/>
        <w:t>del</w:t>
      </w:r>
      <w:r>
        <w:rPr>
          <w:spacing w:val="-5"/>
        </w:rPr>
        <w:t> </w:t>
      </w:r>
      <w:r>
        <w:rPr/>
        <w:t>ciclo de políticas públicas, que consiste en las etapas de diseño, ejecución, seguimiento y evaluación del desempeño. El estudio sobre regulaciones en el gobierno para México analiza todo el ciclo, asegurando la relevancia y la justificación de las normas que regulan a la administración pública federal y generando medidas para evitar una sobrerregulación, además de establecer normas estrictas para la emisión de nuevas</w:t>
      </w:r>
      <w:r>
        <w:rPr>
          <w:spacing w:val="-22"/>
        </w:rPr>
        <w:t> </w:t>
      </w:r>
      <w:r>
        <w:rPr/>
        <w:t>disposiciones.</w:t>
      </w:r>
    </w:p>
    <w:p>
      <w:pPr>
        <w:pStyle w:val="BodyText"/>
        <w:spacing w:line="360" w:lineRule="auto" w:before="5"/>
        <w:ind w:left="102" w:right="111" w:firstLine="427"/>
        <w:jc w:val="both"/>
      </w:pPr>
      <w:r>
        <w:rPr/>
        <w:t>Las recomendaciones más destacadas de la OCDE para orientar a México hacia la gobernanza son las siguientes:</w:t>
      </w:r>
    </w:p>
    <w:p>
      <w:pPr>
        <w:spacing w:after="0" w:line="360" w:lineRule="auto"/>
        <w:jc w:val="both"/>
        <w:sectPr>
          <w:footerReference w:type="even" r:id="rId228"/>
          <w:footerReference w:type="default" r:id="rId229"/>
          <w:pgSz w:w="11910" w:h="16840"/>
          <w:pgMar w:footer="1003" w:header="0" w:top="1340" w:bottom="1200" w:left="1600" w:right="1500"/>
          <w:pgNumType w:start="150"/>
        </w:sectPr>
      </w:pPr>
    </w:p>
    <w:p>
      <w:pPr>
        <w:pStyle w:val="ListParagraph"/>
        <w:numPr>
          <w:ilvl w:val="0"/>
          <w:numId w:val="86"/>
        </w:numPr>
        <w:tabs>
          <w:tab w:pos="822" w:val="left" w:leader="none"/>
        </w:tabs>
        <w:spacing w:line="360" w:lineRule="auto" w:before="55" w:after="0"/>
        <w:ind w:left="822" w:right="107" w:hanging="360"/>
        <w:jc w:val="both"/>
        <w:rPr>
          <w:sz w:val="24"/>
        </w:rPr>
      </w:pPr>
      <w:r>
        <w:rPr>
          <w:sz w:val="24"/>
        </w:rPr>
        <w:t>Debido</w:t>
      </w:r>
      <w:r>
        <w:rPr>
          <w:spacing w:val="-6"/>
          <w:sz w:val="24"/>
        </w:rPr>
        <w:t> </w:t>
      </w:r>
      <w:r>
        <w:rPr>
          <w:sz w:val="24"/>
        </w:rPr>
        <w:t>a</w:t>
      </w:r>
      <w:r>
        <w:rPr>
          <w:spacing w:val="-4"/>
          <w:sz w:val="24"/>
        </w:rPr>
        <w:t> </w:t>
      </w:r>
      <w:r>
        <w:rPr>
          <w:sz w:val="24"/>
        </w:rPr>
        <w:t>la</w:t>
      </w:r>
      <w:r>
        <w:rPr>
          <w:spacing w:val="-6"/>
          <w:sz w:val="24"/>
        </w:rPr>
        <w:t> </w:t>
      </w:r>
      <w:r>
        <w:rPr>
          <w:sz w:val="24"/>
        </w:rPr>
        <w:t>disminución</w:t>
      </w:r>
      <w:r>
        <w:rPr>
          <w:spacing w:val="-4"/>
          <w:sz w:val="24"/>
        </w:rPr>
        <w:t> </w:t>
      </w:r>
      <w:r>
        <w:rPr>
          <w:sz w:val="24"/>
        </w:rPr>
        <w:t>de</w:t>
      </w:r>
      <w:r>
        <w:rPr>
          <w:spacing w:val="-6"/>
          <w:sz w:val="24"/>
        </w:rPr>
        <w:t> </w:t>
      </w:r>
      <w:r>
        <w:rPr>
          <w:sz w:val="24"/>
        </w:rPr>
        <w:t>la</w:t>
      </w:r>
      <w:r>
        <w:rPr>
          <w:spacing w:val="-6"/>
          <w:sz w:val="24"/>
        </w:rPr>
        <w:t> </w:t>
      </w:r>
      <w:r>
        <w:rPr>
          <w:sz w:val="24"/>
        </w:rPr>
        <w:t>producción</w:t>
      </w:r>
      <w:r>
        <w:rPr>
          <w:spacing w:val="-6"/>
          <w:sz w:val="24"/>
        </w:rPr>
        <w:t> </w:t>
      </w:r>
      <w:r>
        <w:rPr>
          <w:sz w:val="24"/>
        </w:rPr>
        <w:t>petrolera</w:t>
      </w:r>
      <w:r>
        <w:rPr>
          <w:spacing w:val="-4"/>
          <w:sz w:val="24"/>
        </w:rPr>
        <w:t> </w:t>
      </w:r>
      <w:r>
        <w:rPr>
          <w:sz w:val="24"/>
        </w:rPr>
        <w:t>en</w:t>
      </w:r>
      <w:r>
        <w:rPr>
          <w:spacing w:val="-4"/>
          <w:sz w:val="24"/>
        </w:rPr>
        <w:t> </w:t>
      </w:r>
      <w:r>
        <w:rPr>
          <w:sz w:val="24"/>
        </w:rPr>
        <w:t>20%</w:t>
      </w:r>
      <w:r>
        <w:rPr>
          <w:spacing w:val="-4"/>
          <w:sz w:val="24"/>
        </w:rPr>
        <w:t> </w:t>
      </w:r>
      <w:r>
        <w:rPr>
          <w:sz w:val="24"/>
        </w:rPr>
        <w:t>y</w:t>
      </w:r>
      <w:r>
        <w:rPr>
          <w:spacing w:val="-7"/>
          <w:sz w:val="24"/>
        </w:rPr>
        <w:t> </w:t>
      </w:r>
      <w:r>
        <w:rPr>
          <w:sz w:val="24"/>
        </w:rPr>
        <w:t>su</w:t>
      </w:r>
      <w:r>
        <w:rPr>
          <w:spacing w:val="-4"/>
          <w:sz w:val="24"/>
        </w:rPr>
        <w:t> </w:t>
      </w:r>
      <w:r>
        <w:rPr>
          <w:sz w:val="24"/>
        </w:rPr>
        <w:t>gran</w:t>
      </w:r>
      <w:r>
        <w:rPr>
          <w:spacing w:val="-6"/>
          <w:sz w:val="24"/>
        </w:rPr>
        <w:t> </w:t>
      </w:r>
      <w:r>
        <w:rPr>
          <w:sz w:val="24"/>
        </w:rPr>
        <w:t>peso en</w:t>
      </w:r>
      <w:r>
        <w:rPr>
          <w:spacing w:val="-9"/>
          <w:sz w:val="24"/>
        </w:rPr>
        <w:t> </w:t>
      </w:r>
      <w:r>
        <w:rPr>
          <w:sz w:val="24"/>
        </w:rPr>
        <w:t>los</w:t>
      </w:r>
      <w:r>
        <w:rPr>
          <w:spacing w:val="-12"/>
          <w:sz w:val="24"/>
        </w:rPr>
        <w:t> </w:t>
      </w:r>
      <w:r>
        <w:rPr>
          <w:sz w:val="24"/>
        </w:rPr>
        <w:t>ingresos</w:t>
      </w:r>
      <w:r>
        <w:rPr>
          <w:spacing w:val="-10"/>
          <w:sz w:val="24"/>
        </w:rPr>
        <w:t> </w:t>
      </w:r>
      <w:r>
        <w:rPr>
          <w:sz w:val="24"/>
        </w:rPr>
        <w:t>del</w:t>
      </w:r>
      <w:r>
        <w:rPr>
          <w:spacing w:val="-11"/>
          <w:sz w:val="24"/>
        </w:rPr>
        <w:t> </w:t>
      </w:r>
      <w:r>
        <w:rPr>
          <w:sz w:val="24"/>
        </w:rPr>
        <w:t>gobierno,</w:t>
      </w:r>
      <w:r>
        <w:rPr>
          <w:spacing w:val="-10"/>
          <w:sz w:val="24"/>
        </w:rPr>
        <w:t> </w:t>
      </w:r>
      <w:r>
        <w:rPr>
          <w:sz w:val="24"/>
        </w:rPr>
        <w:t>se</w:t>
      </w:r>
      <w:r>
        <w:rPr>
          <w:spacing w:val="-9"/>
          <w:sz w:val="24"/>
        </w:rPr>
        <w:t> </w:t>
      </w:r>
      <w:r>
        <w:rPr>
          <w:sz w:val="24"/>
        </w:rPr>
        <w:t>debe</w:t>
      </w:r>
      <w:r>
        <w:rPr>
          <w:spacing w:val="-12"/>
          <w:sz w:val="24"/>
        </w:rPr>
        <w:t> </w:t>
      </w:r>
      <w:r>
        <w:rPr>
          <w:sz w:val="24"/>
        </w:rPr>
        <w:t>mejorar</w:t>
      </w:r>
      <w:r>
        <w:rPr>
          <w:spacing w:val="-13"/>
          <w:sz w:val="24"/>
        </w:rPr>
        <w:t> </w:t>
      </w:r>
      <w:r>
        <w:rPr>
          <w:sz w:val="24"/>
        </w:rPr>
        <w:t>la</w:t>
      </w:r>
      <w:r>
        <w:rPr>
          <w:spacing w:val="-10"/>
          <w:sz w:val="24"/>
        </w:rPr>
        <w:t> </w:t>
      </w:r>
      <w:r>
        <w:rPr>
          <w:sz w:val="24"/>
        </w:rPr>
        <w:t>capacidad</w:t>
      </w:r>
      <w:r>
        <w:rPr>
          <w:spacing w:val="-9"/>
          <w:sz w:val="24"/>
        </w:rPr>
        <w:t> </w:t>
      </w:r>
      <w:r>
        <w:rPr>
          <w:sz w:val="24"/>
        </w:rPr>
        <w:t>gubernamental para garantizar el uso eficiente de los recursos públicos</w:t>
      </w:r>
      <w:r>
        <w:rPr>
          <w:spacing w:val="-26"/>
          <w:sz w:val="24"/>
        </w:rPr>
        <w:t> </w:t>
      </w:r>
      <w:r>
        <w:rPr>
          <w:sz w:val="24"/>
        </w:rPr>
        <w:t>(economía).</w:t>
      </w:r>
    </w:p>
    <w:p>
      <w:pPr>
        <w:pStyle w:val="ListParagraph"/>
        <w:numPr>
          <w:ilvl w:val="0"/>
          <w:numId w:val="86"/>
        </w:numPr>
        <w:tabs>
          <w:tab w:pos="822" w:val="left" w:leader="none"/>
        </w:tabs>
        <w:spacing w:line="360" w:lineRule="auto" w:before="5" w:after="0"/>
        <w:ind w:left="822" w:right="197" w:hanging="360"/>
        <w:jc w:val="both"/>
        <w:rPr>
          <w:sz w:val="24"/>
        </w:rPr>
      </w:pPr>
      <w:r>
        <w:rPr>
          <w:sz w:val="24"/>
        </w:rPr>
        <w:t>Facilitar la implementación de políticas públicas para atender los problemas sociales y económicos, como la pobreza y el acceso a los servicios básicos de calidad (en salud y educación, por ejemplo), la economía informal y la infraestructura (eficacia y</w:t>
      </w:r>
      <w:r>
        <w:rPr>
          <w:spacing w:val="-18"/>
          <w:sz w:val="24"/>
        </w:rPr>
        <w:t> </w:t>
      </w:r>
      <w:r>
        <w:rPr>
          <w:sz w:val="24"/>
        </w:rPr>
        <w:t>eficiencia).</w:t>
      </w:r>
    </w:p>
    <w:p>
      <w:pPr>
        <w:pStyle w:val="BodyText"/>
      </w:pPr>
    </w:p>
    <w:p>
      <w:pPr>
        <w:pStyle w:val="BodyText"/>
        <w:spacing w:line="360" w:lineRule="auto" w:before="142"/>
        <w:ind w:left="102" w:right="195" w:firstLine="427"/>
        <w:jc w:val="both"/>
      </w:pPr>
      <w:r>
        <w:rPr/>
        <w:t>Un</w:t>
      </w:r>
      <w:r>
        <w:rPr>
          <w:spacing w:val="-15"/>
        </w:rPr>
        <w:t> </w:t>
      </w:r>
      <w:r>
        <w:rPr/>
        <w:t>elemento</w:t>
      </w:r>
      <w:r>
        <w:rPr>
          <w:spacing w:val="-17"/>
        </w:rPr>
        <w:t> </w:t>
      </w:r>
      <w:r>
        <w:rPr/>
        <w:t>clave</w:t>
      </w:r>
      <w:r>
        <w:rPr>
          <w:spacing w:val="-15"/>
        </w:rPr>
        <w:t> </w:t>
      </w:r>
      <w:r>
        <w:rPr/>
        <w:t>de</w:t>
      </w:r>
      <w:r>
        <w:rPr>
          <w:spacing w:val="-15"/>
        </w:rPr>
        <w:t> </w:t>
      </w:r>
      <w:r>
        <w:rPr/>
        <w:t>la</w:t>
      </w:r>
      <w:r>
        <w:rPr>
          <w:spacing w:val="-15"/>
        </w:rPr>
        <w:t> </w:t>
      </w:r>
      <w:r>
        <w:rPr/>
        <w:t>buena</w:t>
      </w:r>
      <w:r>
        <w:rPr>
          <w:spacing w:val="-15"/>
        </w:rPr>
        <w:t> </w:t>
      </w:r>
      <w:r>
        <w:rPr/>
        <w:t>gobernanza,</w:t>
      </w:r>
      <w:r>
        <w:rPr>
          <w:spacing w:val="-15"/>
        </w:rPr>
        <w:t> </w:t>
      </w:r>
      <w:r>
        <w:rPr/>
        <w:t>de</w:t>
      </w:r>
      <w:r>
        <w:rPr>
          <w:spacing w:val="-15"/>
        </w:rPr>
        <w:t> </w:t>
      </w:r>
      <w:r>
        <w:rPr/>
        <w:t>acuerdo</w:t>
      </w:r>
      <w:r>
        <w:rPr>
          <w:spacing w:val="-15"/>
        </w:rPr>
        <w:t> </w:t>
      </w:r>
      <w:r>
        <w:rPr/>
        <w:t>con</w:t>
      </w:r>
      <w:r>
        <w:rPr>
          <w:spacing w:val="-15"/>
        </w:rPr>
        <w:t> </w:t>
      </w:r>
      <w:r>
        <w:rPr/>
        <w:t>la</w:t>
      </w:r>
      <w:r>
        <w:rPr>
          <w:spacing w:val="-15"/>
        </w:rPr>
        <w:t> </w:t>
      </w:r>
      <w:r>
        <w:rPr/>
        <w:t>OCDE,</w:t>
      </w:r>
      <w:r>
        <w:rPr>
          <w:spacing w:val="-15"/>
        </w:rPr>
        <w:t> </w:t>
      </w:r>
      <w:r>
        <w:rPr/>
        <w:t>reside en</w:t>
      </w:r>
      <w:r>
        <w:rPr>
          <w:spacing w:val="-13"/>
        </w:rPr>
        <w:t> </w:t>
      </w:r>
      <w:r>
        <w:rPr/>
        <w:t>contar</w:t>
      </w:r>
      <w:r>
        <w:rPr>
          <w:spacing w:val="-15"/>
        </w:rPr>
        <w:t> </w:t>
      </w:r>
      <w:r>
        <w:rPr/>
        <w:t>con</w:t>
      </w:r>
      <w:r>
        <w:rPr>
          <w:spacing w:val="-13"/>
        </w:rPr>
        <w:t> </w:t>
      </w:r>
      <w:r>
        <w:rPr/>
        <w:t>un</w:t>
      </w:r>
      <w:r>
        <w:rPr>
          <w:spacing w:val="-13"/>
        </w:rPr>
        <w:t> </w:t>
      </w:r>
      <w:r>
        <w:rPr/>
        <w:t>gobierno</w:t>
      </w:r>
      <w:r>
        <w:rPr>
          <w:spacing w:val="-13"/>
        </w:rPr>
        <w:t> </w:t>
      </w:r>
      <w:r>
        <w:rPr/>
        <w:t>que</w:t>
      </w:r>
      <w:r>
        <w:rPr>
          <w:spacing w:val="-13"/>
        </w:rPr>
        <w:t> </w:t>
      </w:r>
      <w:r>
        <w:rPr/>
        <w:t>sea</w:t>
      </w:r>
      <w:r>
        <w:rPr>
          <w:spacing w:val="-13"/>
        </w:rPr>
        <w:t> </w:t>
      </w:r>
      <w:r>
        <w:rPr/>
        <w:t>eficiente</w:t>
      </w:r>
      <w:r>
        <w:rPr>
          <w:spacing w:val="-13"/>
        </w:rPr>
        <w:t> </w:t>
      </w:r>
      <w:r>
        <w:rPr/>
        <w:t>y</w:t>
      </w:r>
      <w:r>
        <w:rPr>
          <w:spacing w:val="-16"/>
        </w:rPr>
        <w:t> </w:t>
      </w:r>
      <w:r>
        <w:rPr/>
        <w:t>eficaz.</w:t>
      </w:r>
      <w:r>
        <w:rPr>
          <w:spacing w:val="-13"/>
        </w:rPr>
        <w:t> </w:t>
      </w:r>
      <w:r>
        <w:rPr/>
        <w:t>Un</w:t>
      </w:r>
      <w:r>
        <w:rPr>
          <w:spacing w:val="-13"/>
        </w:rPr>
        <w:t> </w:t>
      </w:r>
      <w:r>
        <w:rPr/>
        <w:t>gobierno</w:t>
      </w:r>
      <w:r>
        <w:rPr>
          <w:spacing w:val="-13"/>
        </w:rPr>
        <w:t> </w:t>
      </w:r>
      <w:r>
        <w:rPr/>
        <w:t>eficaz</w:t>
      </w:r>
      <w:r>
        <w:rPr>
          <w:spacing w:val="-16"/>
        </w:rPr>
        <w:t> </w:t>
      </w:r>
      <w:r>
        <w:rPr/>
        <w:t>es</w:t>
      </w:r>
      <w:r>
        <w:rPr>
          <w:spacing w:val="-14"/>
        </w:rPr>
        <w:t> </w:t>
      </w:r>
      <w:r>
        <w:rPr/>
        <w:t>aquel cuyos resultados de políticas públicas cumplen con sus objetivos. Al mismo tiempo, un gobierno eficiente es aquel que genera los mayores resultados al menor</w:t>
      </w:r>
      <w:r>
        <w:rPr>
          <w:spacing w:val="-3"/>
        </w:rPr>
        <w:t> </w:t>
      </w:r>
      <w:r>
        <w:rPr/>
        <w:t>costo.</w:t>
      </w:r>
    </w:p>
    <w:p>
      <w:pPr>
        <w:pStyle w:val="BodyText"/>
        <w:spacing w:line="360" w:lineRule="auto" w:before="5"/>
        <w:ind w:left="102" w:right="198" w:firstLine="427"/>
        <w:jc w:val="both"/>
      </w:pPr>
      <w:r>
        <w:rPr/>
        <w:t>Para que un gobierno sea eficaz y eficiente, la OCDE considera que debe trabajar dentro de un marco de lineamientos y reglas. Una aportación muy relevante de la organización, es que, a diferencia del sistema de rendición de cuentas (la cual incluye sanciones por el incumplimiento de una obligación), la OCDE</w:t>
      </w:r>
      <w:r>
        <w:rPr>
          <w:spacing w:val="-12"/>
        </w:rPr>
        <w:t> </w:t>
      </w:r>
      <w:r>
        <w:rPr/>
        <w:t>sugirió</w:t>
      </w:r>
      <w:r>
        <w:rPr>
          <w:spacing w:val="-12"/>
        </w:rPr>
        <w:t> </w:t>
      </w:r>
      <w:r>
        <w:rPr/>
        <w:t>que</w:t>
      </w:r>
      <w:r>
        <w:rPr>
          <w:spacing w:val="-12"/>
        </w:rPr>
        <w:t> </w:t>
      </w:r>
      <w:r>
        <w:rPr/>
        <w:t>el</w:t>
      </w:r>
      <w:r>
        <w:rPr>
          <w:spacing w:val="-13"/>
        </w:rPr>
        <w:t> </w:t>
      </w:r>
      <w:r>
        <w:rPr/>
        <w:t>gobierno</w:t>
      </w:r>
      <w:r>
        <w:rPr>
          <w:spacing w:val="-11"/>
        </w:rPr>
        <w:t> </w:t>
      </w:r>
      <w:r>
        <w:rPr/>
        <w:t>ofrezca</w:t>
      </w:r>
      <w:r>
        <w:rPr>
          <w:spacing w:val="-12"/>
        </w:rPr>
        <w:t> </w:t>
      </w:r>
      <w:r>
        <w:rPr/>
        <w:t>incentivos</w:t>
      </w:r>
      <w:r>
        <w:rPr>
          <w:spacing w:val="-13"/>
        </w:rPr>
        <w:t> </w:t>
      </w:r>
      <w:r>
        <w:rPr/>
        <w:t>a</w:t>
      </w:r>
      <w:r>
        <w:rPr>
          <w:spacing w:val="-12"/>
        </w:rPr>
        <w:t> </w:t>
      </w:r>
      <w:r>
        <w:rPr/>
        <w:t>los</w:t>
      </w:r>
      <w:r>
        <w:rPr>
          <w:spacing w:val="-12"/>
        </w:rPr>
        <w:t> </w:t>
      </w:r>
      <w:r>
        <w:rPr/>
        <w:t>funcionarios</w:t>
      </w:r>
      <w:r>
        <w:rPr>
          <w:spacing w:val="-14"/>
        </w:rPr>
        <w:t> </w:t>
      </w:r>
      <w:r>
        <w:rPr/>
        <w:t>públicos</w:t>
      </w:r>
      <w:r>
        <w:rPr>
          <w:spacing w:val="-13"/>
        </w:rPr>
        <w:t> </w:t>
      </w:r>
      <w:r>
        <w:rPr/>
        <w:t>para que se apeguen a los objetivos establecidos por las políticas públicas, y así garantizar que los resultados estén alineados con las expectativas de la sociedad.</w:t>
      </w:r>
    </w:p>
    <w:p>
      <w:pPr>
        <w:pStyle w:val="BodyText"/>
        <w:spacing w:line="360" w:lineRule="auto" w:before="5"/>
        <w:ind w:left="102" w:right="196" w:firstLine="427"/>
        <w:jc w:val="both"/>
      </w:pPr>
      <w:r>
        <w:rPr/>
        <w:t>La</w:t>
      </w:r>
      <w:r>
        <w:rPr>
          <w:spacing w:val="-12"/>
        </w:rPr>
        <w:t> </w:t>
      </w:r>
      <w:r>
        <w:rPr/>
        <w:t>organización</w:t>
      </w:r>
      <w:r>
        <w:rPr>
          <w:spacing w:val="-7"/>
        </w:rPr>
        <w:t> </w:t>
      </w:r>
      <w:r>
        <w:rPr/>
        <w:t>también</w:t>
      </w:r>
      <w:r>
        <w:rPr>
          <w:spacing w:val="-9"/>
        </w:rPr>
        <w:t> </w:t>
      </w:r>
      <w:r>
        <w:rPr/>
        <w:t>consideró</w:t>
      </w:r>
      <w:r>
        <w:rPr>
          <w:spacing w:val="-8"/>
        </w:rPr>
        <w:t> </w:t>
      </w:r>
      <w:r>
        <w:rPr/>
        <w:t>que</w:t>
      </w:r>
      <w:r>
        <w:rPr>
          <w:spacing w:val="-12"/>
        </w:rPr>
        <w:t> </w:t>
      </w:r>
      <w:r>
        <w:rPr/>
        <w:t>el</w:t>
      </w:r>
      <w:r>
        <w:rPr>
          <w:spacing w:val="-13"/>
        </w:rPr>
        <w:t> </w:t>
      </w:r>
      <w:r>
        <w:rPr/>
        <w:t>reto</w:t>
      </w:r>
      <w:r>
        <w:rPr>
          <w:spacing w:val="-9"/>
        </w:rPr>
        <w:t> </w:t>
      </w:r>
      <w:r>
        <w:rPr/>
        <w:t>que</w:t>
      </w:r>
      <w:r>
        <w:rPr>
          <w:spacing w:val="-12"/>
        </w:rPr>
        <w:t> </w:t>
      </w:r>
      <w:r>
        <w:rPr/>
        <w:t>México</w:t>
      </w:r>
      <w:r>
        <w:rPr>
          <w:spacing w:val="-10"/>
        </w:rPr>
        <w:t> </w:t>
      </w:r>
      <w:r>
        <w:rPr/>
        <w:t>enfrenta</w:t>
      </w:r>
      <w:r>
        <w:rPr>
          <w:spacing w:val="-14"/>
        </w:rPr>
        <w:t> </w:t>
      </w:r>
      <w:r>
        <w:rPr/>
        <w:t>ahora</w:t>
      </w:r>
      <w:r>
        <w:rPr>
          <w:spacing w:val="-12"/>
        </w:rPr>
        <w:t> </w:t>
      </w:r>
      <w:r>
        <w:rPr/>
        <w:t>es garantizar que los manuales se conviertan en las herramientas que efectivamente orienten y determinen el marco regulatorio interno del gobierno y se conviertan en un pilar de la buena gobernanza. Advirtió que, aunque el gobierno federal ha adoptado sus recomendaciones, la agenda de largo plazo deberá trascender los cambios presidenciales, por lo que los estudios regulatorios</w:t>
      </w:r>
      <w:r>
        <w:rPr>
          <w:spacing w:val="-13"/>
        </w:rPr>
        <w:t> </w:t>
      </w:r>
      <w:r>
        <w:rPr/>
        <w:t>no</w:t>
      </w:r>
      <w:r>
        <w:rPr>
          <w:spacing w:val="-14"/>
        </w:rPr>
        <w:t> </w:t>
      </w:r>
      <w:r>
        <w:rPr/>
        <w:t>deben</w:t>
      </w:r>
      <w:r>
        <w:rPr>
          <w:spacing w:val="-14"/>
        </w:rPr>
        <w:t> </w:t>
      </w:r>
      <w:r>
        <w:rPr/>
        <w:t>ser</w:t>
      </w:r>
      <w:r>
        <w:rPr>
          <w:spacing w:val="-13"/>
        </w:rPr>
        <w:t> </w:t>
      </w:r>
      <w:r>
        <w:rPr/>
        <w:t>realizados</w:t>
      </w:r>
      <w:r>
        <w:rPr>
          <w:spacing w:val="-13"/>
        </w:rPr>
        <w:t> </w:t>
      </w:r>
      <w:r>
        <w:rPr/>
        <w:t>una</w:t>
      </w:r>
      <w:r>
        <w:rPr>
          <w:spacing w:val="-14"/>
        </w:rPr>
        <w:t> </w:t>
      </w:r>
      <w:r>
        <w:rPr/>
        <w:t>sola</w:t>
      </w:r>
      <w:r>
        <w:rPr>
          <w:spacing w:val="-14"/>
        </w:rPr>
        <w:t> </w:t>
      </w:r>
      <w:r>
        <w:rPr/>
        <w:t>vez,</w:t>
      </w:r>
      <w:r>
        <w:rPr>
          <w:spacing w:val="-12"/>
        </w:rPr>
        <w:t> </w:t>
      </w:r>
      <w:r>
        <w:rPr/>
        <w:t>sino</w:t>
      </w:r>
      <w:r>
        <w:rPr>
          <w:spacing w:val="-11"/>
        </w:rPr>
        <w:t> </w:t>
      </w:r>
      <w:r>
        <w:rPr/>
        <w:t>un</w:t>
      </w:r>
      <w:r>
        <w:rPr>
          <w:spacing w:val="-12"/>
        </w:rPr>
        <w:t> </w:t>
      </w:r>
      <w:r>
        <w:rPr/>
        <w:t>elemento</w:t>
      </w:r>
      <w:r>
        <w:rPr>
          <w:spacing w:val="-14"/>
        </w:rPr>
        <w:t> </w:t>
      </w:r>
      <w:r>
        <w:rPr/>
        <w:t>permanente de la gobernanza pública</w:t>
      </w:r>
      <w:r>
        <w:rPr>
          <w:spacing w:val="-15"/>
        </w:rPr>
        <w:t> </w:t>
      </w:r>
      <w:r>
        <w:rPr/>
        <w:t>adecuada.</w:t>
      </w:r>
    </w:p>
    <w:p>
      <w:pPr>
        <w:pStyle w:val="BodyText"/>
        <w:spacing w:line="360" w:lineRule="auto" w:before="2"/>
        <w:ind w:left="102" w:right="196" w:firstLine="427"/>
        <w:jc w:val="both"/>
      </w:pPr>
      <w:r>
        <w:rPr/>
        <w:t>La</w:t>
      </w:r>
      <w:r>
        <w:rPr>
          <w:spacing w:val="-5"/>
        </w:rPr>
        <w:t> </w:t>
      </w:r>
      <w:r>
        <w:rPr/>
        <w:t>OCDE</w:t>
      </w:r>
      <w:r>
        <w:rPr>
          <w:spacing w:val="-5"/>
        </w:rPr>
        <w:t> </w:t>
      </w:r>
      <w:r>
        <w:rPr/>
        <w:t>mencionó</w:t>
      </w:r>
      <w:r>
        <w:rPr>
          <w:spacing w:val="-3"/>
        </w:rPr>
        <w:t> </w:t>
      </w:r>
      <w:r>
        <w:rPr/>
        <w:t>que</w:t>
      </w:r>
      <w:r>
        <w:rPr>
          <w:spacing w:val="-5"/>
        </w:rPr>
        <w:t> </w:t>
      </w:r>
      <w:r>
        <w:rPr/>
        <w:t>la</w:t>
      </w:r>
      <w:r>
        <w:rPr>
          <w:spacing w:val="-4"/>
        </w:rPr>
        <w:t> </w:t>
      </w:r>
      <w:r>
        <w:rPr/>
        <w:t>gobernanza</w:t>
      </w:r>
      <w:r>
        <w:rPr>
          <w:spacing w:val="-5"/>
        </w:rPr>
        <w:t> </w:t>
      </w:r>
      <w:r>
        <w:rPr/>
        <w:t>requiere</w:t>
      </w:r>
      <w:r>
        <w:rPr>
          <w:spacing w:val="-5"/>
        </w:rPr>
        <w:t> </w:t>
      </w:r>
      <w:r>
        <w:rPr/>
        <w:t>de</w:t>
      </w:r>
      <w:r>
        <w:rPr>
          <w:spacing w:val="-7"/>
        </w:rPr>
        <w:t> </w:t>
      </w:r>
      <w:r>
        <w:rPr/>
        <w:t>una</w:t>
      </w:r>
      <w:r>
        <w:rPr>
          <w:spacing w:val="-5"/>
        </w:rPr>
        <w:t> </w:t>
      </w:r>
      <w:r>
        <w:rPr/>
        <w:t>visión</w:t>
      </w:r>
      <w:r>
        <w:rPr>
          <w:spacing w:val="-5"/>
        </w:rPr>
        <w:t> </w:t>
      </w:r>
      <w:r>
        <w:rPr/>
        <w:t>prospectiva</w:t>
      </w:r>
      <w:r>
        <w:rPr>
          <w:spacing w:val="-5"/>
        </w:rPr>
        <w:t> </w:t>
      </w:r>
      <w:r>
        <w:rPr/>
        <w:t>y una visión estratégica clara, en la cual el SPC debe responder a la orientación futura del gobierno y sus prioridades. También consideró que el Servicio de Carrera contribuirá a fortalecer la rendición de cuentas, ya que se orienta a la administración eficiente del gobierno y, sobre todo presentar</w:t>
      </w:r>
      <w:r>
        <w:rPr>
          <w:spacing w:val="-22"/>
        </w:rPr>
        <w:t> </w:t>
      </w:r>
      <w:r>
        <w:rPr/>
        <w:t>resultados.</w:t>
      </w:r>
    </w:p>
    <w:p>
      <w:pPr>
        <w:spacing w:after="0" w:line="360" w:lineRule="auto"/>
        <w:jc w:val="both"/>
        <w:sectPr>
          <w:pgSz w:w="11910" w:h="16840"/>
          <w:pgMar w:header="0" w:footer="1003" w:top="1340" w:bottom="1200" w:left="1600" w:right="1500"/>
        </w:sectPr>
      </w:pPr>
    </w:p>
    <w:p>
      <w:pPr>
        <w:pStyle w:val="BodyText"/>
        <w:spacing w:line="360" w:lineRule="auto" w:before="53"/>
        <w:ind w:left="102" w:right="196" w:firstLine="427"/>
        <w:jc w:val="right"/>
      </w:pPr>
      <w:r>
        <w:rPr/>
        <w:t>La</w:t>
      </w:r>
      <w:r>
        <w:rPr>
          <w:spacing w:val="51"/>
        </w:rPr>
        <w:t> </w:t>
      </w:r>
      <w:r>
        <w:rPr/>
        <w:t>OCDE</w:t>
      </w:r>
      <w:r>
        <w:rPr>
          <w:spacing w:val="53"/>
        </w:rPr>
        <w:t> </w:t>
      </w:r>
      <w:r>
        <w:rPr/>
        <w:t>(2012)</w:t>
      </w:r>
      <w:r>
        <w:rPr>
          <w:spacing w:val="49"/>
        </w:rPr>
        <w:t> </w:t>
      </w:r>
      <w:r>
        <w:rPr/>
        <w:t>publicó</w:t>
      </w:r>
      <w:r>
        <w:rPr>
          <w:spacing w:val="53"/>
        </w:rPr>
        <w:t> </w:t>
      </w:r>
      <w:r>
        <w:rPr/>
        <w:t>en</w:t>
      </w:r>
      <w:r>
        <w:rPr>
          <w:spacing w:val="51"/>
        </w:rPr>
        <w:t> </w:t>
      </w:r>
      <w:r>
        <w:rPr/>
        <w:t>septiembre</w:t>
      </w:r>
      <w:r>
        <w:rPr>
          <w:spacing w:val="50"/>
        </w:rPr>
        <w:t> </w:t>
      </w:r>
      <w:r>
        <w:rPr/>
        <w:t>de</w:t>
      </w:r>
      <w:r>
        <w:rPr>
          <w:spacing w:val="51"/>
        </w:rPr>
        <w:t> </w:t>
      </w:r>
      <w:r>
        <w:rPr/>
        <w:t>2012</w:t>
      </w:r>
      <w:r>
        <w:rPr>
          <w:spacing w:val="51"/>
        </w:rPr>
        <w:t> </w:t>
      </w:r>
      <w:r>
        <w:rPr/>
        <w:t>el</w:t>
      </w:r>
      <w:r>
        <w:rPr>
          <w:spacing w:val="49"/>
        </w:rPr>
        <w:t> </w:t>
      </w:r>
      <w:r>
        <w:rPr/>
        <w:t>documento</w:t>
      </w:r>
      <w:r>
        <w:rPr>
          <w:spacing w:val="56"/>
        </w:rPr>
        <w:t> </w:t>
      </w:r>
      <w:r>
        <w:rPr>
          <w:i/>
        </w:rPr>
        <w:t>México,</w:t>
      </w:r>
      <w:r>
        <w:rPr>
          <w:i/>
          <w:w w:val="99"/>
        </w:rPr>
        <w:t> </w:t>
      </w:r>
      <w:r>
        <w:rPr>
          <w:i/>
        </w:rPr>
        <w:t>mejores</w:t>
      </w:r>
      <w:r>
        <w:rPr>
          <w:i/>
          <w:spacing w:val="22"/>
        </w:rPr>
        <w:t> </w:t>
      </w:r>
      <w:r>
        <w:rPr>
          <w:i/>
        </w:rPr>
        <w:t>políticas</w:t>
      </w:r>
      <w:r>
        <w:rPr>
          <w:i/>
          <w:spacing w:val="22"/>
        </w:rPr>
        <w:t> </w:t>
      </w:r>
      <w:r>
        <w:rPr>
          <w:i/>
        </w:rPr>
        <w:t>para</w:t>
      </w:r>
      <w:r>
        <w:rPr>
          <w:i/>
          <w:spacing w:val="20"/>
        </w:rPr>
        <w:t> </w:t>
      </w:r>
      <w:r>
        <w:rPr>
          <w:i/>
        </w:rPr>
        <w:t>un</w:t>
      </w:r>
      <w:r>
        <w:rPr>
          <w:i/>
          <w:spacing w:val="20"/>
        </w:rPr>
        <w:t> </w:t>
      </w:r>
      <w:r>
        <w:rPr>
          <w:i/>
        </w:rPr>
        <w:t>desarrollo</w:t>
      </w:r>
      <w:r>
        <w:rPr>
          <w:i/>
          <w:spacing w:val="23"/>
        </w:rPr>
        <w:t> </w:t>
      </w:r>
      <w:r>
        <w:rPr>
          <w:i/>
        </w:rPr>
        <w:t>incluyente</w:t>
      </w:r>
      <w:r>
        <w:rPr/>
        <w:t>,</w:t>
      </w:r>
      <w:r>
        <w:rPr>
          <w:spacing w:val="20"/>
        </w:rPr>
        <w:t> </w:t>
      </w:r>
      <w:r>
        <w:rPr/>
        <w:t>en</w:t>
      </w:r>
      <w:r>
        <w:rPr>
          <w:spacing w:val="20"/>
        </w:rPr>
        <w:t> </w:t>
      </w:r>
      <w:r>
        <w:rPr/>
        <w:t>el</w:t>
      </w:r>
      <w:r>
        <w:rPr>
          <w:spacing w:val="21"/>
        </w:rPr>
        <w:t> </w:t>
      </w:r>
      <w:r>
        <w:rPr/>
        <w:t>cual</w:t>
      </w:r>
      <w:r>
        <w:rPr>
          <w:spacing w:val="21"/>
        </w:rPr>
        <w:t> </w:t>
      </w:r>
      <w:r>
        <w:rPr/>
        <w:t>reconoce</w:t>
      </w:r>
      <w:r>
        <w:rPr>
          <w:spacing w:val="23"/>
        </w:rPr>
        <w:t> </w:t>
      </w:r>
      <w:r>
        <w:rPr/>
        <w:t>que</w:t>
      </w:r>
      <w:r>
        <w:rPr>
          <w:spacing w:val="23"/>
        </w:rPr>
        <w:t> </w:t>
      </w:r>
      <w:r>
        <w:rPr/>
        <w:t>en</w:t>
      </w:r>
      <w:r>
        <w:rPr>
          <w:spacing w:val="20"/>
        </w:rPr>
        <w:t> </w:t>
      </w:r>
      <w:r>
        <w:rPr/>
        <w:t>el</w:t>
      </w:r>
      <w:r>
        <w:rPr>
          <w:w w:val="99"/>
        </w:rPr>
        <w:t> </w:t>
      </w:r>
      <w:r>
        <w:rPr/>
        <w:t>país se han realizado reformas para eficientar la administración</w:t>
      </w:r>
      <w:r>
        <w:rPr>
          <w:spacing w:val="37"/>
        </w:rPr>
        <w:t> </w:t>
      </w:r>
      <w:r>
        <w:rPr/>
        <w:t>pública</w:t>
      </w:r>
      <w:r>
        <w:rPr>
          <w:spacing w:val="5"/>
        </w:rPr>
        <w:t> </w:t>
      </w:r>
      <w:r>
        <w:rPr/>
        <w:t>y aumentar el impacto de las políticas públicas, entre ellas, se</w:t>
      </w:r>
      <w:r>
        <w:rPr>
          <w:spacing w:val="26"/>
        </w:rPr>
        <w:t> </w:t>
      </w:r>
      <w:r>
        <w:rPr/>
        <w:t>han</w:t>
      </w:r>
      <w:r>
        <w:rPr>
          <w:spacing w:val="3"/>
        </w:rPr>
        <w:t> </w:t>
      </w:r>
      <w:r>
        <w:rPr/>
        <w:t>implementado</w:t>
      </w:r>
      <w:r>
        <w:rPr>
          <w:w w:val="99"/>
        </w:rPr>
        <w:t> </w:t>
      </w:r>
      <w:r>
        <w:rPr/>
        <w:t>medidas para evitar la corrupción. El documento afirmó que se requiere</w:t>
      </w:r>
      <w:r>
        <w:rPr>
          <w:spacing w:val="37"/>
        </w:rPr>
        <w:t> </w:t>
      </w:r>
      <w:r>
        <w:rPr/>
        <w:t>de</w:t>
      </w:r>
      <w:r>
        <w:rPr>
          <w:spacing w:val="12"/>
        </w:rPr>
        <w:t> </w:t>
      </w:r>
      <w:r>
        <w:rPr/>
        <w:t>un</w:t>
      </w:r>
      <w:r>
        <w:rPr>
          <w:w w:val="99"/>
        </w:rPr>
        <w:t> </w:t>
      </w:r>
      <w:r>
        <w:rPr/>
        <w:t>respaldo</w:t>
      </w:r>
      <w:r>
        <w:rPr>
          <w:spacing w:val="-20"/>
        </w:rPr>
        <w:t> </w:t>
      </w:r>
      <w:r>
        <w:rPr/>
        <w:t>político</w:t>
      </w:r>
      <w:r>
        <w:rPr>
          <w:spacing w:val="-20"/>
        </w:rPr>
        <w:t> </w:t>
      </w:r>
      <w:r>
        <w:rPr/>
        <w:t>fuerte</w:t>
      </w:r>
      <w:r>
        <w:rPr>
          <w:spacing w:val="-20"/>
        </w:rPr>
        <w:t> </w:t>
      </w:r>
      <w:r>
        <w:rPr/>
        <w:t>y</w:t>
      </w:r>
      <w:r>
        <w:rPr>
          <w:spacing w:val="-21"/>
        </w:rPr>
        <w:t> </w:t>
      </w:r>
      <w:r>
        <w:rPr/>
        <w:t>congruente</w:t>
      </w:r>
      <w:r>
        <w:rPr>
          <w:spacing w:val="-18"/>
        </w:rPr>
        <w:t> </w:t>
      </w:r>
      <w:r>
        <w:rPr/>
        <w:t>para</w:t>
      </w:r>
      <w:r>
        <w:rPr>
          <w:spacing w:val="-19"/>
        </w:rPr>
        <w:t> </w:t>
      </w:r>
      <w:r>
        <w:rPr/>
        <w:t>que</w:t>
      </w:r>
      <w:r>
        <w:rPr>
          <w:spacing w:val="-20"/>
        </w:rPr>
        <w:t> </w:t>
      </w:r>
      <w:r>
        <w:rPr/>
        <w:t>la</w:t>
      </w:r>
      <w:r>
        <w:rPr>
          <w:spacing w:val="-18"/>
        </w:rPr>
        <w:t> </w:t>
      </w:r>
      <w:r>
        <w:rPr/>
        <w:t>legislación</w:t>
      </w:r>
      <w:r>
        <w:rPr>
          <w:spacing w:val="-18"/>
        </w:rPr>
        <w:t> </w:t>
      </w:r>
      <w:r>
        <w:rPr/>
        <w:t>se</w:t>
      </w:r>
      <w:r>
        <w:rPr>
          <w:spacing w:val="-18"/>
        </w:rPr>
        <w:t> </w:t>
      </w:r>
      <w:r>
        <w:rPr/>
        <w:t>ponga</w:t>
      </w:r>
      <w:r>
        <w:rPr>
          <w:spacing w:val="-18"/>
        </w:rPr>
        <w:t> </w:t>
      </w:r>
      <w:r>
        <w:rPr/>
        <w:t>en</w:t>
      </w:r>
      <w:r>
        <w:rPr>
          <w:spacing w:val="-18"/>
        </w:rPr>
        <w:t> </w:t>
      </w:r>
      <w:r>
        <w:rPr/>
        <w:t>práctica.</w:t>
      </w:r>
    </w:p>
    <w:p>
      <w:pPr>
        <w:pStyle w:val="BodyText"/>
      </w:pPr>
    </w:p>
    <w:p>
      <w:pPr>
        <w:pStyle w:val="BodyText"/>
        <w:spacing w:line="360" w:lineRule="auto" w:before="142"/>
        <w:ind w:left="102" w:right="197" w:firstLine="427"/>
        <w:jc w:val="both"/>
      </w:pPr>
      <w:r>
        <w:rPr/>
        <w:t>Entre las sugerencias más destacadas de la OCDE en este tema se encuentra el fortalecer la eficiencia y efectividad de la rendición de cuentas en las entidades federativas.</w:t>
      </w:r>
    </w:p>
    <w:p>
      <w:pPr>
        <w:pStyle w:val="BodyText"/>
        <w:spacing w:line="360" w:lineRule="auto" w:before="2"/>
        <w:ind w:left="102" w:right="197" w:firstLine="427"/>
        <w:jc w:val="both"/>
      </w:pPr>
      <w:r>
        <w:rPr/>
        <w:t>Nuevamente la OCDE destacó la importancia de profesionalizar el servicio público, ya que consideró que éste fomenta el diseño e implementación de políticas públicas adecuadas, la rendición de cuentas y la transparencia. Afirmó que el buen gobierno requiere administraciones proactivas con una visión estratégica clara.</w:t>
      </w:r>
    </w:p>
    <w:p>
      <w:pPr>
        <w:pStyle w:val="BodyText"/>
        <w:spacing w:line="360" w:lineRule="auto" w:before="5"/>
        <w:ind w:left="102" w:right="202" w:firstLine="427"/>
        <w:jc w:val="both"/>
      </w:pPr>
      <w:r>
        <w:rPr/>
        <w:t>La OCDE mencionó que la gestión de riesgos destaca los beneficios de la coordinación</w:t>
      </w:r>
      <w:r>
        <w:rPr>
          <w:spacing w:val="-5"/>
        </w:rPr>
        <w:t> </w:t>
      </w:r>
      <w:r>
        <w:rPr/>
        <w:t>de</w:t>
      </w:r>
      <w:r>
        <w:rPr>
          <w:spacing w:val="-5"/>
        </w:rPr>
        <w:t> </w:t>
      </w:r>
      <w:r>
        <w:rPr/>
        <w:t>las</w:t>
      </w:r>
      <w:r>
        <w:rPr>
          <w:spacing w:val="-7"/>
        </w:rPr>
        <w:t> </w:t>
      </w:r>
      <w:r>
        <w:rPr/>
        <w:t>políticas</w:t>
      </w:r>
      <w:r>
        <w:rPr>
          <w:spacing w:val="-5"/>
        </w:rPr>
        <w:t> </w:t>
      </w:r>
      <w:r>
        <w:rPr/>
        <w:t>públicas.</w:t>
      </w:r>
      <w:r>
        <w:rPr>
          <w:spacing w:val="-5"/>
        </w:rPr>
        <w:t> </w:t>
      </w:r>
      <w:r>
        <w:rPr/>
        <w:t>Consideró</w:t>
      </w:r>
      <w:r>
        <w:rPr>
          <w:spacing w:val="-5"/>
        </w:rPr>
        <w:t> </w:t>
      </w:r>
      <w:r>
        <w:rPr/>
        <w:t>necesario</w:t>
      </w:r>
      <w:r>
        <w:rPr>
          <w:spacing w:val="-5"/>
        </w:rPr>
        <w:t> </w:t>
      </w:r>
      <w:r>
        <w:rPr/>
        <w:t>que</w:t>
      </w:r>
      <w:r>
        <w:rPr>
          <w:spacing w:val="-7"/>
        </w:rPr>
        <w:t> </w:t>
      </w:r>
      <w:r>
        <w:rPr/>
        <w:t>las</w:t>
      </w:r>
      <w:r>
        <w:rPr>
          <w:spacing w:val="-5"/>
        </w:rPr>
        <w:t> </w:t>
      </w:r>
      <w:r>
        <w:rPr/>
        <w:t>instituciones realicen acciones congruentes entre sí, como un centro fuerte y una buena coordinación entre los distintos niveles de</w:t>
      </w:r>
      <w:r>
        <w:rPr>
          <w:spacing w:val="-20"/>
        </w:rPr>
        <w:t> </w:t>
      </w:r>
      <w:r>
        <w:rPr/>
        <w:t>gobierno.</w:t>
      </w:r>
    </w:p>
    <w:p>
      <w:pPr>
        <w:pStyle w:val="BodyText"/>
        <w:spacing w:line="360" w:lineRule="auto" w:before="5"/>
        <w:ind w:left="102" w:right="104" w:firstLine="427"/>
        <w:jc w:val="both"/>
      </w:pPr>
      <w:r>
        <w:rPr/>
        <w:t>El fin último de la rendición de cuentas para el Estado es el lograr su legitimidad</w:t>
      </w:r>
      <w:r>
        <w:rPr>
          <w:spacing w:val="-5"/>
        </w:rPr>
        <w:t> </w:t>
      </w:r>
      <w:r>
        <w:rPr/>
        <w:t>y</w:t>
      </w:r>
      <w:r>
        <w:rPr>
          <w:spacing w:val="-7"/>
        </w:rPr>
        <w:t> </w:t>
      </w:r>
      <w:r>
        <w:rPr/>
        <w:t>avanzar</w:t>
      </w:r>
      <w:r>
        <w:rPr>
          <w:spacing w:val="-6"/>
        </w:rPr>
        <w:t> </w:t>
      </w:r>
      <w:r>
        <w:rPr/>
        <w:t>hacia</w:t>
      </w:r>
      <w:r>
        <w:rPr>
          <w:spacing w:val="-5"/>
        </w:rPr>
        <w:t> </w:t>
      </w:r>
      <w:r>
        <w:rPr/>
        <w:t>la</w:t>
      </w:r>
      <w:r>
        <w:rPr>
          <w:spacing w:val="-6"/>
        </w:rPr>
        <w:t> </w:t>
      </w:r>
      <w:r>
        <w:rPr/>
        <w:t>democracia</w:t>
      </w:r>
      <w:r>
        <w:rPr>
          <w:spacing w:val="-5"/>
        </w:rPr>
        <w:t> </w:t>
      </w:r>
      <w:r>
        <w:rPr/>
        <w:t>(mediante</w:t>
      </w:r>
      <w:r>
        <w:rPr>
          <w:spacing w:val="-6"/>
        </w:rPr>
        <w:t> </w:t>
      </w:r>
      <w:r>
        <w:rPr/>
        <w:t>atender</w:t>
      </w:r>
      <w:r>
        <w:rPr>
          <w:spacing w:val="-6"/>
        </w:rPr>
        <w:t> </w:t>
      </w:r>
      <w:r>
        <w:rPr/>
        <w:t>de</w:t>
      </w:r>
      <w:r>
        <w:rPr>
          <w:spacing w:val="-8"/>
        </w:rPr>
        <w:t> </w:t>
      </w:r>
      <w:r>
        <w:rPr/>
        <w:t>forma</w:t>
      </w:r>
      <w:r>
        <w:rPr>
          <w:spacing w:val="-6"/>
        </w:rPr>
        <w:t> </w:t>
      </w:r>
      <w:r>
        <w:rPr/>
        <w:t>eficiente</w:t>
      </w:r>
      <w:r>
        <w:rPr>
          <w:spacing w:val="-6"/>
        </w:rPr>
        <w:t> </w:t>
      </w:r>
      <w:r>
        <w:rPr/>
        <w:t>y eficaz las necesidades de la población), mientras que para la sociedad es el avanzar hacia un desarrollo humano integral. Para ambos fines (estatales y sociales), es necesario que la fiscalización se oriente evaluar los impactos estructurales de las políticas públicas y con ello eliminar la fragmentación de su implementación.</w:t>
      </w:r>
    </w:p>
    <w:p>
      <w:pPr>
        <w:pStyle w:val="BodyText"/>
        <w:spacing w:line="360" w:lineRule="auto" w:before="2"/>
        <w:ind w:left="102" w:right="294" w:firstLine="427"/>
        <w:jc w:val="both"/>
      </w:pPr>
      <w:r>
        <w:rPr/>
        <w:t>Si</w:t>
      </w:r>
      <w:r>
        <w:rPr>
          <w:spacing w:val="-18"/>
        </w:rPr>
        <w:t> </w:t>
      </w:r>
      <w:r>
        <w:rPr/>
        <w:t>se</w:t>
      </w:r>
      <w:r>
        <w:rPr>
          <w:spacing w:val="-17"/>
        </w:rPr>
        <w:t> </w:t>
      </w:r>
      <w:r>
        <w:rPr/>
        <w:t>tiene</w:t>
      </w:r>
      <w:r>
        <w:rPr>
          <w:spacing w:val="-17"/>
        </w:rPr>
        <w:t> </w:t>
      </w:r>
      <w:r>
        <w:rPr/>
        <w:t>en</w:t>
      </w:r>
      <w:r>
        <w:rPr>
          <w:spacing w:val="-17"/>
        </w:rPr>
        <w:t> </w:t>
      </w:r>
      <w:r>
        <w:rPr/>
        <w:t>cuenta</w:t>
      </w:r>
      <w:r>
        <w:rPr>
          <w:spacing w:val="-16"/>
        </w:rPr>
        <w:t> </w:t>
      </w:r>
      <w:r>
        <w:rPr/>
        <w:t>que</w:t>
      </w:r>
      <w:r>
        <w:rPr>
          <w:spacing w:val="-17"/>
        </w:rPr>
        <w:t> </w:t>
      </w:r>
      <w:r>
        <w:rPr/>
        <w:t>cada</w:t>
      </w:r>
      <w:r>
        <w:rPr>
          <w:spacing w:val="-17"/>
        </w:rPr>
        <w:t> </w:t>
      </w:r>
      <w:r>
        <w:rPr/>
        <w:t>habitante</w:t>
      </w:r>
      <w:r>
        <w:rPr>
          <w:spacing w:val="-19"/>
        </w:rPr>
        <w:t> </w:t>
      </w:r>
      <w:r>
        <w:rPr/>
        <w:t>de</w:t>
      </w:r>
      <w:r>
        <w:rPr>
          <w:spacing w:val="-17"/>
        </w:rPr>
        <w:t> </w:t>
      </w:r>
      <w:r>
        <w:rPr/>
        <w:t>México</w:t>
      </w:r>
      <w:r>
        <w:rPr>
          <w:spacing w:val="-17"/>
        </w:rPr>
        <w:t> </w:t>
      </w:r>
      <w:r>
        <w:rPr/>
        <w:t>pertenece</w:t>
      </w:r>
      <w:r>
        <w:rPr>
          <w:spacing w:val="-17"/>
        </w:rPr>
        <w:t> </w:t>
      </w:r>
      <w:r>
        <w:rPr/>
        <w:t>a</w:t>
      </w:r>
      <w:r>
        <w:rPr>
          <w:spacing w:val="-17"/>
        </w:rPr>
        <w:t> </w:t>
      </w:r>
      <w:r>
        <w:rPr/>
        <w:t>una</w:t>
      </w:r>
      <w:r>
        <w:rPr>
          <w:spacing w:val="-19"/>
        </w:rPr>
        <w:t> </w:t>
      </w:r>
      <w:r>
        <w:rPr/>
        <w:t>entidad federativa</w:t>
      </w:r>
      <w:r>
        <w:rPr>
          <w:spacing w:val="-8"/>
        </w:rPr>
        <w:t> </w:t>
      </w:r>
      <w:r>
        <w:rPr/>
        <w:t>(y</w:t>
      </w:r>
      <w:r>
        <w:rPr>
          <w:spacing w:val="-12"/>
        </w:rPr>
        <w:t> </w:t>
      </w:r>
      <w:r>
        <w:rPr/>
        <w:t>el</w:t>
      </w:r>
      <w:r>
        <w:rPr>
          <w:spacing w:val="-10"/>
        </w:rPr>
        <w:t> </w:t>
      </w:r>
      <w:r>
        <w:rPr/>
        <w:t>D.F.)</w:t>
      </w:r>
      <w:r>
        <w:rPr>
          <w:spacing w:val="-7"/>
        </w:rPr>
        <w:t> </w:t>
      </w:r>
      <w:r>
        <w:rPr/>
        <w:t>y</w:t>
      </w:r>
      <w:r>
        <w:rPr>
          <w:spacing w:val="-9"/>
        </w:rPr>
        <w:t> </w:t>
      </w:r>
      <w:r>
        <w:rPr/>
        <w:t>a</w:t>
      </w:r>
      <w:r>
        <w:rPr>
          <w:spacing w:val="-8"/>
        </w:rPr>
        <w:t> </w:t>
      </w:r>
      <w:r>
        <w:rPr/>
        <w:t>un</w:t>
      </w:r>
      <w:r>
        <w:rPr>
          <w:spacing w:val="-11"/>
        </w:rPr>
        <w:t> </w:t>
      </w:r>
      <w:r>
        <w:rPr/>
        <w:t>municipio</w:t>
      </w:r>
      <w:r>
        <w:rPr>
          <w:spacing w:val="-8"/>
        </w:rPr>
        <w:t> </w:t>
      </w:r>
      <w:r>
        <w:rPr/>
        <w:t>(o</w:t>
      </w:r>
      <w:r>
        <w:rPr>
          <w:spacing w:val="-9"/>
        </w:rPr>
        <w:t> </w:t>
      </w:r>
      <w:r>
        <w:rPr/>
        <w:t>demarcación</w:t>
      </w:r>
      <w:r>
        <w:rPr>
          <w:spacing w:val="-8"/>
        </w:rPr>
        <w:t> </w:t>
      </w:r>
      <w:r>
        <w:rPr/>
        <w:t>territorial),</w:t>
      </w:r>
      <w:r>
        <w:rPr>
          <w:spacing w:val="-9"/>
        </w:rPr>
        <w:t> </w:t>
      </w:r>
      <w:r>
        <w:rPr/>
        <w:t>el</w:t>
      </w:r>
      <w:r>
        <w:rPr>
          <w:spacing w:val="-10"/>
        </w:rPr>
        <w:t> </w:t>
      </w:r>
      <w:r>
        <w:rPr/>
        <w:t>problema</w:t>
      </w:r>
      <w:r>
        <w:rPr>
          <w:spacing w:val="-8"/>
        </w:rPr>
        <w:t> </w:t>
      </w:r>
      <w:r>
        <w:rPr/>
        <w:t>de tener una rendición de cuentas laxa implica que la implementación de las políticas públicas está desatendiendo las necesidades de la población, lo que repercute en una baja calidad de vida de la</w:t>
      </w:r>
      <w:r>
        <w:rPr>
          <w:spacing w:val="-15"/>
        </w:rPr>
        <w:t> </w:t>
      </w:r>
      <w:r>
        <w:rPr/>
        <w:t>sociedad.</w:t>
      </w:r>
    </w:p>
    <w:p>
      <w:pPr>
        <w:spacing w:after="0" w:line="360" w:lineRule="auto"/>
        <w:jc w:val="both"/>
        <w:sectPr>
          <w:pgSz w:w="11910" w:h="16840"/>
          <w:pgMar w:header="0" w:footer="1003" w:top="1340" w:bottom="1200" w:left="1600" w:right="1500"/>
        </w:sectPr>
      </w:pPr>
    </w:p>
    <w:p>
      <w:pPr>
        <w:pStyle w:val="BodyText"/>
        <w:spacing w:line="357" w:lineRule="auto" w:before="55"/>
        <w:ind w:left="122" w:right="296" w:firstLine="427"/>
        <w:jc w:val="both"/>
      </w:pPr>
      <w:r>
        <w:rPr/>
        <w:t>La persistencia de la corrupción, aumento de la pobreza e índices de desarrollo humano bajos, es un reflejo de la inefectividad de la política de rendición de cuentas</w:t>
      </w:r>
      <w:r>
        <w:rPr>
          <w:position w:val="8"/>
          <w:sz w:val="16"/>
        </w:rPr>
        <w:t>151   </w:t>
      </w:r>
      <w:r>
        <w:rPr/>
        <w:t>que debe obligar al Estado a ser más eficiente.</w:t>
      </w:r>
    </w:p>
    <w:p>
      <w:pPr>
        <w:pStyle w:val="BodyText"/>
        <w:spacing w:line="360" w:lineRule="auto" w:before="4"/>
        <w:ind w:left="122" w:right="107" w:firstLine="427"/>
        <w:jc w:val="right"/>
      </w:pPr>
      <w:r>
        <w:rPr/>
        <w:t>Aunque</w:t>
      </w:r>
      <w:r>
        <w:rPr>
          <w:spacing w:val="-8"/>
        </w:rPr>
        <w:t> </w:t>
      </w:r>
      <w:r>
        <w:rPr/>
        <w:t>no</w:t>
      </w:r>
      <w:r>
        <w:rPr>
          <w:spacing w:val="-9"/>
        </w:rPr>
        <w:t> </w:t>
      </w:r>
      <w:r>
        <w:rPr/>
        <w:t>existe</w:t>
      </w:r>
      <w:r>
        <w:rPr>
          <w:spacing w:val="-9"/>
        </w:rPr>
        <w:t> </w:t>
      </w:r>
      <w:r>
        <w:rPr/>
        <w:t>un</w:t>
      </w:r>
      <w:r>
        <w:rPr>
          <w:spacing w:val="-9"/>
        </w:rPr>
        <w:t> </w:t>
      </w:r>
      <w:r>
        <w:rPr/>
        <w:t>acuerdo</w:t>
      </w:r>
      <w:r>
        <w:rPr>
          <w:spacing w:val="-9"/>
        </w:rPr>
        <w:t> </w:t>
      </w:r>
      <w:r>
        <w:rPr/>
        <w:t>académico</w:t>
      </w:r>
      <w:r>
        <w:rPr>
          <w:spacing w:val="-10"/>
        </w:rPr>
        <w:t> </w:t>
      </w:r>
      <w:r>
        <w:rPr/>
        <w:t>sobre</w:t>
      </w:r>
      <w:r>
        <w:rPr>
          <w:spacing w:val="-8"/>
        </w:rPr>
        <w:t> </w:t>
      </w:r>
      <w:r>
        <w:rPr/>
        <w:t>el</w:t>
      </w:r>
      <w:r>
        <w:rPr>
          <w:spacing w:val="-8"/>
        </w:rPr>
        <w:t> </w:t>
      </w:r>
      <w:r>
        <w:rPr/>
        <w:t>significado</w:t>
      </w:r>
      <w:r>
        <w:rPr>
          <w:spacing w:val="-9"/>
        </w:rPr>
        <w:t> </w:t>
      </w:r>
      <w:r>
        <w:rPr/>
        <w:t>de</w:t>
      </w:r>
      <w:r>
        <w:rPr>
          <w:spacing w:val="-9"/>
        </w:rPr>
        <w:t> </w:t>
      </w:r>
      <w:r>
        <w:rPr/>
        <w:t>gobernar,</w:t>
      </w:r>
      <w:r>
        <w:rPr>
          <w:spacing w:val="-10"/>
        </w:rPr>
        <w:t> </w:t>
      </w:r>
      <w:r>
        <w:rPr/>
        <w:t>un</w:t>
      </w:r>
      <w:r>
        <w:rPr>
          <w:w w:val="99"/>
        </w:rPr>
        <w:t> </w:t>
      </w:r>
      <w:r>
        <w:rPr/>
        <w:t>concepto</w:t>
      </w:r>
      <w:r>
        <w:rPr>
          <w:spacing w:val="28"/>
        </w:rPr>
        <w:t> </w:t>
      </w:r>
      <w:r>
        <w:rPr/>
        <w:t>sencillo</w:t>
      </w:r>
      <w:r>
        <w:rPr>
          <w:spacing w:val="27"/>
        </w:rPr>
        <w:t> </w:t>
      </w:r>
      <w:r>
        <w:rPr/>
        <w:t>es</w:t>
      </w:r>
      <w:r>
        <w:rPr>
          <w:spacing w:val="27"/>
        </w:rPr>
        <w:t> </w:t>
      </w:r>
      <w:r>
        <w:rPr/>
        <w:t>identificar</w:t>
      </w:r>
      <w:r>
        <w:rPr>
          <w:spacing w:val="26"/>
        </w:rPr>
        <w:t> </w:t>
      </w:r>
      <w:r>
        <w:rPr/>
        <w:t>el</w:t>
      </w:r>
      <w:r>
        <w:rPr>
          <w:spacing w:val="26"/>
        </w:rPr>
        <w:t> </w:t>
      </w:r>
      <w:r>
        <w:rPr/>
        <w:t>problema</w:t>
      </w:r>
      <w:r>
        <w:rPr>
          <w:spacing w:val="25"/>
        </w:rPr>
        <w:t> </w:t>
      </w:r>
      <w:r>
        <w:rPr/>
        <w:t>que</w:t>
      </w:r>
      <w:r>
        <w:rPr>
          <w:spacing w:val="27"/>
        </w:rPr>
        <w:t> </w:t>
      </w:r>
      <w:r>
        <w:rPr/>
        <w:t>se</w:t>
      </w:r>
      <w:r>
        <w:rPr>
          <w:spacing w:val="27"/>
        </w:rPr>
        <w:t> </w:t>
      </w:r>
      <w:r>
        <w:rPr/>
        <w:t>debe</w:t>
      </w:r>
      <w:r>
        <w:rPr>
          <w:spacing w:val="27"/>
        </w:rPr>
        <w:t> </w:t>
      </w:r>
      <w:r>
        <w:rPr/>
        <w:t>atender,</w:t>
      </w:r>
      <w:r>
        <w:rPr>
          <w:spacing w:val="24"/>
        </w:rPr>
        <w:t> </w:t>
      </w:r>
      <w:r>
        <w:rPr/>
        <w:t>buscando</w:t>
      </w:r>
      <w:r>
        <w:rPr>
          <w:spacing w:val="25"/>
        </w:rPr>
        <w:t> </w:t>
      </w:r>
      <w:r>
        <w:rPr/>
        <w:t>el</w:t>
      </w:r>
      <w:r>
        <w:rPr>
          <w:w w:val="99"/>
        </w:rPr>
        <w:t> </w:t>
      </w:r>
      <w:r>
        <w:rPr/>
        <w:t>máximo beneficio al mínimo costo (principio político y económico).</w:t>
      </w:r>
      <w:r>
        <w:rPr>
          <w:spacing w:val="27"/>
        </w:rPr>
        <w:t> </w:t>
      </w:r>
      <w:r>
        <w:rPr/>
        <w:t>La</w:t>
      </w:r>
      <w:r>
        <w:rPr>
          <w:spacing w:val="4"/>
        </w:rPr>
        <w:t> </w:t>
      </w:r>
      <w:r>
        <w:rPr/>
        <w:t>capacidad</w:t>
      </w:r>
      <w:r>
        <w:rPr>
          <w:w w:val="99"/>
        </w:rPr>
        <w:t> </w:t>
      </w:r>
      <w:r>
        <w:rPr/>
        <w:t>del Estado para formular e implementar políticas públicas radica</w:t>
      </w:r>
      <w:r>
        <w:rPr>
          <w:spacing w:val="44"/>
        </w:rPr>
        <w:t> </w:t>
      </w:r>
      <w:r>
        <w:rPr/>
        <w:t>en</w:t>
      </w:r>
      <w:r>
        <w:rPr>
          <w:spacing w:val="28"/>
        </w:rPr>
        <w:t> </w:t>
      </w:r>
      <w:r>
        <w:rPr/>
        <w:t>una</w:t>
      </w:r>
      <w:r>
        <w:rPr>
          <w:w w:val="99"/>
        </w:rPr>
        <w:t> </w:t>
      </w:r>
      <w:r>
        <w:rPr/>
        <w:t>identificación</w:t>
      </w:r>
      <w:r>
        <w:rPr>
          <w:spacing w:val="-12"/>
        </w:rPr>
        <w:t> </w:t>
      </w:r>
      <w:r>
        <w:rPr/>
        <w:t>y</w:t>
      </w:r>
      <w:r>
        <w:rPr>
          <w:spacing w:val="-15"/>
        </w:rPr>
        <w:t> </w:t>
      </w:r>
      <w:r>
        <w:rPr/>
        <w:t>atención</w:t>
      </w:r>
      <w:r>
        <w:rPr>
          <w:spacing w:val="-12"/>
        </w:rPr>
        <w:t> </w:t>
      </w:r>
      <w:r>
        <w:rPr/>
        <w:t>oportuna</w:t>
      </w:r>
      <w:r>
        <w:rPr>
          <w:spacing w:val="-14"/>
        </w:rPr>
        <w:t> </w:t>
      </w:r>
      <w:r>
        <w:rPr/>
        <w:t>al</w:t>
      </w:r>
      <w:r>
        <w:rPr>
          <w:spacing w:val="-15"/>
        </w:rPr>
        <w:t> </w:t>
      </w:r>
      <w:r>
        <w:rPr/>
        <w:t>problema</w:t>
      </w:r>
      <w:r>
        <w:rPr>
          <w:spacing w:val="-14"/>
        </w:rPr>
        <w:t> </w:t>
      </w:r>
      <w:r>
        <w:rPr/>
        <w:t>que</w:t>
      </w:r>
      <w:r>
        <w:rPr>
          <w:spacing w:val="-14"/>
        </w:rPr>
        <w:t> </w:t>
      </w:r>
      <w:r>
        <w:rPr/>
        <w:t>hizo</w:t>
      </w:r>
      <w:r>
        <w:rPr>
          <w:spacing w:val="-12"/>
        </w:rPr>
        <w:t> </w:t>
      </w:r>
      <w:r>
        <w:rPr/>
        <w:t>surgir</w:t>
      </w:r>
      <w:r>
        <w:rPr>
          <w:spacing w:val="-14"/>
        </w:rPr>
        <w:t> </w:t>
      </w:r>
      <w:r>
        <w:rPr/>
        <w:t>una</w:t>
      </w:r>
      <w:r>
        <w:rPr>
          <w:spacing w:val="-14"/>
        </w:rPr>
        <w:t> </w:t>
      </w:r>
      <w:r>
        <w:rPr/>
        <w:t>política</w:t>
      </w:r>
      <w:r>
        <w:rPr>
          <w:spacing w:val="-12"/>
        </w:rPr>
        <w:t> </w:t>
      </w:r>
      <w:r>
        <w:rPr/>
        <w:t>pública.</w:t>
      </w:r>
    </w:p>
    <w:p>
      <w:pPr>
        <w:pStyle w:val="BodyText"/>
        <w:spacing w:line="362" w:lineRule="auto" w:before="2"/>
        <w:ind w:left="122" w:right="110" w:firstLine="427"/>
        <w:jc w:val="both"/>
      </w:pPr>
      <w:r>
        <w:rPr/>
        <w:t>Es posible lograrla gobernabilidad mediante la gobernanza, cuando se atienden las demandas sociales mediante las políticas públicas.</w:t>
      </w:r>
    </w:p>
    <w:p>
      <w:pPr>
        <w:pStyle w:val="BodyText"/>
        <w:spacing w:line="360" w:lineRule="auto"/>
        <w:ind w:left="122" w:right="110" w:firstLine="427"/>
        <w:jc w:val="both"/>
      </w:pPr>
      <w:r>
        <w:rPr/>
        <w:t>La evaluación de las políticas públicas mediante la rendición de cuentas consiste en revisar la coherencia de las políticas consigo mismas, eficientar el servicio público y anticipar nuevos problemas, no solo el aumentar los resarcimientos al Estado, sancionar a más funcionarios e informar a la sociedad.</w:t>
      </w:r>
    </w:p>
    <w:p>
      <w:pPr>
        <w:pStyle w:val="BodyText"/>
        <w:spacing w:line="360" w:lineRule="auto" w:before="2"/>
        <w:ind w:left="122" w:right="198" w:firstLine="427"/>
        <w:jc w:val="both"/>
      </w:pPr>
      <w:r>
        <w:rPr/>
        <w:t>El</w:t>
      </w:r>
      <w:r>
        <w:rPr>
          <w:spacing w:val="-12"/>
        </w:rPr>
        <w:t> </w:t>
      </w:r>
      <w:r>
        <w:rPr/>
        <w:t>problema</w:t>
      </w:r>
      <w:r>
        <w:rPr>
          <w:spacing w:val="-13"/>
        </w:rPr>
        <w:t> </w:t>
      </w:r>
      <w:r>
        <w:rPr/>
        <w:t>de</w:t>
      </w:r>
      <w:r>
        <w:rPr>
          <w:spacing w:val="-11"/>
        </w:rPr>
        <w:t> </w:t>
      </w:r>
      <w:r>
        <w:rPr/>
        <w:t>la</w:t>
      </w:r>
      <w:r>
        <w:rPr>
          <w:spacing w:val="-11"/>
        </w:rPr>
        <w:t> </w:t>
      </w:r>
      <w:r>
        <w:rPr/>
        <w:t>credibilidad</w:t>
      </w:r>
      <w:r>
        <w:rPr>
          <w:spacing w:val="-11"/>
        </w:rPr>
        <w:t> </w:t>
      </w:r>
      <w:r>
        <w:rPr/>
        <w:t>de</w:t>
      </w:r>
      <w:r>
        <w:rPr>
          <w:spacing w:val="-11"/>
        </w:rPr>
        <w:t> </w:t>
      </w:r>
      <w:r>
        <w:rPr/>
        <w:t>las</w:t>
      </w:r>
      <w:r>
        <w:rPr>
          <w:spacing w:val="-11"/>
        </w:rPr>
        <w:t> </w:t>
      </w:r>
      <w:r>
        <w:rPr/>
        <w:t>instituciones</w:t>
      </w:r>
      <w:r>
        <w:rPr>
          <w:spacing w:val="-12"/>
        </w:rPr>
        <w:t> </w:t>
      </w:r>
      <w:r>
        <w:rPr/>
        <w:t>de</w:t>
      </w:r>
      <w:r>
        <w:rPr>
          <w:spacing w:val="-11"/>
        </w:rPr>
        <w:t> </w:t>
      </w:r>
      <w:r>
        <w:rPr/>
        <w:t>rendición</w:t>
      </w:r>
      <w:r>
        <w:rPr>
          <w:spacing w:val="-13"/>
        </w:rPr>
        <w:t> </w:t>
      </w:r>
      <w:r>
        <w:rPr/>
        <w:t>de</w:t>
      </w:r>
      <w:r>
        <w:rPr>
          <w:spacing w:val="-11"/>
        </w:rPr>
        <w:t> </w:t>
      </w:r>
      <w:r>
        <w:rPr/>
        <w:t>cuentas</w:t>
      </w:r>
      <w:r>
        <w:rPr>
          <w:spacing w:val="-16"/>
        </w:rPr>
        <w:t> </w:t>
      </w:r>
      <w:r>
        <w:rPr/>
        <w:t>en México radica en su efectividad del combate a la corrupción y la atención a los problemas sociales. </w:t>
      </w:r>
      <w:r>
        <w:rPr>
          <w:i/>
        </w:rPr>
        <w:t>Transparencia International </w:t>
      </w:r>
      <w:r>
        <w:rPr/>
        <w:t>consideró que la corrupción requiere</w:t>
      </w:r>
      <w:r>
        <w:rPr>
          <w:spacing w:val="-12"/>
        </w:rPr>
        <w:t> </w:t>
      </w:r>
      <w:r>
        <w:rPr/>
        <w:t>un</w:t>
      </w:r>
      <w:r>
        <w:rPr>
          <w:spacing w:val="-14"/>
        </w:rPr>
        <w:t> </w:t>
      </w:r>
      <w:r>
        <w:rPr/>
        <w:t>riguroso</w:t>
      </w:r>
      <w:r>
        <w:rPr>
          <w:spacing w:val="-12"/>
        </w:rPr>
        <w:t> </w:t>
      </w:r>
      <w:r>
        <w:rPr/>
        <w:t>control</w:t>
      </w:r>
      <w:r>
        <w:rPr>
          <w:spacing w:val="-15"/>
        </w:rPr>
        <w:t> </w:t>
      </w:r>
      <w:r>
        <w:rPr/>
        <w:t>mediante</w:t>
      </w:r>
      <w:r>
        <w:rPr>
          <w:spacing w:val="-12"/>
        </w:rPr>
        <w:t> </w:t>
      </w:r>
      <w:r>
        <w:rPr/>
        <w:t>el</w:t>
      </w:r>
      <w:r>
        <w:rPr>
          <w:spacing w:val="-15"/>
        </w:rPr>
        <w:t> </w:t>
      </w:r>
      <w:r>
        <w:rPr/>
        <w:t>Poder</w:t>
      </w:r>
      <w:r>
        <w:rPr>
          <w:spacing w:val="-16"/>
        </w:rPr>
        <w:t> </w:t>
      </w:r>
      <w:r>
        <w:rPr/>
        <w:t>Legislativo,</w:t>
      </w:r>
      <w:r>
        <w:rPr>
          <w:spacing w:val="-12"/>
        </w:rPr>
        <w:t> </w:t>
      </w:r>
      <w:r>
        <w:rPr/>
        <w:t>el</w:t>
      </w:r>
      <w:r>
        <w:rPr>
          <w:spacing w:val="-13"/>
        </w:rPr>
        <w:t> </w:t>
      </w:r>
      <w:r>
        <w:rPr/>
        <w:t>Judicial,</w:t>
      </w:r>
      <w:r>
        <w:rPr>
          <w:spacing w:val="-15"/>
        </w:rPr>
        <w:t> </w:t>
      </w:r>
      <w:r>
        <w:rPr/>
        <w:t>los</w:t>
      </w:r>
      <w:r>
        <w:rPr>
          <w:spacing w:val="-14"/>
        </w:rPr>
        <w:t> </w:t>
      </w:r>
      <w:r>
        <w:rPr/>
        <w:t>medios de comunicación y una sociedad civil participativa. Si estas instituciones son débiles, entonces la corrupción crece sin control. De lo anterior se infiere que la alta corrupción en México refleja la debilidad de las instituciones y de la escasa participación de la sociedad en requerir cuentas al</w:t>
      </w:r>
      <w:r>
        <w:rPr>
          <w:spacing w:val="-21"/>
        </w:rPr>
        <w:t> </w:t>
      </w:r>
      <w:r>
        <w:rPr/>
        <w:t>Estado.</w:t>
      </w:r>
    </w:p>
    <w:p>
      <w:pPr>
        <w:pStyle w:val="BodyText"/>
        <w:spacing w:line="360" w:lineRule="auto" w:before="2"/>
        <w:ind w:left="122" w:right="103" w:firstLine="427"/>
        <w:jc w:val="both"/>
      </w:pPr>
      <w:r>
        <w:rPr/>
        <w:t>El que las instituciones de rendición de cuentas se apeguen a parámetros internacionales, códigos, reformas legales, tengan mayor número y alcance en sus auditorías, apliquen sanciones ejemplares y diseñen indicadores de desempeño, son imprescindibles, pero insuficientes. Es necesario analizar la pertinencia y factibilidad de la adopción de las técnicas internacionales al ámbito nacional. Sin una actuación basada en los principios de la ciencia política, los beneficios sólo serán marginales.</w:t>
      </w:r>
    </w:p>
    <w:p>
      <w:pPr>
        <w:pStyle w:val="BodyText"/>
        <w:rPr>
          <w:sz w:val="20"/>
        </w:rPr>
      </w:pPr>
    </w:p>
    <w:p>
      <w:pPr>
        <w:pStyle w:val="BodyText"/>
        <w:spacing w:before="9"/>
      </w:pPr>
      <w:r>
        <w:rPr/>
        <w:pict>
          <v:line style="position:absolute;mso-position-horizontal-relative:page;mso-position-vertical-relative:paragraph;z-index:10072;mso-wrap-distance-left:0;mso-wrap-distance-right:0" from="85.103996pt,16.574892pt" to="229.123996pt,16.574892pt" stroked="true" strokeweight=".71997pt" strokecolor="#000000">
            <w10:wrap type="topAndBottom"/>
          </v:line>
        </w:pict>
      </w:r>
    </w:p>
    <w:p>
      <w:pPr>
        <w:spacing w:before="62"/>
        <w:ind w:left="122" w:right="194" w:firstLine="0"/>
        <w:jc w:val="both"/>
        <w:rPr>
          <w:i/>
          <w:sz w:val="16"/>
        </w:rPr>
      </w:pPr>
      <w:r>
        <w:rPr>
          <w:rFonts w:ascii="Times New Roman" w:hAnsi="Times New Roman"/>
          <w:position w:val="7"/>
          <w:sz w:val="13"/>
        </w:rPr>
        <w:t>151</w:t>
      </w:r>
      <w:r>
        <w:rPr>
          <w:rFonts w:ascii="Times New Roman" w:hAnsi="Times New Roman"/>
          <w:spacing w:val="5"/>
          <w:position w:val="7"/>
          <w:sz w:val="13"/>
        </w:rPr>
        <w:t> </w:t>
      </w:r>
      <w:r>
        <w:rPr>
          <w:rFonts w:ascii="Times New Roman" w:hAnsi="Times New Roman"/>
          <w:sz w:val="20"/>
        </w:rPr>
        <w:t>“</w:t>
      </w:r>
      <w:r>
        <w:rPr>
          <w:sz w:val="16"/>
        </w:rPr>
        <w:t>La</w:t>
      </w:r>
      <w:r>
        <w:rPr>
          <w:spacing w:val="-9"/>
          <w:sz w:val="16"/>
        </w:rPr>
        <w:t> </w:t>
      </w:r>
      <w:r>
        <w:rPr>
          <w:sz w:val="16"/>
        </w:rPr>
        <w:t>política</w:t>
      </w:r>
      <w:r>
        <w:rPr>
          <w:spacing w:val="-9"/>
          <w:sz w:val="16"/>
        </w:rPr>
        <w:t> </w:t>
      </w:r>
      <w:r>
        <w:rPr>
          <w:sz w:val="16"/>
        </w:rPr>
        <w:t>de</w:t>
      </w:r>
      <w:r>
        <w:rPr>
          <w:spacing w:val="-12"/>
          <w:sz w:val="16"/>
        </w:rPr>
        <w:t> </w:t>
      </w:r>
      <w:r>
        <w:rPr>
          <w:sz w:val="16"/>
        </w:rPr>
        <w:t>rendición</w:t>
      </w:r>
      <w:r>
        <w:rPr>
          <w:spacing w:val="-12"/>
          <w:sz w:val="16"/>
        </w:rPr>
        <w:t> </w:t>
      </w:r>
      <w:r>
        <w:rPr>
          <w:sz w:val="16"/>
        </w:rPr>
        <w:t>de</w:t>
      </w:r>
      <w:r>
        <w:rPr>
          <w:spacing w:val="-12"/>
          <w:sz w:val="16"/>
        </w:rPr>
        <w:t> </w:t>
      </w:r>
      <w:r>
        <w:rPr>
          <w:sz w:val="16"/>
        </w:rPr>
        <w:t>cuentas</w:t>
      </w:r>
      <w:r>
        <w:rPr>
          <w:spacing w:val="-6"/>
          <w:sz w:val="16"/>
        </w:rPr>
        <w:t> </w:t>
      </w:r>
      <w:r>
        <w:rPr>
          <w:sz w:val="16"/>
        </w:rPr>
        <w:t>puede</w:t>
      </w:r>
      <w:r>
        <w:rPr>
          <w:spacing w:val="-12"/>
          <w:sz w:val="16"/>
        </w:rPr>
        <w:t> </w:t>
      </w:r>
      <w:r>
        <w:rPr>
          <w:sz w:val="16"/>
        </w:rPr>
        <w:t>ser</w:t>
      </w:r>
      <w:r>
        <w:rPr>
          <w:spacing w:val="-12"/>
          <w:sz w:val="16"/>
        </w:rPr>
        <w:t> </w:t>
      </w:r>
      <w:r>
        <w:rPr>
          <w:sz w:val="16"/>
        </w:rPr>
        <w:t>entendida</w:t>
      </w:r>
      <w:r>
        <w:rPr>
          <w:spacing w:val="-14"/>
          <w:sz w:val="16"/>
        </w:rPr>
        <w:t> </w:t>
      </w:r>
      <w:r>
        <w:rPr>
          <w:sz w:val="16"/>
        </w:rPr>
        <w:t>como</w:t>
      </w:r>
      <w:r>
        <w:rPr>
          <w:spacing w:val="-12"/>
          <w:sz w:val="16"/>
        </w:rPr>
        <w:t> </w:t>
      </w:r>
      <w:r>
        <w:rPr>
          <w:sz w:val="16"/>
        </w:rPr>
        <w:t>un</w:t>
      </w:r>
      <w:r>
        <w:rPr>
          <w:spacing w:val="-12"/>
          <w:sz w:val="16"/>
        </w:rPr>
        <w:t> </w:t>
      </w:r>
      <w:r>
        <w:rPr>
          <w:sz w:val="16"/>
        </w:rPr>
        <w:t>conjunto</w:t>
      </w:r>
      <w:r>
        <w:rPr>
          <w:spacing w:val="-9"/>
          <w:sz w:val="16"/>
        </w:rPr>
        <w:t> </w:t>
      </w:r>
      <w:r>
        <w:rPr>
          <w:sz w:val="16"/>
        </w:rPr>
        <w:t>de</w:t>
      </w:r>
      <w:r>
        <w:rPr>
          <w:spacing w:val="-12"/>
          <w:sz w:val="16"/>
        </w:rPr>
        <w:t> </w:t>
      </w:r>
      <w:r>
        <w:rPr>
          <w:sz w:val="16"/>
        </w:rPr>
        <w:t>instituciones,</w:t>
      </w:r>
      <w:r>
        <w:rPr>
          <w:spacing w:val="-10"/>
          <w:sz w:val="16"/>
        </w:rPr>
        <w:t> </w:t>
      </w:r>
      <w:r>
        <w:rPr>
          <w:sz w:val="16"/>
        </w:rPr>
        <w:t>normas</w:t>
      </w:r>
      <w:r>
        <w:rPr>
          <w:spacing w:val="-10"/>
          <w:sz w:val="16"/>
        </w:rPr>
        <w:t> </w:t>
      </w:r>
      <w:r>
        <w:rPr>
          <w:sz w:val="16"/>
        </w:rPr>
        <w:t>y</w:t>
      </w:r>
      <w:r>
        <w:rPr>
          <w:spacing w:val="-12"/>
          <w:sz w:val="16"/>
        </w:rPr>
        <w:t> </w:t>
      </w:r>
      <w:r>
        <w:rPr>
          <w:sz w:val="16"/>
        </w:rPr>
        <w:t>procedimientos que tienen como propósito fortalecer la legalidad y el sentimiento democrático de las responsabilidades públicas y sancionar a los actores que las asumen […] debe ser diseñada y practicada como una política transitiva y subsidiaria orientada a fortalecer la responsabilidad del ejercicio de la función pública. </w:t>
      </w:r>
      <w:hyperlink r:id="rId230">
        <w:r>
          <w:rPr>
            <w:sz w:val="16"/>
          </w:rPr>
          <w:t>”La rendición de cuentas en México:</w:t>
        </w:r>
      </w:hyperlink>
      <w:r>
        <w:rPr>
          <w:sz w:val="16"/>
        </w:rPr>
        <w:t> </w:t>
      </w:r>
      <w:hyperlink r:id="rId230">
        <w:r>
          <w:rPr>
            <w:sz w:val="16"/>
          </w:rPr>
          <w:t>perspectivas y retos</w:t>
        </w:r>
      </w:hyperlink>
      <w:r>
        <w:rPr>
          <w:sz w:val="16"/>
        </w:rPr>
        <w:t> (</w:t>
      </w:r>
      <w:r>
        <w:rPr>
          <w:i/>
          <w:sz w:val="16"/>
        </w:rPr>
        <w:t>López Ayllón, Sergio/Merino,</w:t>
      </w:r>
      <w:r>
        <w:rPr>
          <w:i/>
          <w:spacing w:val="-19"/>
          <w:sz w:val="16"/>
        </w:rPr>
        <w:t> </w:t>
      </w:r>
      <w:r>
        <w:rPr>
          <w:i/>
          <w:sz w:val="16"/>
        </w:rPr>
        <w:t>Mauricio)</w:t>
      </w:r>
    </w:p>
    <w:p>
      <w:pPr>
        <w:spacing w:before="1"/>
        <w:ind w:left="122" w:right="4756" w:firstLine="0"/>
        <w:jc w:val="left"/>
        <w:rPr>
          <w:sz w:val="16"/>
        </w:rPr>
      </w:pPr>
      <w:r>
        <w:rPr>
          <w:sz w:val="16"/>
        </w:rPr>
        <w:t>Disponible en: </w:t>
      </w:r>
      <w:hyperlink r:id="rId231">
        <w:r>
          <w:rPr>
            <w:sz w:val="16"/>
          </w:rPr>
          <w:t>http://www.rendiciondecuentas.cide.edu/</w:t>
        </w:r>
      </w:hyperlink>
      <w:r>
        <w:rPr>
          <w:sz w:val="16"/>
        </w:rPr>
        <w:t> [Fecha de consulta: 30 de septiembre, 2015]</w:t>
      </w:r>
    </w:p>
    <w:p>
      <w:pPr>
        <w:spacing w:after="0"/>
        <w:jc w:val="left"/>
        <w:rPr>
          <w:sz w:val="16"/>
        </w:rPr>
        <w:sectPr>
          <w:pgSz w:w="11910" w:h="16840"/>
          <w:pgMar w:header="0" w:footer="1003" w:top="1340" w:bottom="1200" w:left="1580" w:right="1500"/>
        </w:sectPr>
      </w:pPr>
    </w:p>
    <w:p>
      <w:pPr>
        <w:pStyle w:val="BodyText"/>
        <w:spacing w:line="360" w:lineRule="auto" w:before="55"/>
        <w:ind w:left="102" w:right="183" w:firstLine="427"/>
        <w:jc w:val="both"/>
      </w:pPr>
      <w:r>
        <w:rPr/>
        <w:pict>
          <v:group style="position:absolute;margin-left:300.065918pt;margin-top:426.058655pt;width:218.55pt;height:11.6pt;mso-position-horizontal-relative:page;mso-position-vertical-relative:page;z-index:-345328" coordorigin="6001,8521" coordsize="4371,232">
            <v:line style="position:absolute" from="6351,8527" to="10360,8527" stroked="true" strokeweight=".536239pt" strokecolor="#000000"/>
            <v:line style="position:absolute" from="6346,8527" to="10366,8527" stroked="true" strokeweight=".536251pt" strokecolor="#000000"/>
            <v:line style="position:absolute" from="6351,8742" to="10360,8742" stroked="true" strokeweight=".536239pt" strokecolor="#000000"/>
            <v:line style="position:absolute" from="6346,8742" to="10366,8742" stroked="true" strokeweight=".536251pt" strokecolor="#000000"/>
            <v:line style="position:absolute" from="10360,8537" to="10360,8742" stroked="true" strokeweight=".536839pt" strokecolor="#000000"/>
            <v:line style="position:absolute" from="10361,8532" to="10361,8747" stroked="true" strokeweight=".536839pt" strokecolor="#000000"/>
            <v:shape style="position:absolute;left:6340;top:8521;width:4031;height:231" type="#_x0000_t202" filled="false" stroked="false">
              <v:textbox inset="0,0,0,0">
                <w:txbxContent>
                  <w:p>
                    <w:pPr>
                      <w:spacing w:before="51"/>
                      <w:ind w:left="26" w:right="0" w:firstLine="0"/>
                      <w:jc w:val="left"/>
                      <w:rPr>
                        <w:sz w:val="14"/>
                      </w:rPr>
                    </w:pPr>
                    <w:r>
                      <w:rPr>
                        <w:sz w:val="14"/>
                      </w:rPr>
                      <w:t>Índice de Confianza en las Instituciones, 2012</w:t>
                    </w:r>
                  </w:p>
                </w:txbxContent>
              </v:textbox>
              <w10:wrap type="none"/>
            </v:shape>
            <v:shape style="position:absolute;left:6001;top:8521;width:345;height:226" type="#_x0000_t202" filled="true" fillcolor="#000000" stroked="false">
              <v:textbox inset="0,0,0,0">
                <w:txbxContent>
                  <w:p>
                    <w:pPr>
                      <w:spacing w:before="40"/>
                      <w:ind w:left="75" w:right="0" w:firstLine="0"/>
                      <w:jc w:val="left"/>
                      <w:rPr>
                        <w:sz w:val="9"/>
                      </w:rPr>
                    </w:pPr>
                    <w:r>
                      <w:rPr>
                        <w:color w:val="FFFFFF"/>
                        <w:w w:val="105"/>
                        <w:sz w:val="14"/>
                      </w:rPr>
                      <w:t>CI</w:t>
                    </w:r>
                    <w:r>
                      <w:rPr>
                        <w:color w:val="FFFFFF"/>
                        <w:w w:val="105"/>
                        <w:position w:val="-1"/>
                        <w:sz w:val="9"/>
                      </w:rPr>
                      <w:t>+</w:t>
                    </w:r>
                  </w:p>
                </w:txbxContent>
              </v:textbox>
              <v:fill type="solid"/>
              <w10:wrap type="none"/>
            </v:shape>
            <w10:wrap type="none"/>
          </v:group>
        </w:pict>
      </w:r>
      <w:r>
        <w:rPr/>
        <w:pict>
          <v:group style="position:absolute;margin-left:317.005554pt;margin-top:455.087769pt;width:201.6pt;height:12.1pt;mso-position-horizontal-relative:page;mso-position-vertical-relative:page;z-index:-345304" coordorigin="6340,9102" coordsize="4032,242">
            <v:line style="position:absolute" from="6351,9107" to="10360,9107" stroked="true" strokeweight=".536239pt" strokecolor="#000000"/>
            <v:line style="position:absolute" from="6346,9107" to="10366,9107" stroked="true" strokeweight=".536251pt" strokecolor="#000000"/>
            <v:line style="position:absolute" from="6351,9333" to="10360,9333" stroked="true" strokeweight=".536239pt" strokecolor="#000000"/>
            <v:line style="position:absolute" from="6346,9333" to="10366,9333" stroked="true" strokeweight=".536251pt" strokecolor="#000000"/>
            <v:line style="position:absolute" from="10360,9118" to="10360,9333" stroked="true" strokeweight=".536839pt" strokecolor="#000000"/>
            <v:line style="position:absolute" from="10361,9113" to="10361,9338" stroked="true" strokeweight=".536839pt" strokecolor="#000000"/>
            <w10:wrap type="none"/>
          </v:group>
        </w:pict>
      </w:r>
      <w:r>
        <w:rPr/>
        <w:t>En la medida que se logren adoptar las metodologías y estándares internacionales</w:t>
      </w:r>
      <w:r>
        <w:rPr>
          <w:spacing w:val="-6"/>
        </w:rPr>
        <w:t> </w:t>
      </w:r>
      <w:r>
        <w:rPr/>
        <w:t>de</w:t>
      </w:r>
      <w:r>
        <w:rPr>
          <w:spacing w:val="-8"/>
        </w:rPr>
        <w:t> </w:t>
      </w:r>
      <w:r>
        <w:rPr/>
        <w:t>fiscalización</w:t>
      </w:r>
      <w:r>
        <w:rPr>
          <w:spacing w:val="-3"/>
        </w:rPr>
        <w:t> </w:t>
      </w:r>
      <w:r>
        <w:rPr/>
        <w:t>superior</w:t>
      </w:r>
      <w:r>
        <w:rPr>
          <w:spacing w:val="-7"/>
        </w:rPr>
        <w:t> </w:t>
      </w:r>
      <w:r>
        <w:rPr/>
        <w:t>a</w:t>
      </w:r>
      <w:r>
        <w:rPr>
          <w:spacing w:val="-4"/>
        </w:rPr>
        <w:t> </w:t>
      </w:r>
      <w:r>
        <w:rPr/>
        <w:t>la</w:t>
      </w:r>
      <w:r>
        <w:rPr>
          <w:spacing w:val="-9"/>
        </w:rPr>
        <w:t> </w:t>
      </w:r>
      <w:r>
        <w:rPr/>
        <w:t>cultura</w:t>
      </w:r>
      <w:r>
        <w:rPr>
          <w:spacing w:val="-7"/>
        </w:rPr>
        <w:t> </w:t>
      </w:r>
      <w:r>
        <w:rPr/>
        <w:t>política</w:t>
      </w:r>
      <w:r>
        <w:rPr>
          <w:spacing w:val="-4"/>
        </w:rPr>
        <w:t> </w:t>
      </w:r>
      <w:r>
        <w:rPr/>
        <w:t>de</w:t>
      </w:r>
      <w:r>
        <w:rPr>
          <w:spacing w:val="-4"/>
        </w:rPr>
        <w:t> </w:t>
      </w:r>
      <w:r>
        <w:rPr/>
        <w:t>México y</w:t>
      </w:r>
      <w:r>
        <w:rPr>
          <w:spacing w:val="-7"/>
        </w:rPr>
        <w:t> </w:t>
      </w:r>
      <w:r>
        <w:rPr/>
        <w:t>se</w:t>
      </w:r>
      <w:r>
        <w:rPr>
          <w:spacing w:val="-4"/>
        </w:rPr>
        <w:t> </w:t>
      </w:r>
      <w:r>
        <w:rPr/>
        <w:t>actúe con principios, la política de rendición de cuentas podrá aumentar la legitimidad del Estado y el buen</w:t>
      </w:r>
      <w:r>
        <w:rPr>
          <w:spacing w:val="-11"/>
        </w:rPr>
        <w:t> </w:t>
      </w:r>
      <w:r>
        <w:rPr/>
        <w:t>gobierno.</w:t>
      </w:r>
    </w:p>
    <w:p>
      <w:pPr>
        <w:pStyle w:val="BodyText"/>
      </w:pPr>
    </w:p>
    <w:p>
      <w:pPr>
        <w:pStyle w:val="BodyText"/>
      </w:pPr>
    </w:p>
    <w:p>
      <w:pPr>
        <w:pStyle w:val="Heading2"/>
        <w:numPr>
          <w:ilvl w:val="1"/>
          <w:numId w:val="69"/>
        </w:numPr>
        <w:tabs>
          <w:tab w:pos="534" w:val="left" w:leader="none"/>
        </w:tabs>
        <w:spacing w:line="240" w:lineRule="auto" w:before="142" w:after="0"/>
        <w:ind w:left="534" w:right="0" w:hanging="432"/>
        <w:jc w:val="left"/>
      </w:pPr>
      <w:bookmarkStart w:name="_bookmark86" w:id="116"/>
      <w:bookmarkEnd w:id="116"/>
      <w:r>
        <w:rPr>
          <w:b w:val="0"/>
        </w:rPr>
      </w:r>
      <w:bookmarkStart w:name="_bookmark86" w:id="117"/>
      <w:bookmarkEnd w:id="117"/>
      <w:r>
        <w:rPr/>
        <w:t>Ind</w:t>
      </w:r>
      <w:r>
        <w:rPr/>
        <w:t>icadores de</w:t>
      </w:r>
      <w:r>
        <w:rPr>
          <w:spacing w:val="-7"/>
        </w:rPr>
        <w:t> </w:t>
      </w:r>
      <w:r>
        <w:rPr/>
        <w:t>desempeño</w:t>
      </w:r>
    </w:p>
    <w:p>
      <w:pPr>
        <w:pStyle w:val="BodyText"/>
        <w:spacing w:before="2"/>
        <w:rPr>
          <w:b/>
          <w:sz w:val="30"/>
        </w:rPr>
      </w:pPr>
    </w:p>
    <w:p>
      <w:pPr>
        <w:spacing w:line="242" w:lineRule="auto" w:before="0"/>
        <w:ind w:left="4043" w:right="404" w:hanging="3805"/>
        <w:jc w:val="left"/>
        <w:rPr>
          <w:sz w:val="20"/>
        </w:rPr>
      </w:pPr>
      <w:r>
        <w:rPr/>
        <w:pict>
          <v:group style="position:absolute;margin-left:300.065918pt;margin-top:79.870605pt;width:218.55pt;height:20.2pt;mso-position-horizontal-relative:page;mso-position-vertical-relative:paragraph;z-index:-345472" coordorigin="6001,1597" coordsize="4371,404">
            <v:line style="position:absolute" from="6351,1603" to="10360,1603" stroked="true" strokeweight=".536239pt" strokecolor="#000000"/>
            <v:line style="position:absolute" from="6346,1603" to="10366,1603" stroked="true" strokeweight=".536251pt" strokecolor="#000000"/>
            <v:line style="position:absolute" from="6351,1990" to="10360,1990" stroked="true" strokeweight=".536239pt" strokecolor="#000000"/>
            <v:line style="position:absolute" from="6346,1990" to="10366,1990" stroked="true" strokeweight=".536251pt" strokecolor="#000000"/>
            <v:line style="position:absolute" from="10360,1614" to="10360,1990" stroked="true" strokeweight=".536839pt" strokecolor="#000000"/>
            <v:line style="position:absolute" from="10361,1608" to="10361,1995" stroked="true" strokeweight=".536839pt" strokecolor="#000000"/>
            <v:shape style="position:absolute;left:6340;top:1598;width:4031;height:403" type="#_x0000_t202" filled="false" stroked="false">
              <v:textbox inset="0,0,0,0">
                <w:txbxContent>
                  <w:p>
                    <w:pPr>
                      <w:spacing w:line="273" w:lineRule="auto" w:before="40"/>
                      <w:ind w:left="26" w:right="0" w:firstLine="0"/>
                      <w:jc w:val="left"/>
                      <w:rPr>
                        <w:sz w:val="14"/>
                      </w:rPr>
                    </w:pPr>
                    <w:r>
                      <w:rPr>
                        <w:sz w:val="14"/>
                      </w:rPr>
                      <w:t>Índice Nacional de Corrupción y Buen Gobierno, Resultados Nacionales por Trámite, 2010</w:t>
                    </w:r>
                  </w:p>
                </w:txbxContent>
              </v:textbox>
              <w10:wrap type="none"/>
            </v:shape>
            <v:shape style="position:absolute;left:6001;top:1598;width:345;height:398" type="#_x0000_t202" filled="true" fillcolor="#000000" stroked="false">
              <v:textbox inset="0,0,0,0">
                <w:txbxContent>
                  <w:p>
                    <w:pPr>
                      <w:spacing w:before="115"/>
                      <w:ind w:left="107" w:right="0" w:firstLine="0"/>
                      <w:jc w:val="left"/>
                      <w:rPr>
                        <w:b/>
                        <w:sz w:val="9"/>
                      </w:rPr>
                    </w:pPr>
                    <w:r>
                      <w:rPr>
                        <w:b/>
                        <w:color w:val="FFFFFF"/>
                        <w:w w:val="105"/>
                        <w:sz w:val="14"/>
                      </w:rPr>
                      <w:t>C</w:t>
                    </w:r>
                    <w:r>
                      <w:rPr>
                        <w:b/>
                        <w:color w:val="FFFFFF"/>
                        <w:w w:val="105"/>
                        <w:position w:val="-1"/>
                        <w:sz w:val="9"/>
                      </w:rPr>
                      <w:t>-</w:t>
                    </w:r>
                  </w:p>
                </w:txbxContent>
              </v:textbox>
              <v:fill type="solid"/>
              <w10:wrap type="none"/>
            </v:shape>
            <w10:wrap type="none"/>
          </v:group>
        </w:pict>
      </w:r>
      <w:r>
        <w:rPr/>
        <w:pict>
          <v:group style="position:absolute;margin-left:300.065918pt;margin-top:119.105392pt;width:218.55pt;height:30.4pt;mso-position-horizontal-relative:page;mso-position-vertical-relative:paragraph;z-index:-345400" coordorigin="6001,2382" coordsize="4371,608">
            <v:line style="position:absolute" from="6351,2388" to="10360,2388" stroked="true" strokeweight=".536239pt" strokecolor="#000000"/>
            <v:line style="position:absolute" from="6346,2388" to="10366,2388" stroked="true" strokeweight=".536251pt" strokecolor="#000000"/>
            <v:line style="position:absolute" from="6351,2624" to="10360,2624" stroked="true" strokeweight=".536239pt" strokecolor="#000000"/>
            <v:line style="position:absolute" from="6346,2624" to="10366,2624" stroked="true" strokeweight=".536251pt" strokecolor="#000000"/>
            <v:line style="position:absolute" from="6351,2979" to="10360,2979" stroked="true" strokeweight=".536239pt" strokecolor="#000000"/>
            <v:line style="position:absolute" from="6346,2979" to="10366,2979" stroked="true" strokeweight=".536251pt" strokecolor="#000000"/>
            <v:line style="position:absolute" from="10360,2398" to="10360,2979" stroked="true" strokeweight=".536839pt" strokecolor="#000000"/>
            <v:line style="position:absolute" from="10361,2393" to="10361,2984" stroked="true" strokeweight=".536839pt" strokecolor="#000000"/>
            <v:shape style="position:absolute;left:6340;top:2382;width:4031;height:608" type="#_x0000_t202" filled="false" stroked="false">
              <v:textbox inset="0,0,0,0">
                <w:txbxContent>
                  <w:p>
                    <w:pPr>
                      <w:spacing w:line="264" w:lineRule="auto" w:before="73"/>
                      <w:ind w:left="26" w:right="0" w:firstLine="0"/>
                      <w:jc w:val="left"/>
                      <w:rPr>
                        <w:sz w:val="14"/>
                      </w:rPr>
                    </w:pPr>
                    <w:r>
                      <w:rPr>
                        <w:sz w:val="14"/>
                      </w:rPr>
                      <w:t>Índice Latinoamericano de Transparencia Presupuestaria, 2011 Índice de Transparencia de la Disponibilidad de la Información Fiscal de las Entidades Federativas 2013</w:t>
                    </w:r>
                  </w:p>
                </w:txbxContent>
              </v:textbox>
              <w10:wrap type="none"/>
            </v:shape>
            <v:shape style="position:absolute;left:6001;top:2382;width:345;height:602" type="#_x0000_t202" filled="true" fillcolor="#000000" stroked="false">
              <v:textbox inset="0,0,0,0">
                <w:txbxContent>
                  <w:p>
                    <w:pPr>
                      <w:spacing w:line="240" w:lineRule="auto" w:before="5"/>
                      <w:rPr>
                        <w:sz w:val="18"/>
                      </w:rPr>
                    </w:pPr>
                  </w:p>
                  <w:p>
                    <w:pPr>
                      <w:spacing w:before="0"/>
                      <w:ind w:left="97" w:right="0" w:firstLine="0"/>
                      <w:jc w:val="left"/>
                      <w:rPr>
                        <w:b/>
                        <w:sz w:val="9"/>
                      </w:rPr>
                    </w:pPr>
                    <w:r>
                      <w:rPr>
                        <w:b/>
                        <w:color w:val="FFFFFF"/>
                        <w:w w:val="105"/>
                        <w:sz w:val="14"/>
                      </w:rPr>
                      <w:t>T</w:t>
                    </w:r>
                    <w:r>
                      <w:rPr>
                        <w:b/>
                        <w:color w:val="FFFFFF"/>
                        <w:w w:val="105"/>
                        <w:position w:val="-1"/>
                        <w:sz w:val="9"/>
                      </w:rPr>
                      <w:t>+</w:t>
                    </w:r>
                  </w:p>
                </w:txbxContent>
              </v:textbox>
              <v:fill type="solid"/>
              <w10:wrap type="none"/>
            </v:shape>
            <w10:wrap type="none"/>
          </v:group>
        </w:pict>
      </w:r>
      <w:bookmarkStart w:name="_bookmark87" w:id="118"/>
      <w:bookmarkEnd w:id="118"/>
      <w:r>
        <w:rPr/>
      </w:r>
      <w:r>
        <w:rPr>
          <w:sz w:val="20"/>
        </w:rPr>
        <w:t>Esquema 4. 4. Relación de índices e indicadores regionales y nacionales del desempeño del Estado</w:t>
      </w:r>
    </w:p>
    <w:p>
      <w:pPr>
        <w:pStyle w:val="BodyText"/>
        <w:spacing w:before="7"/>
        <w:rPr>
          <w:sz w:val="29"/>
        </w:rPr>
      </w:pPr>
      <w:r>
        <w:rPr/>
        <w:pict>
          <v:shape style="position:absolute;margin-left:95.297821pt;margin-top:19.536955pt;width:422.5pt;height:17.2pt;mso-position-horizontal-relative:page;mso-position-vertical-relative:paragraph;z-index:10096;mso-wrap-distance-left:0;mso-wrap-distance-right:0" type="#_x0000_t202" filled="false" stroked="true" strokeweight="1.073677pt" strokecolor="#000000">
            <v:textbox inset="0,0,0,0">
              <w:txbxContent>
                <w:p>
                  <w:pPr>
                    <w:spacing w:before="84"/>
                    <w:ind w:left="3102" w:right="3079" w:firstLine="0"/>
                    <w:jc w:val="center"/>
                    <w:rPr>
                      <w:b/>
                      <w:sz w:val="9"/>
                    </w:rPr>
                  </w:pPr>
                  <w:r>
                    <w:rPr>
                      <w:b/>
                      <w:color w:val="C00000"/>
                      <w:sz w:val="14"/>
                    </w:rPr>
                    <w:t>DE</w:t>
                  </w:r>
                  <w:r>
                    <w:rPr>
                      <w:b/>
                      <w:sz w:val="14"/>
                    </w:rPr>
                    <w:t>: C</w:t>
                  </w:r>
                  <w:r>
                    <w:rPr>
                      <w:b/>
                      <w:position w:val="-1"/>
                      <w:sz w:val="9"/>
                    </w:rPr>
                    <w:t>-  </w:t>
                  </w:r>
                  <w:r>
                    <w:rPr>
                      <w:b/>
                      <w:sz w:val="14"/>
                    </w:rPr>
                    <w:t>+ T</w:t>
                  </w:r>
                  <w:r>
                    <w:rPr>
                      <w:b/>
                      <w:position w:val="-1"/>
                      <w:sz w:val="9"/>
                    </w:rPr>
                    <w:t>+ </w:t>
                  </w:r>
                  <w:r>
                    <w:rPr>
                      <w:b/>
                      <w:sz w:val="14"/>
                    </w:rPr>
                    <w:t>+ F</w:t>
                  </w:r>
                  <w:r>
                    <w:rPr>
                      <w:b/>
                      <w:position w:val="-1"/>
                      <w:sz w:val="9"/>
                    </w:rPr>
                    <w:t>+ </w:t>
                  </w:r>
                  <w:r>
                    <w:rPr>
                      <w:b/>
                      <w:sz w:val="14"/>
                    </w:rPr>
                    <w:t>+ CI</w:t>
                  </w:r>
                  <w:r>
                    <w:rPr>
                      <w:b/>
                      <w:position w:val="-1"/>
                      <w:sz w:val="9"/>
                    </w:rPr>
                    <w:t>+ </w:t>
                  </w:r>
                  <w:r>
                    <w:rPr>
                      <w:b/>
                      <w:sz w:val="14"/>
                    </w:rPr>
                    <w:t>+ </w:t>
                  </w:r>
                  <w:r>
                    <w:rPr>
                      <w:b/>
                      <w:color w:val="C00000"/>
                      <w:sz w:val="14"/>
                    </w:rPr>
                    <w:t>BG</w:t>
                  </w:r>
                  <w:r>
                    <w:rPr>
                      <w:b/>
                      <w:color w:val="C00000"/>
                      <w:position w:val="-1"/>
                      <w:sz w:val="9"/>
                    </w:rPr>
                    <w:t>+ </w:t>
                  </w:r>
                  <w:r>
                    <w:rPr>
                      <w:b/>
                      <w:sz w:val="14"/>
                    </w:rPr>
                    <w:t>+   RC</w:t>
                  </w:r>
                  <w:r>
                    <w:rPr>
                      <w:b/>
                      <w:position w:val="-1"/>
                      <w:sz w:val="9"/>
                    </w:rPr>
                    <w:t>+</w:t>
                  </w:r>
                </w:p>
              </w:txbxContent>
            </v:textbox>
            <w10:wrap type="topAndBottom"/>
          </v:shape>
        </w:pict>
      </w:r>
      <w:r>
        <w:rPr/>
        <w:pict>
          <v:group style="position:absolute;margin-left:95.291245pt;margin-top:49.358376pt;width:423.3pt;height:178.25pt;mso-position-horizontal-relative:page;mso-position-vertical-relative:paragraph;z-index:10360;mso-wrap-distance-left:0;mso-wrap-distance-right:0" coordorigin="1906,987" coordsize="8466,3565">
            <v:rect style="position:absolute;left:1906;top:2938;width:322;height:355" filled="true" fillcolor="#000000" stroked="false">
              <v:fill type="solid"/>
            </v:rect>
            <v:line style="position:absolute" from="1922,2944" to="5695,2944" stroked="true" strokeweight=".536239pt" strokecolor="#000000"/>
            <v:line style="position:absolute" from="1917,2944" to="5700,2944" stroked="true" strokeweight=".53625pt" strokecolor="#000000"/>
            <v:line style="position:absolute" from="1911,2944" to="1911,3288" stroked="true" strokeweight=".536839pt" strokecolor="#000000"/>
            <v:line style="position:absolute" from="1911,2938" to="1911,3293" stroked="true" strokeweight=".536839pt" strokecolor="#000000"/>
            <v:line style="position:absolute" from="2223,2954" to="2223,3288" stroked="true" strokeweight=".536839pt" strokecolor="#000000"/>
            <v:line style="position:absolute" from="2223,2949" to="2223,3293" stroked="true" strokeweight=".536839pt" strokecolor="#000000"/>
            <v:line style="position:absolute" from="2234,3288" to="5695,3288" stroked="true" strokeweight=".536239pt" strokecolor="#000000"/>
            <v:line style="position:absolute" from="2228,3287" to="5700,3287" stroked="true" strokeweight=".536249pt" strokecolor="#000000"/>
            <v:line style="position:absolute" from="5695,2954" to="5695,3288" stroked="true" strokeweight=".536839pt" strokecolor="#000000"/>
            <v:line style="position:absolute" from="5695,2949" to="5695,3293" stroked="true" strokeweight=".536839pt" strokecolor="#000000"/>
            <v:rect style="position:absolute;left:6001;top:2938;width:344;height:355" filled="true" fillcolor="#000000" stroked="false">
              <v:fill type="solid"/>
            </v:rect>
            <v:line style="position:absolute" from="6017,2944" to="10360,2944" stroked="true" strokeweight=".536239pt" strokecolor="#000000"/>
            <v:line style="position:absolute" from="6012,2944" to="10366,2944" stroked="true" strokeweight=".536252pt" strokecolor="#000000"/>
            <v:line style="position:absolute" from="6007,2944" to="6007,3288" stroked="true" strokeweight=".536839pt" strokecolor="#000000"/>
            <v:line style="position:absolute" from="6007,2938" to="6007,3293" stroked="true" strokeweight=".536839pt" strokecolor="#000000"/>
            <v:line style="position:absolute" from="6340,2954" to="6340,3288" stroked="true" strokeweight=".536839pt" strokecolor="#000000"/>
            <v:line style="position:absolute" from="6340,2949" to="6340,3293" stroked="true" strokeweight=".536839pt" strokecolor="#000000"/>
            <v:line style="position:absolute" from="6017,3288" to="10360,3288" stroked="true" strokeweight=".536239pt" strokecolor="#000000"/>
            <v:line style="position:absolute" from="6012,3287" to="10366,3287" stroked="true" strokeweight=".536252pt" strokecolor="#000000"/>
            <v:line style="position:absolute" from="10360,2954" to="10360,3288" stroked="true" strokeweight=".536839pt" strokecolor="#000000"/>
            <v:line style="position:absolute" from="10361,2949" to="10361,3293" stroked="true" strokeweight=".536839pt" strokecolor="#000000"/>
            <v:shape style="position:absolute;left:5701;top:1029;width:247;height:3497" coordorigin="5701,1029" coordsize="247,3497" path="m5948,4525l5861,4519,5825,2797,5815,2789,5788,2783,5749,2778,5701,2777,5749,2775,5788,2771,5815,2764,5825,2756,5825,1049,5834,1041,5861,1035,5900,1030,5948,1029e" filled="false" stroked="true" strokeweight="2.684178pt" strokecolor="#000000">
              <v:path arrowok="t"/>
            </v:shape>
            <v:shape style="position:absolute;left:1906;top:2944;width:323;height:344" type="#_x0000_t202" filled="false" stroked="false">
              <v:textbox inset="0,0,0,0">
                <w:txbxContent>
                  <w:p>
                    <w:pPr>
                      <w:spacing w:before="89"/>
                      <w:ind w:left="75" w:right="-10" w:firstLine="0"/>
                      <w:jc w:val="left"/>
                      <w:rPr>
                        <w:b/>
                        <w:sz w:val="14"/>
                      </w:rPr>
                    </w:pPr>
                    <w:r>
                      <w:rPr>
                        <w:b/>
                        <w:color w:val="FFFFFF"/>
                        <w:sz w:val="14"/>
                      </w:rPr>
                      <w:t>DE</w:t>
                    </w:r>
                  </w:p>
                </w:txbxContent>
              </v:textbox>
              <w10:wrap type="none"/>
            </v:shape>
            <v:shape style="position:absolute;left:6001;top:2944;width:345;height:344" type="#_x0000_t202" filled="false" stroked="false">
              <v:textbox inset="0,0,0,0">
                <w:txbxContent>
                  <w:p>
                    <w:pPr>
                      <w:spacing w:before="89"/>
                      <w:ind w:left="97" w:right="0" w:firstLine="0"/>
                      <w:jc w:val="left"/>
                      <w:rPr>
                        <w:sz w:val="9"/>
                      </w:rPr>
                    </w:pPr>
                    <w:r>
                      <w:rPr>
                        <w:color w:val="FFFFFF"/>
                        <w:w w:val="105"/>
                        <w:sz w:val="14"/>
                      </w:rPr>
                      <w:t>F</w:t>
                    </w:r>
                    <w:r>
                      <w:rPr>
                        <w:color w:val="FFFFFF"/>
                        <w:w w:val="105"/>
                        <w:position w:val="-1"/>
                        <w:sz w:val="9"/>
                      </w:rPr>
                      <w:t>+</w:t>
                    </w:r>
                  </w:p>
                </w:txbxContent>
              </v:textbox>
              <w10:wrap type="none"/>
            </v:shape>
            <v:shape style="position:absolute;left:6346;top:2944;width:4015;height:344" type="#_x0000_t202" filled="false" stroked="false">
              <v:textbox inset="0,0,0,0">
                <w:txbxContent>
                  <w:p>
                    <w:pPr>
                      <w:spacing w:line="271" w:lineRule="auto" w:before="0"/>
                      <w:ind w:left="21" w:right="0" w:firstLine="0"/>
                      <w:jc w:val="left"/>
                      <w:rPr>
                        <w:sz w:val="14"/>
                      </w:rPr>
                    </w:pPr>
                    <w:r>
                      <w:rPr>
                        <w:sz w:val="14"/>
                      </w:rPr>
                      <w:t>Evaluación de la Legislación en Materia de Fiscalización Superior en México, 2009</w:t>
                    </w:r>
                  </w:p>
                </w:txbxContent>
              </v:textbox>
              <w10:wrap type="none"/>
            </v:shape>
            <v:shape style="position:absolute;left:7808;top:987;width:751;height:140" type="#_x0000_t202" filled="false" stroked="false">
              <v:textbox inset="0,0,0,0">
                <w:txbxContent>
                  <w:p>
                    <w:pPr>
                      <w:spacing w:line="140" w:lineRule="exact" w:before="0"/>
                      <w:ind w:left="0" w:right="-14" w:firstLine="0"/>
                      <w:jc w:val="left"/>
                      <w:rPr>
                        <w:b/>
                        <w:sz w:val="14"/>
                      </w:rPr>
                    </w:pPr>
                    <w:r>
                      <w:rPr>
                        <w:b/>
                        <w:spacing w:val="-1"/>
                        <w:sz w:val="14"/>
                      </w:rPr>
                      <w:t>Corrupción</w:t>
                    </w:r>
                  </w:p>
                </w:txbxContent>
              </v:textbox>
              <w10:wrap type="none"/>
            </v:shape>
            <v:shape style="position:absolute;left:7700;top:1772;width:969;height:140" type="#_x0000_t202" filled="false" stroked="false">
              <v:textbox inset="0,0,0,0">
                <w:txbxContent>
                  <w:p>
                    <w:pPr>
                      <w:spacing w:line="140" w:lineRule="exact" w:before="0"/>
                      <w:ind w:left="0" w:right="-9" w:firstLine="0"/>
                      <w:jc w:val="left"/>
                      <w:rPr>
                        <w:b/>
                        <w:sz w:val="14"/>
                      </w:rPr>
                    </w:pPr>
                    <w:r>
                      <w:rPr>
                        <w:b/>
                        <w:sz w:val="14"/>
                      </w:rPr>
                      <w:t>Transparencia</w:t>
                    </w:r>
                  </w:p>
                </w:txbxContent>
              </v:textbox>
              <w10:wrap type="none"/>
            </v:shape>
            <v:shape style="position:absolute;left:3002;top:2578;width:1555;height:140" type="#_x0000_t202" filled="false" stroked="false">
              <v:textbox inset="0,0,0,0">
                <w:txbxContent>
                  <w:p>
                    <w:pPr>
                      <w:spacing w:line="140" w:lineRule="exact" w:before="0"/>
                      <w:ind w:left="0" w:right="-6" w:firstLine="0"/>
                      <w:jc w:val="left"/>
                      <w:rPr>
                        <w:b/>
                        <w:sz w:val="14"/>
                      </w:rPr>
                    </w:pPr>
                    <w:r>
                      <w:rPr>
                        <w:b/>
                        <w:sz w:val="14"/>
                      </w:rPr>
                      <w:t>Desempeño del Estado</w:t>
                    </w:r>
                  </w:p>
                </w:txbxContent>
              </v:textbox>
              <w10:wrap type="none"/>
            </v:shape>
            <v:shape style="position:absolute;left:7743;top:2793;width:890;height:140" type="#_x0000_t202" filled="false" stroked="false">
              <v:textbox inset="0,0,0,0">
                <w:txbxContent>
                  <w:p>
                    <w:pPr>
                      <w:spacing w:line="140" w:lineRule="exact" w:before="0"/>
                      <w:ind w:left="0" w:right="-2" w:firstLine="0"/>
                      <w:jc w:val="left"/>
                      <w:rPr>
                        <w:b/>
                        <w:sz w:val="14"/>
                      </w:rPr>
                    </w:pPr>
                    <w:r>
                      <w:rPr>
                        <w:b/>
                        <w:sz w:val="14"/>
                      </w:rPr>
                      <w:t>Fiscalización</w:t>
                    </w:r>
                  </w:p>
                </w:txbxContent>
              </v:textbox>
              <w10:wrap type="none"/>
            </v:shape>
            <v:shape style="position:absolute;left:7485;top:3502;width:1391;height:140" type="#_x0000_t202" filled="false" stroked="false">
              <v:textbox inset="0,0,0,0">
                <w:txbxContent>
                  <w:p>
                    <w:pPr>
                      <w:spacing w:line="140" w:lineRule="exact" w:before="0"/>
                      <w:ind w:left="0" w:right="0" w:firstLine="0"/>
                      <w:jc w:val="left"/>
                      <w:rPr>
                        <w:b/>
                        <w:sz w:val="14"/>
                      </w:rPr>
                    </w:pPr>
                    <w:r>
                      <w:rPr>
                        <w:b/>
                        <w:sz w:val="14"/>
                      </w:rPr>
                      <w:t>Calidad Institucional</w:t>
                    </w:r>
                  </w:p>
                </w:txbxContent>
              </v:textbox>
              <w10:wrap type="none"/>
            </v:shape>
            <v:shape style="position:absolute;left:7668;top:4082;width:1030;height:140" type="#_x0000_t202" filled="false" stroked="false">
              <v:textbox inset="0,0,0,0">
                <w:txbxContent>
                  <w:p>
                    <w:pPr>
                      <w:spacing w:line="140" w:lineRule="exact" w:before="0"/>
                      <w:ind w:left="0" w:right="-2" w:firstLine="0"/>
                      <w:jc w:val="left"/>
                      <w:rPr>
                        <w:b/>
                        <w:sz w:val="14"/>
                      </w:rPr>
                    </w:pPr>
                    <w:r>
                      <w:rPr>
                        <w:b/>
                        <w:sz w:val="14"/>
                      </w:rPr>
                      <w:t>Buen Gobierno</w:t>
                    </w:r>
                  </w:p>
                </w:txbxContent>
              </v:textbox>
              <w10:wrap type="none"/>
            </v:shape>
            <v:shape style="position:absolute;left:6001;top:4287;width:304;height:154" type="#_x0000_t202" filled="false" stroked="false">
              <v:textbox inset="0,0,0,0">
                <w:txbxContent>
                  <w:p>
                    <w:pPr>
                      <w:spacing w:line="152" w:lineRule="exact" w:before="0"/>
                      <w:ind w:left="0" w:right="-10" w:firstLine="0"/>
                      <w:jc w:val="left"/>
                      <w:rPr>
                        <w:sz w:val="9"/>
                      </w:rPr>
                    </w:pPr>
                    <w:r>
                      <w:rPr>
                        <w:color w:val="FFFFFF"/>
                        <w:w w:val="100"/>
                        <w:sz w:val="14"/>
                        <w:shd w:fill="000000" w:color="auto" w:val="clear"/>
                      </w:rPr>
                      <w:t> </w:t>
                    </w:r>
                    <w:r>
                      <w:rPr>
                        <w:color w:val="FFFFFF"/>
                        <w:sz w:val="14"/>
                        <w:shd w:fill="000000" w:color="auto" w:val="clear"/>
                      </w:rPr>
                      <w:t>BG</w:t>
                    </w:r>
                    <w:r>
                      <w:rPr>
                        <w:color w:val="FFFFFF"/>
                        <w:position w:val="-1"/>
                        <w:sz w:val="9"/>
                      </w:rPr>
                      <w:t>+</w:t>
                    </w:r>
                  </w:p>
                </w:txbxContent>
              </v:textbox>
              <w10:wrap type="none"/>
            </v:shape>
            <w10:wrap type="topAndBottom"/>
          </v:group>
        </w:pict>
      </w:r>
    </w:p>
    <w:p>
      <w:pPr>
        <w:pStyle w:val="BodyText"/>
        <w:spacing w:before="1"/>
        <w:rPr>
          <w:sz w:val="15"/>
        </w:rPr>
      </w:pPr>
    </w:p>
    <w:p>
      <w:pPr>
        <w:spacing w:line="161" w:lineRule="exact" w:before="0" w:after="2"/>
        <w:ind w:left="5841" w:right="404" w:firstLine="0"/>
        <w:jc w:val="left"/>
        <w:rPr>
          <w:b/>
          <w:sz w:val="14"/>
        </w:rPr>
      </w:pPr>
      <w:r>
        <w:rPr>
          <w:b/>
          <w:sz w:val="14"/>
        </w:rPr>
        <w:t>Rendición de Cuentas</w:t>
      </w:r>
    </w:p>
    <w:p>
      <w:pPr>
        <w:pStyle w:val="BodyText"/>
        <w:spacing w:line="220" w:lineRule="exact"/>
        <w:ind w:left="4401"/>
        <w:rPr>
          <w:sz w:val="20"/>
        </w:rPr>
      </w:pPr>
      <w:r>
        <w:rPr>
          <w:position w:val="-3"/>
          <w:sz w:val="20"/>
        </w:rPr>
        <w:pict>
          <v:group style="width:218.55pt;height:11.05pt;mso-position-horizontal-relative:char;mso-position-vertical-relative:line" coordorigin="0,0" coordsize="4371,221">
            <v:line style="position:absolute" from="350,6" to="4359,6" stroked="true" strokeweight=".536239pt" strokecolor="#000000"/>
            <v:line style="position:absolute" from="344,6" to="4365,6" stroked="true" strokeweight=".536251pt" strokecolor="#000000"/>
            <v:line style="position:absolute" from="350,210" to="4359,210" stroked="true" strokeweight=".536239pt" strokecolor="#000000"/>
            <v:line style="position:absolute" from="344,210" to="4365,210" stroked="true" strokeweight=".536251pt" strokecolor="#000000"/>
            <v:line style="position:absolute" from="4359,16" to="4359,210" stroked="true" strokeweight=".536839pt" strokecolor="#000000"/>
            <v:line style="position:absolute" from="4359,11" to="4359,215" stroked="true" strokeweight=".536839pt" strokecolor="#000000"/>
            <v:shape style="position:absolute;left:339;top:0;width:4031;height:221" type="#_x0000_t202" filled="false" stroked="false">
              <v:textbox inset="0,0,0,0">
                <w:txbxContent>
                  <w:p>
                    <w:pPr>
                      <w:spacing w:before="30"/>
                      <w:ind w:left="26" w:right="0" w:firstLine="0"/>
                      <w:jc w:val="left"/>
                      <w:rPr>
                        <w:sz w:val="14"/>
                      </w:rPr>
                    </w:pPr>
                    <w:r>
                      <w:rPr>
                        <w:color w:val="938953"/>
                        <w:sz w:val="14"/>
                      </w:rPr>
                      <w:t>Índice Latinoamericano de Transparencia Presupuestaria, 2011</w:t>
                    </w:r>
                  </w:p>
                </w:txbxContent>
              </v:textbox>
              <w10:wrap type="none"/>
            </v:shape>
            <v:shape style="position:absolute;left:0;top:0;width:345;height:215" type="#_x0000_t202" filled="true" fillcolor="#000000" stroked="false">
              <v:textbox inset="0,0,0,0">
                <w:txbxContent>
                  <w:p>
                    <w:pPr>
                      <w:spacing w:before="30"/>
                      <w:ind w:left="32" w:right="0" w:firstLine="0"/>
                      <w:jc w:val="left"/>
                      <w:rPr>
                        <w:b/>
                        <w:sz w:val="9"/>
                      </w:rPr>
                    </w:pPr>
                    <w:r>
                      <w:rPr>
                        <w:b/>
                        <w:color w:val="FFFFFF"/>
                        <w:w w:val="105"/>
                        <w:sz w:val="14"/>
                      </w:rPr>
                      <w:t>RC</w:t>
                    </w:r>
                    <w:r>
                      <w:rPr>
                        <w:b/>
                        <w:color w:val="FFFFFF"/>
                        <w:w w:val="105"/>
                        <w:position w:val="-1"/>
                        <w:sz w:val="9"/>
                      </w:rPr>
                      <w:t>+</w:t>
                    </w:r>
                  </w:p>
                </w:txbxContent>
              </v:textbox>
              <v:fill type="solid"/>
              <w10:wrap type="none"/>
            </v:shape>
          </v:group>
        </w:pict>
      </w:r>
      <w:r>
        <w:rPr>
          <w:position w:val="-3"/>
          <w:sz w:val="20"/>
        </w:rPr>
      </w:r>
    </w:p>
    <w:p>
      <w:pPr>
        <w:pStyle w:val="BodyText"/>
        <w:rPr>
          <w:b/>
          <w:sz w:val="20"/>
        </w:rPr>
      </w:pPr>
    </w:p>
    <w:p>
      <w:pPr>
        <w:pStyle w:val="BodyText"/>
        <w:rPr>
          <w:b/>
          <w:sz w:val="20"/>
        </w:rPr>
      </w:pPr>
    </w:p>
    <w:p>
      <w:pPr>
        <w:pStyle w:val="BodyText"/>
        <w:spacing w:before="4"/>
        <w:rPr>
          <w:b/>
          <w:sz w:val="17"/>
        </w:rPr>
      </w:pPr>
    </w:p>
    <w:p>
      <w:pPr>
        <w:spacing w:before="69"/>
        <w:ind w:left="102" w:right="0" w:firstLine="0"/>
        <w:jc w:val="both"/>
        <w:rPr>
          <w:i/>
          <w:sz w:val="24"/>
        </w:rPr>
      </w:pPr>
      <w:r>
        <w:rPr>
          <w:i/>
          <w:sz w:val="24"/>
        </w:rPr>
        <w:t>Corrupción</w:t>
      </w:r>
    </w:p>
    <w:p>
      <w:pPr>
        <w:spacing w:line="360" w:lineRule="auto" w:before="137"/>
        <w:ind w:left="102" w:right="283" w:firstLine="0"/>
        <w:jc w:val="both"/>
        <w:rPr>
          <w:i/>
          <w:sz w:val="24"/>
        </w:rPr>
      </w:pPr>
      <w:r>
        <w:rPr>
          <w:i/>
          <w:sz w:val="24"/>
        </w:rPr>
        <w:t>Índice Nacional de Corrupción y Buen Gobierno, Resultados Nacionales por </w:t>
      </w:r>
      <w:r>
        <w:rPr>
          <w:i/>
          <w:sz w:val="24"/>
        </w:rPr>
        <w:t>Trámite, 2010</w:t>
      </w:r>
    </w:p>
    <w:p>
      <w:pPr>
        <w:pStyle w:val="BodyText"/>
        <w:rPr>
          <w:i/>
        </w:rPr>
      </w:pPr>
    </w:p>
    <w:p>
      <w:pPr>
        <w:pStyle w:val="BodyText"/>
        <w:spacing w:line="360" w:lineRule="auto" w:before="144"/>
        <w:ind w:left="102" w:right="276"/>
        <w:jc w:val="both"/>
      </w:pPr>
      <w:r>
        <w:rPr/>
        <w:t>Transparencia mexicana publicó en mayo de 2011 el “Índice Nacional de Corrupción</w:t>
      </w:r>
      <w:r>
        <w:rPr>
          <w:spacing w:val="-14"/>
        </w:rPr>
        <w:t> </w:t>
      </w:r>
      <w:r>
        <w:rPr/>
        <w:t>y</w:t>
      </w:r>
      <w:r>
        <w:rPr>
          <w:spacing w:val="-16"/>
        </w:rPr>
        <w:t> </w:t>
      </w:r>
      <w:r>
        <w:rPr/>
        <w:t>Buen</w:t>
      </w:r>
      <w:r>
        <w:rPr>
          <w:spacing w:val="-15"/>
        </w:rPr>
        <w:t> </w:t>
      </w:r>
      <w:r>
        <w:rPr/>
        <w:t>Gobierno,</w:t>
      </w:r>
      <w:r>
        <w:rPr>
          <w:spacing w:val="-16"/>
        </w:rPr>
        <w:t> </w:t>
      </w:r>
      <w:r>
        <w:rPr/>
        <w:t>Resultados</w:t>
      </w:r>
      <w:r>
        <w:rPr>
          <w:spacing w:val="-16"/>
        </w:rPr>
        <w:t> </w:t>
      </w:r>
      <w:r>
        <w:rPr/>
        <w:t>nacionales</w:t>
      </w:r>
      <w:r>
        <w:rPr>
          <w:spacing w:val="-16"/>
        </w:rPr>
        <w:t> </w:t>
      </w:r>
      <w:r>
        <w:rPr/>
        <w:t>por</w:t>
      </w:r>
      <w:r>
        <w:rPr>
          <w:spacing w:val="-17"/>
        </w:rPr>
        <w:t> </w:t>
      </w:r>
      <w:r>
        <w:rPr/>
        <w:t>trámite,</w:t>
      </w:r>
      <w:r>
        <w:rPr>
          <w:spacing w:val="-16"/>
        </w:rPr>
        <w:t> </w:t>
      </w:r>
      <w:r>
        <w:rPr/>
        <w:t>2010”</w:t>
      </w:r>
      <w:r>
        <w:rPr>
          <w:spacing w:val="-15"/>
        </w:rPr>
        <w:t> </w:t>
      </w:r>
      <w:r>
        <w:rPr/>
        <w:t>en</w:t>
      </w:r>
      <w:r>
        <w:rPr>
          <w:spacing w:val="-16"/>
        </w:rPr>
        <w:t> </w:t>
      </w:r>
      <w:r>
        <w:rPr/>
        <w:t>el</w:t>
      </w:r>
      <w:r>
        <w:rPr>
          <w:spacing w:val="-15"/>
        </w:rPr>
        <w:t> </w:t>
      </w:r>
      <w:r>
        <w:rPr/>
        <w:t>cual presentó los resultados de la muestra estadística de la aplicación de 15,356 cuestionarios en hogares de la república mexicana de 2001 a</w:t>
      </w:r>
      <w:r>
        <w:rPr>
          <w:spacing w:val="-26"/>
        </w:rPr>
        <w:t> </w:t>
      </w:r>
      <w:r>
        <w:rPr/>
        <w:t>2010.</w:t>
      </w:r>
    </w:p>
    <w:p>
      <w:pPr>
        <w:pStyle w:val="BodyText"/>
        <w:spacing w:line="360" w:lineRule="auto" w:before="5"/>
        <w:ind w:left="102" w:right="280" w:firstLine="707"/>
        <w:jc w:val="both"/>
      </w:pPr>
      <w:r>
        <w:rPr/>
        <w:t>El índice midió la frecuencia de los sobornos, tanto por tipo de servicio como</w:t>
      </w:r>
      <w:r>
        <w:rPr>
          <w:spacing w:val="-16"/>
        </w:rPr>
        <w:t> </w:t>
      </w:r>
      <w:r>
        <w:rPr/>
        <w:t>su</w:t>
      </w:r>
      <w:r>
        <w:rPr>
          <w:spacing w:val="-14"/>
        </w:rPr>
        <w:t> </w:t>
      </w:r>
      <w:r>
        <w:rPr/>
        <w:t>agregado</w:t>
      </w:r>
      <w:r>
        <w:rPr>
          <w:spacing w:val="-16"/>
        </w:rPr>
        <w:t> </w:t>
      </w:r>
      <w:r>
        <w:rPr/>
        <w:t>por</w:t>
      </w:r>
      <w:r>
        <w:rPr>
          <w:spacing w:val="-18"/>
        </w:rPr>
        <w:t> </w:t>
      </w:r>
      <w:r>
        <w:rPr/>
        <w:t>entidad</w:t>
      </w:r>
      <w:r>
        <w:rPr>
          <w:spacing w:val="-17"/>
        </w:rPr>
        <w:t> </w:t>
      </w:r>
      <w:r>
        <w:rPr/>
        <w:t>federativa.</w:t>
      </w:r>
      <w:r>
        <w:rPr>
          <w:spacing w:val="-14"/>
        </w:rPr>
        <w:t> </w:t>
      </w:r>
      <w:r>
        <w:rPr/>
        <w:t>De</w:t>
      </w:r>
      <w:r>
        <w:rPr>
          <w:spacing w:val="-14"/>
        </w:rPr>
        <w:t> </w:t>
      </w:r>
      <w:r>
        <w:rPr/>
        <w:t>los</w:t>
      </w:r>
      <w:r>
        <w:rPr>
          <w:spacing w:val="-14"/>
        </w:rPr>
        <w:t> </w:t>
      </w:r>
      <w:r>
        <w:rPr/>
        <w:t>35</w:t>
      </w:r>
      <w:r>
        <w:rPr>
          <w:spacing w:val="-14"/>
        </w:rPr>
        <w:t> </w:t>
      </w:r>
      <w:r>
        <w:rPr/>
        <w:t>servicios</w:t>
      </w:r>
      <w:r>
        <w:rPr>
          <w:spacing w:val="-15"/>
        </w:rPr>
        <w:t> </w:t>
      </w:r>
      <w:r>
        <w:rPr/>
        <w:t>analizados,</w:t>
      </w:r>
      <w:r>
        <w:rPr>
          <w:spacing w:val="-14"/>
        </w:rPr>
        <w:t> </w:t>
      </w:r>
      <w:r>
        <w:rPr/>
        <w:t>los</w:t>
      </w:r>
      <w:r>
        <w:rPr>
          <w:spacing w:val="-14"/>
        </w:rPr>
        <w:t> </w:t>
      </w:r>
      <w:r>
        <w:rPr/>
        <w:t>que presentan mayor frecuencia de sobornos son los relacionados con servicios de tránsito (infracciones, estacionamiento en lugares   </w:t>
      </w:r>
      <w:r>
        <w:rPr>
          <w:spacing w:val="50"/>
        </w:rPr>
        <w:t> </w:t>
      </w:r>
      <w:r>
        <w:rPr/>
        <w:t>prohibidos e impedir que el</w:t>
      </w:r>
    </w:p>
    <w:p>
      <w:pPr>
        <w:spacing w:after="0" w:line="360" w:lineRule="auto"/>
        <w:jc w:val="both"/>
        <w:sectPr>
          <w:pgSz w:w="11910" w:h="16840"/>
          <w:pgMar w:header="0" w:footer="1003" w:top="1340" w:bottom="1200" w:left="1600" w:right="1420"/>
        </w:sectPr>
      </w:pPr>
    </w:p>
    <w:p>
      <w:pPr>
        <w:pStyle w:val="BodyText"/>
        <w:spacing w:line="360" w:lineRule="auto" w:before="55"/>
        <w:ind w:left="102" w:right="114"/>
        <w:jc w:val="both"/>
      </w:pPr>
      <w:r>
        <w:rPr/>
        <w:t>auto sea llevado al corralón), mientras que los sobornos son menos frecuentes en el pago del predial, en adquirir una beca educativa y en recibir correspondencia.</w:t>
      </w:r>
    </w:p>
    <w:p>
      <w:pPr>
        <w:pStyle w:val="BodyText"/>
      </w:pPr>
    </w:p>
    <w:p>
      <w:pPr>
        <w:pStyle w:val="BodyText"/>
      </w:pPr>
    </w:p>
    <w:p>
      <w:pPr>
        <w:pStyle w:val="BodyText"/>
        <w:spacing w:before="5"/>
      </w:pPr>
    </w:p>
    <w:p>
      <w:pPr>
        <w:pStyle w:val="BodyText"/>
        <w:spacing w:line="360" w:lineRule="auto"/>
        <w:ind w:left="102" w:right="117" w:firstLine="707"/>
        <w:jc w:val="both"/>
      </w:pPr>
      <w:r>
        <w:rPr/>
        <w:t>El estudio indicó que en 2010 los sobornos ascendieron a más de 32 mil millones de pesos, que las familias destinaron el 14% de su ingreso a este acto de corrupción, y que en promedio el soborno costó 165 pesos por hogar. La escala de medición indica que valores cercanos a 1, la entidad federativa se encuentra menos afectada por el soborno, mientras que valores cercanos a 20, una mayor frecuencia de corrupción mediante el soborno.</w:t>
      </w:r>
    </w:p>
    <w:p>
      <w:pPr>
        <w:pStyle w:val="BodyText"/>
      </w:pPr>
    </w:p>
    <w:p>
      <w:pPr>
        <w:spacing w:before="143"/>
        <w:ind w:left="1302" w:right="66" w:firstLine="0"/>
        <w:jc w:val="left"/>
        <w:rPr>
          <w:sz w:val="20"/>
        </w:rPr>
      </w:pPr>
      <w:bookmarkStart w:name="_bookmark88" w:id="119"/>
      <w:bookmarkEnd w:id="119"/>
      <w:r>
        <w:rPr/>
      </w:r>
      <w:r>
        <w:rPr>
          <w:sz w:val="20"/>
        </w:rPr>
        <w:t>Cuadro 4. 8. Índice de corrupción por Entidad Federativa, 2005-2010</w:t>
      </w:r>
    </w:p>
    <w:p>
      <w:pPr>
        <w:pStyle w:val="BodyText"/>
        <w:spacing w:before="4"/>
        <w:rPr>
          <w:sz w:val="17"/>
        </w:rPr>
      </w:pPr>
    </w:p>
    <w:tbl>
      <w:tblPr>
        <w:tblW w:w="0" w:type="auto"/>
        <w:jc w:val="left"/>
        <w:tblInd w:w="1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2"/>
        <w:gridCol w:w="942"/>
        <w:gridCol w:w="957"/>
        <w:gridCol w:w="921"/>
        <w:gridCol w:w="1001"/>
      </w:tblGrid>
      <w:tr>
        <w:trPr>
          <w:trHeight w:val="218" w:hRule="exact"/>
        </w:trPr>
        <w:tc>
          <w:tcPr>
            <w:tcW w:w="2182" w:type="dxa"/>
            <w:vMerge w:val="restart"/>
          </w:tcPr>
          <w:p>
            <w:pPr>
              <w:pStyle w:val="TableParagraph"/>
              <w:spacing w:before="126"/>
              <w:ind w:left="785" w:right="786"/>
              <w:jc w:val="center"/>
              <w:rPr>
                <w:sz w:val="18"/>
              </w:rPr>
            </w:pPr>
            <w:r>
              <w:rPr>
                <w:sz w:val="18"/>
              </w:rPr>
              <w:t>Estado</w:t>
            </w:r>
          </w:p>
        </w:tc>
        <w:tc>
          <w:tcPr>
            <w:tcW w:w="942" w:type="dxa"/>
            <w:tcBorders>
              <w:right w:val="nil"/>
            </w:tcBorders>
          </w:tcPr>
          <w:p>
            <w:pPr/>
          </w:p>
        </w:tc>
        <w:tc>
          <w:tcPr>
            <w:tcW w:w="957" w:type="dxa"/>
            <w:tcBorders>
              <w:left w:val="nil"/>
              <w:right w:val="nil"/>
            </w:tcBorders>
          </w:tcPr>
          <w:p>
            <w:pPr>
              <w:pStyle w:val="TableParagraph"/>
              <w:spacing w:before="1"/>
              <w:ind w:right="247"/>
              <w:jc w:val="right"/>
              <w:rPr>
                <w:sz w:val="18"/>
              </w:rPr>
            </w:pPr>
            <w:r>
              <w:rPr>
                <w:sz w:val="18"/>
              </w:rPr>
              <w:t>Índice</w:t>
            </w:r>
          </w:p>
        </w:tc>
        <w:tc>
          <w:tcPr>
            <w:tcW w:w="921" w:type="dxa"/>
            <w:tcBorders>
              <w:left w:val="nil"/>
            </w:tcBorders>
          </w:tcPr>
          <w:p>
            <w:pPr/>
          </w:p>
        </w:tc>
        <w:tc>
          <w:tcPr>
            <w:tcW w:w="1001" w:type="dxa"/>
          </w:tcPr>
          <w:p>
            <w:pPr>
              <w:pStyle w:val="TableParagraph"/>
              <w:spacing w:before="1"/>
              <w:ind w:right="242"/>
              <w:jc w:val="right"/>
              <w:rPr>
                <w:sz w:val="18"/>
              </w:rPr>
            </w:pPr>
            <w:r>
              <w:rPr>
                <w:w w:val="95"/>
                <w:sz w:val="18"/>
              </w:rPr>
              <w:t>Posición</w:t>
            </w:r>
          </w:p>
        </w:tc>
      </w:tr>
      <w:tr>
        <w:trPr>
          <w:trHeight w:val="250" w:hRule="exact"/>
        </w:trPr>
        <w:tc>
          <w:tcPr>
            <w:tcW w:w="2182" w:type="dxa"/>
            <w:vMerge/>
          </w:tcPr>
          <w:p>
            <w:pPr/>
          </w:p>
        </w:tc>
        <w:tc>
          <w:tcPr>
            <w:tcW w:w="942" w:type="dxa"/>
            <w:tcBorders>
              <w:right w:val="nil"/>
            </w:tcBorders>
          </w:tcPr>
          <w:p>
            <w:pPr>
              <w:pStyle w:val="TableParagraph"/>
              <w:spacing w:before="16"/>
              <w:ind w:left="248" w:right="249"/>
              <w:jc w:val="center"/>
              <w:rPr>
                <w:sz w:val="18"/>
              </w:rPr>
            </w:pPr>
            <w:r>
              <w:rPr>
                <w:sz w:val="18"/>
              </w:rPr>
              <w:t>2005</w:t>
            </w:r>
          </w:p>
        </w:tc>
        <w:tc>
          <w:tcPr>
            <w:tcW w:w="957" w:type="dxa"/>
            <w:tcBorders>
              <w:left w:val="nil"/>
              <w:right w:val="nil"/>
            </w:tcBorders>
          </w:tcPr>
          <w:p>
            <w:pPr>
              <w:pStyle w:val="TableParagraph"/>
              <w:spacing w:before="16"/>
              <w:ind w:right="284"/>
              <w:jc w:val="right"/>
              <w:rPr>
                <w:sz w:val="18"/>
              </w:rPr>
            </w:pPr>
            <w:r>
              <w:rPr>
                <w:w w:val="95"/>
                <w:sz w:val="18"/>
              </w:rPr>
              <w:t>2007</w:t>
            </w:r>
          </w:p>
        </w:tc>
        <w:tc>
          <w:tcPr>
            <w:tcW w:w="921" w:type="dxa"/>
            <w:tcBorders>
              <w:left w:val="nil"/>
            </w:tcBorders>
          </w:tcPr>
          <w:p>
            <w:pPr>
              <w:pStyle w:val="TableParagraph"/>
              <w:spacing w:before="16"/>
              <w:ind w:left="231" w:right="243"/>
              <w:jc w:val="center"/>
              <w:rPr>
                <w:sz w:val="18"/>
              </w:rPr>
            </w:pPr>
            <w:r>
              <w:rPr>
                <w:sz w:val="18"/>
              </w:rPr>
              <w:t>2010</w:t>
            </w:r>
          </w:p>
        </w:tc>
        <w:tc>
          <w:tcPr>
            <w:tcW w:w="1001" w:type="dxa"/>
          </w:tcPr>
          <w:p>
            <w:pPr>
              <w:pStyle w:val="TableParagraph"/>
              <w:spacing w:before="16"/>
              <w:ind w:right="293"/>
              <w:jc w:val="right"/>
              <w:rPr>
                <w:sz w:val="18"/>
              </w:rPr>
            </w:pPr>
            <w:r>
              <w:rPr>
                <w:w w:val="95"/>
                <w:sz w:val="18"/>
              </w:rPr>
              <w:t>2010</w:t>
            </w:r>
          </w:p>
        </w:tc>
      </w:tr>
      <w:tr>
        <w:trPr>
          <w:trHeight w:val="260" w:hRule="exact"/>
        </w:trPr>
        <w:tc>
          <w:tcPr>
            <w:tcW w:w="2182" w:type="dxa"/>
            <w:tcBorders>
              <w:left w:val="nil"/>
              <w:bottom w:val="nil"/>
              <w:right w:val="nil"/>
            </w:tcBorders>
          </w:tcPr>
          <w:p>
            <w:pPr>
              <w:pStyle w:val="TableParagraph"/>
              <w:spacing w:before="25"/>
              <w:ind w:left="69"/>
              <w:rPr>
                <w:sz w:val="18"/>
              </w:rPr>
            </w:pPr>
            <w:r>
              <w:rPr>
                <w:sz w:val="18"/>
              </w:rPr>
              <w:t>Baja California Sur</w:t>
            </w:r>
          </w:p>
        </w:tc>
        <w:tc>
          <w:tcPr>
            <w:tcW w:w="942" w:type="dxa"/>
            <w:tcBorders>
              <w:left w:val="nil"/>
              <w:bottom w:val="nil"/>
              <w:right w:val="nil"/>
            </w:tcBorders>
          </w:tcPr>
          <w:p>
            <w:pPr>
              <w:pStyle w:val="TableParagraph"/>
              <w:spacing w:before="25"/>
              <w:ind w:left="275" w:right="275"/>
              <w:jc w:val="center"/>
              <w:rPr>
                <w:sz w:val="18"/>
              </w:rPr>
            </w:pPr>
            <w:r>
              <w:rPr>
                <w:sz w:val="18"/>
              </w:rPr>
              <w:t>4.8</w:t>
            </w:r>
          </w:p>
        </w:tc>
        <w:tc>
          <w:tcPr>
            <w:tcW w:w="957" w:type="dxa"/>
            <w:tcBorders>
              <w:left w:val="nil"/>
              <w:bottom w:val="nil"/>
              <w:right w:val="nil"/>
            </w:tcBorders>
          </w:tcPr>
          <w:p>
            <w:pPr>
              <w:pStyle w:val="TableParagraph"/>
              <w:spacing w:before="25"/>
              <w:ind w:left="325" w:right="340"/>
              <w:jc w:val="center"/>
              <w:rPr>
                <w:sz w:val="18"/>
              </w:rPr>
            </w:pPr>
            <w:r>
              <w:rPr>
                <w:sz w:val="18"/>
              </w:rPr>
              <w:t>7.3</w:t>
            </w:r>
          </w:p>
        </w:tc>
        <w:tc>
          <w:tcPr>
            <w:tcW w:w="921" w:type="dxa"/>
            <w:tcBorders>
              <w:left w:val="nil"/>
              <w:bottom w:val="nil"/>
              <w:right w:val="nil"/>
            </w:tcBorders>
          </w:tcPr>
          <w:p>
            <w:pPr>
              <w:pStyle w:val="TableParagraph"/>
              <w:spacing w:before="25"/>
              <w:ind w:left="254" w:right="275"/>
              <w:jc w:val="center"/>
              <w:rPr>
                <w:sz w:val="18"/>
              </w:rPr>
            </w:pPr>
            <w:r>
              <w:rPr>
                <w:sz w:val="18"/>
              </w:rPr>
              <w:t>1.8</w:t>
            </w:r>
          </w:p>
        </w:tc>
        <w:tc>
          <w:tcPr>
            <w:tcW w:w="1001" w:type="dxa"/>
            <w:tcBorders>
              <w:left w:val="nil"/>
              <w:bottom w:val="nil"/>
              <w:right w:val="nil"/>
            </w:tcBorders>
          </w:tcPr>
          <w:p>
            <w:pPr>
              <w:pStyle w:val="TableParagraph"/>
              <w:spacing w:before="25"/>
              <w:ind w:right="1"/>
              <w:jc w:val="center"/>
              <w:rPr>
                <w:sz w:val="18"/>
              </w:rPr>
            </w:pPr>
            <w:r>
              <w:rPr>
                <w:w w:val="99"/>
                <w:sz w:val="18"/>
              </w:rPr>
              <w:t>1</w:t>
            </w:r>
          </w:p>
        </w:tc>
      </w:tr>
      <w:tr>
        <w:trPr>
          <w:trHeight w:val="220" w:hRule="exact"/>
        </w:trPr>
        <w:tc>
          <w:tcPr>
            <w:tcW w:w="2182" w:type="dxa"/>
            <w:tcBorders>
              <w:top w:val="nil"/>
              <w:left w:val="nil"/>
              <w:bottom w:val="nil"/>
              <w:right w:val="nil"/>
            </w:tcBorders>
          </w:tcPr>
          <w:p>
            <w:pPr>
              <w:pStyle w:val="TableParagraph"/>
              <w:spacing w:before="3"/>
              <w:ind w:left="69"/>
              <w:rPr>
                <w:sz w:val="18"/>
              </w:rPr>
            </w:pPr>
            <w:r>
              <w:rPr>
                <w:sz w:val="18"/>
              </w:rPr>
              <w:t>Durango</w:t>
            </w:r>
          </w:p>
        </w:tc>
        <w:tc>
          <w:tcPr>
            <w:tcW w:w="942" w:type="dxa"/>
            <w:tcBorders>
              <w:top w:val="nil"/>
              <w:left w:val="nil"/>
              <w:bottom w:val="nil"/>
              <w:right w:val="nil"/>
            </w:tcBorders>
          </w:tcPr>
          <w:p>
            <w:pPr>
              <w:pStyle w:val="TableParagraph"/>
              <w:spacing w:before="3"/>
              <w:ind w:left="275" w:right="275"/>
              <w:jc w:val="center"/>
              <w:rPr>
                <w:sz w:val="18"/>
              </w:rPr>
            </w:pPr>
            <w:r>
              <w:rPr>
                <w:sz w:val="18"/>
              </w:rPr>
              <w:t>11.1</w:t>
            </w:r>
          </w:p>
        </w:tc>
        <w:tc>
          <w:tcPr>
            <w:tcW w:w="957" w:type="dxa"/>
            <w:tcBorders>
              <w:top w:val="nil"/>
              <w:left w:val="nil"/>
              <w:bottom w:val="nil"/>
              <w:right w:val="nil"/>
            </w:tcBorders>
          </w:tcPr>
          <w:p>
            <w:pPr>
              <w:pStyle w:val="TableParagraph"/>
              <w:spacing w:before="3"/>
              <w:ind w:left="325" w:right="340"/>
              <w:jc w:val="center"/>
              <w:rPr>
                <w:sz w:val="18"/>
              </w:rPr>
            </w:pPr>
            <w:r>
              <w:rPr>
                <w:sz w:val="18"/>
              </w:rPr>
              <w:t>6.5</w:t>
            </w:r>
          </w:p>
        </w:tc>
        <w:tc>
          <w:tcPr>
            <w:tcW w:w="921" w:type="dxa"/>
            <w:tcBorders>
              <w:top w:val="nil"/>
              <w:left w:val="nil"/>
              <w:bottom w:val="nil"/>
              <w:right w:val="nil"/>
            </w:tcBorders>
          </w:tcPr>
          <w:p>
            <w:pPr>
              <w:pStyle w:val="TableParagraph"/>
              <w:spacing w:before="3"/>
              <w:ind w:left="254" w:right="275"/>
              <w:jc w:val="center"/>
              <w:rPr>
                <w:sz w:val="18"/>
              </w:rPr>
            </w:pPr>
            <w:r>
              <w:rPr>
                <w:sz w:val="18"/>
              </w:rPr>
              <w:t>3.9</w:t>
            </w:r>
          </w:p>
        </w:tc>
        <w:tc>
          <w:tcPr>
            <w:tcW w:w="1001" w:type="dxa"/>
            <w:tcBorders>
              <w:top w:val="nil"/>
              <w:left w:val="nil"/>
              <w:bottom w:val="nil"/>
              <w:right w:val="nil"/>
            </w:tcBorders>
          </w:tcPr>
          <w:p>
            <w:pPr>
              <w:pStyle w:val="TableParagraph"/>
              <w:spacing w:before="3"/>
              <w:ind w:right="1"/>
              <w:jc w:val="center"/>
              <w:rPr>
                <w:sz w:val="18"/>
              </w:rPr>
            </w:pPr>
            <w:r>
              <w:rPr>
                <w:w w:val="99"/>
                <w:sz w:val="18"/>
              </w:rPr>
              <w:t>2</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Nayarit</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5.7</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5.2</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4.4</w:t>
            </w:r>
          </w:p>
        </w:tc>
        <w:tc>
          <w:tcPr>
            <w:tcW w:w="1001" w:type="dxa"/>
            <w:tcBorders>
              <w:top w:val="nil"/>
              <w:left w:val="nil"/>
              <w:bottom w:val="nil"/>
              <w:right w:val="nil"/>
            </w:tcBorders>
          </w:tcPr>
          <w:p>
            <w:pPr>
              <w:pStyle w:val="TableParagraph"/>
              <w:spacing w:line="197" w:lineRule="exact"/>
              <w:ind w:right="1"/>
              <w:jc w:val="center"/>
              <w:rPr>
                <w:sz w:val="18"/>
              </w:rPr>
            </w:pPr>
            <w:r>
              <w:rPr>
                <w:w w:val="99"/>
                <w:sz w:val="18"/>
              </w:rPr>
              <w:t>3</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Aguascalientes</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6.2</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4.7</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4.7</w:t>
            </w:r>
          </w:p>
        </w:tc>
        <w:tc>
          <w:tcPr>
            <w:tcW w:w="1001" w:type="dxa"/>
            <w:tcBorders>
              <w:top w:val="nil"/>
              <w:left w:val="nil"/>
              <w:bottom w:val="nil"/>
              <w:right w:val="nil"/>
            </w:tcBorders>
          </w:tcPr>
          <w:p>
            <w:pPr>
              <w:pStyle w:val="TableParagraph"/>
              <w:spacing w:line="197" w:lineRule="exact"/>
              <w:ind w:right="1"/>
              <w:jc w:val="center"/>
              <w:rPr>
                <w:sz w:val="18"/>
              </w:rPr>
            </w:pPr>
            <w:r>
              <w:rPr>
                <w:w w:val="99"/>
                <w:sz w:val="18"/>
              </w:rPr>
              <w:t>4</w:t>
            </w:r>
          </w:p>
        </w:tc>
      </w:tr>
      <w:tr>
        <w:trPr>
          <w:trHeight w:val="208" w:hRule="exact"/>
        </w:trPr>
        <w:tc>
          <w:tcPr>
            <w:tcW w:w="2182" w:type="dxa"/>
            <w:tcBorders>
              <w:top w:val="nil"/>
              <w:left w:val="nil"/>
              <w:bottom w:val="nil"/>
              <w:right w:val="nil"/>
            </w:tcBorders>
          </w:tcPr>
          <w:p>
            <w:pPr>
              <w:pStyle w:val="TableParagraph"/>
              <w:spacing w:line="197" w:lineRule="exact"/>
              <w:ind w:left="69"/>
              <w:rPr>
                <w:sz w:val="18"/>
              </w:rPr>
            </w:pPr>
            <w:r>
              <w:rPr>
                <w:sz w:val="18"/>
              </w:rPr>
              <w:t>Yucatán</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6.7</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8.9</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5.0</w:t>
            </w:r>
          </w:p>
        </w:tc>
        <w:tc>
          <w:tcPr>
            <w:tcW w:w="1001" w:type="dxa"/>
            <w:tcBorders>
              <w:top w:val="nil"/>
              <w:left w:val="nil"/>
              <w:bottom w:val="nil"/>
              <w:right w:val="nil"/>
            </w:tcBorders>
          </w:tcPr>
          <w:p>
            <w:pPr>
              <w:pStyle w:val="TableParagraph"/>
              <w:spacing w:line="197" w:lineRule="exact"/>
              <w:ind w:right="1"/>
              <w:jc w:val="center"/>
              <w:rPr>
                <w:sz w:val="18"/>
              </w:rPr>
            </w:pPr>
            <w:r>
              <w:rPr>
                <w:w w:val="99"/>
                <w:sz w:val="18"/>
              </w:rPr>
              <w:t>5</w:t>
            </w:r>
          </w:p>
        </w:tc>
      </w:tr>
      <w:tr>
        <w:trPr>
          <w:trHeight w:val="208" w:hRule="exact"/>
        </w:trPr>
        <w:tc>
          <w:tcPr>
            <w:tcW w:w="2182" w:type="dxa"/>
            <w:tcBorders>
              <w:top w:val="nil"/>
              <w:left w:val="nil"/>
              <w:bottom w:val="nil"/>
              <w:right w:val="nil"/>
            </w:tcBorders>
          </w:tcPr>
          <w:p>
            <w:pPr>
              <w:pStyle w:val="TableParagraph"/>
              <w:spacing w:line="198" w:lineRule="exact"/>
              <w:ind w:left="69"/>
              <w:rPr>
                <w:sz w:val="18"/>
              </w:rPr>
            </w:pPr>
            <w:r>
              <w:rPr>
                <w:sz w:val="18"/>
              </w:rPr>
              <w:t>San Luis Potosí</w:t>
            </w:r>
          </w:p>
        </w:tc>
        <w:tc>
          <w:tcPr>
            <w:tcW w:w="942" w:type="dxa"/>
            <w:tcBorders>
              <w:top w:val="nil"/>
              <w:left w:val="nil"/>
              <w:bottom w:val="nil"/>
              <w:right w:val="nil"/>
            </w:tcBorders>
          </w:tcPr>
          <w:p>
            <w:pPr>
              <w:pStyle w:val="TableParagraph"/>
              <w:spacing w:line="198" w:lineRule="exact"/>
              <w:ind w:left="275" w:right="275"/>
              <w:jc w:val="center"/>
              <w:rPr>
                <w:sz w:val="18"/>
              </w:rPr>
            </w:pPr>
            <w:r>
              <w:rPr>
                <w:sz w:val="18"/>
              </w:rPr>
              <w:t>6.6</w:t>
            </w:r>
          </w:p>
        </w:tc>
        <w:tc>
          <w:tcPr>
            <w:tcW w:w="957" w:type="dxa"/>
            <w:tcBorders>
              <w:top w:val="nil"/>
              <w:left w:val="nil"/>
              <w:bottom w:val="nil"/>
              <w:right w:val="nil"/>
            </w:tcBorders>
          </w:tcPr>
          <w:p>
            <w:pPr>
              <w:pStyle w:val="TableParagraph"/>
              <w:spacing w:line="198" w:lineRule="exact"/>
              <w:ind w:left="325" w:right="340"/>
              <w:jc w:val="center"/>
              <w:rPr>
                <w:sz w:val="18"/>
              </w:rPr>
            </w:pPr>
            <w:r>
              <w:rPr>
                <w:sz w:val="18"/>
              </w:rPr>
              <w:t>6.8</w:t>
            </w:r>
          </w:p>
        </w:tc>
        <w:tc>
          <w:tcPr>
            <w:tcW w:w="921" w:type="dxa"/>
            <w:tcBorders>
              <w:top w:val="nil"/>
              <w:left w:val="nil"/>
              <w:bottom w:val="nil"/>
              <w:right w:val="nil"/>
            </w:tcBorders>
          </w:tcPr>
          <w:p>
            <w:pPr>
              <w:pStyle w:val="TableParagraph"/>
              <w:spacing w:line="198" w:lineRule="exact"/>
              <w:ind w:left="254" w:right="275"/>
              <w:jc w:val="center"/>
              <w:rPr>
                <w:sz w:val="18"/>
              </w:rPr>
            </w:pPr>
            <w:r>
              <w:rPr>
                <w:sz w:val="18"/>
              </w:rPr>
              <w:t>5.6</w:t>
            </w:r>
          </w:p>
        </w:tc>
        <w:tc>
          <w:tcPr>
            <w:tcW w:w="1001" w:type="dxa"/>
            <w:tcBorders>
              <w:top w:val="nil"/>
              <w:left w:val="nil"/>
              <w:bottom w:val="nil"/>
              <w:right w:val="nil"/>
            </w:tcBorders>
          </w:tcPr>
          <w:p>
            <w:pPr>
              <w:pStyle w:val="TableParagraph"/>
              <w:spacing w:line="198" w:lineRule="exact"/>
              <w:ind w:right="1"/>
              <w:jc w:val="center"/>
              <w:rPr>
                <w:sz w:val="18"/>
              </w:rPr>
            </w:pPr>
            <w:r>
              <w:rPr>
                <w:w w:val="99"/>
                <w:sz w:val="18"/>
              </w:rPr>
              <w:t>6</w:t>
            </w:r>
          </w:p>
        </w:tc>
      </w:tr>
      <w:tr>
        <w:trPr>
          <w:trHeight w:val="207" w:hRule="exact"/>
        </w:trPr>
        <w:tc>
          <w:tcPr>
            <w:tcW w:w="2182" w:type="dxa"/>
            <w:tcBorders>
              <w:top w:val="nil"/>
              <w:left w:val="nil"/>
              <w:bottom w:val="nil"/>
              <w:right w:val="nil"/>
            </w:tcBorders>
          </w:tcPr>
          <w:p>
            <w:pPr>
              <w:pStyle w:val="TableParagraph"/>
              <w:spacing w:line="197" w:lineRule="exact"/>
              <w:ind w:left="69"/>
              <w:rPr>
                <w:sz w:val="18"/>
              </w:rPr>
            </w:pPr>
            <w:r>
              <w:rPr>
                <w:sz w:val="18"/>
              </w:rPr>
              <w:t>Quintana Roo</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9.4</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5.8</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5.9</w:t>
            </w:r>
          </w:p>
        </w:tc>
        <w:tc>
          <w:tcPr>
            <w:tcW w:w="1001" w:type="dxa"/>
            <w:tcBorders>
              <w:top w:val="nil"/>
              <w:left w:val="nil"/>
              <w:bottom w:val="nil"/>
              <w:right w:val="nil"/>
            </w:tcBorders>
          </w:tcPr>
          <w:p>
            <w:pPr>
              <w:pStyle w:val="TableParagraph"/>
              <w:spacing w:line="197" w:lineRule="exact"/>
              <w:ind w:right="1"/>
              <w:jc w:val="center"/>
              <w:rPr>
                <w:sz w:val="18"/>
              </w:rPr>
            </w:pPr>
            <w:r>
              <w:rPr>
                <w:w w:val="99"/>
                <w:sz w:val="18"/>
              </w:rPr>
              <w:t>7</w:t>
            </w:r>
          </w:p>
        </w:tc>
      </w:tr>
      <w:tr>
        <w:trPr>
          <w:trHeight w:val="207" w:hRule="exact"/>
        </w:trPr>
        <w:tc>
          <w:tcPr>
            <w:tcW w:w="2182" w:type="dxa"/>
            <w:tcBorders>
              <w:top w:val="nil"/>
              <w:left w:val="nil"/>
              <w:bottom w:val="nil"/>
              <w:right w:val="nil"/>
            </w:tcBorders>
          </w:tcPr>
          <w:p>
            <w:pPr>
              <w:pStyle w:val="TableParagraph"/>
              <w:spacing w:line="197" w:lineRule="exact"/>
              <w:ind w:left="69"/>
              <w:rPr>
                <w:sz w:val="18"/>
              </w:rPr>
            </w:pPr>
            <w:r>
              <w:rPr>
                <w:sz w:val="18"/>
              </w:rPr>
              <w:t>Zacatecas</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5.3</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5.9</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6.1</w:t>
            </w:r>
          </w:p>
        </w:tc>
        <w:tc>
          <w:tcPr>
            <w:tcW w:w="1001" w:type="dxa"/>
            <w:tcBorders>
              <w:top w:val="nil"/>
              <w:left w:val="nil"/>
              <w:bottom w:val="nil"/>
              <w:right w:val="nil"/>
            </w:tcBorders>
          </w:tcPr>
          <w:p>
            <w:pPr>
              <w:pStyle w:val="TableParagraph"/>
              <w:spacing w:line="197" w:lineRule="exact"/>
              <w:ind w:right="1"/>
              <w:jc w:val="center"/>
              <w:rPr>
                <w:sz w:val="18"/>
              </w:rPr>
            </w:pPr>
            <w:r>
              <w:rPr>
                <w:w w:val="99"/>
                <w:sz w:val="18"/>
              </w:rPr>
              <w:t>8</w:t>
            </w:r>
          </w:p>
        </w:tc>
      </w:tr>
      <w:tr>
        <w:trPr>
          <w:trHeight w:val="208" w:hRule="exact"/>
        </w:trPr>
        <w:tc>
          <w:tcPr>
            <w:tcW w:w="2182" w:type="dxa"/>
            <w:tcBorders>
              <w:top w:val="nil"/>
              <w:left w:val="nil"/>
              <w:bottom w:val="nil"/>
              <w:right w:val="nil"/>
            </w:tcBorders>
          </w:tcPr>
          <w:p>
            <w:pPr>
              <w:pStyle w:val="TableParagraph"/>
              <w:spacing w:line="197" w:lineRule="exact"/>
              <w:ind w:left="69"/>
              <w:rPr>
                <w:sz w:val="18"/>
              </w:rPr>
            </w:pPr>
            <w:r>
              <w:rPr>
                <w:sz w:val="18"/>
              </w:rPr>
              <w:t>Tamaulipas</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6.8</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9.2</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6.5</w:t>
            </w:r>
          </w:p>
        </w:tc>
        <w:tc>
          <w:tcPr>
            <w:tcW w:w="1001" w:type="dxa"/>
            <w:tcBorders>
              <w:top w:val="nil"/>
              <w:left w:val="nil"/>
              <w:bottom w:val="nil"/>
              <w:right w:val="nil"/>
            </w:tcBorders>
          </w:tcPr>
          <w:p>
            <w:pPr>
              <w:pStyle w:val="TableParagraph"/>
              <w:spacing w:line="197" w:lineRule="exact"/>
              <w:ind w:right="1"/>
              <w:jc w:val="center"/>
              <w:rPr>
                <w:sz w:val="18"/>
              </w:rPr>
            </w:pPr>
            <w:r>
              <w:rPr>
                <w:w w:val="99"/>
                <w:sz w:val="18"/>
              </w:rPr>
              <w:t>9</w:t>
            </w:r>
          </w:p>
        </w:tc>
      </w:tr>
      <w:tr>
        <w:trPr>
          <w:trHeight w:val="208" w:hRule="exact"/>
        </w:trPr>
        <w:tc>
          <w:tcPr>
            <w:tcW w:w="2182" w:type="dxa"/>
            <w:tcBorders>
              <w:top w:val="nil"/>
              <w:left w:val="nil"/>
              <w:bottom w:val="nil"/>
              <w:right w:val="nil"/>
            </w:tcBorders>
          </w:tcPr>
          <w:p>
            <w:pPr>
              <w:pStyle w:val="TableParagraph"/>
              <w:spacing w:line="198" w:lineRule="exact"/>
              <w:ind w:left="69"/>
              <w:rPr>
                <w:sz w:val="18"/>
              </w:rPr>
            </w:pPr>
            <w:r>
              <w:rPr>
                <w:sz w:val="18"/>
              </w:rPr>
              <w:t>Morelos</w:t>
            </w:r>
          </w:p>
        </w:tc>
        <w:tc>
          <w:tcPr>
            <w:tcW w:w="942" w:type="dxa"/>
            <w:tcBorders>
              <w:top w:val="nil"/>
              <w:left w:val="nil"/>
              <w:bottom w:val="nil"/>
              <w:right w:val="nil"/>
            </w:tcBorders>
          </w:tcPr>
          <w:p>
            <w:pPr>
              <w:pStyle w:val="TableParagraph"/>
              <w:spacing w:line="198" w:lineRule="exact"/>
              <w:ind w:left="275" w:right="275"/>
              <w:jc w:val="center"/>
              <w:rPr>
                <w:sz w:val="18"/>
              </w:rPr>
            </w:pPr>
            <w:r>
              <w:rPr>
                <w:sz w:val="18"/>
              </w:rPr>
              <w:t>11.0</w:t>
            </w:r>
          </w:p>
        </w:tc>
        <w:tc>
          <w:tcPr>
            <w:tcW w:w="957" w:type="dxa"/>
            <w:tcBorders>
              <w:top w:val="nil"/>
              <w:left w:val="nil"/>
              <w:bottom w:val="nil"/>
              <w:right w:val="nil"/>
            </w:tcBorders>
          </w:tcPr>
          <w:p>
            <w:pPr>
              <w:pStyle w:val="TableParagraph"/>
              <w:spacing w:line="198" w:lineRule="exact"/>
              <w:ind w:left="325" w:right="340"/>
              <w:jc w:val="center"/>
              <w:rPr>
                <w:sz w:val="18"/>
              </w:rPr>
            </w:pPr>
            <w:r>
              <w:rPr>
                <w:sz w:val="18"/>
              </w:rPr>
              <w:t>9.8</w:t>
            </w:r>
          </w:p>
        </w:tc>
        <w:tc>
          <w:tcPr>
            <w:tcW w:w="921" w:type="dxa"/>
            <w:tcBorders>
              <w:top w:val="nil"/>
              <w:left w:val="nil"/>
              <w:bottom w:val="nil"/>
              <w:right w:val="nil"/>
            </w:tcBorders>
          </w:tcPr>
          <w:p>
            <w:pPr>
              <w:pStyle w:val="TableParagraph"/>
              <w:spacing w:line="198" w:lineRule="exact"/>
              <w:ind w:left="254" w:right="275"/>
              <w:jc w:val="center"/>
              <w:rPr>
                <w:sz w:val="18"/>
              </w:rPr>
            </w:pPr>
            <w:r>
              <w:rPr>
                <w:sz w:val="18"/>
              </w:rPr>
              <w:t>6.7</w:t>
            </w:r>
          </w:p>
        </w:tc>
        <w:tc>
          <w:tcPr>
            <w:tcW w:w="1001" w:type="dxa"/>
            <w:tcBorders>
              <w:top w:val="nil"/>
              <w:left w:val="nil"/>
              <w:bottom w:val="nil"/>
              <w:right w:val="nil"/>
            </w:tcBorders>
          </w:tcPr>
          <w:p>
            <w:pPr>
              <w:pStyle w:val="TableParagraph"/>
              <w:spacing w:line="198" w:lineRule="exact"/>
              <w:ind w:left="380" w:right="381"/>
              <w:jc w:val="center"/>
              <w:rPr>
                <w:sz w:val="18"/>
              </w:rPr>
            </w:pPr>
            <w:r>
              <w:rPr>
                <w:sz w:val="18"/>
              </w:rPr>
              <w:t>10</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Querétaro</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2.0</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7.0</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6.9</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11</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Veracruz</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10.8</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9.7</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6.9</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12</w:t>
            </w:r>
          </w:p>
        </w:tc>
      </w:tr>
      <w:tr>
        <w:trPr>
          <w:trHeight w:val="208" w:hRule="exact"/>
        </w:trPr>
        <w:tc>
          <w:tcPr>
            <w:tcW w:w="2182" w:type="dxa"/>
            <w:tcBorders>
              <w:top w:val="nil"/>
              <w:left w:val="nil"/>
              <w:bottom w:val="nil"/>
              <w:right w:val="nil"/>
            </w:tcBorders>
          </w:tcPr>
          <w:p>
            <w:pPr>
              <w:pStyle w:val="TableParagraph"/>
              <w:spacing w:line="197" w:lineRule="exact"/>
              <w:ind w:left="69"/>
              <w:rPr>
                <w:sz w:val="18"/>
              </w:rPr>
            </w:pPr>
            <w:r>
              <w:rPr>
                <w:sz w:val="18"/>
              </w:rPr>
              <w:t>Chihuahua</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7.4</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8.7</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7.1</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13</w:t>
            </w:r>
          </w:p>
        </w:tc>
      </w:tr>
      <w:tr>
        <w:trPr>
          <w:trHeight w:val="208" w:hRule="exact"/>
        </w:trPr>
        <w:tc>
          <w:tcPr>
            <w:tcW w:w="2182" w:type="dxa"/>
            <w:tcBorders>
              <w:top w:val="nil"/>
              <w:left w:val="nil"/>
              <w:bottom w:val="nil"/>
              <w:right w:val="nil"/>
            </w:tcBorders>
          </w:tcPr>
          <w:p>
            <w:pPr>
              <w:pStyle w:val="TableParagraph"/>
              <w:spacing w:line="198" w:lineRule="exact"/>
              <w:ind w:left="69"/>
              <w:rPr>
                <w:sz w:val="18"/>
              </w:rPr>
            </w:pPr>
            <w:r>
              <w:rPr>
                <w:sz w:val="18"/>
              </w:rPr>
              <w:t>Baja California</w:t>
            </w:r>
          </w:p>
        </w:tc>
        <w:tc>
          <w:tcPr>
            <w:tcW w:w="942" w:type="dxa"/>
            <w:tcBorders>
              <w:top w:val="nil"/>
              <w:left w:val="nil"/>
              <w:bottom w:val="nil"/>
              <w:right w:val="nil"/>
            </w:tcBorders>
          </w:tcPr>
          <w:p>
            <w:pPr>
              <w:pStyle w:val="TableParagraph"/>
              <w:spacing w:line="198" w:lineRule="exact"/>
              <w:ind w:left="275" w:right="275"/>
              <w:jc w:val="center"/>
              <w:rPr>
                <w:sz w:val="18"/>
              </w:rPr>
            </w:pPr>
            <w:r>
              <w:rPr>
                <w:sz w:val="18"/>
              </w:rPr>
              <w:t>6.9</w:t>
            </w:r>
          </w:p>
        </w:tc>
        <w:tc>
          <w:tcPr>
            <w:tcW w:w="957" w:type="dxa"/>
            <w:tcBorders>
              <w:top w:val="nil"/>
              <w:left w:val="nil"/>
              <w:bottom w:val="nil"/>
              <w:right w:val="nil"/>
            </w:tcBorders>
          </w:tcPr>
          <w:p>
            <w:pPr>
              <w:pStyle w:val="TableParagraph"/>
              <w:spacing w:line="198" w:lineRule="exact"/>
              <w:ind w:left="325" w:right="340"/>
              <w:jc w:val="center"/>
              <w:rPr>
                <w:sz w:val="18"/>
              </w:rPr>
            </w:pPr>
            <w:r>
              <w:rPr>
                <w:sz w:val="18"/>
              </w:rPr>
              <w:t>8.8</w:t>
            </w:r>
          </w:p>
        </w:tc>
        <w:tc>
          <w:tcPr>
            <w:tcW w:w="921" w:type="dxa"/>
            <w:tcBorders>
              <w:top w:val="nil"/>
              <w:left w:val="nil"/>
              <w:bottom w:val="nil"/>
              <w:right w:val="nil"/>
            </w:tcBorders>
          </w:tcPr>
          <w:p>
            <w:pPr>
              <w:pStyle w:val="TableParagraph"/>
              <w:spacing w:line="198" w:lineRule="exact"/>
              <w:ind w:left="254" w:right="275"/>
              <w:jc w:val="center"/>
              <w:rPr>
                <w:sz w:val="18"/>
              </w:rPr>
            </w:pPr>
            <w:r>
              <w:rPr>
                <w:sz w:val="18"/>
              </w:rPr>
              <w:t>7.1</w:t>
            </w:r>
          </w:p>
        </w:tc>
        <w:tc>
          <w:tcPr>
            <w:tcW w:w="1001" w:type="dxa"/>
            <w:tcBorders>
              <w:top w:val="nil"/>
              <w:left w:val="nil"/>
              <w:bottom w:val="nil"/>
              <w:right w:val="nil"/>
            </w:tcBorders>
          </w:tcPr>
          <w:p>
            <w:pPr>
              <w:pStyle w:val="TableParagraph"/>
              <w:spacing w:line="198" w:lineRule="exact"/>
              <w:ind w:left="380" w:right="381"/>
              <w:jc w:val="center"/>
              <w:rPr>
                <w:sz w:val="18"/>
              </w:rPr>
            </w:pPr>
            <w:r>
              <w:rPr>
                <w:sz w:val="18"/>
              </w:rPr>
              <w:t>14</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Puebla</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10.9</w:t>
            </w:r>
          </w:p>
        </w:tc>
        <w:tc>
          <w:tcPr>
            <w:tcW w:w="957" w:type="dxa"/>
            <w:tcBorders>
              <w:top w:val="nil"/>
              <w:left w:val="nil"/>
              <w:bottom w:val="nil"/>
              <w:right w:val="nil"/>
            </w:tcBorders>
          </w:tcPr>
          <w:p>
            <w:pPr>
              <w:pStyle w:val="TableParagraph"/>
              <w:spacing w:line="197" w:lineRule="exact"/>
              <w:ind w:right="309"/>
              <w:jc w:val="right"/>
              <w:rPr>
                <w:sz w:val="18"/>
              </w:rPr>
            </w:pPr>
            <w:r>
              <w:rPr>
                <w:w w:val="95"/>
                <w:sz w:val="18"/>
              </w:rPr>
              <w:t>11.0</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7.6</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15</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Guanajuato</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5.2</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5.1</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7.6</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16</w:t>
            </w:r>
          </w:p>
        </w:tc>
      </w:tr>
      <w:tr>
        <w:trPr>
          <w:trHeight w:val="208" w:hRule="exact"/>
        </w:trPr>
        <w:tc>
          <w:tcPr>
            <w:tcW w:w="2182" w:type="dxa"/>
            <w:tcBorders>
              <w:top w:val="nil"/>
              <w:left w:val="nil"/>
              <w:bottom w:val="nil"/>
              <w:right w:val="nil"/>
            </w:tcBorders>
          </w:tcPr>
          <w:p>
            <w:pPr>
              <w:pStyle w:val="TableParagraph"/>
              <w:spacing w:line="197" w:lineRule="exact"/>
              <w:ind w:left="69"/>
              <w:rPr>
                <w:sz w:val="18"/>
              </w:rPr>
            </w:pPr>
            <w:r>
              <w:rPr>
                <w:sz w:val="18"/>
              </w:rPr>
              <w:t>Chiapas</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2.8</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7.1</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7.6</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17</w:t>
            </w:r>
          </w:p>
        </w:tc>
      </w:tr>
      <w:tr>
        <w:trPr>
          <w:trHeight w:val="208" w:hRule="exact"/>
        </w:trPr>
        <w:tc>
          <w:tcPr>
            <w:tcW w:w="2182" w:type="dxa"/>
            <w:tcBorders>
              <w:top w:val="nil"/>
              <w:left w:val="nil"/>
              <w:bottom w:val="nil"/>
              <w:right w:val="nil"/>
            </w:tcBorders>
          </w:tcPr>
          <w:p>
            <w:pPr>
              <w:pStyle w:val="TableParagraph"/>
              <w:spacing w:line="198" w:lineRule="exact"/>
              <w:ind w:left="69"/>
              <w:rPr>
                <w:sz w:val="18"/>
              </w:rPr>
            </w:pPr>
            <w:r>
              <w:rPr>
                <w:sz w:val="18"/>
              </w:rPr>
              <w:t>Coahuila</w:t>
            </w:r>
          </w:p>
        </w:tc>
        <w:tc>
          <w:tcPr>
            <w:tcW w:w="942" w:type="dxa"/>
            <w:tcBorders>
              <w:top w:val="nil"/>
              <w:left w:val="nil"/>
              <w:bottom w:val="nil"/>
              <w:right w:val="nil"/>
            </w:tcBorders>
          </w:tcPr>
          <w:p>
            <w:pPr>
              <w:pStyle w:val="TableParagraph"/>
              <w:spacing w:line="198" w:lineRule="exact"/>
              <w:ind w:left="275" w:right="275"/>
              <w:jc w:val="center"/>
              <w:rPr>
                <w:sz w:val="18"/>
              </w:rPr>
            </w:pPr>
            <w:r>
              <w:rPr>
                <w:sz w:val="18"/>
              </w:rPr>
              <w:t>6.5</w:t>
            </w:r>
          </w:p>
        </w:tc>
        <w:tc>
          <w:tcPr>
            <w:tcW w:w="957" w:type="dxa"/>
            <w:tcBorders>
              <w:top w:val="nil"/>
              <w:left w:val="nil"/>
              <w:bottom w:val="nil"/>
              <w:right w:val="nil"/>
            </w:tcBorders>
          </w:tcPr>
          <w:p>
            <w:pPr>
              <w:pStyle w:val="TableParagraph"/>
              <w:spacing w:line="198" w:lineRule="exact"/>
              <w:ind w:left="325" w:right="340"/>
              <w:jc w:val="center"/>
              <w:rPr>
                <w:sz w:val="18"/>
              </w:rPr>
            </w:pPr>
            <w:r>
              <w:rPr>
                <w:sz w:val="18"/>
              </w:rPr>
              <w:t>8.4</w:t>
            </w:r>
          </w:p>
        </w:tc>
        <w:tc>
          <w:tcPr>
            <w:tcW w:w="921" w:type="dxa"/>
            <w:tcBorders>
              <w:top w:val="nil"/>
              <w:left w:val="nil"/>
              <w:bottom w:val="nil"/>
              <w:right w:val="nil"/>
            </w:tcBorders>
          </w:tcPr>
          <w:p>
            <w:pPr>
              <w:pStyle w:val="TableParagraph"/>
              <w:spacing w:line="198" w:lineRule="exact"/>
              <w:ind w:left="254" w:right="275"/>
              <w:jc w:val="center"/>
              <w:rPr>
                <w:sz w:val="18"/>
              </w:rPr>
            </w:pPr>
            <w:r>
              <w:rPr>
                <w:sz w:val="18"/>
              </w:rPr>
              <w:t>8.3</w:t>
            </w:r>
          </w:p>
        </w:tc>
        <w:tc>
          <w:tcPr>
            <w:tcW w:w="1001" w:type="dxa"/>
            <w:tcBorders>
              <w:top w:val="nil"/>
              <w:left w:val="nil"/>
              <w:bottom w:val="nil"/>
              <w:right w:val="nil"/>
            </w:tcBorders>
          </w:tcPr>
          <w:p>
            <w:pPr>
              <w:pStyle w:val="TableParagraph"/>
              <w:spacing w:line="198" w:lineRule="exact"/>
              <w:ind w:left="380" w:right="381"/>
              <w:jc w:val="center"/>
              <w:rPr>
                <w:sz w:val="18"/>
              </w:rPr>
            </w:pPr>
            <w:r>
              <w:rPr>
                <w:sz w:val="18"/>
              </w:rPr>
              <w:t>18</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Campeche</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7.8</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7.2</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8.3</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19</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Michoacán</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10.8</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5.7</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8.4</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20</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Sonora</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5.2</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6.0</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8.4</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21</w:t>
            </w:r>
          </w:p>
        </w:tc>
      </w:tr>
      <w:tr>
        <w:trPr>
          <w:trHeight w:val="208" w:hRule="exact"/>
        </w:trPr>
        <w:tc>
          <w:tcPr>
            <w:tcW w:w="2182" w:type="dxa"/>
            <w:tcBorders>
              <w:top w:val="nil"/>
              <w:left w:val="nil"/>
              <w:bottom w:val="nil"/>
              <w:right w:val="nil"/>
            </w:tcBorders>
          </w:tcPr>
          <w:p>
            <w:pPr>
              <w:pStyle w:val="TableParagraph"/>
              <w:spacing w:line="197" w:lineRule="exact"/>
              <w:ind w:left="69"/>
              <w:rPr>
                <w:sz w:val="18"/>
              </w:rPr>
            </w:pPr>
            <w:r>
              <w:rPr>
                <w:sz w:val="18"/>
              </w:rPr>
              <w:t>Nuevo León</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9.3</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6.0</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9.1</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22</w:t>
            </w:r>
          </w:p>
        </w:tc>
      </w:tr>
      <w:tr>
        <w:trPr>
          <w:trHeight w:val="208" w:hRule="exact"/>
        </w:trPr>
        <w:tc>
          <w:tcPr>
            <w:tcW w:w="2182" w:type="dxa"/>
            <w:tcBorders>
              <w:top w:val="nil"/>
              <w:left w:val="nil"/>
              <w:bottom w:val="nil"/>
              <w:right w:val="nil"/>
            </w:tcBorders>
          </w:tcPr>
          <w:p>
            <w:pPr>
              <w:pStyle w:val="TableParagraph"/>
              <w:spacing w:line="198" w:lineRule="exact"/>
              <w:ind w:left="69"/>
              <w:rPr>
                <w:sz w:val="18"/>
              </w:rPr>
            </w:pPr>
            <w:r>
              <w:rPr>
                <w:sz w:val="18"/>
              </w:rPr>
              <w:t>Sinaloa</w:t>
            </w:r>
          </w:p>
        </w:tc>
        <w:tc>
          <w:tcPr>
            <w:tcW w:w="942" w:type="dxa"/>
            <w:tcBorders>
              <w:top w:val="nil"/>
              <w:left w:val="nil"/>
              <w:bottom w:val="nil"/>
              <w:right w:val="nil"/>
            </w:tcBorders>
          </w:tcPr>
          <w:p>
            <w:pPr>
              <w:pStyle w:val="TableParagraph"/>
              <w:spacing w:line="198" w:lineRule="exact"/>
              <w:ind w:left="275" w:right="275"/>
              <w:jc w:val="center"/>
              <w:rPr>
                <w:sz w:val="18"/>
              </w:rPr>
            </w:pPr>
            <w:r>
              <w:rPr>
                <w:sz w:val="18"/>
              </w:rPr>
              <w:t>6.6</w:t>
            </w:r>
          </w:p>
        </w:tc>
        <w:tc>
          <w:tcPr>
            <w:tcW w:w="957" w:type="dxa"/>
            <w:tcBorders>
              <w:top w:val="nil"/>
              <w:left w:val="nil"/>
              <w:bottom w:val="nil"/>
              <w:right w:val="nil"/>
            </w:tcBorders>
          </w:tcPr>
          <w:p>
            <w:pPr>
              <w:pStyle w:val="TableParagraph"/>
              <w:spacing w:line="198" w:lineRule="exact"/>
              <w:ind w:left="325" w:right="340"/>
              <w:jc w:val="center"/>
              <w:rPr>
                <w:sz w:val="18"/>
              </w:rPr>
            </w:pPr>
            <w:r>
              <w:rPr>
                <w:sz w:val="18"/>
              </w:rPr>
              <w:t>8.1</w:t>
            </w:r>
          </w:p>
        </w:tc>
        <w:tc>
          <w:tcPr>
            <w:tcW w:w="921" w:type="dxa"/>
            <w:tcBorders>
              <w:top w:val="nil"/>
              <w:left w:val="nil"/>
              <w:bottom w:val="nil"/>
              <w:right w:val="nil"/>
            </w:tcBorders>
          </w:tcPr>
          <w:p>
            <w:pPr>
              <w:pStyle w:val="TableParagraph"/>
              <w:spacing w:line="198" w:lineRule="exact"/>
              <w:ind w:left="254" w:right="275"/>
              <w:jc w:val="center"/>
              <w:rPr>
                <w:sz w:val="18"/>
              </w:rPr>
            </w:pPr>
            <w:r>
              <w:rPr>
                <w:sz w:val="18"/>
              </w:rPr>
              <w:t>9.9</w:t>
            </w:r>
          </w:p>
        </w:tc>
        <w:tc>
          <w:tcPr>
            <w:tcW w:w="1001" w:type="dxa"/>
            <w:tcBorders>
              <w:top w:val="nil"/>
              <w:left w:val="nil"/>
              <w:bottom w:val="nil"/>
              <w:right w:val="nil"/>
            </w:tcBorders>
          </w:tcPr>
          <w:p>
            <w:pPr>
              <w:pStyle w:val="TableParagraph"/>
              <w:spacing w:line="198" w:lineRule="exact"/>
              <w:ind w:left="380" w:right="381"/>
              <w:jc w:val="center"/>
              <w:rPr>
                <w:sz w:val="18"/>
              </w:rPr>
            </w:pPr>
            <w:r>
              <w:rPr>
                <w:sz w:val="18"/>
              </w:rPr>
              <w:t>23</w:t>
            </w:r>
          </w:p>
        </w:tc>
      </w:tr>
      <w:tr>
        <w:trPr>
          <w:trHeight w:val="202" w:hRule="exact"/>
        </w:trPr>
        <w:tc>
          <w:tcPr>
            <w:tcW w:w="2182" w:type="dxa"/>
            <w:tcBorders>
              <w:top w:val="nil"/>
              <w:left w:val="nil"/>
              <w:right w:val="nil"/>
            </w:tcBorders>
          </w:tcPr>
          <w:p>
            <w:pPr>
              <w:pStyle w:val="TableParagraph"/>
              <w:spacing w:line="197" w:lineRule="exact"/>
              <w:ind w:left="69"/>
              <w:rPr>
                <w:sz w:val="18"/>
              </w:rPr>
            </w:pPr>
            <w:r>
              <w:rPr>
                <w:sz w:val="18"/>
              </w:rPr>
              <w:t>Tlaxcala</w:t>
            </w:r>
          </w:p>
        </w:tc>
        <w:tc>
          <w:tcPr>
            <w:tcW w:w="942" w:type="dxa"/>
            <w:tcBorders>
              <w:top w:val="nil"/>
              <w:left w:val="nil"/>
              <w:right w:val="nil"/>
            </w:tcBorders>
          </w:tcPr>
          <w:p>
            <w:pPr>
              <w:pStyle w:val="TableParagraph"/>
              <w:spacing w:line="197" w:lineRule="exact"/>
              <w:ind w:left="275" w:right="275"/>
              <w:jc w:val="center"/>
              <w:rPr>
                <w:sz w:val="18"/>
              </w:rPr>
            </w:pPr>
            <w:r>
              <w:rPr>
                <w:sz w:val="18"/>
              </w:rPr>
              <w:t>10.0</w:t>
            </w:r>
          </w:p>
        </w:tc>
        <w:tc>
          <w:tcPr>
            <w:tcW w:w="957" w:type="dxa"/>
            <w:tcBorders>
              <w:top w:val="nil"/>
              <w:left w:val="nil"/>
              <w:right w:val="nil"/>
            </w:tcBorders>
          </w:tcPr>
          <w:p>
            <w:pPr>
              <w:pStyle w:val="TableParagraph"/>
              <w:spacing w:line="197" w:lineRule="exact"/>
              <w:ind w:right="309"/>
              <w:jc w:val="right"/>
              <w:rPr>
                <w:sz w:val="18"/>
              </w:rPr>
            </w:pPr>
            <w:r>
              <w:rPr>
                <w:w w:val="95"/>
                <w:sz w:val="18"/>
              </w:rPr>
              <w:t>11.7</w:t>
            </w:r>
          </w:p>
        </w:tc>
        <w:tc>
          <w:tcPr>
            <w:tcW w:w="921" w:type="dxa"/>
            <w:tcBorders>
              <w:top w:val="nil"/>
              <w:left w:val="nil"/>
              <w:right w:val="nil"/>
            </w:tcBorders>
          </w:tcPr>
          <w:p>
            <w:pPr>
              <w:pStyle w:val="TableParagraph"/>
              <w:spacing w:line="197" w:lineRule="exact"/>
              <w:ind w:left="254" w:right="275"/>
              <w:jc w:val="center"/>
              <w:rPr>
                <w:sz w:val="18"/>
              </w:rPr>
            </w:pPr>
            <w:r>
              <w:rPr>
                <w:sz w:val="18"/>
              </w:rPr>
              <w:t>10.2</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24</w:t>
            </w:r>
          </w:p>
        </w:tc>
      </w:tr>
      <w:tr>
        <w:trPr>
          <w:trHeight w:val="219" w:hRule="exact"/>
        </w:trPr>
        <w:tc>
          <w:tcPr>
            <w:tcW w:w="2182" w:type="dxa"/>
            <w:tcBorders>
              <w:left w:val="nil"/>
              <w:right w:val="nil"/>
            </w:tcBorders>
            <w:shd w:val="clear" w:color="auto" w:fill="FFFF00"/>
          </w:tcPr>
          <w:p>
            <w:pPr>
              <w:pStyle w:val="TableParagraph"/>
              <w:spacing w:line="202" w:lineRule="exact"/>
              <w:ind w:left="69"/>
              <w:rPr>
                <w:b/>
                <w:sz w:val="18"/>
              </w:rPr>
            </w:pPr>
            <w:r>
              <w:rPr>
                <w:b/>
                <w:sz w:val="18"/>
              </w:rPr>
              <w:t>Promedio nacional</w:t>
            </w:r>
          </w:p>
        </w:tc>
        <w:tc>
          <w:tcPr>
            <w:tcW w:w="942" w:type="dxa"/>
            <w:tcBorders>
              <w:left w:val="nil"/>
              <w:right w:val="nil"/>
            </w:tcBorders>
            <w:shd w:val="clear" w:color="auto" w:fill="FFFF00"/>
          </w:tcPr>
          <w:p>
            <w:pPr/>
          </w:p>
        </w:tc>
        <w:tc>
          <w:tcPr>
            <w:tcW w:w="957" w:type="dxa"/>
            <w:tcBorders>
              <w:left w:val="nil"/>
              <w:right w:val="nil"/>
            </w:tcBorders>
            <w:shd w:val="clear" w:color="auto" w:fill="FFFF00"/>
          </w:tcPr>
          <w:p>
            <w:pPr/>
          </w:p>
        </w:tc>
        <w:tc>
          <w:tcPr>
            <w:tcW w:w="921" w:type="dxa"/>
            <w:tcBorders>
              <w:left w:val="nil"/>
              <w:right w:val="nil"/>
            </w:tcBorders>
            <w:shd w:val="clear" w:color="auto" w:fill="FFFF00"/>
          </w:tcPr>
          <w:p>
            <w:pPr>
              <w:pStyle w:val="TableParagraph"/>
              <w:spacing w:line="202" w:lineRule="exact"/>
              <w:ind w:left="254" w:right="275"/>
              <w:jc w:val="center"/>
              <w:rPr>
                <w:b/>
                <w:sz w:val="18"/>
              </w:rPr>
            </w:pPr>
            <w:r>
              <w:rPr>
                <w:b/>
                <w:sz w:val="18"/>
              </w:rPr>
              <w:t>10.3</w:t>
            </w:r>
          </w:p>
        </w:tc>
        <w:tc>
          <w:tcPr>
            <w:tcW w:w="1001" w:type="dxa"/>
            <w:tcBorders>
              <w:top w:val="nil"/>
              <w:left w:val="nil"/>
              <w:bottom w:val="nil"/>
              <w:right w:val="nil"/>
            </w:tcBorders>
          </w:tcPr>
          <w:p>
            <w:pPr/>
          </w:p>
        </w:tc>
      </w:tr>
      <w:tr>
        <w:trPr>
          <w:trHeight w:val="220" w:hRule="exact"/>
        </w:trPr>
        <w:tc>
          <w:tcPr>
            <w:tcW w:w="2182" w:type="dxa"/>
            <w:tcBorders>
              <w:left w:val="nil"/>
              <w:bottom w:val="nil"/>
              <w:right w:val="nil"/>
            </w:tcBorders>
          </w:tcPr>
          <w:p>
            <w:pPr>
              <w:pStyle w:val="TableParagraph"/>
              <w:spacing w:line="206" w:lineRule="exact"/>
              <w:ind w:left="69"/>
              <w:rPr>
                <w:sz w:val="18"/>
              </w:rPr>
            </w:pPr>
            <w:r>
              <w:rPr>
                <w:sz w:val="18"/>
              </w:rPr>
              <w:t>Jalisco</w:t>
            </w:r>
          </w:p>
        </w:tc>
        <w:tc>
          <w:tcPr>
            <w:tcW w:w="942" w:type="dxa"/>
            <w:tcBorders>
              <w:left w:val="nil"/>
              <w:bottom w:val="nil"/>
              <w:right w:val="nil"/>
            </w:tcBorders>
          </w:tcPr>
          <w:p>
            <w:pPr>
              <w:pStyle w:val="TableParagraph"/>
              <w:spacing w:line="206" w:lineRule="exact"/>
              <w:ind w:left="275" w:right="275"/>
              <w:jc w:val="center"/>
              <w:rPr>
                <w:sz w:val="18"/>
              </w:rPr>
            </w:pPr>
            <w:r>
              <w:rPr>
                <w:sz w:val="18"/>
              </w:rPr>
              <w:t>7.2</w:t>
            </w:r>
          </w:p>
        </w:tc>
        <w:tc>
          <w:tcPr>
            <w:tcW w:w="957" w:type="dxa"/>
            <w:tcBorders>
              <w:left w:val="nil"/>
              <w:bottom w:val="nil"/>
              <w:right w:val="nil"/>
            </w:tcBorders>
          </w:tcPr>
          <w:p>
            <w:pPr>
              <w:pStyle w:val="TableParagraph"/>
              <w:spacing w:line="206" w:lineRule="exact"/>
              <w:ind w:left="325" w:right="340"/>
              <w:jc w:val="center"/>
              <w:rPr>
                <w:sz w:val="18"/>
              </w:rPr>
            </w:pPr>
            <w:r>
              <w:rPr>
                <w:sz w:val="18"/>
              </w:rPr>
              <w:t>8.8</w:t>
            </w:r>
          </w:p>
        </w:tc>
        <w:tc>
          <w:tcPr>
            <w:tcW w:w="921" w:type="dxa"/>
            <w:tcBorders>
              <w:left w:val="nil"/>
              <w:bottom w:val="nil"/>
              <w:right w:val="nil"/>
            </w:tcBorders>
          </w:tcPr>
          <w:p>
            <w:pPr>
              <w:pStyle w:val="TableParagraph"/>
              <w:spacing w:line="206" w:lineRule="exact"/>
              <w:ind w:left="254" w:right="275"/>
              <w:jc w:val="center"/>
              <w:rPr>
                <w:sz w:val="18"/>
              </w:rPr>
            </w:pPr>
            <w:r>
              <w:rPr>
                <w:sz w:val="18"/>
              </w:rPr>
              <w:t>10.3</w:t>
            </w:r>
          </w:p>
        </w:tc>
        <w:tc>
          <w:tcPr>
            <w:tcW w:w="1001" w:type="dxa"/>
            <w:tcBorders>
              <w:top w:val="nil"/>
              <w:left w:val="nil"/>
              <w:bottom w:val="nil"/>
              <w:right w:val="nil"/>
            </w:tcBorders>
          </w:tcPr>
          <w:p>
            <w:pPr>
              <w:pStyle w:val="TableParagraph"/>
              <w:spacing w:before="4"/>
              <w:ind w:left="380" w:right="381"/>
              <w:jc w:val="center"/>
              <w:rPr>
                <w:sz w:val="18"/>
              </w:rPr>
            </w:pPr>
            <w:r>
              <w:rPr>
                <w:sz w:val="18"/>
              </w:rPr>
              <w:t>25</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Colima</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7.0</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3.1</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10.4</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26</w:t>
            </w:r>
          </w:p>
        </w:tc>
      </w:tr>
      <w:tr>
        <w:trPr>
          <w:trHeight w:val="208" w:hRule="exact"/>
        </w:trPr>
        <w:tc>
          <w:tcPr>
            <w:tcW w:w="2182" w:type="dxa"/>
            <w:tcBorders>
              <w:top w:val="nil"/>
              <w:left w:val="nil"/>
              <w:bottom w:val="nil"/>
              <w:right w:val="nil"/>
            </w:tcBorders>
          </w:tcPr>
          <w:p>
            <w:pPr>
              <w:pStyle w:val="TableParagraph"/>
              <w:spacing w:line="197" w:lineRule="exact"/>
              <w:ind w:left="69"/>
              <w:rPr>
                <w:sz w:val="18"/>
              </w:rPr>
            </w:pPr>
            <w:r>
              <w:rPr>
                <w:sz w:val="18"/>
              </w:rPr>
              <w:t>Tabasco</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13.6</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9.7</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10.8</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27</w:t>
            </w:r>
          </w:p>
        </w:tc>
      </w:tr>
      <w:tr>
        <w:trPr>
          <w:trHeight w:val="208" w:hRule="exact"/>
        </w:trPr>
        <w:tc>
          <w:tcPr>
            <w:tcW w:w="2182" w:type="dxa"/>
            <w:tcBorders>
              <w:top w:val="nil"/>
              <w:left w:val="nil"/>
              <w:bottom w:val="nil"/>
              <w:right w:val="nil"/>
            </w:tcBorders>
          </w:tcPr>
          <w:p>
            <w:pPr>
              <w:pStyle w:val="TableParagraph"/>
              <w:spacing w:line="198" w:lineRule="exact"/>
              <w:ind w:left="69"/>
              <w:rPr>
                <w:sz w:val="18"/>
              </w:rPr>
            </w:pPr>
            <w:r>
              <w:rPr>
                <w:sz w:val="18"/>
              </w:rPr>
              <w:t>Hidalgo</w:t>
            </w:r>
          </w:p>
        </w:tc>
        <w:tc>
          <w:tcPr>
            <w:tcW w:w="942" w:type="dxa"/>
            <w:tcBorders>
              <w:top w:val="nil"/>
              <w:left w:val="nil"/>
              <w:bottom w:val="nil"/>
              <w:right w:val="nil"/>
            </w:tcBorders>
          </w:tcPr>
          <w:p>
            <w:pPr>
              <w:pStyle w:val="TableParagraph"/>
              <w:spacing w:line="198" w:lineRule="exact"/>
              <w:ind w:left="275" w:right="275"/>
              <w:jc w:val="center"/>
              <w:rPr>
                <w:sz w:val="18"/>
              </w:rPr>
            </w:pPr>
            <w:r>
              <w:rPr>
                <w:sz w:val="18"/>
              </w:rPr>
              <w:t>11.4</w:t>
            </w:r>
          </w:p>
        </w:tc>
        <w:tc>
          <w:tcPr>
            <w:tcW w:w="957" w:type="dxa"/>
            <w:tcBorders>
              <w:top w:val="nil"/>
              <w:left w:val="nil"/>
              <w:bottom w:val="nil"/>
              <w:right w:val="nil"/>
            </w:tcBorders>
          </w:tcPr>
          <w:p>
            <w:pPr>
              <w:pStyle w:val="TableParagraph"/>
              <w:spacing w:line="198" w:lineRule="exact"/>
              <w:ind w:left="325" w:right="340"/>
              <w:jc w:val="center"/>
              <w:rPr>
                <w:sz w:val="18"/>
              </w:rPr>
            </w:pPr>
            <w:r>
              <w:rPr>
                <w:sz w:val="18"/>
              </w:rPr>
              <w:t>7.1</w:t>
            </w:r>
          </w:p>
        </w:tc>
        <w:tc>
          <w:tcPr>
            <w:tcW w:w="921" w:type="dxa"/>
            <w:tcBorders>
              <w:top w:val="nil"/>
              <w:left w:val="nil"/>
              <w:bottom w:val="nil"/>
              <w:right w:val="nil"/>
            </w:tcBorders>
          </w:tcPr>
          <w:p>
            <w:pPr>
              <w:pStyle w:val="TableParagraph"/>
              <w:spacing w:line="198" w:lineRule="exact"/>
              <w:ind w:left="254" w:right="275"/>
              <w:jc w:val="center"/>
              <w:rPr>
                <w:sz w:val="18"/>
              </w:rPr>
            </w:pPr>
            <w:r>
              <w:rPr>
                <w:sz w:val="18"/>
              </w:rPr>
              <w:t>11.6</w:t>
            </w:r>
          </w:p>
        </w:tc>
        <w:tc>
          <w:tcPr>
            <w:tcW w:w="1001" w:type="dxa"/>
            <w:tcBorders>
              <w:top w:val="nil"/>
              <w:left w:val="nil"/>
              <w:bottom w:val="nil"/>
              <w:right w:val="nil"/>
            </w:tcBorders>
          </w:tcPr>
          <w:p>
            <w:pPr>
              <w:pStyle w:val="TableParagraph"/>
              <w:spacing w:line="198" w:lineRule="exact"/>
              <w:ind w:left="380" w:right="381"/>
              <w:jc w:val="center"/>
              <w:rPr>
                <w:sz w:val="18"/>
              </w:rPr>
            </w:pPr>
            <w:r>
              <w:rPr>
                <w:sz w:val="18"/>
              </w:rPr>
              <w:t>28</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Oaxaca</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8.1</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6.4</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13.4</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29</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Guerrero</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11.1</w:t>
            </w:r>
          </w:p>
        </w:tc>
        <w:tc>
          <w:tcPr>
            <w:tcW w:w="957" w:type="dxa"/>
            <w:tcBorders>
              <w:top w:val="nil"/>
              <w:left w:val="nil"/>
              <w:bottom w:val="nil"/>
              <w:right w:val="nil"/>
            </w:tcBorders>
          </w:tcPr>
          <w:p>
            <w:pPr>
              <w:pStyle w:val="TableParagraph"/>
              <w:spacing w:line="197" w:lineRule="exact"/>
              <w:ind w:left="325" w:right="340"/>
              <w:jc w:val="center"/>
              <w:rPr>
                <w:sz w:val="18"/>
              </w:rPr>
            </w:pPr>
            <w:r>
              <w:rPr>
                <w:sz w:val="18"/>
              </w:rPr>
              <w:t>8.0</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16.0</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30</w:t>
            </w:r>
          </w:p>
        </w:tc>
      </w:tr>
      <w:tr>
        <w:trPr>
          <w:trHeight w:val="206" w:hRule="exact"/>
        </w:trPr>
        <w:tc>
          <w:tcPr>
            <w:tcW w:w="2182" w:type="dxa"/>
            <w:tcBorders>
              <w:top w:val="nil"/>
              <w:left w:val="nil"/>
              <w:bottom w:val="nil"/>
              <w:right w:val="nil"/>
            </w:tcBorders>
          </w:tcPr>
          <w:p>
            <w:pPr>
              <w:pStyle w:val="TableParagraph"/>
              <w:spacing w:line="197" w:lineRule="exact"/>
              <w:ind w:left="69"/>
              <w:rPr>
                <w:sz w:val="18"/>
              </w:rPr>
            </w:pPr>
            <w:r>
              <w:rPr>
                <w:sz w:val="18"/>
              </w:rPr>
              <w:t>Estado de México</w:t>
            </w:r>
          </w:p>
        </w:tc>
        <w:tc>
          <w:tcPr>
            <w:tcW w:w="942" w:type="dxa"/>
            <w:tcBorders>
              <w:top w:val="nil"/>
              <w:left w:val="nil"/>
              <w:bottom w:val="nil"/>
              <w:right w:val="nil"/>
            </w:tcBorders>
          </w:tcPr>
          <w:p>
            <w:pPr>
              <w:pStyle w:val="TableParagraph"/>
              <w:spacing w:line="197" w:lineRule="exact"/>
              <w:ind w:left="275" w:right="275"/>
              <w:jc w:val="center"/>
              <w:rPr>
                <w:sz w:val="18"/>
              </w:rPr>
            </w:pPr>
            <w:r>
              <w:rPr>
                <w:sz w:val="18"/>
              </w:rPr>
              <w:t>13.3</w:t>
            </w:r>
          </w:p>
        </w:tc>
        <w:tc>
          <w:tcPr>
            <w:tcW w:w="957" w:type="dxa"/>
            <w:tcBorders>
              <w:top w:val="nil"/>
              <w:left w:val="nil"/>
              <w:bottom w:val="nil"/>
              <w:right w:val="nil"/>
            </w:tcBorders>
          </w:tcPr>
          <w:p>
            <w:pPr>
              <w:pStyle w:val="TableParagraph"/>
              <w:spacing w:line="197" w:lineRule="exact"/>
              <w:ind w:right="309"/>
              <w:jc w:val="right"/>
              <w:rPr>
                <w:sz w:val="18"/>
              </w:rPr>
            </w:pPr>
            <w:r>
              <w:rPr>
                <w:w w:val="95"/>
                <w:sz w:val="18"/>
              </w:rPr>
              <w:t>18.8</w:t>
            </w:r>
          </w:p>
        </w:tc>
        <w:tc>
          <w:tcPr>
            <w:tcW w:w="921" w:type="dxa"/>
            <w:tcBorders>
              <w:top w:val="nil"/>
              <w:left w:val="nil"/>
              <w:bottom w:val="nil"/>
              <w:right w:val="nil"/>
            </w:tcBorders>
          </w:tcPr>
          <w:p>
            <w:pPr>
              <w:pStyle w:val="TableParagraph"/>
              <w:spacing w:line="197" w:lineRule="exact"/>
              <w:ind w:left="254" w:right="275"/>
              <w:jc w:val="center"/>
              <w:rPr>
                <w:sz w:val="18"/>
              </w:rPr>
            </w:pPr>
            <w:r>
              <w:rPr>
                <w:sz w:val="18"/>
              </w:rPr>
              <w:t>16.4</w:t>
            </w:r>
          </w:p>
        </w:tc>
        <w:tc>
          <w:tcPr>
            <w:tcW w:w="1001" w:type="dxa"/>
            <w:tcBorders>
              <w:top w:val="nil"/>
              <w:left w:val="nil"/>
              <w:bottom w:val="nil"/>
              <w:right w:val="nil"/>
            </w:tcBorders>
          </w:tcPr>
          <w:p>
            <w:pPr>
              <w:pStyle w:val="TableParagraph"/>
              <w:spacing w:line="197" w:lineRule="exact"/>
              <w:ind w:left="380" w:right="381"/>
              <w:jc w:val="center"/>
              <w:rPr>
                <w:sz w:val="18"/>
              </w:rPr>
            </w:pPr>
            <w:r>
              <w:rPr>
                <w:sz w:val="18"/>
              </w:rPr>
              <w:t>31</w:t>
            </w:r>
          </w:p>
        </w:tc>
      </w:tr>
      <w:tr>
        <w:trPr>
          <w:trHeight w:val="205" w:hRule="exact"/>
        </w:trPr>
        <w:tc>
          <w:tcPr>
            <w:tcW w:w="2182" w:type="dxa"/>
            <w:tcBorders>
              <w:top w:val="nil"/>
              <w:left w:val="nil"/>
              <w:right w:val="nil"/>
            </w:tcBorders>
          </w:tcPr>
          <w:p>
            <w:pPr>
              <w:pStyle w:val="TableParagraph"/>
              <w:spacing w:line="197" w:lineRule="exact"/>
              <w:ind w:left="69"/>
              <w:rPr>
                <w:sz w:val="18"/>
              </w:rPr>
            </w:pPr>
            <w:r>
              <w:rPr>
                <w:sz w:val="18"/>
              </w:rPr>
              <w:t>Distrito Federal</w:t>
            </w:r>
          </w:p>
        </w:tc>
        <w:tc>
          <w:tcPr>
            <w:tcW w:w="942" w:type="dxa"/>
            <w:tcBorders>
              <w:top w:val="nil"/>
              <w:left w:val="nil"/>
              <w:right w:val="nil"/>
            </w:tcBorders>
          </w:tcPr>
          <w:p>
            <w:pPr>
              <w:pStyle w:val="TableParagraph"/>
              <w:spacing w:line="197" w:lineRule="exact"/>
              <w:ind w:left="275" w:right="275"/>
              <w:jc w:val="center"/>
              <w:rPr>
                <w:sz w:val="18"/>
              </w:rPr>
            </w:pPr>
            <w:r>
              <w:rPr>
                <w:sz w:val="18"/>
              </w:rPr>
              <w:t>19.8</w:t>
            </w:r>
          </w:p>
        </w:tc>
        <w:tc>
          <w:tcPr>
            <w:tcW w:w="957" w:type="dxa"/>
            <w:tcBorders>
              <w:top w:val="nil"/>
              <w:left w:val="nil"/>
              <w:right w:val="nil"/>
            </w:tcBorders>
          </w:tcPr>
          <w:p>
            <w:pPr>
              <w:pStyle w:val="TableParagraph"/>
              <w:spacing w:line="197" w:lineRule="exact"/>
              <w:ind w:right="309"/>
              <w:jc w:val="right"/>
              <w:rPr>
                <w:sz w:val="18"/>
              </w:rPr>
            </w:pPr>
            <w:r>
              <w:rPr>
                <w:w w:val="95"/>
                <w:sz w:val="18"/>
              </w:rPr>
              <w:t>12.7</w:t>
            </w:r>
          </w:p>
        </w:tc>
        <w:tc>
          <w:tcPr>
            <w:tcW w:w="921" w:type="dxa"/>
            <w:tcBorders>
              <w:top w:val="nil"/>
              <w:left w:val="nil"/>
              <w:right w:val="nil"/>
            </w:tcBorders>
          </w:tcPr>
          <w:p>
            <w:pPr>
              <w:pStyle w:val="TableParagraph"/>
              <w:spacing w:line="197" w:lineRule="exact"/>
              <w:ind w:left="254" w:right="275"/>
              <w:jc w:val="center"/>
              <w:rPr>
                <w:sz w:val="18"/>
              </w:rPr>
            </w:pPr>
            <w:r>
              <w:rPr>
                <w:sz w:val="18"/>
              </w:rPr>
              <w:t>17.9</w:t>
            </w:r>
          </w:p>
        </w:tc>
        <w:tc>
          <w:tcPr>
            <w:tcW w:w="1001" w:type="dxa"/>
            <w:tcBorders>
              <w:top w:val="nil"/>
              <w:left w:val="nil"/>
              <w:right w:val="nil"/>
            </w:tcBorders>
          </w:tcPr>
          <w:p>
            <w:pPr>
              <w:pStyle w:val="TableParagraph"/>
              <w:spacing w:line="197" w:lineRule="exact"/>
              <w:ind w:left="380" w:right="381"/>
              <w:jc w:val="center"/>
              <w:rPr>
                <w:sz w:val="18"/>
              </w:rPr>
            </w:pPr>
            <w:r>
              <w:rPr>
                <w:sz w:val="18"/>
              </w:rPr>
              <w:t>32</w:t>
            </w:r>
          </w:p>
        </w:tc>
      </w:tr>
    </w:tbl>
    <w:p>
      <w:pPr>
        <w:pStyle w:val="BodyText"/>
        <w:spacing w:before="4"/>
        <w:rPr>
          <w:sz w:val="10"/>
        </w:rPr>
      </w:pPr>
    </w:p>
    <w:p>
      <w:pPr>
        <w:spacing w:before="85"/>
        <w:ind w:left="810" w:right="66" w:firstLine="0"/>
        <w:jc w:val="left"/>
        <w:rPr>
          <w:sz w:val="12"/>
        </w:rPr>
      </w:pPr>
      <w:r>
        <w:rPr>
          <w:sz w:val="12"/>
        </w:rPr>
        <w:t>FUENTE:     Transparencia Mexicana, Índice Nacional de Corrupción y Buen Gobierno 2010.</w:t>
      </w:r>
    </w:p>
    <w:p>
      <w:pPr>
        <w:spacing w:before="1"/>
        <w:ind w:left="1551" w:right="588" w:hanging="34"/>
        <w:jc w:val="left"/>
        <w:rPr>
          <w:sz w:val="12"/>
        </w:rPr>
      </w:pPr>
      <w:r>
        <w:rPr>
          <w:sz w:val="12"/>
        </w:rPr>
        <w:t>Disponible en: </w:t>
      </w:r>
      <w:hyperlink r:id="rId232">
        <w:r>
          <w:rPr>
            <w:sz w:val="12"/>
          </w:rPr>
          <w:t>http://www.transparenciamexicana.org.mx/documentos/INCBG/2010/2_INCBG_2010_Ranking_por_Entidad_Federativa.pdf</w:t>
        </w:r>
      </w:hyperlink>
      <w:r>
        <w:rPr>
          <w:sz w:val="12"/>
        </w:rPr>
        <w:t> [Fecha de consulta: 7 de septiembre, 2015]</w:t>
      </w:r>
    </w:p>
    <w:p>
      <w:pPr>
        <w:spacing w:line="137" w:lineRule="exact" w:before="0"/>
        <w:ind w:left="1518" w:right="66" w:firstLine="0"/>
        <w:jc w:val="left"/>
        <w:rPr>
          <w:sz w:val="12"/>
        </w:rPr>
      </w:pPr>
      <w:r>
        <w:rPr>
          <w:sz w:val="12"/>
        </w:rPr>
        <w:t>Nota: Promedio calculado.</w:t>
      </w:r>
    </w:p>
    <w:p>
      <w:pPr>
        <w:spacing w:after="0" w:line="137" w:lineRule="exact"/>
        <w:jc w:val="left"/>
        <w:rPr>
          <w:sz w:val="12"/>
        </w:rPr>
        <w:sectPr>
          <w:pgSz w:w="11910" w:h="16840"/>
          <w:pgMar w:header="0" w:footer="1003" w:top="1340" w:bottom="1200" w:left="1600" w:right="1580"/>
        </w:sectPr>
      </w:pPr>
    </w:p>
    <w:p>
      <w:pPr>
        <w:spacing w:before="53"/>
        <w:ind w:left="102" w:right="0" w:firstLine="0"/>
        <w:jc w:val="both"/>
        <w:rPr>
          <w:i/>
          <w:sz w:val="24"/>
        </w:rPr>
      </w:pPr>
      <w:r>
        <w:rPr>
          <w:i/>
          <w:sz w:val="24"/>
        </w:rPr>
        <w:t>Transparencia (y Rendición de Cuentas)</w:t>
      </w:r>
    </w:p>
    <w:p>
      <w:pPr>
        <w:pStyle w:val="ListParagraph"/>
        <w:numPr>
          <w:ilvl w:val="0"/>
          <w:numId w:val="87"/>
        </w:numPr>
        <w:tabs>
          <w:tab w:pos="383" w:val="left" w:leader="none"/>
        </w:tabs>
        <w:spacing w:line="240" w:lineRule="auto" w:before="139" w:after="0"/>
        <w:ind w:left="102" w:right="0" w:firstLine="0"/>
        <w:jc w:val="both"/>
        <w:rPr>
          <w:i/>
          <w:sz w:val="24"/>
        </w:rPr>
      </w:pPr>
      <w:r>
        <w:rPr>
          <w:i/>
          <w:sz w:val="24"/>
        </w:rPr>
        <w:t>Índice Latinoamericano de Transparencia Presupuestaria,</w:t>
      </w:r>
      <w:r>
        <w:rPr>
          <w:i/>
          <w:spacing w:val="-24"/>
          <w:sz w:val="24"/>
        </w:rPr>
        <w:t> </w:t>
      </w:r>
      <w:r>
        <w:rPr>
          <w:i/>
          <w:sz w:val="24"/>
        </w:rPr>
        <w:t>2011</w:t>
      </w:r>
    </w:p>
    <w:p>
      <w:pPr>
        <w:pStyle w:val="BodyText"/>
        <w:rPr>
          <w:i/>
        </w:rPr>
      </w:pPr>
    </w:p>
    <w:p>
      <w:pPr>
        <w:pStyle w:val="BodyText"/>
        <w:rPr>
          <w:i/>
        </w:rPr>
      </w:pPr>
    </w:p>
    <w:p>
      <w:pPr>
        <w:pStyle w:val="BodyText"/>
        <w:spacing w:line="360" w:lineRule="auto"/>
        <w:ind w:left="102" w:right="116"/>
        <w:jc w:val="both"/>
      </w:pPr>
      <w:r>
        <w:rPr/>
        <w:t>La</w:t>
      </w:r>
      <w:r>
        <w:rPr>
          <w:spacing w:val="-6"/>
        </w:rPr>
        <w:t> </w:t>
      </w:r>
      <w:r>
        <w:rPr/>
        <w:t>Institución</w:t>
      </w:r>
      <w:r>
        <w:rPr>
          <w:spacing w:val="-4"/>
        </w:rPr>
        <w:t> </w:t>
      </w:r>
      <w:r>
        <w:rPr>
          <w:i/>
        </w:rPr>
        <w:t>Fundar</w:t>
      </w:r>
      <w:r>
        <w:rPr/>
        <w:t>,</w:t>
      </w:r>
      <w:r>
        <w:rPr>
          <w:spacing w:val="-9"/>
        </w:rPr>
        <w:t> </w:t>
      </w:r>
      <w:r>
        <w:rPr/>
        <w:t>Centro</w:t>
      </w:r>
      <w:r>
        <w:rPr>
          <w:spacing w:val="-6"/>
        </w:rPr>
        <w:t> </w:t>
      </w:r>
      <w:r>
        <w:rPr/>
        <w:t>de</w:t>
      </w:r>
      <w:r>
        <w:rPr>
          <w:spacing w:val="-6"/>
        </w:rPr>
        <w:t> </w:t>
      </w:r>
      <w:r>
        <w:rPr/>
        <w:t>Análisis</w:t>
      </w:r>
      <w:r>
        <w:rPr>
          <w:spacing w:val="-7"/>
        </w:rPr>
        <w:t> </w:t>
      </w:r>
      <w:r>
        <w:rPr/>
        <w:t>e</w:t>
      </w:r>
      <w:r>
        <w:rPr>
          <w:spacing w:val="-6"/>
        </w:rPr>
        <w:t> </w:t>
      </w:r>
      <w:r>
        <w:rPr/>
        <w:t>Investigación,</w:t>
      </w:r>
      <w:r>
        <w:rPr>
          <w:spacing w:val="-6"/>
        </w:rPr>
        <w:t> </w:t>
      </w:r>
      <w:r>
        <w:rPr/>
        <w:t>A.C.,</w:t>
      </w:r>
      <w:r>
        <w:rPr>
          <w:spacing w:val="-6"/>
        </w:rPr>
        <w:t> </w:t>
      </w:r>
      <w:r>
        <w:rPr/>
        <w:t>publicó</w:t>
      </w:r>
      <w:r>
        <w:rPr>
          <w:spacing w:val="-6"/>
        </w:rPr>
        <w:t> </w:t>
      </w:r>
      <w:r>
        <w:rPr/>
        <w:t>en</w:t>
      </w:r>
      <w:r>
        <w:rPr>
          <w:spacing w:val="-8"/>
        </w:rPr>
        <w:t> </w:t>
      </w:r>
      <w:r>
        <w:rPr/>
        <w:t>marzo de 2012 el Índice Latinoamericano de Transparencia Presupuestaria (ILTP) 2011, documento de periodicidad bienal que compila las percepciones de expertos</w:t>
      </w:r>
      <w:r>
        <w:rPr>
          <w:spacing w:val="-8"/>
        </w:rPr>
        <w:t> </w:t>
      </w:r>
      <w:r>
        <w:rPr/>
        <w:t>en</w:t>
      </w:r>
      <w:r>
        <w:rPr>
          <w:spacing w:val="-9"/>
        </w:rPr>
        <w:t> </w:t>
      </w:r>
      <w:r>
        <w:rPr/>
        <w:t>materia</w:t>
      </w:r>
      <w:r>
        <w:rPr>
          <w:spacing w:val="-7"/>
        </w:rPr>
        <w:t> </w:t>
      </w:r>
      <w:r>
        <w:rPr/>
        <w:t>presupuestaria</w:t>
      </w:r>
      <w:r>
        <w:rPr>
          <w:spacing w:val="-7"/>
        </w:rPr>
        <w:t> </w:t>
      </w:r>
      <w:r>
        <w:rPr/>
        <w:t>(usuarios</w:t>
      </w:r>
      <w:r>
        <w:rPr>
          <w:spacing w:val="-10"/>
        </w:rPr>
        <w:t> </w:t>
      </w:r>
      <w:r>
        <w:rPr/>
        <w:t>y</w:t>
      </w:r>
      <w:r>
        <w:rPr>
          <w:spacing w:val="-10"/>
        </w:rPr>
        <w:t> </w:t>
      </w:r>
      <w:r>
        <w:rPr/>
        <w:t>especialistas).</w:t>
      </w:r>
      <w:r>
        <w:rPr>
          <w:spacing w:val="-8"/>
        </w:rPr>
        <w:t> </w:t>
      </w:r>
      <w:r>
        <w:rPr/>
        <w:t>Fundar</w:t>
      </w:r>
      <w:r>
        <w:rPr>
          <w:spacing w:val="-8"/>
        </w:rPr>
        <w:t> </w:t>
      </w:r>
      <w:r>
        <w:rPr/>
        <w:t>consideró que el ILTP es una herramienta para identificar el cambio en las percepciones en los distintos momentos históricos y señala las materias pendientes, como la rendición de cuentas y la responsabilidad</w:t>
      </w:r>
      <w:r>
        <w:rPr>
          <w:spacing w:val="-18"/>
        </w:rPr>
        <w:t> </w:t>
      </w:r>
      <w:r>
        <w:rPr/>
        <w:t>pública.</w:t>
      </w:r>
    </w:p>
    <w:p>
      <w:pPr>
        <w:pStyle w:val="BodyText"/>
        <w:spacing w:line="360" w:lineRule="auto" w:before="2"/>
        <w:ind w:left="102" w:right="116" w:firstLine="427"/>
        <w:jc w:val="both"/>
      </w:pPr>
      <w:r>
        <w:rPr/>
        <w:t>Con el objetivo de establecer la mejor práctica presupuestaria y colaborar con la rendición de cuentas y la transparencia, el índice se orientó a medir el grado de transparencia presupuestaria, presentar el actual proceso presupuestario y emitir recomendaciones a los congresos y gobiernos para la promover la rendición de cuentas.</w:t>
      </w:r>
    </w:p>
    <w:p>
      <w:pPr>
        <w:pStyle w:val="BodyText"/>
        <w:spacing w:line="360" w:lineRule="auto" w:before="5"/>
        <w:ind w:left="102" w:right="116" w:firstLine="427"/>
        <w:jc w:val="both"/>
      </w:pPr>
      <w:r>
        <w:rPr/>
        <w:t>La metodología utilizada está diseñada a partir de tres componentes: la encuesta de percepciones de los expertos, un estudio formal/práctico y la guía de vinculación, con ellos Fundar diseñó 16 variables. El índice se presentó en una escala de 1 a 100donde 1 indica que el País es nada transparente y 100 totalmente transparente. Los resultados para México indicaron que en promedio es el menor en los 6 años de estudio.</w:t>
      </w:r>
    </w:p>
    <w:p>
      <w:pPr>
        <w:pStyle w:val="BodyText"/>
      </w:pPr>
    </w:p>
    <w:p>
      <w:pPr>
        <w:spacing w:before="189"/>
        <w:ind w:left="701" w:right="66" w:firstLine="0"/>
        <w:jc w:val="left"/>
        <w:rPr>
          <w:sz w:val="20"/>
        </w:rPr>
      </w:pPr>
      <w:bookmarkStart w:name="_bookmark89" w:id="120"/>
      <w:bookmarkEnd w:id="120"/>
      <w:r>
        <w:rPr/>
      </w:r>
      <w:r>
        <w:rPr>
          <w:sz w:val="20"/>
        </w:rPr>
        <w:t>Cuadro 4. 9. Índice Latinoamericano de Transparencia Presupuestaria, 2001-2011</w:t>
      </w:r>
    </w:p>
    <w:p>
      <w:pPr>
        <w:pStyle w:val="BodyText"/>
        <w:spacing w:before="4"/>
        <w:rPr>
          <w:sz w:val="17"/>
        </w:rPr>
      </w:pPr>
    </w:p>
    <w:tbl>
      <w:tblPr>
        <w:tblW w:w="0" w:type="auto"/>
        <w:jc w:val="left"/>
        <w:tblInd w:w="4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0"/>
        <w:gridCol w:w="922"/>
        <w:gridCol w:w="919"/>
        <w:gridCol w:w="920"/>
        <w:gridCol w:w="922"/>
        <w:gridCol w:w="920"/>
        <w:gridCol w:w="919"/>
      </w:tblGrid>
      <w:tr>
        <w:trPr>
          <w:trHeight w:val="266" w:hRule="exact"/>
        </w:trPr>
        <w:tc>
          <w:tcPr>
            <w:tcW w:w="2300" w:type="dxa"/>
          </w:tcPr>
          <w:p>
            <w:pPr>
              <w:pStyle w:val="TableParagraph"/>
              <w:spacing w:before="30"/>
              <w:ind w:left="960" w:right="960"/>
              <w:jc w:val="center"/>
              <w:rPr>
                <w:b/>
                <w:sz w:val="16"/>
              </w:rPr>
            </w:pPr>
            <w:r>
              <w:rPr>
                <w:b/>
                <w:sz w:val="16"/>
              </w:rPr>
              <w:t>País</w:t>
            </w:r>
          </w:p>
        </w:tc>
        <w:tc>
          <w:tcPr>
            <w:tcW w:w="922" w:type="dxa"/>
          </w:tcPr>
          <w:p>
            <w:pPr>
              <w:pStyle w:val="TableParagraph"/>
              <w:spacing w:before="66"/>
              <w:ind w:left="258" w:right="258"/>
              <w:jc w:val="center"/>
              <w:rPr>
                <w:b/>
                <w:sz w:val="16"/>
              </w:rPr>
            </w:pPr>
            <w:r>
              <w:rPr>
                <w:b/>
                <w:sz w:val="16"/>
              </w:rPr>
              <w:t>2001</w:t>
            </w:r>
          </w:p>
        </w:tc>
        <w:tc>
          <w:tcPr>
            <w:tcW w:w="919" w:type="dxa"/>
          </w:tcPr>
          <w:p>
            <w:pPr>
              <w:pStyle w:val="TableParagraph"/>
              <w:spacing w:before="66"/>
              <w:ind w:left="256" w:right="256"/>
              <w:jc w:val="center"/>
              <w:rPr>
                <w:b/>
                <w:sz w:val="16"/>
              </w:rPr>
            </w:pPr>
            <w:r>
              <w:rPr>
                <w:b/>
                <w:sz w:val="16"/>
              </w:rPr>
              <w:t>2003</w:t>
            </w:r>
          </w:p>
        </w:tc>
        <w:tc>
          <w:tcPr>
            <w:tcW w:w="920" w:type="dxa"/>
          </w:tcPr>
          <w:p>
            <w:pPr>
              <w:pStyle w:val="TableParagraph"/>
              <w:spacing w:before="66"/>
              <w:ind w:left="256" w:right="257"/>
              <w:jc w:val="center"/>
              <w:rPr>
                <w:b/>
                <w:sz w:val="16"/>
              </w:rPr>
            </w:pPr>
            <w:r>
              <w:rPr>
                <w:b/>
                <w:sz w:val="16"/>
              </w:rPr>
              <w:t>2005</w:t>
            </w:r>
          </w:p>
        </w:tc>
        <w:tc>
          <w:tcPr>
            <w:tcW w:w="922" w:type="dxa"/>
          </w:tcPr>
          <w:p>
            <w:pPr>
              <w:pStyle w:val="TableParagraph"/>
              <w:spacing w:before="66"/>
              <w:ind w:left="258" w:right="258"/>
              <w:jc w:val="center"/>
              <w:rPr>
                <w:b/>
                <w:sz w:val="16"/>
              </w:rPr>
            </w:pPr>
            <w:r>
              <w:rPr>
                <w:b/>
                <w:sz w:val="16"/>
              </w:rPr>
              <w:t>2007</w:t>
            </w:r>
          </w:p>
        </w:tc>
        <w:tc>
          <w:tcPr>
            <w:tcW w:w="920" w:type="dxa"/>
          </w:tcPr>
          <w:p>
            <w:pPr>
              <w:pStyle w:val="TableParagraph"/>
              <w:spacing w:before="66"/>
              <w:ind w:left="256" w:right="258"/>
              <w:jc w:val="center"/>
              <w:rPr>
                <w:b/>
                <w:sz w:val="16"/>
              </w:rPr>
            </w:pPr>
            <w:r>
              <w:rPr>
                <w:b/>
                <w:sz w:val="16"/>
              </w:rPr>
              <w:t>2009</w:t>
            </w:r>
          </w:p>
        </w:tc>
        <w:tc>
          <w:tcPr>
            <w:tcW w:w="919" w:type="dxa"/>
          </w:tcPr>
          <w:p>
            <w:pPr>
              <w:pStyle w:val="TableParagraph"/>
              <w:spacing w:before="66"/>
              <w:ind w:left="256" w:right="256"/>
              <w:jc w:val="center"/>
              <w:rPr>
                <w:b/>
                <w:sz w:val="16"/>
              </w:rPr>
            </w:pPr>
            <w:r>
              <w:rPr>
                <w:b/>
                <w:sz w:val="16"/>
              </w:rPr>
              <w:t>2011</w:t>
            </w:r>
          </w:p>
        </w:tc>
      </w:tr>
      <w:tr>
        <w:trPr>
          <w:trHeight w:val="194" w:hRule="exact"/>
        </w:trPr>
        <w:tc>
          <w:tcPr>
            <w:tcW w:w="2300" w:type="dxa"/>
          </w:tcPr>
          <w:p>
            <w:pPr>
              <w:pStyle w:val="TableParagraph"/>
              <w:spacing w:line="180" w:lineRule="exact"/>
              <w:ind w:left="64"/>
              <w:rPr>
                <w:sz w:val="16"/>
              </w:rPr>
            </w:pPr>
            <w:r>
              <w:rPr>
                <w:sz w:val="16"/>
              </w:rPr>
              <w:t>Costa Rica</w:t>
            </w:r>
          </w:p>
        </w:tc>
        <w:tc>
          <w:tcPr>
            <w:tcW w:w="922" w:type="dxa"/>
          </w:tcPr>
          <w:p>
            <w:pPr>
              <w:pStyle w:val="TableParagraph"/>
              <w:spacing w:line="180" w:lineRule="exact"/>
              <w:jc w:val="center"/>
              <w:rPr>
                <w:sz w:val="16"/>
              </w:rPr>
            </w:pPr>
            <w:r>
              <w:rPr>
                <w:w w:val="100"/>
                <w:sz w:val="16"/>
              </w:rPr>
              <w:t>*</w:t>
            </w:r>
          </w:p>
        </w:tc>
        <w:tc>
          <w:tcPr>
            <w:tcW w:w="919" w:type="dxa"/>
          </w:tcPr>
          <w:p>
            <w:pPr>
              <w:pStyle w:val="TableParagraph"/>
              <w:spacing w:line="180" w:lineRule="exact"/>
              <w:ind w:left="256" w:right="256"/>
              <w:jc w:val="center"/>
              <w:rPr>
                <w:sz w:val="16"/>
              </w:rPr>
            </w:pPr>
            <w:r>
              <w:rPr>
                <w:sz w:val="16"/>
              </w:rPr>
              <w:t>49</w:t>
            </w:r>
          </w:p>
        </w:tc>
        <w:tc>
          <w:tcPr>
            <w:tcW w:w="920" w:type="dxa"/>
          </w:tcPr>
          <w:p>
            <w:pPr>
              <w:pStyle w:val="TableParagraph"/>
              <w:spacing w:line="180" w:lineRule="exact"/>
              <w:ind w:left="256" w:right="257"/>
              <w:jc w:val="center"/>
              <w:rPr>
                <w:sz w:val="16"/>
              </w:rPr>
            </w:pPr>
            <w:r>
              <w:rPr>
                <w:sz w:val="16"/>
              </w:rPr>
              <w:t>60</w:t>
            </w:r>
          </w:p>
        </w:tc>
        <w:tc>
          <w:tcPr>
            <w:tcW w:w="922" w:type="dxa"/>
          </w:tcPr>
          <w:p>
            <w:pPr>
              <w:pStyle w:val="TableParagraph"/>
              <w:spacing w:line="180" w:lineRule="exact"/>
              <w:ind w:left="258" w:right="258"/>
              <w:jc w:val="center"/>
              <w:rPr>
                <w:sz w:val="16"/>
              </w:rPr>
            </w:pPr>
            <w:r>
              <w:rPr>
                <w:sz w:val="16"/>
              </w:rPr>
              <w:t>67</w:t>
            </w:r>
          </w:p>
        </w:tc>
        <w:tc>
          <w:tcPr>
            <w:tcW w:w="920" w:type="dxa"/>
          </w:tcPr>
          <w:p>
            <w:pPr>
              <w:pStyle w:val="TableParagraph"/>
              <w:spacing w:line="180" w:lineRule="exact"/>
              <w:ind w:left="256" w:right="258"/>
              <w:jc w:val="center"/>
              <w:rPr>
                <w:sz w:val="16"/>
              </w:rPr>
            </w:pPr>
            <w:r>
              <w:rPr>
                <w:sz w:val="16"/>
              </w:rPr>
              <w:t>69</w:t>
            </w:r>
          </w:p>
        </w:tc>
        <w:tc>
          <w:tcPr>
            <w:tcW w:w="919" w:type="dxa"/>
          </w:tcPr>
          <w:p>
            <w:pPr>
              <w:pStyle w:val="TableParagraph"/>
              <w:spacing w:line="180" w:lineRule="exact"/>
              <w:ind w:left="256" w:right="256"/>
              <w:jc w:val="center"/>
              <w:rPr>
                <w:sz w:val="16"/>
              </w:rPr>
            </w:pPr>
            <w:r>
              <w:rPr>
                <w:sz w:val="16"/>
              </w:rPr>
              <w:t>59</w:t>
            </w:r>
          </w:p>
        </w:tc>
      </w:tr>
      <w:tr>
        <w:trPr>
          <w:trHeight w:val="193" w:hRule="exact"/>
        </w:trPr>
        <w:tc>
          <w:tcPr>
            <w:tcW w:w="2300" w:type="dxa"/>
          </w:tcPr>
          <w:p>
            <w:pPr>
              <w:pStyle w:val="TableParagraph"/>
              <w:spacing w:line="180" w:lineRule="exact"/>
              <w:ind w:left="64"/>
              <w:rPr>
                <w:sz w:val="16"/>
              </w:rPr>
            </w:pPr>
            <w:r>
              <w:rPr>
                <w:sz w:val="16"/>
              </w:rPr>
              <w:t>Ecuador</w:t>
            </w:r>
          </w:p>
        </w:tc>
        <w:tc>
          <w:tcPr>
            <w:tcW w:w="922" w:type="dxa"/>
          </w:tcPr>
          <w:p>
            <w:pPr>
              <w:pStyle w:val="TableParagraph"/>
              <w:spacing w:line="180" w:lineRule="exact"/>
              <w:jc w:val="center"/>
              <w:rPr>
                <w:sz w:val="16"/>
              </w:rPr>
            </w:pPr>
            <w:r>
              <w:rPr>
                <w:w w:val="100"/>
                <w:sz w:val="16"/>
              </w:rPr>
              <w:t>*</w:t>
            </w:r>
          </w:p>
        </w:tc>
        <w:tc>
          <w:tcPr>
            <w:tcW w:w="919" w:type="dxa"/>
          </w:tcPr>
          <w:p>
            <w:pPr>
              <w:pStyle w:val="TableParagraph"/>
              <w:spacing w:line="180" w:lineRule="exact"/>
              <w:ind w:left="256" w:right="256"/>
              <w:jc w:val="center"/>
              <w:rPr>
                <w:sz w:val="16"/>
              </w:rPr>
            </w:pPr>
            <w:r>
              <w:rPr>
                <w:sz w:val="16"/>
              </w:rPr>
              <w:t>31</w:t>
            </w:r>
          </w:p>
        </w:tc>
        <w:tc>
          <w:tcPr>
            <w:tcW w:w="920" w:type="dxa"/>
          </w:tcPr>
          <w:p>
            <w:pPr>
              <w:pStyle w:val="TableParagraph"/>
              <w:spacing w:line="180" w:lineRule="exact"/>
              <w:ind w:right="1"/>
              <w:jc w:val="center"/>
              <w:rPr>
                <w:sz w:val="16"/>
              </w:rPr>
            </w:pPr>
            <w:r>
              <w:rPr>
                <w:w w:val="100"/>
                <w:sz w:val="16"/>
              </w:rPr>
              <w:t>*</w:t>
            </w:r>
          </w:p>
        </w:tc>
        <w:tc>
          <w:tcPr>
            <w:tcW w:w="922" w:type="dxa"/>
          </w:tcPr>
          <w:p>
            <w:pPr>
              <w:pStyle w:val="TableParagraph"/>
              <w:spacing w:line="180" w:lineRule="exact"/>
              <w:ind w:left="258" w:right="258"/>
              <w:jc w:val="center"/>
              <w:rPr>
                <w:sz w:val="16"/>
              </w:rPr>
            </w:pPr>
            <w:r>
              <w:rPr>
                <w:sz w:val="16"/>
              </w:rPr>
              <w:t>40</w:t>
            </w:r>
          </w:p>
        </w:tc>
        <w:tc>
          <w:tcPr>
            <w:tcW w:w="920" w:type="dxa"/>
          </w:tcPr>
          <w:p>
            <w:pPr>
              <w:pStyle w:val="TableParagraph"/>
              <w:spacing w:line="180" w:lineRule="exact"/>
              <w:ind w:left="256" w:right="258"/>
              <w:jc w:val="center"/>
              <w:rPr>
                <w:sz w:val="16"/>
              </w:rPr>
            </w:pPr>
            <w:r>
              <w:rPr>
                <w:sz w:val="16"/>
              </w:rPr>
              <w:t>43</w:t>
            </w:r>
          </w:p>
        </w:tc>
        <w:tc>
          <w:tcPr>
            <w:tcW w:w="919" w:type="dxa"/>
          </w:tcPr>
          <w:p>
            <w:pPr>
              <w:pStyle w:val="TableParagraph"/>
              <w:spacing w:line="180" w:lineRule="exact"/>
              <w:ind w:left="256" w:right="256"/>
              <w:jc w:val="center"/>
              <w:rPr>
                <w:sz w:val="16"/>
              </w:rPr>
            </w:pPr>
            <w:r>
              <w:rPr>
                <w:sz w:val="16"/>
              </w:rPr>
              <w:t>52</w:t>
            </w:r>
          </w:p>
        </w:tc>
      </w:tr>
      <w:tr>
        <w:trPr>
          <w:trHeight w:val="193" w:hRule="exact"/>
        </w:trPr>
        <w:tc>
          <w:tcPr>
            <w:tcW w:w="2300" w:type="dxa"/>
            <w:shd w:val="clear" w:color="auto" w:fill="FFFF00"/>
          </w:tcPr>
          <w:p>
            <w:pPr>
              <w:pStyle w:val="TableParagraph"/>
              <w:spacing w:line="179" w:lineRule="exact"/>
              <w:ind w:left="64"/>
              <w:rPr>
                <w:b/>
                <w:sz w:val="16"/>
              </w:rPr>
            </w:pPr>
            <w:r>
              <w:rPr>
                <w:b/>
                <w:sz w:val="16"/>
              </w:rPr>
              <w:t>México</w:t>
            </w:r>
          </w:p>
        </w:tc>
        <w:tc>
          <w:tcPr>
            <w:tcW w:w="922" w:type="dxa"/>
            <w:shd w:val="clear" w:color="auto" w:fill="FFFF00"/>
          </w:tcPr>
          <w:p>
            <w:pPr>
              <w:pStyle w:val="TableParagraph"/>
              <w:spacing w:line="179" w:lineRule="exact"/>
              <w:ind w:left="258" w:right="258"/>
              <w:jc w:val="center"/>
              <w:rPr>
                <w:b/>
                <w:sz w:val="16"/>
              </w:rPr>
            </w:pPr>
            <w:r>
              <w:rPr>
                <w:b/>
                <w:sz w:val="16"/>
              </w:rPr>
              <w:t>51</w:t>
            </w:r>
          </w:p>
        </w:tc>
        <w:tc>
          <w:tcPr>
            <w:tcW w:w="919" w:type="dxa"/>
            <w:shd w:val="clear" w:color="auto" w:fill="FFFF00"/>
          </w:tcPr>
          <w:p>
            <w:pPr>
              <w:pStyle w:val="TableParagraph"/>
              <w:spacing w:line="179" w:lineRule="exact"/>
              <w:ind w:left="256" w:right="256"/>
              <w:jc w:val="center"/>
              <w:rPr>
                <w:b/>
                <w:sz w:val="16"/>
              </w:rPr>
            </w:pPr>
            <w:r>
              <w:rPr>
                <w:b/>
                <w:sz w:val="16"/>
              </w:rPr>
              <w:t>50</w:t>
            </w:r>
          </w:p>
        </w:tc>
        <w:tc>
          <w:tcPr>
            <w:tcW w:w="920" w:type="dxa"/>
            <w:shd w:val="clear" w:color="auto" w:fill="FFFF00"/>
          </w:tcPr>
          <w:p>
            <w:pPr>
              <w:pStyle w:val="TableParagraph"/>
              <w:spacing w:line="179" w:lineRule="exact"/>
              <w:ind w:left="256" w:right="257"/>
              <w:jc w:val="center"/>
              <w:rPr>
                <w:b/>
                <w:sz w:val="16"/>
              </w:rPr>
            </w:pPr>
            <w:r>
              <w:rPr>
                <w:b/>
                <w:sz w:val="16"/>
              </w:rPr>
              <w:t>54</w:t>
            </w:r>
          </w:p>
        </w:tc>
        <w:tc>
          <w:tcPr>
            <w:tcW w:w="922" w:type="dxa"/>
            <w:shd w:val="clear" w:color="auto" w:fill="FFFF00"/>
          </w:tcPr>
          <w:p>
            <w:pPr>
              <w:pStyle w:val="TableParagraph"/>
              <w:spacing w:line="179" w:lineRule="exact"/>
              <w:ind w:left="258" w:right="258"/>
              <w:jc w:val="center"/>
              <w:rPr>
                <w:b/>
                <w:sz w:val="16"/>
              </w:rPr>
            </w:pPr>
            <w:r>
              <w:rPr>
                <w:b/>
                <w:sz w:val="16"/>
              </w:rPr>
              <w:t>50</w:t>
            </w:r>
          </w:p>
        </w:tc>
        <w:tc>
          <w:tcPr>
            <w:tcW w:w="920" w:type="dxa"/>
            <w:shd w:val="clear" w:color="auto" w:fill="FFFF00"/>
          </w:tcPr>
          <w:p>
            <w:pPr>
              <w:pStyle w:val="TableParagraph"/>
              <w:spacing w:line="179" w:lineRule="exact"/>
              <w:ind w:left="256" w:right="258"/>
              <w:jc w:val="center"/>
              <w:rPr>
                <w:b/>
                <w:sz w:val="16"/>
              </w:rPr>
            </w:pPr>
            <w:r>
              <w:rPr>
                <w:b/>
                <w:sz w:val="16"/>
              </w:rPr>
              <w:t>48</w:t>
            </w:r>
          </w:p>
        </w:tc>
        <w:tc>
          <w:tcPr>
            <w:tcW w:w="919" w:type="dxa"/>
            <w:shd w:val="clear" w:color="auto" w:fill="FFFF00"/>
          </w:tcPr>
          <w:p>
            <w:pPr>
              <w:pStyle w:val="TableParagraph"/>
              <w:spacing w:line="179" w:lineRule="exact"/>
              <w:ind w:left="256" w:right="256"/>
              <w:jc w:val="center"/>
              <w:rPr>
                <w:b/>
                <w:sz w:val="16"/>
              </w:rPr>
            </w:pPr>
            <w:r>
              <w:rPr>
                <w:b/>
                <w:sz w:val="16"/>
              </w:rPr>
              <w:t>45</w:t>
            </w:r>
          </w:p>
        </w:tc>
      </w:tr>
      <w:tr>
        <w:trPr>
          <w:trHeight w:val="194" w:hRule="exact"/>
        </w:trPr>
        <w:tc>
          <w:tcPr>
            <w:tcW w:w="2300" w:type="dxa"/>
          </w:tcPr>
          <w:p>
            <w:pPr>
              <w:pStyle w:val="TableParagraph"/>
              <w:spacing w:line="180" w:lineRule="exact"/>
              <w:ind w:left="64"/>
              <w:rPr>
                <w:sz w:val="16"/>
              </w:rPr>
            </w:pPr>
            <w:r>
              <w:rPr>
                <w:sz w:val="16"/>
              </w:rPr>
              <w:t>Guatemala</w:t>
            </w:r>
          </w:p>
        </w:tc>
        <w:tc>
          <w:tcPr>
            <w:tcW w:w="922" w:type="dxa"/>
          </w:tcPr>
          <w:p>
            <w:pPr>
              <w:pStyle w:val="TableParagraph"/>
              <w:spacing w:line="180" w:lineRule="exact"/>
              <w:jc w:val="center"/>
              <w:rPr>
                <w:sz w:val="16"/>
              </w:rPr>
            </w:pPr>
            <w:r>
              <w:rPr>
                <w:w w:val="100"/>
                <w:sz w:val="16"/>
              </w:rPr>
              <w:t>*</w:t>
            </w:r>
          </w:p>
        </w:tc>
        <w:tc>
          <w:tcPr>
            <w:tcW w:w="919" w:type="dxa"/>
          </w:tcPr>
          <w:p>
            <w:pPr>
              <w:pStyle w:val="TableParagraph"/>
              <w:spacing w:line="180" w:lineRule="exact"/>
              <w:jc w:val="center"/>
              <w:rPr>
                <w:sz w:val="16"/>
              </w:rPr>
            </w:pPr>
            <w:r>
              <w:rPr>
                <w:w w:val="100"/>
                <w:sz w:val="16"/>
              </w:rPr>
              <w:t>*</w:t>
            </w:r>
          </w:p>
        </w:tc>
        <w:tc>
          <w:tcPr>
            <w:tcW w:w="920" w:type="dxa"/>
          </w:tcPr>
          <w:p>
            <w:pPr>
              <w:pStyle w:val="TableParagraph"/>
              <w:spacing w:line="180" w:lineRule="exact"/>
              <w:ind w:left="256" w:right="257"/>
              <w:jc w:val="center"/>
              <w:rPr>
                <w:sz w:val="16"/>
              </w:rPr>
            </w:pPr>
            <w:r>
              <w:rPr>
                <w:sz w:val="16"/>
              </w:rPr>
              <w:t>43</w:t>
            </w:r>
          </w:p>
        </w:tc>
        <w:tc>
          <w:tcPr>
            <w:tcW w:w="922" w:type="dxa"/>
          </w:tcPr>
          <w:p>
            <w:pPr>
              <w:pStyle w:val="TableParagraph"/>
              <w:spacing w:line="180" w:lineRule="exact"/>
              <w:ind w:left="258" w:right="258"/>
              <w:jc w:val="center"/>
              <w:rPr>
                <w:sz w:val="16"/>
              </w:rPr>
            </w:pPr>
            <w:r>
              <w:rPr>
                <w:sz w:val="16"/>
              </w:rPr>
              <w:t>50</w:t>
            </w:r>
          </w:p>
        </w:tc>
        <w:tc>
          <w:tcPr>
            <w:tcW w:w="920" w:type="dxa"/>
          </w:tcPr>
          <w:p>
            <w:pPr>
              <w:pStyle w:val="TableParagraph"/>
              <w:spacing w:line="180" w:lineRule="exact"/>
              <w:ind w:left="256" w:right="258"/>
              <w:jc w:val="center"/>
              <w:rPr>
                <w:sz w:val="16"/>
              </w:rPr>
            </w:pPr>
            <w:r>
              <w:rPr>
                <w:sz w:val="16"/>
              </w:rPr>
              <w:t>44</w:t>
            </w:r>
          </w:p>
        </w:tc>
        <w:tc>
          <w:tcPr>
            <w:tcW w:w="919" w:type="dxa"/>
          </w:tcPr>
          <w:p>
            <w:pPr>
              <w:pStyle w:val="TableParagraph"/>
              <w:spacing w:line="180" w:lineRule="exact"/>
              <w:ind w:left="256" w:right="256"/>
              <w:jc w:val="center"/>
              <w:rPr>
                <w:sz w:val="16"/>
              </w:rPr>
            </w:pPr>
            <w:r>
              <w:rPr>
                <w:sz w:val="16"/>
              </w:rPr>
              <w:t>44</w:t>
            </w:r>
          </w:p>
        </w:tc>
      </w:tr>
      <w:tr>
        <w:trPr>
          <w:trHeight w:val="194" w:hRule="exact"/>
        </w:trPr>
        <w:tc>
          <w:tcPr>
            <w:tcW w:w="2300" w:type="dxa"/>
          </w:tcPr>
          <w:p>
            <w:pPr>
              <w:pStyle w:val="TableParagraph"/>
              <w:spacing w:line="180" w:lineRule="exact"/>
              <w:ind w:left="64"/>
              <w:rPr>
                <w:sz w:val="16"/>
              </w:rPr>
            </w:pPr>
            <w:r>
              <w:rPr>
                <w:sz w:val="16"/>
              </w:rPr>
              <w:t>Venezuela</w:t>
            </w:r>
          </w:p>
        </w:tc>
        <w:tc>
          <w:tcPr>
            <w:tcW w:w="922" w:type="dxa"/>
          </w:tcPr>
          <w:p>
            <w:pPr>
              <w:pStyle w:val="TableParagraph"/>
              <w:spacing w:line="180" w:lineRule="exact"/>
              <w:jc w:val="center"/>
              <w:rPr>
                <w:sz w:val="16"/>
              </w:rPr>
            </w:pPr>
            <w:r>
              <w:rPr>
                <w:w w:val="100"/>
                <w:sz w:val="16"/>
              </w:rPr>
              <w:t>*</w:t>
            </w:r>
          </w:p>
        </w:tc>
        <w:tc>
          <w:tcPr>
            <w:tcW w:w="919" w:type="dxa"/>
          </w:tcPr>
          <w:p>
            <w:pPr>
              <w:pStyle w:val="TableParagraph"/>
              <w:spacing w:line="180" w:lineRule="exact"/>
              <w:jc w:val="center"/>
              <w:rPr>
                <w:sz w:val="16"/>
              </w:rPr>
            </w:pPr>
            <w:r>
              <w:rPr>
                <w:w w:val="100"/>
                <w:sz w:val="16"/>
              </w:rPr>
              <w:t>*</w:t>
            </w:r>
          </w:p>
        </w:tc>
        <w:tc>
          <w:tcPr>
            <w:tcW w:w="920" w:type="dxa"/>
          </w:tcPr>
          <w:p>
            <w:pPr>
              <w:pStyle w:val="TableParagraph"/>
              <w:spacing w:line="180" w:lineRule="exact"/>
              <w:ind w:right="1"/>
              <w:jc w:val="center"/>
              <w:rPr>
                <w:sz w:val="16"/>
              </w:rPr>
            </w:pPr>
            <w:r>
              <w:rPr>
                <w:w w:val="100"/>
                <w:sz w:val="16"/>
              </w:rPr>
              <w:t>*</w:t>
            </w:r>
          </w:p>
        </w:tc>
        <w:tc>
          <w:tcPr>
            <w:tcW w:w="922" w:type="dxa"/>
          </w:tcPr>
          <w:p>
            <w:pPr>
              <w:pStyle w:val="TableParagraph"/>
              <w:spacing w:line="180" w:lineRule="exact"/>
              <w:ind w:left="258" w:right="258"/>
              <w:jc w:val="center"/>
              <w:rPr>
                <w:sz w:val="16"/>
              </w:rPr>
            </w:pPr>
            <w:r>
              <w:rPr>
                <w:sz w:val="16"/>
              </w:rPr>
              <w:t>33</w:t>
            </w:r>
          </w:p>
        </w:tc>
        <w:tc>
          <w:tcPr>
            <w:tcW w:w="920" w:type="dxa"/>
          </w:tcPr>
          <w:p>
            <w:pPr>
              <w:pStyle w:val="TableParagraph"/>
              <w:spacing w:line="180" w:lineRule="exact"/>
              <w:ind w:left="256" w:right="258"/>
              <w:jc w:val="center"/>
              <w:rPr>
                <w:sz w:val="16"/>
              </w:rPr>
            </w:pPr>
            <w:r>
              <w:rPr>
                <w:sz w:val="16"/>
              </w:rPr>
              <w:t>23</w:t>
            </w:r>
          </w:p>
        </w:tc>
        <w:tc>
          <w:tcPr>
            <w:tcW w:w="919" w:type="dxa"/>
          </w:tcPr>
          <w:p>
            <w:pPr>
              <w:pStyle w:val="TableParagraph"/>
              <w:spacing w:line="180" w:lineRule="exact"/>
              <w:ind w:left="256" w:right="256"/>
              <w:jc w:val="center"/>
              <w:rPr>
                <w:sz w:val="16"/>
              </w:rPr>
            </w:pPr>
            <w:r>
              <w:rPr>
                <w:sz w:val="16"/>
              </w:rPr>
              <w:t>22</w:t>
            </w:r>
          </w:p>
        </w:tc>
      </w:tr>
    </w:tbl>
    <w:p>
      <w:pPr>
        <w:spacing w:line="136" w:lineRule="exact" w:before="0"/>
        <w:ind w:left="954" w:right="66" w:firstLine="0"/>
        <w:jc w:val="left"/>
        <w:rPr>
          <w:sz w:val="12"/>
        </w:rPr>
      </w:pPr>
      <w:r>
        <w:rPr>
          <w:sz w:val="12"/>
        </w:rPr>
        <w:t>FUENTE:  Fundar, Centro de Análisis e Investigación, A.C.</w:t>
      </w:r>
    </w:p>
    <w:p>
      <w:pPr>
        <w:spacing w:before="2"/>
        <w:ind w:left="1662" w:right="3665" w:firstLine="0"/>
        <w:jc w:val="left"/>
        <w:rPr>
          <w:sz w:val="12"/>
        </w:rPr>
      </w:pPr>
      <w:r>
        <w:rPr>
          <w:sz w:val="12"/>
        </w:rPr>
        <w:t>Índice Latinoamericano de Transparencia Presupuestaria, 2011 Disponible en: </w:t>
      </w:r>
      <w:hyperlink r:id="rId233">
        <w:r>
          <w:rPr>
            <w:color w:val="0000FF"/>
            <w:sz w:val="12"/>
            <w:u w:val="single" w:color="0000FF"/>
          </w:rPr>
          <w:t>http://iltpweb.org</w:t>
        </w:r>
        <w:r>
          <w:rPr>
            <w:color w:val="0000FF"/>
            <w:sz w:val="12"/>
          </w:rPr>
          <w:t>/</w:t>
        </w:r>
      </w:hyperlink>
    </w:p>
    <w:p>
      <w:pPr>
        <w:spacing w:line="137" w:lineRule="exact" w:before="1"/>
        <w:ind w:left="1662" w:right="66" w:firstLine="0"/>
        <w:jc w:val="left"/>
        <w:rPr>
          <w:sz w:val="12"/>
        </w:rPr>
      </w:pPr>
      <w:r>
        <w:rPr>
          <w:sz w:val="12"/>
        </w:rPr>
        <w:t>[Fecha de consulta: 1 de octubre, 2015]</w:t>
      </w:r>
    </w:p>
    <w:p>
      <w:pPr>
        <w:pStyle w:val="ListParagraph"/>
        <w:numPr>
          <w:ilvl w:val="1"/>
          <w:numId w:val="87"/>
        </w:numPr>
        <w:tabs>
          <w:tab w:pos="1662" w:val="left" w:leader="none"/>
        </w:tabs>
        <w:spacing w:line="146" w:lineRule="exact" w:before="0" w:after="0"/>
        <w:ind w:left="1662" w:right="0" w:hanging="144"/>
        <w:jc w:val="left"/>
        <w:rPr>
          <w:sz w:val="12"/>
        </w:rPr>
      </w:pPr>
      <w:r>
        <w:rPr>
          <w:sz w:val="12"/>
        </w:rPr>
        <w:t>Sin</w:t>
      </w:r>
      <w:r>
        <w:rPr>
          <w:spacing w:val="-3"/>
          <w:sz w:val="12"/>
        </w:rPr>
        <w:t> </w:t>
      </w:r>
      <w:r>
        <w:rPr>
          <w:sz w:val="12"/>
        </w:rPr>
        <w:t>dato.</w:t>
      </w:r>
    </w:p>
    <w:p>
      <w:pPr>
        <w:pStyle w:val="BodyText"/>
        <w:rPr>
          <w:sz w:val="12"/>
        </w:rPr>
      </w:pPr>
    </w:p>
    <w:p>
      <w:pPr>
        <w:pStyle w:val="BodyText"/>
        <w:rPr>
          <w:sz w:val="12"/>
        </w:rPr>
      </w:pPr>
    </w:p>
    <w:p>
      <w:pPr>
        <w:pStyle w:val="BodyText"/>
        <w:spacing w:before="10"/>
        <w:rPr>
          <w:sz w:val="11"/>
        </w:rPr>
      </w:pPr>
    </w:p>
    <w:p>
      <w:pPr>
        <w:pStyle w:val="BodyText"/>
        <w:spacing w:line="360" w:lineRule="auto" w:before="1"/>
        <w:ind w:left="102" w:right="115" w:firstLine="427"/>
        <w:jc w:val="both"/>
      </w:pPr>
      <w:r>
        <w:rPr/>
        <w:t>Los resultados en porcentajes indican que las calificaciones más altas </w:t>
      </w:r>
      <w:r>
        <w:rPr>
          <w:spacing w:val="-2"/>
        </w:rPr>
        <w:t>que </w:t>
      </w:r>
      <w:r>
        <w:rPr/>
        <w:t>obtuvo</w:t>
      </w:r>
      <w:r>
        <w:rPr>
          <w:spacing w:val="-8"/>
        </w:rPr>
        <w:t> </w:t>
      </w:r>
      <w:r>
        <w:rPr/>
        <w:t>México</w:t>
      </w:r>
      <w:r>
        <w:rPr>
          <w:spacing w:val="-11"/>
        </w:rPr>
        <w:t> </w:t>
      </w:r>
      <w:r>
        <w:rPr/>
        <w:t>fueron</w:t>
      </w:r>
      <w:r>
        <w:rPr>
          <w:spacing w:val="-11"/>
        </w:rPr>
        <w:t> </w:t>
      </w:r>
      <w:r>
        <w:rPr/>
        <w:t>para</w:t>
      </w:r>
      <w:r>
        <w:rPr>
          <w:spacing w:val="-9"/>
        </w:rPr>
        <w:t> </w:t>
      </w:r>
      <w:r>
        <w:rPr/>
        <w:t>las</w:t>
      </w:r>
      <w:r>
        <w:rPr>
          <w:spacing w:val="-9"/>
        </w:rPr>
        <w:t> </w:t>
      </w:r>
      <w:r>
        <w:rPr/>
        <w:t>variables</w:t>
      </w:r>
      <w:r>
        <w:rPr>
          <w:spacing w:val="-8"/>
        </w:rPr>
        <w:t> </w:t>
      </w:r>
      <w:r>
        <w:rPr/>
        <w:t>“Ley</w:t>
      </w:r>
      <w:r>
        <w:rPr>
          <w:spacing w:val="-12"/>
        </w:rPr>
        <w:t> </w:t>
      </w:r>
      <w:r>
        <w:rPr/>
        <w:t>de</w:t>
      </w:r>
      <w:r>
        <w:rPr>
          <w:spacing w:val="-8"/>
        </w:rPr>
        <w:t> </w:t>
      </w:r>
      <w:r>
        <w:rPr/>
        <w:t>Acceso</w:t>
      </w:r>
      <w:r>
        <w:rPr>
          <w:spacing w:val="-11"/>
        </w:rPr>
        <w:t> </w:t>
      </w:r>
      <w:r>
        <w:rPr/>
        <w:t>a</w:t>
      </w:r>
      <w:r>
        <w:rPr>
          <w:spacing w:val="-8"/>
        </w:rPr>
        <w:t> </w:t>
      </w:r>
      <w:r>
        <w:rPr/>
        <w:t>la</w:t>
      </w:r>
      <w:r>
        <w:rPr>
          <w:spacing w:val="-9"/>
        </w:rPr>
        <w:t> </w:t>
      </w:r>
      <w:r>
        <w:rPr/>
        <w:t>Información”</w:t>
      </w:r>
      <w:r>
        <w:rPr>
          <w:spacing w:val="-10"/>
        </w:rPr>
        <w:t> </w:t>
      </w:r>
      <w:r>
        <w:rPr/>
        <w:t>(50%), “Confianza en la Información” (41%), “Capacidades del Órgano de Control Externo” (29%) y “Atribuciones y Participación del Legislativo” (29%). Las  </w:t>
      </w:r>
      <w:r>
        <w:rPr>
          <w:spacing w:val="42"/>
        </w:rPr>
        <w:t> </w:t>
      </w:r>
      <w:r>
        <w:rPr/>
        <w:t>más</w:t>
      </w:r>
    </w:p>
    <w:p>
      <w:pPr>
        <w:spacing w:after="0" w:line="360" w:lineRule="auto"/>
        <w:jc w:val="both"/>
        <w:sectPr>
          <w:pgSz w:w="11910" w:h="16840"/>
          <w:pgMar w:header="0" w:footer="1003" w:top="1340" w:bottom="1200" w:left="1600" w:right="1580"/>
        </w:sectPr>
      </w:pPr>
    </w:p>
    <w:p>
      <w:pPr>
        <w:pStyle w:val="BodyText"/>
        <w:spacing w:line="362" w:lineRule="auto" w:before="55"/>
        <w:ind w:left="102" w:right="69"/>
      </w:pPr>
      <w:r>
        <w:rPr/>
        <w:t>bajas fueron la “Participación Ciudadana en el Presupuesto” (6%), “Cambios en el Presupuesto” (13%) y “Evaluación de la Contraloría Interna” (14%</w:t>
      </w:r>
    </w:p>
    <w:p>
      <w:pPr>
        <w:pStyle w:val="BodyText"/>
      </w:pPr>
    </w:p>
    <w:p>
      <w:pPr>
        <w:spacing w:line="448" w:lineRule="auto" w:before="186" w:after="42"/>
        <w:ind w:left="3757" w:right="780" w:hanging="3063"/>
        <w:jc w:val="left"/>
        <w:rPr>
          <w:sz w:val="20"/>
        </w:rPr>
      </w:pPr>
      <w:bookmarkStart w:name="_bookmark90" w:id="121"/>
      <w:bookmarkEnd w:id="121"/>
      <w:r>
        <w:rPr/>
      </w:r>
      <w:r>
        <w:rPr>
          <w:sz w:val="20"/>
        </w:rPr>
        <w:t>Cuadro 4. 10. Transparencia Presupuestaria en México, percepciones por variable (Porcentajes)</w:t>
      </w: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4602"/>
        <w:gridCol w:w="1135"/>
        <w:gridCol w:w="1133"/>
        <w:gridCol w:w="1135"/>
      </w:tblGrid>
      <w:tr>
        <w:trPr>
          <w:trHeight w:val="336" w:hRule="exact"/>
        </w:trPr>
        <w:tc>
          <w:tcPr>
            <w:tcW w:w="5113" w:type="dxa"/>
            <w:gridSpan w:val="2"/>
          </w:tcPr>
          <w:p>
            <w:pPr>
              <w:pStyle w:val="TableParagraph"/>
              <w:spacing w:before="112"/>
              <w:ind w:left="64"/>
              <w:rPr>
                <w:b/>
                <w:sz w:val="18"/>
              </w:rPr>
            </w:pPr>
            <w:r>
              <w:rPr>
                <w:b/>
                <w:sz w:val="18"/>
              </w:rPr>
              <w:t>Variable</w:t>
            </w:r>
          </w:p>
        </w:tc>
        <w:tc>
          <w:tcPr>
            <w:tcW w:w="1135" w:type="dxa"/>
          </w:tcPr>
          <w:p>
            <w:pPr>
              <w:pStyle w:val="TableParagraph"/>
              <w:spacing w:before="112"/>
              <w:ind w:left="343" w:right="341"/>
              <w:jc w:val="center"/>
              <w:rPr>
                <w:b/>
                <w:sz w:val="18"/>
              </w:rPr>
            </w:pPr>
            <w:r>
              <w:rPr>
                <w:b/>
                <w:sz w:val="18"/>
              </w:rPr>
              <w:t>2007</w:t>
            </w:r>
          </w:p>
        </w:tc>
        <w:tc>
          <w:tcPr>
            <w:tcW w:w="1133" w:type="dxa"/>
          </w:tcPr>
          <w:p>
            <w:pPr>
              <w:pStyle w:val="TableParagraph"/>
              <w:spacing w:before="112"/>
              <w:ind w:left="341" w:right="341"/>
              <w:jc w:val="center"/>
              <w:rPr>
                <w:b/>
                <w:sz w:val="18"/>
              </w:rPr>
            </w:pPr>
            <w:r>
              <w:rPr>
                <w:b/>
                <w:sz w:val="18"/>
              </w:rPr>
              <w:t>2009</w:t>
            </w:r>
          </w:p>
        </w:tc>
        <w:tc>
          <w:tcPr>
            <w:tcW w:w="1135" w:type="dxa"/>
          </w:tcPr>
          <w:p>
            <w:pPr>
              <w:pStyle w:val="TableParagraph"/>
              <w:spacing w:before="112"/>
              <w:ind w:left="343" w:right="341"/>
              <w:jc w:val="center"/>
              <w:rPr>
                <w:b/>
                <w:sz w:val="18"/>
              </w:rPr>
            </w:pPr>
            <w:r>
              <w:rPr>
                <w:b/>
                <w:sz w:val="18"/>
              </w:rPr>
              <w:t>2011</w:t>
            </w:r>
          </w:p>
        </w:tc>
      </w:tr>
      <w:tr>
        <w:trPr>
          <w:trHeight w:val="216" w:hRule="exact"/>
        </w:trPr>
        <w:tc>
          <w:tcPr>
            <w:tcW w:w="511" w:type="dxa"/>
            <w:tcBorders>
              <w:right w:val="nil"/>
            </w:tcBorders>
            <w:shd w:val="clear" w:color="auto" w:fill="E3E3E3"/>
          </w:tcPr>
          <w:p>
            <w:pPr>
              <w:pStyle w:val="TableParagraph"/>
              <w:spacing w:line="206" w:lineRule="exact"/>
              <w:ind w:left="49"/>
              <w:jc w:val="center"/>
              <w:rPr>
                <w:sz w:val="18"/>
              </w:rPr>
            </w:pPr>
            <w:r>
              <w:rPr>
                <w:w w:val="99"/>
                <w:sz w:val="18"/>
              </w:rPr>
              <w:t>1</w:t>
            </w:r>
          </w:p>
        </w:tc>
        <w:tc>
          <w:tcPr>
            <w:tcW w:w="4602" w:type="dxa"/>
            <w:tcBorders>
              <w:left w:val="nil"/>
              <w:right w:val="nil"/>
            </w:tcBorders>
            <w:shd w:val="clear" w:color="auto" w:fill="E3E3E3"/>
          </w:tcPr>
          <w:p>
            <w:pPr>
              <w:pStyle w:val="TableParagraph"/>
              <w:spacing w:line="206" w:lineRule="exact"/>
              <w:ind w:left="127" w:right="912"/>
              <w:rPr>
                <w:sz w:val="18"/>
              </w:rPr>
            </w:pPr>
            <w:r>
              <w:rPr>
                <w:sz w:val="18"/>
              </w:rPr>
              <w:t>Ley de Acceso a la información.</w:t>
            </w:r>
          </w:p>
        </w:tc>
        <w:tc>
          <w:tcPr>
            <w:tcW w:w="1135" w:type="dxa"/>
            <w:tcBorders>
              <w:left w:val="nil"/>
              <w:right w:val="nil"/>
            </w:tcBorders>
            <w:shd w:val="clear" w:color="auto" w:fill="E3E3E3"/>
          </w:tcPr>
          <w:p>
            <w:pPr/>
          </w:p>
        </w:tc>
        <w:tc>
          <w:tcPr>
            <w:tcW w:w="1133" w:type="dxa"/>
            <w:tcBorders>
              <w:left w:val="nil"/>
              <w:right w:val="nil"/>
            </w:tcBorders>
            <w:shd w:val="clear" w:color="auto" w:fill="E3E3E3"/>
          </w:tcPr>
          <w:p>
            <w:pPr>
              <w:pStyle w:val="TableParagraph"/>
              <w:spacing w:line="206" w:lineRule="exact"/>
              <w:ind w:left="446" w:right="446"/>
              <w:jc w:val="center"/>
              <w:rPr>
                <w:sz w:val="18"/>
              </w:rPr>
            </w:pPr>
            <w:r>
              <w:rPr>
                <w:sz w:val="18"/>
              </w:rPr>
              <w:t>25</w:t>
            </w:r>
          </w:p>
        </w:tc>
        <w:tc>
          <w:tcPr>
            <w:tcW w:w="1135" w:type="dxa"/>
            <w:tcBorders>
              <w:left w:val="nil"/>
            </w:tcBorders>
            <w:shd w:val="clear" w:color="auto" w:fill="E3E3E3"/>
          </w:tcPr>
          <w:p>
            <w:pPr>
              <w:pStyle w:val="TableParagraph"/>
              <w:spacing w:line="206" w:lineRule="exact"/>
              <w:ind w:left="448" w:right="441"/>
              <w:jc w:val="center"/>
              <w:rPr>
                <w:sz w:val="18"/>
              </w:rPr>
            </w:pPr>
            <w:r>
              <w:rPr>
                <w:sz w:val="18"/>
              </w:rPr>
              <w:t>50</w:t>
            </w:r>
          </w:p>
        </w:tc>
      </w:tr>
      <w:tr>
        <w:trPr>
          <w:trHeight w:val="218" w:hRule="exact"/>
        </w:trPr>
        <w:tc>
          <w:tcPr>
            <w:tcW w:w="511" w:type="dxa"/>
            <w:tcBorders>
              <w:right w:val="nil"/>
            </w:tcBorders>
          </w:tcPr>
          <w:p>
            <w:pPr>
              <w:pStyle w:val="TableParagraph"/>
              <w:spacing w:line="206" w:lineRule="exact"/>
              <w:ind w:left="49"/>
              <w:jc w:val="center"/>
              <w:rPr>
                <w:sz w:val="18"/>
              </w:rPr>
            </w:pPr>
            <w:r>
              <w:rPr>
                <w:w w:val="99"/>
                <w:sz w:val="18"/>
              </w:rPr>
              <w:t>2</w:t>
            </w:r>
          </w:p>
        </w:tc>
        <w:tc>
          <w:tcPr>
            <w:tcW w:w="4602" w:type="dxa"/>
            <w:tcBorders>
              <w:left w:val="nil"/>
              <w:right w:val="nil"/>
            </w:tcBorders>
          </w:tcPr>
          <w:p>
            <w:pPr>
              <w:pStyle w:val="TableParagraph"/>
              <w:spacing w:line="206" w:lineRule="exact"/>
              <w:ind w:left="127" w:right="912"/>
              <w:rPr>
                <w:sz w:val="18"/>
              </w:rPr>
            </w:pPr>
            <w:r>
              <w:rPr>
                <w:sz w:val="18"/>
              </w:rPr>
              <w:t>Confianza en la información.</w:t>
            </w:r>
          </w:p>
        </w:tc>
        <w:tc>
          <w:tcPr>
            <w:tcW w:w="1135" w:type="dxa"/>
            <w:tcBorders>
              <w:left w:val="nil"/>
              <w:right w:val="nil"/>
            </w:tcBorders>
          </w:tcPr>
          <w:p>
            <w:pPr/>
          </w:p>
        </w:tc>
        <w:tc>
          <w:tcPr>
            <w:tcW w:w="1133" w:type="dxa"/>
            <w:tcBorders>
              <w:left w:val="nil"/>
              <w:right w:val="nil"/>
            </w:tcBorders>
          </w:tcPr>
          <w:p>
            <w:pPr/>
          </w:p>
        </w:tc>
        <w:tc>
          <w:tcPr>
            <w:tcW w:w="1135" w:type="dxa"/>
            <w:tcBorders>
              <w:left w:val="nil"/>
            </w:tcBorders>
          </w:tcPr>
          <w:p>
            <w:pPr>
              <w:pStyle w:val="TableParagraph"/>
              <w:spacing w:line="206" w:lineRule="exact"/>
              <w:ind w:left="448" w:right="441"/>
              <w:jc w:val="center"/>
              <w:rPr>
                <w:sz w:val="18"/>
              </w:rPr>
            </w:pPr>
            <w:r>
              <w:rPr>
                <w:sz w:val="18"/>
              </w:rPr>
              <w:t>41</w:t>
            </w:r>
          </w:p>
        </w:tc>
      </w:tr>
      <w:tr>
        <w:trPr>
          <w:trHeight w:val="422" w:hRule="exact"/>
        </w:trPr>
        <w:tc>
          <w:tcPr>
            <w:tcW w:w="511" w:type="dxa"/>
            <w:tcBorders>
              <w:right w:val="nil"/>
            </w:tcBorders>
            <w:shd w:val="clear" w:color="auto" w:fill="E3E3E3"/>
          </w:tcPr>
          <w:p>
            <w:pPr>
              <w:pStyle w:val="TableParagraph"/>
              <w:spacing w:before="102"/>
              <w:ind w:left="49"/>
              <w:jc w:val="center"/>
              <w:rPr>
                <w:sz w:val="18"/>
              </w:rPr>
            </w:pPr>
            <w:r>
              <w:rPr>
                <w:w w:val="99"/>
                <w:sz w:val="18"/>
              </w:rPr>
              <w:t>3</w:t>
            </w:r>
          </w:p>
        </w:tc>
        <w:tc>
          <w:tcPr>
            <w:tcW w:w="4602" w:type="dxa"/>
            <w:tcBorders>
              <w:left w:val="nil"/>
              <w:right w:val="nil"/>
            </w:tcBorders>
            <w:shd w:val="clear" w:color="auto" w:fill="E3E3E3"/>
          </w:tcPr>
          <w:p>
            <w:pPr>
              <w:pStyle w:val="TableParagraph"/>
              <w:ind w:left="127" w:right="912"/>
              <w:rPr>
                <w:sz w:val="18"/>
              </w:rPr>
            </w:pPr>
            <w:r>
              <w:rPr>
                <w:sz w:val="18"/>
              </w:rPr>
              <w:t>Capacidades del Órgano de Control Externo (Evaluación a la ASF).</w:t>
            </w:r>
          </w:p>
        </w:tc>
        <w:tc>
          <w:tcPr>
            <w:tcW w:w="1135" w:type="dxa"/>
            <w:tcBorders>
              <w:left w:val="nil"/>
              <w:right w:val="nil"/>
            </w:tcBorders>
            <w:shd w:val="clear" w:color="auto" w:fill="E3E3E3"/>
          </w:tcPr>
          <w:p>
            <w:pPr>
              <w:pStyle w:val="TableParagraph"/>
              <w:spacing w:before="10"/>
              <w:rPr>
                <w:sz w:val="17"/>
              </w:rPr>
            </w:pPr>
          </w:p>
          <w:p>
            <w:pPr>
              <w:pStyle w:val="TableParagraph"/>
              <w:ind w:left="448" w:right="446"/>
              <w:jc w:val="center"/>
              <w:rPr>
                <w:sz w:val="18"/>
              </w:rPr>
            </w:pPr>
            <w:r>
              <w:rPr>
                <w:sz w:val="18"/>
              </w:rPr>
              <w:t>43</w:t>
            </w:r>
          </w:p>
        </w:tc>
        <w:tc>
          <w:tcPr>
            <w:tcW w:w="1133" w:type="dxa"/>
            <w:tcBorders>
              <w:left w:val="nil"/>
              <w:right w:val="nil"/>
            </w:tcBorders>
            <w:shd w:val="clear" w:color="auto" w:fill="E3E3E3"/>
          </w:tcPr>
          <w:p>
            <w:pPr>
              <w:pStyle w:val="TableParagraph"/>
              <w:spacing w:before="10"/>
              <w:rPr>
                <w:sz w:val="17"/>
              </w:rPr>
            </w:pPr>
          </w:p>
          <w:p>
            <w:pPr>
              <w:pStyle w:val="TableParagraph"/>
              <w:ind w:left="446" w:right="446"/>
              <w:jc w:val="center"/>
              <w:rPr>
                <w:sz w:val="18"/>
              </w:rPr>
            </w:pPr>
            <w:r>
              <w:rPr>
                <w:sz w:val="18"/>
              </w:rPr>
              <w:t>34</w:t>
            </w:r>
          </w:p>
        </w:tc>
        <w:tc>
          <w:tcPr>
            <w:tcW w:w="1135" w:type="dxa"/>
            <w:tcBorders>
              <w:left w:val="nil"/>
            </w:tcBorders>
            <w:shd w:val="clear" w:color="auto" w:fill="E3E3E3"/>
          </w:tcPr>
          <w:p>
            <w:pPr>
              <w:pStyle w:val="TableParagraph"/>
              <w:spacing w:before="10"/>
              <w:rPr>
                <w:sz w:val="17"/>
              </w:rPr>
            </w:pPr>
          </w:p>
          <w:p>
            <w:pPr>
              <w:pStyle w:val="TableParagraph"/>
              <w:ind w:left="448" w:right="441"/>
              <w:jc w:val="center"/>
              <w:rPr>
                <w:sz w:val="18"/>
              </w:rPr>
            </w:pPr>
            <w:r>
              <w:rPr>
                <w:sz w:val="18"/>
              </w:rPr>
              <w:t>29</w:t>
            </w:r>
          </w:p>
        </w:tc>
      </w:tr>
      <w:tr>
        <w:trPr>
          <w:trHeight w:val="218" w:hRule="exact"/>
        </w:trPr>
        <w:tc>
          <w:tcPr>
            <w:tcW w:w="511" w:type="dxa"/>
            <w:tcBorders>
              <w:right w:val="nil"/>
            </w:tcBorders>
          </w:tcPr>
          <w:p>
            <w:pPr>
              <w:pStyle w:val="TableParagraph"/>
              <w:spacing w:line="206" w:lineRule="exact"/>
              <w:ind w:left="49"/>
              <w:jc w:val="center"/>
              <w:rPr>
                <w:sz w:val="18"/>
              </w:rPr>
            </w:pPr>
            <w:r>
              <w:rPr>
                <w:w w:val="99"/>
                <w:sz w:val="18"/>
              </w:rPr>
              <w:t>4</w:t>
            </w:r>
          </w:p>
        </w:tc>
        <w:tc>
          <w:tcPr>
            <w:tcW w:w="4602" w:type="dxa"/>
            <w:tcBorders>
              <w:left w:val="nil"/>
              <w:right w:val="nil"/>
            </w:tcBorders>
          </w:tcPr>
          <w:p>
            <w:pPr>
              <w:pStyle w:val="TableParagraph"/>
              <w:spacing w:line="206" w:lineRule="exact"/>
              <w:ind w:left="127" w:right="912"/>
              <w:rPr>
                <w:sz w:val="18"/>
              </w:rPr>
            </w:pPr>
            <w:r>
              <w:rPr>
                <w:sz w:val="18"/>
              </w:rPr>
              <w:t>Atribuciones y Participación del Legislativo.</w:t>
            </w:r>
          </w:p>
        </w:tc>
        <w:tc>
          <w:tcPr>
            <w:tcW w:w="1135" w:type="dxa"/>
            <w:tcBorders>
              <w:left w:val="nil"/>
              <w:right w:val="nil"/>
            </w:tcBorders>
          </w:tcPr>
          <w:p>
            <w:pPr>
              <w:pStyle w:val="TableParagraph"/>
              <w:spacing w:line="206" w:lineRule="exact"/>
              <w:ind w:left="448" w:right="446"/>
              <w:jc w:val="center"/>
              <w:rPr>
                <w:sz w:val="18"/>
              </w:rPr>
            </w:pPr>
            <w:r>
              <w:rPr>
                <w:sz w:val="18"/>
              </w:rPr>
              <w:t>48</w:t>
            </w:r>
          </w:p>
        </w:tc>
        <w:tc>
          <w:tcPr>
            <w:tcW w:w="1133" w:type="dxa"/>
            <w:tcBorders>
              <w:left w:val="nil"/>
              <w:right w:val="nil"/>
            </w:tcBorders>
          </w:tcPr>
          <w:p>
            <w:pPr>
              <w:pStyle w:val="TableParagraph"/>
              <w:spacing w:line="206" w:lineRule="exact"/>
              <w:ind w:left="446" w:right="446"/>
              <w:jc w:val="center"/>
              <w:rPr>
                <w:sz w:val="18"/>
              </w:rPr>
            </w:pPr>
            <w:r>
              <w:rPr>
                <w:sz w:val="18"/>
              </w:rPr>
              <w:t>37</w:t>
            </w:r>
          </w:p>
        </w:tc>
        <w:tc>
          <w:tcPr>
            <w:tcW w:w="1135" w:type="dxa"/>
            <w:tcBorders>
              <w:left w:val="nil"/>
            </w:tcBorders>
          </w:tcPr>
          <w:p>
            <w:pPr>
              <w:pStyle w:val="TableParagraph"/>
              <w:spacing w:line="206" w:lineRule="exact"/>
              <w:ind w:left="448" w:right="441"/>
              <w:jc w:val="center"/>
              <w:rPr>
                <w:sz w:val="18"/>
              </w:rPr>
            </w:pPr>
            <w:r>
              <w:rPr>
                <w:sz w:val="18"/>
              </w:rPr>
              <w:t>29</w:t>
            </w:r>
          </w:p>
        </w:tc>
      </w:tr>
      <w:tr>
        <w:trPr>
          <w:trHeight w:val="216" w:hRule="exact"/>
        </w:trPr>
        <w:tc>
          <w:tcPr>
            <w:tcW w:w="511" w:type="dxa"/>
            <w:tcBorders>
              <w:right w:val="nil"/>
            </w:tcBorders>
            <w:shd w:val="clear" w:color="auto" w:fill="E3E3E3"/>
          </w:tcPr>
          <w:p>
            <w:pPr>
              <w:pStyle w:val="TableParagraph"/>
              <w:spacing w:line="206" w:lineRule="exact"/>
              <w:ind w:left="49"/>
              <w:jc w:val="center"/>
              <w:rPr>
                <w:sz w:val="18"/>
              </w:rPr>
            </w:pPr>
            <w:r>
              <w:rPr>
                <w:w w:val="99"/>
                <w:sz w:val="18"/>
              </w:rPr>
              <w:t>5</w:t>
            </w:r>
          </w:p>
        </w:tc>
        <w:tc>
          <w:tcPr>
            <w:tcW w:w="4602" w:type="dxa"/>
            <w:tcBorders>
              <w:left w:val="nil"/>
              <w:right w:val="nil"/>
            </w:tcBorders>
            <w:shd w:val="clear" w:color="auto" w:fill="E3E3E3"/>
          </w:tcPr>
          <w:p>
            <w:pPr>
              <w:pStyle w:val="TableParagraph"/>
              <w:spacing w:line="206" w:lineRule="exact"/>
              <w:ind w:left="127" w:right="912"/>
              <w:rPr>
                <w:sz w:val="18"/>
              </w:rPr>
            </w:pPr>
            <w:r>
              <w:rPr>
                <w:sz w:val="18"/>
              </w:rPr>
              <w:t>Calidad de la Información Presupuestaria.</w:t>
            </w:r>
          </w:p>
        </w:tc>
        <w:tc>
          <w:tcPr>
            <w:tcW w:w="1135" w:type="dxa"/>
            <w:tcBorders>
              <w:left w:val="nil"/>
              <w:right w:val="nil"/>
            </w:tcBorders>
            <w:shd w:val="clear" w:color="auto" w:fill="E3E3E3"/>
          </w:tcPr>
          <w:p>
            <w:pPr>
              <w:pStyle w:val="TableParagraph"/>
              <w:spacing w:line="206" w:lineRule="exact"/>
              <w:ind w:left="448" w:right="446"/>
              <w:jc w:val="center"/>
              <w:rPr>
                <w:sz w:val="18"/>
              </w:rPr>
            </w:pPr>
            <w:r>
              <w:rPr>
                <w:sz w:val="18"/>
              </w:rPr>
              <w:t>32</w:t>
            </w:r>
          </w:p>
        </w:tc>
        <w:tc>
          <w:tcPr>
            <w:tcW w:w="1133" w:type="dxa"/>
            <w:tcBorders>
              <w:left w:val="nil"/>
              <w:right w:val="nil"/>
            </w:tcBorders>
            <w:shd w:val="clear" w:color="auto" w:fill="E3E3E3"/>
          </w:tcPr>
          <w:p>
            <w:pPr>
              <w:pStyle w:val="TableParagraph"/>
              <w:spacing w:line="206" w:lineRule="exact"/>
              <w:ind w:left="446" w:right="446"/>
              <w:jc w:val="center"/>
              <w:rPr>
                <w:sz w:val="18"/>
              </w:rPr>
            </w:pPr>
            <w:r>
              <w:rPr>
                <w:sz w:val="18"/>
              </w:rPr>
              <w:t>31</w:t>
            </w:r>
          </w:p>
        </w:tc>
        <w:tc>
          <w:tcPr>
            <w:tcW w:w="1135" w:type="dxa"/>
            <w:tcBorders>
              <w:left w:val="nil"/>
            </w:tcBorders>
            <w:shd w:val="clear" w:color="auto" w:fill="E3E3E3"/>
          </w:tcPr>
          <w:p>
            <w:pPr>
              <w:pStyle w:val="TableParagraph"/>
              <w:spacing w:line="206" w:lineRule="exact"/>
              <w:ind w:left="448" w:right="441"/>
              <w:jc w:val="center"/>
              <w:rPr>
                <w:sz w:val="18"/>
              </w:rPr>
            </w:pPr>
            <w:r>
              <w:rPr>
                <w:sz w:val="18"/>
              </w:rPr>
              <w:t>27</w:t>
            </w:r>
          </w:p>
        </w:tc>
      </w:tr>
      <w:tr>
        <w:trPr>
          <w:trHeight w:val="218" w:hRule="exact"/>
        </w:trPr>
        <w:tc>
          <w:tcPr>
            <w:tcW w:w="511" w:type="dxa"/>
            <w:tcBorders>
              <w:right w:val="nil"/>
            </w:tcBorders>
          </w:tcPr>
          <w:p>
            <w:pPr>
              <w:pStyle w:val="TableParagraph"/>
              <w:spacing w:line="207" w:lineRule="exact"/>
              <w:ind w:left="49"/>
              <w:jc w:val="center"/>
              <w:rPr>
                <w:sz w:val="18"/>
              </w:rPr>
            </w:pPr>
            <w:r>
              <w:rPr>
                <w:w w:val="99"/>
                <w:sz w:val="18"/>
              </w:rPr>
              <w:t>6</w:t>
            </w:r>
          </w:p>
        </w:tc>
        <w:tc>
          <w:tcPr>
            <w:tcW w:w="4602" w:type="dxa"/>
            <w:tcBorders>
              <w:left w:val="nil"/>
              <w:right w:val="nil"/>
            </w:tcBorders>
          </w:tcPr>
          <w:p>
            <w:pPr>
              <w:pStyle w:val="TableParagraph"/>
              <w:spacing w:line="207" w:lineRule="exact"/>
              <w:ind w:left="127" w:right="912"/>
              <w:rPr>
                <w:sz w:val="18"/>
              </w:rPr>
            </w:pPr>
            <w:r>
              <w:rPr>
                <w:sz w:val="18"/>
              </w:rPr>
              <w:t>Fiscalización del Presupuesto.</w:t>
            </w:r>
          </w:p>
        </w:tc>
        <w:tc>
          <w:tcPr>
            <w:tcW w:w="1135" w:type="dxa"/>
            <w:tcBorders>
              <w:left w:val="nil"/>
              <w:right w:val="nil"/>
            </w:tcBorders>
          </w:tcPr>
          <w:p>
            <w:pPr>
              <w:pStyle w:val="TableParagraph"/>
              <w:spacing w:line="207" w:lineRule="exact"/>
              <w:ind w:left="448" w:right="446"/>
              <w:jc w:val="center"/>
              <w:rPr>
                <w:sz w:val="18"/>
              </w:rPr>
            </w:pPr>
            <w:r>
              <w:rPr>
                <w:sz w:val="18"/>
              </w:rPr>
              <w:t>23</w:t>
            </w:r>
          </w:p>
        </w:tc>
        <w:tc>
          <w:tcPr>
            <w:tcW w:w="1133" w:type="dxa"/>
            <w:tcBorders>
              <w:left w:val="nil"/>
              <w:right w:val="nil"/>
            </w:tcBorders>
          </w:tcPr>
          <w:p>
            <w:pPr>
              <w:pStyle w:val="TableParagraph"/>
              <w:spacing w:line="207" w:lineRule="exact"/>
              <w:ind w:left="446" w:right="446"/>
              <w:jc w:val="center"/>
              <w:rPr>
                <w:sz w:val="18"/>
              </w:rPr>
            </w:pPr>
            <w:r>
              <w:rPr>
                <w:sz w:val="18"/>
              </w:rPr>
              <w:t>31</w:t>
            </w:r>
          </w:p>
        </w:tc>
        <w:tc>
          <w:tcPr>
            <w:tcW w:w="1135" w:type="dxa"/>
            <w:tcBorders>
              <w:left w:val="nil"/>
            </w:tcBorders>
          </w:tcPr>
          <w:p>
            <w:pPr>
              <w:pStyle w:val="TableParagraph"/>
              <w:spacing w:line="207" w:lineRule="exact"/>
              <w:ind w:left="448" w:right="441"/>
              <w:jc w:val="center"/>
              <w:rPr>
                <w:sz w:val="18"/>
              </w:rPr>
            </w:pPr>
            <w:r>
              <w:rPr>
                <w:sz w:val="18"/>
              </w:rPr>
              <w:t>25</w:t>
            </w:r>
          </w:p>
        </w:tc>
      </w:tr>
      <w:tr>
        <w:trPr>
          <w:trHeight w:val="217" w:hRule="exact"/>
        </w:trPr>
        <w:tc>
          <w:tcPr>
            <w:tcW w:w="511" w:type="dxa"/>
            <w:tcBorders>
              <w:right w:val="nil"/>
            </w:tcBorders>
            <w:shd w:val="clear" w:color="auto" w:fill="E3E3E3"/>
          </w:tcPr>
          <w:p>
            <w:pPr>
              <w:pStyle w:val="TableParagraph"/>
              <w:ind w:left="49"/>
              <w:jc w:val="center"/>
              <w:rPr>
                <w:sz w:val="18"/>
              </w:rPr>
            </w:pPr>
            <w:r>
              <w:rPr>
                <w:w w:val="99"/>
                <w:sz w:val="18"/>
              </w:rPr>
              <w:t>7</w:t>
            </w:r>
          </w:p>
        </w:tc>
        <w:tc>
          <w:tcPr>
            <w:tcW w:w="4602" w:type="dxa"/>
            <w:tcBorders>
              <w:left w:val="nil"/>
              <w:right w:val="nil"/>
            </w:tcBorders>
            <w:shd w:val="clear" w:color="auto" w:fill="E3E3E3"/>
          </w:tcPr>
          <w:p>
            <w:pPr>
              <w:pStyle w:val="TableParagraph"/>
              <w:ind w:left="127" w:right="912"/>
              <w:rPr>
                <w:sz w:val="18"/>
              </w:rPr>
            </w:pPr>
            <w:r>
              <w:rPr>
                <w:sz w:val="18"/>
              </w:rPr>
              <w:t>Control sobre Funcionarios Federales.</w:t>
            </w:r>
          </w:p>
        </w:tc>
        <w:tc>
          <w:tcPr>
            <w:tcW w:w="1135" w:type="dxa"/>
            <w:tcBorders>
              <w:left w:val="nil"/>
              <w:right w:val="nil"/>
            </w:tcBorders>
            <w:shd w:val="clear" w:color="auto" w:fill="E3E3E3"/>
          </w:tcPr>
          <w:p>
            <w:pPr>
              <w:pStyle w:val="TableParagraph"/>
              <w:ind w:left="448" w:right="446"/>
              <w:jc w:val="center"/>
              <w:rPr>
                <w:sz w:val="18"/>
              </w:rPr>
            </w:pPr>
            <w:r>
              <w:rPr>
                <w:sz w:val="18"/>
              </w:rPr>
              <w:t>16</w:t>
            </w:r>
          </w:p>
        </w:tc>
        <w:tc>
          <w:tcPr>
            <w:tcW w:w="1133" w:type="dxa"/>
            <w:tcBorders>
              <w:left w:val="nil"/>
              <w:right w:val="nil"/>
            </w:tcBorders>
            <w:shd w:val="clear" w:color="auto" w:fill="E3E3E3"/>
          </w:tcPr>
          <w:p>
            <w:pPr>
              <w:pStyle w:val="TableParagraph"/>
              <w:ind w:left="446" w:right="446"/>
              <w:jc w:val="center"/>
              <w:rPr>
                <w:sz w:val="18"/>
              </w:rPr>
            </w:pPr>
            <w:r>
              <w:rPr>
                <w:sz w:val="18"/>
              </w:rPr>
              <w:t>22</w:t>
            </w:r>
          </w:p>
        </w:tc>
        <w:tc>
          <w:tcPr>
            <w:tcW w:w="1135" w:type="dxa"/>
            <w:tcBorders>
              <w:left w:val="nil"/>
            </w:tcBorders>
            <w:shd w:val="clear" w:color="auto" w:fill="E3E3E3"/>
          </w:tcPr>
          <w:p>
            <w:pPr>
              <w:pStyle w:val="TableParagraph"/>
              <w:ind w:left="448" w:right="441"/>
              <w:jc w:val="center"/>
              <w:rPr>
                <w:sz w:val="18"/>
              </w:rPr>
            </w:pPr>
            <w:r>
              <w:rPr>
                <w:sz w:val="18"/>
              </w:rPr>
              <w:t>24</w:t>
            </w:r>
          </w:p>
        </w:tc>
      </w:tr>
      <w:tr>
        <w:trPr>
          <w:trHeight w:val="216" w:hRule="exact"/>
        </w:trPr>
        <w:tc>
          <w:tcPr>
            <w:tcW w:w="511" w:type="dxa"/>
            <w:tcBorders>
              <w:right w:val="nil"/>
            </w:tcBorders>
          </w:tcPr>
          <w:p>
            <w:pPr>
              <w:pStyle w:val="TableParagraph"/>
              <w:spacing w:line="206" w:lineRule="exact"/>
              <w:ind w:left="49"/>
              <w:jc w:val="center"/>
              <w:rPr>
                <w:sz w:val="18"/>
              </w:rPr>
            </w:pPr>
            <w:r>
              <w:rPr>
                <w:w w:val="99"/>
                <w:sz w:val="18"/>
              </w:rPr>
              <w:t>8</w:t>
            </w:r>
          </w:p>
        </w:tc>
        <w:tc>
          <w:tcPr>
            <w:tcW w:w="4602" w:type="dxa"/>
            <w:tcBorders>
              <w:left w:val="nil"/>
              <w:right w:val="nil"/>
            </w:tcBorders>
          </w:tcPr>
          <w:p>
            <w:pPr>
              <w:pStyle w:val="TableParagraph"/>
              <w:spacing w:line="206" w:lineRule="exact"/>
              <w:ind w:left="127"/>
              <w:rPr>
                <w:sz w:val="18"/>
              </w:rPr>
            </w:pPr>
            <w:r>
              <w:rPr>
                <w:sz w:val="18"/>
              </w:rPr>
              <w:t>Gobiernos Subnacionales (Estatales y Municipales).</w:t>
            </w:r>
          </w:p>
        </w:tc>
        <w:tc>
          <w:tcPr>
            <w:tcW w:w="1135" w:type="dxa"/>
            <w:tcBorders>
              <w:left w:val="nil"/>
              <w:right w:val="nil"/>
            </w:tcBorders>
          </w:tcPr>
          <w:p>
            <w:pPr/>
          </w:p>
        </w:tc>
        <w:tc>
          <w:tcPr>
            <w:tcW w:w="1133" w:type="dxa"/>
            <w:tcBorders>
              <w:left w:val="nil"/>
              <w:right w:val="nil"/>
            </w:tcBorders>
          </w:tcPr>
          <w:p>
            <w:pPr/>
          </w:p>
        </w:tc>
        <w:tc>
          <w:tcPr>
            <w:tcW w:w="1135" w:type="dxa"/>
            <w:tcBorders>
              <w:left w:val="nil"/>
            </w:tcBorders>
          </w:tcPr>
          <w:p>
            <w:pPr>
              <w:pStyle w:val="TableParagraph"/>
              <w:spacing w:line="206" w:lineRule="exact"/>
              <w:ind w:left="448" w:right="441"/>
              <w:jc w:val="center"/>
              <w:rPr>
                <w:sz w:val="18"/>
              </w:rPr>
            </w:pPr>
            <w:r>
              <w:rPr>
                <w:sz w:val="18"/>
              </w:rPr>
              <w:t>24</w:t>
            </w:r>
          </w:p>
        </w:tc>
      </w:tr>
      <w:tr>
        <w:trPr>
          <w:trHeight w:val="218" w:hRule="exact"/>
        </w:trPr>
        <w:tc>
          <w:tcPr>
            <w:tcW w:w="511" w:type="dxa"/>
            <w:tcBorders>
              <w:right w:val="nil"/>
            </w:tcBorders>
            <w:shd w:val="clear" w:color="auto" w:fill="E3E3E3"/>
          </w:tcPr>
          <w:p>
            <w:pPr>
              <w:pStyle w:val="TableParagraph"/>
              <w:spacing w:line="206" w:lineRule="exact"/>
              <w:ind w:left="49"/>
              <w:jc w:val="center"/>
              <w:rPr>
                <w:sz w:val="18"/>
              </w:rPr>
            </w:pPr>
            <w:r>
              <w:rPr>
                <w:w w:val="99"/>
                <w:sz w:val="18"/>
              </w:rPr>
              <w:t>9</w:t>
            </w:r>
          </w:p>
        </w:tc>
        <w:tc>
          <w:tcPr>
            <w:tcW w:w="4602" w:type="dxa"/>
            <w:tcBorders>
              <w:left w:val="nil"/>
              <w:right w:val="nil"/>
            </w:tcBorders>
            <w:shd w:val="clear" w:color="auto" w:fill="E3E3E3"/>
          </w:tcPr>
          <w:p>
            <w:pPr>
              <w:pStyle w:val="TableParagraph"/>
              <w:spacing w:line="206" w:lineRule="exact"/>
              <w:ind w:left="127" w:right="912"/>
              <w:rPr>
                <w:sz w:val="18"/>
              </w:rPr>
            </w:pPr>
            <w:r>
              <w:rPr>
                <w:sz w:val="18"/>
              </w:rPr>
              <w:t>Rendición de Cuentas.</w:t>
            </w:r>
          </w:p>
        </w:tc>
        <w:tc>
          <w:tcPr>
            <w:tcW w:w="1135" w:type="dxa"/>
            <w:tcBorders>
              <w:left w:val="nil"/>
              <w:right w:val="nil"/>
            </w:tcBorders>
            <w:shd w:val="clear" w:color="auto" w:fill="E3E3E3"/>
          </w:tcPr>
          <w:p>
            <w:pPr>
              <w:pStyle w:val="TableParagraph"/>
              <w:spacing w:line="206" w:lineRule="exact"/>
              <w:ind w:left="448" w:right="446"/>
              <w:jc w:val="center"/>
              <w:rPr>
                <w:sz w:val="18"/>
              </w:rPr>
            </w:pPr>
            <w:r>
              <w:rPr>
                <w:sz w:val="18"/>
              </w:rPr>
              <w:t>22</w:t>
            </w:r>
          </w:p>
        </w:tc>
        <w:tc>
          <w:tcPr>
            <w:tcW w:w="1133" w:type="dxa"/>
            <w:tcBorders>
              <w:left w:val="nil"/>
              <w:right w:val="nil"/>
            </w:tcBorders>
            <w:shd w:val="clear" w:color="auto" w:fill="E3E3E3"/>
          </w:tcPr>
          <w:p>
            <w:pPr>
              <w:pStyle w:val="TableParagraph"/>
              <w:spacing w:line="206" w:lineRule="exact"/>
              <w:ind w:left="446" w:right="446"/>
              <w:jc w:val="center"/>
              <w:rPr>
                <w:sz w:val="18"/>
              </w:rPr>
            </w:pPr>
            <w:r>
              <w:rPr>
                <w:sz w:val="18"/>
              </w:rPr>
              <w:t>18</w:t>
            </w:r>
          </w:p>
        </w:tc>
        <w:tc>
          <w:tcPr>
            <w:tcW w:w="1135" w:type="dxa"/>
            <w:tcBorders>
              <w:left w:val="nil"/>
            </w:tcBorders>
            <w:shd w:val="clear" w:color="auto" w:fill="E3E3E3"/>
          </w:tcPr>
          <w:p>
            <w:pPr>
              <w:pStyle w:val="TableParagraph"/>
              <w:spacing w:line="206" w:lineRule="exact"/>
              <w:ind w:left="448" w:right="441"/>
              <w:jc w:val="center"/>
              <w:rPr>
                <w:sz w:val="18"/>
              </w:rPr>
            </w:pPr>
            <w:r>
              <w:rPr>
                <w:sz w:val="18"/>
              </w:rPr>
              <w:t>24</w:t>
            </w:r>
          </w:p>
        </w:tc>
      </w:tr>
      <w:tr>
        <w:trPr>
          <w:trHeight w:val="216" w:hRule="exact"/>
        </w:trPr>
        <w:tc>
          <w:tcPr>
            <w:tcW w:w="511" w:type="dxa"/>
            <w:tcBorders>
              <w:right w:val="nil"/>
            </w:tcBorders>
          </w:tcPr>
          <w:p>
            <w:pPr>
              <w:pStyle w:val="TableParagraph"/>
              <w:spacing w:line="206" w:lineRule="exact"/>
              <w:ind w:left="158" w:right="108"/>
              <w:jc w:val="center"/>
              <w:rPr>
                <w:sz w:val="18"/>
              </w:rPr>
            </w:pPr>
            <w:r>
              <w:rPr>
                <w:sz w:val="18"/>
              </w:rPr>
              <w:t>10</w:t>
            </w:r>
          </w:p>
        </w:tc>
        <w:tc>
          <w:tcPr>
            <w:tcW w:w="4602" w:type="dxa"/>
            <w:tcBorders>
              <w:left w:val="nil"/>
              <w:right w:val="nil"/>
            </w:tcBorders>
          </w:tcPr>
          <w:p>
            <w:pPr>
              <w:pStyle w:val="TableParagraph"/>
              <w:spacing w:line="206" w:lineRule="exact"/>
              <w:ind w:left="127" w:right="912"/>
              <w:rPr>
                <w:sz w:val="18"/>
              </w:rPr>
            </w:pPr>
            <w:r>
              <w:rPr>
                <w:sz w:val="18"/>
              </w:rPr>
              <w:t>Información sobre Deuda Federal.</w:t>
            </w:r>
          </w:p>
        </w:tc>
        <w:tc>
          <w:tcPr>
            <w:tcW w:w="1135" w:type="dxa"/>
            <w:tcBorders>
              <w:left w:val="nil"/>
              <w:right w:val="nil"/>
            </w:tcBorders>
          </w:tcPr>
          <w:p>
            <w:pPr>
              <w:pStyle w:val="TableParagraph"/>
              <w:spacing w:line="206" w:lineRule="exact"/>
              <w:ind w:left="448" w:right="446"/>
              <w:jc w:val="center"/>
              <w:rPr>
                <w:sz w:val="18"/>
              </w:rPr>
            </w:pPr>
            <w:r>
              <w:rPr>
                <w:sz w:val="18"/>
              </w:rPr>
              <w:t>27</w:t>
            </w:r>
          </w:p>
        </w:tc>
        <w:tc>
          <w:tcPr>
            <w:tcW w:w="1133" w:type="dxa"/>
            <w:tcBorders>
              <w:left w:val="nil"/>
              <w:right w:val="nil"/>
            </w:tcBorders>
          </w:tcPr>
          <w:p>
            <w:pPr>
              <w:pStyle w:val="TableParagraph"/>
              <w:spacing w:line="206" w:lineRule="exact"/>
              <w:ind w:left="446" w:right="446"/>
              <w:jc w:val="center"/>
              <w:rPr>
                <w:sz w:val="18"/>
              </w:rPr>
            </w:pPr>
            <w:r>
              <w:rPr>
                <w:sz w:val="18"/>
              </w:rPr>
              <w:t>25</w:t>
            </w:r>
          </w:p>
        </w:tc>
        <w:tc>
          <w:tcPr>
            <w:tcW w:w="1135" w:type="dxa"/>
            <w:tcBorders>
              <w:left w:val="nil"/>
            </w:tcBorders>
          </w:tcPr>
          <w:p>
            <w:pPr>
              <w:pStyle w:val="TableParagraph"/>
              <w:spacing w:line="206" w:lineRule="exact"/>
              <w:ind w:left="448" w:right="441"/>
              <w:jc w:val="center"/>
              <w:rPr>
                <w:sz w:val="18"/>
              </w:rPr>
            </w:pPr>
            <w:r>
              <w:rPr>
                <w:sz w:val="18"/>
              </w:rPr>
              <w:t>23</w:t>
            </w:r>
          </w:p>
        </w:tc>
      </w:tr>
      <w:tr>
        <w:trPr>
          <w:trHeight w:val="216" w:hRule="exact"/>
        </w:trPr>
        <w:tc>
          <w:tcPr>
            <w:tcW w:w="511" w:type="dxa"/>
            <w:tcBorders>
              <w:right w:val="nil"/>
            </w:tcBorders>
            <w:shd w:val="clear" w:color="auto" w:fill="E3E3E3"/>
          </w:tcPr>
          <w:p>
            <w:pPr>
              <w:pStyle w:val="TableParagraph"/>
              <w:spacing w:line="206" w:lineRule="exact"/>
              <w:ind w:left="158" w:right="108"/>
              <w:jc w:val="center"/>
              <w:rPr>
                <w:sz w:val="18"/>
              </w:rPr>
            </w:pPr>
            <w:r>
              <w:rPr>
                <w:sz w:val="18"/>
              </w:rPr>
              <w:t>11</w:t>
            </w:r>
          </w:p>
        </w:tc>
        <w:tc>
          <w:tcPr>
            <w:tcW w:w="4602" w:type="dxa"/>
            <w:tcBorders>
              <w:left w:val="nil"/>
              <w:right w:val="nil"/>
            </w:tcBorders>
            <w:shd w:val="clear" w:color="auto" w:fill="E3E3E3"/>
          </w:tcPr>
          <w:p>
            <w:pPr>
              <w:pStyle w:val="TableParagraph"/>
              <w:spacing w:line="206" w:lineRule="exact"/>
              <w:ind w:left="127"/>
              <w:rPr>
                <w:sz w:val="18"/>
              </w:rPr>
            </w:pPr>
            <w:r>
              <w:rPr>
                <w:sz w:val="18"/>
              </w:rPr>
              <w:t>Oportunidad de la Información Presupuestaria.</w:t>
            </w:r>
          </w:p>
        </w:tc>
        <w:tc>
          <w:tcPr>
            <w:tcW w:w="1135" w:type="dxa"/>
            <w:tcBorders>
              <w:left w:val="nil"/>
              <w:right w:val="nil"/>
            </w:tcBorders>
            <w:shd w:val="clear" w:color="auto" w:fill="E3E3E3"/>
          </w:tcPr>
          <w:p>
            <w:pPr>
              <w:pStyle w:val="TableParagraph"/>
              <w:spacing w:line="206" w:lineRule="exact"/>
              <w:ind w:left="448" w:right="446"/>
              <w:jc w:val="center"/>
              <w:rPr>
                <w:sz w:val="18"/>
              </w:rPr>
            </w:pPr>
            <w:r>
              <w:rPr>
                <w:sz w:val="18"/>
              </w:rPr>
              <w:t>27</w:t>
            </w:r>
          </w:p>
        </w:tc>
        <w:tc>
          <w:tcPr>
            <w:tcW w:w="1133" w:type="dxa"/>
            <w:tcBorders>
              <w:left w:val="nil"/>
              <w:right w:val="nil"/>
            </w:tcBorders>
            <w:shd w:val="clear" w:color="auto" w:fill="E3E3E3"/>
          </w:tcPr>
          <w:p>
            <w:pPr>
              <w:pStyle w:val="TableParagraph"/>
              <w:spacing w:line="206" w:lineRule="exact"/>
              <w:ind w:left="446" w:right="446"/>
              <w:jc w:val="center"/>
              <w:rPr>
                <w:sz w:val="18"/>
              </w:rPr>
            </w:pPr>
            <w:r>
              <w:rPr>
                <w:sz w:val="18"/>
              </w:rPr>
              <w:t>21</w:t>
            </w:r>
          </w:p>
        </w:tc>
        <w:tc>
          <w:tcPr>
            <w:tcW w:w="1135" w:type="dxa"/>
            <w:tcBorders>
              <w:left w:val="nil"/>
            </w:tcBorders>
            <w:shd w:val="clear" w:color="auto" w:fill="E3E3E3"/>
          </w:tcPr>
          <w:p>
            <w:pPr>
              <w:pStyle w:val="TableParagraph"/>
              <w:spacing w:line="206" w:lineRule="exact"/>
              <w:ind w:left="448" w:right="441"/>
              <w:jc w:val="center"/>
              <w:rPr>
                <w:sz w:val="18"/>
              </w:rPr>
            </w:pPr>
            <w:r>
              <w:rPr>
                <w:sz w:val="18"/>
              </w:rPr>
              <w:t>20</w:t>
            </w:r>
          </w:p>
        </w:tc>
      </w:tr>
      <w:tr>
        <w:trPr>
          <w:trHeight w:val="218" w:hRule="exact"/>
        </w:trPr>
        <w:tc>
          <w:tcPr>
            <w:tcW w:w="511" w:type="dxa"/>
            <w:tcBorders>
              <w:right w:val="nil"/>
            </w:tcBorders>
          </w:tcPr>
          <w:p>
            <w:pPr>
              <w:pStyle w:val="TableParagraph"/>
              <w:spacing w:before="1"/>
              <w:ind w:left="158" w:right="108"/>
              <w:jc w:val="center"/>
              <w:rPr>
                <w:sz w:val="18"/>
              </w:rPr>
            </w:pPr>
            <w:r>
              <w:rPr>
                <w:sz w:val="18"/>
              </w:rPr>
              <w:t>12</w:t>
            </w:r>
          </w:p>
        </w:tc>
        <w:tc>
          <w:tcPr>
            <w:tcW w:w="4602" w:type="dxa"/>
            <w:tcBorders>
              <w:left w:val="nil"/>
              <w:right w:val="nil"/>
            </w:tcBorders>
          </w:tcPr>
          <w:p>
            <w:pPr>
              <w:pStyle w:val="TableParagraph"/>
              <w:spacing w:before="1"/>
              <w:ind w:left="127"/>
              <w:rPr>
                <w:sz w:val="18"/>
              </w:rPr>
            </w:pPr>
            <w:r>
              <w:rPr>
                <w:sz w:val="18"/>
              </w:rPr>
              <w:t>Impacto del Gasto y Evaluación del Desempeño.</w:t>
            </w:r>
          </w:p>
        </w:tc>
        <w:tc>
          <w:tcPr>
            <w:tcW w:w="1135" w:type="dxa"/>
            <w:tcBorders>
              <w:left w:val="nil"/>
              <w:right w:val="nil"/>
            </w:tcBorders>
          </w:tcPr>
          <w:p>
            <w:pPr/>
          </w:p>
        </w:tc>
        <w:tc>
          <w:tcPr>
            <w:tcW w:w="1133" w:type="dxa"/>
            <w:tcBorders>
              <w:left w:val="nil"/>
              <w:right w:val="nil"/>
            </w:tcBorders>
          </w:tcPr>
          <w:p>
            <w:pPr/>
          </w:p>
        </w:tc>
        <w:tc>
          <w:tcPr>
            <w:tcW w:w="1135" w:type="dxa"/>
            <w:tcBorders>
              <w:left w:val="nil"/>
            </w:tcBorders>
          </w:tcPr>
          <w:p>
            <w:pPr>
              <w:pStyle w:val="TableParagraph"/>
              <w:spacing w:before="1"/>
              <w:ind w:left="448" w:right="441"/>
              <w:jc w:val="center"/>
              <w:rPr>
                <w:sz w:val="18"/>
              </w:rPr>
            </w:pPr>
            <w:r>
              <w:rPr>
                <w:sz w:val="18"/>
              </w:rPr>
              <w:t>18</w:t>
            </w:r>
          </w:p>
        </w:tc>
      </w:tr>
      <w:tr>
        <w:trPr>
          <w:trHeight w:val="216" w:hRule="exact"/>
        </w:trPr>
        <w:tc>
          <w:tcPr>
            <w:tcW w:w="511" w:type="dxa"/>
            <w:tcBorders>
              <w:right w:val="nil"/>
            </w:tcBorders>
            <w:shd w:val="clear" w:color="auto" w:fill="E3E3E3"/>
          </w:tcPr>
          <w:p>
            <w:pPr>
              <w:pStyle w:val="TableParagraph"/>
              <w:spacing w:line="206" w:lineRule="exact"/>
              <w:ind w:left="158" w:right="108"/>
              <w:jc w:val="center"/>
              <w:rPr>
                <w:sz w:val="18"/>
              </w:rPr>
            </w:pPr>
            <w:r>
              <w:rPr>
                <w:sz w:val="18"/>
              </w:rPr>
              <w:t>13</w:t>
            </w:r>
          </w:p>
        </w:tc>
        <w:tc>
          <w:tcPr>
            <w:tcW w:w="4602" w:type="dxa"/>
            <w:tcBorders>
              <w:left w:val="nil"/>
              <w:right w:val="nil"/>
            </w:tcBorders>
            <w:shd w:val="clear" w:color="auto" w:fill="E3E3E3"/>
          </w:tcPr>
          <w:p>
            <w:pPr>
              <w:pStyle w:val="TableParagraph"/>
              <w:spacing w:line="206" w:lineRule="exact"/>
              <w:ind w:left="127" w:right="912"/>
              <w:rPr>
                <w:sz w:val="18"/>
              </w:rPr>
            </w:pPr>
            <w:r>
              <w:rPr>
                <w:sz w:val="18"/>
              </w:rPr>
              <w:t>Asignación del Presupuesto.</w:t>
            </w:r>
          </w:p>
        </w:tc>
        <w:tc>
          <w:tcPr>
            <w:tcW w:w="1135" w:type="dxa"/>
            <w:tcBorders>
              <w:left w:val="nil"/>
              <w:right w:val="nil"/>
            </w:tcBorders>
            <w:shd w:val="clear" w:color="auto" w:fill="E3E3E3"/>
          </w:tcPr>
          <w:p>
            <w:pPr>
              <w:pStyle w:val="TableParagraph"/>
              <w:spacing w:line="206" w:lineRule="exact"/>
              <w:ind w:left="448" w:right="446"/>
              <w:jc w:val="center"/>
              <w:rPr>
                <w:sz w:val="18"/>
              </w:rPr>
            </w:pPr>
            <w:r>
              <w:rPr>
                <w:sz w:val="18"/>
              </w:rPr>
              <w:t>16</w:t>
            </w:r>
          </w:p>
        </w:tc>
        <w:tc>
          <w:tcPr>
            <w:tcW w:w="1133" w:type="dxa"/>
            <w:tcBorders>
              <w:left w:val="nil"/>
              <w:right w:val="nil"/>
            </w:tcBorders>
            <w:shd w:val="clear" w:color="auto" w:fill="E3E3E3"/>
          </w:tcPr>
          <w:p>
            <w:pPr>
              <w:pStyle w:val="TableParagraph"/>
              <w:spacing w:line="206" w:lineRule="exact"/>
              <w:ind w:left="446" w:right="446"/>
              <w:jc w:val="center"/>
              <w:rPr>
                <w:sz w:val="18"/>
              </w:rPr>
            </w:pPr>
            <w:r>
              <w:rPr>
                <w:sz w:val="18"/>
              </w:rPr>
              <w:t>24</w:t>
            </w:r>
          </w:p>
        </w:tc>
        <w:tc>
          <w:tcPr>
            <w:tcW w:w="1135" w:type="dxa"/>
            <w:tcBorders>
              <w:left w:val="nil"/>
            </w:tcBorders>
            <w:shd w:val="clear" w:color="auto" w:fill="E3E3E3"/>
          </w:tcPr>
          <w:p>
            <w:pPr>
              <w:pStyle w:val="TableParagraph"/>
              <w:spacing w:line="206" w:lineRule="exact"/>
              <w:ind w:left="448" w:right="441"/>
              <w:jc w:val="center"/>
              <w:rPr>
                <w:sz w:val="18"/>
              </w:rPr>
            </w:pPr>
            <w:r>
              <w:rPr>
                <w:sz w:val="18"/>
              </w:rPr>
              <w:t>15</w:t>
            </w:r>
          </w:p>
        </w:tc>
      </w:tr>
      <w:tr>
        <w:trPr>
          <w:trHeight w:val="425" w:hRule="exact"/>
        </w:trPr>
        <w:tc>
          <w:tcPr>
            <w:tcW w:w="511" w:type="dxa"/>
            <w:tcBorders>
              <w:right w:val="nil"/>
            </w:tcBorders>
          </w:tcPr>
          <w:p>
            <w:pPr>
              <w:pStyle w:val="TableParagraph"/>
              <w:spacing w:before="104"/>
              <w:ind w:left="158" w:right="108"/>
              <w:jc w:val="center"/>
              <w:rPr>
                <w:sz w:val="18"/>
              </w:rPr>
            </w:pPr>
            <w:r>
              <w:rPr>
                <w:sz w:val="18"/>
              </w:rPr>
              <w:t>14</w:t>
            </w:r>
          </w:p>
        </w:tc>
        <w:tc>
          <w:tcPr>
            <w:tcW w:w="4602" w:type="dxa"/>
            <w:tcBorders>
              <w:left w:val="nil"/>
              <w:right w:val="nil"/>
            </w:tcBorders>
          </w:tcPr>
          <w:p>
            <w:pPr>
              <w:pStyle w:val="TableParagraph"/>
              <w:spacing w:line="206" w:lineRule="exact"/>
              <w:ind w:left="127" w:right="912"/>
              <w:rPr>
                <w:sz w:val="18"/>
              </w:rPr>
            </w:pPr>
            <w:r>
              <w:rPr>
                <w:sz w:val="18"/>
              </w:rPr>
              <w:t>Evaluación de la Contraloría Interna</w:t>
            </w:r>
          </w:p>
          <w:p>
            <w:pPr>
              <w:pStyle w:val="TableParagraph"/>
              <w:spacing w:before="2"/>
              <w:ind w:left="127"/>
              <w:rPr>
                <w:sz w:val="18"/>
              </w:rPr>
            </w:pPr>
            <w:r>
              <w:rPr>
                <w:sz w:val="18"/>
              </w:rPr>
              <w:t>(Evaluación a la Secretaría de la Función Pública).</w:t>
            </w:r>
          </w:p>
        </w:tc>
        <w:tc>
          <w:tcPr>
            <w:tcW w:w="1135" w:type="dxa"/>
            <w:tcBorders>
              <w:left w:val="nil"/>
              <w:right w:val="nil"/>
            </w:tcBorders>
          </w:tcPr>
          <w:p>
            <w:pPr>
              <w:pStyle w:val="TableParagraph"/>
              <w:rPr>
                <w:sz w:val="18"/>
              </w:rPr>
            </w:pPr>
          </w:p>
          <w:p>
            <w:pPr>
              <w:pStyle w:val="TableParagraph"/>
              <w:spacing w:before="1"/>
              <w:ind w:left="448" w:right="446"/>
              <w:jc w:val="center"/>
              <w:rPr>
                <w:sz w:val="18"/>
              </w:rPr>
            </w:pPr>
            <w:r>
              <w:rPr>
                <w:sz w:val="18"/>
              </w:rPr>
              <w:t>11</w:t>
            </w:r>
          </w:p>
        </w:tc>
        <w:tc>
          <w:tcPr>
            <w:tcW w:w="1133" w:type="dxa"/>
            <w:tcBorders>
              <w:left w:val="nil"/>
              <w:right w:val="nil"/>
            </w:tcBorders>
          </w:tcPr>
          <w:p>
            <w:pPr>
              <w:pStyle w:val="TableParagraph"/>
              <w:rPr>
                <w:sz w:val="18"/>
              </w:rPr>
            </w:pPr>
          </w:p>
          <w:p>
            <w:pPr>
              <w:pStyle w:val="TableParagraph"/>
              <w:spacing w:before="1"/>
              <w:ind w:left="446" w:right="446"/>
              <w:jc w:val="center"/>
              <w:rPr>
                <w:sz w:val="18"/>
              </w:rPr>
            </w:pPr>
            <w:r>
              <w:rPr>
                <w:sz w:val="18"/>
              </w:rPr>
              <w:t>17</w:t>
            </w:r>
          </w:p>
        </w:tc>
        <w:tc>
          <w:tcPr>
            <w:tcW w:w="1135" w:type="dxa"/>
            <w:tcBorders>
              <w:left w:val="nil"/>
            </w:tcBorders>
          </w:tcPr>
          <w:p>
            <w:pPr>
              <w:pStyle w:val="TableParagraph"/>
              <w:rPr>
                <w:sz w:val="18"/>
              </w:rPr>
            </w:pPr>
          </w:p>
          <w:p>
            <w:pPr>
              <w:pStyle w:val="TableParagraph"/>
              <w:spacing w:before="1"/>
              <w:ind w:left="448" w:right="441"/>
              <w:jc w:val="center"/>
              <w:rPr>
                <w:sz w:val="18"/>
              </w:rPr>
            </w:pPr>
            <w:r>
              <w:rPr>
                <w:sz w:val="18"/>
              </w:rPr>
              <w:t>14</w:t>
            </w:r>
          </w:p>
        </w:tc>
      </w:tr>
      <w:tr>
        <w:trPr>
          <w:trHeight w:val="216" w:hRule="exact"/>
        </w:trPr>
        <w:tc>
          <w:tcPr>
            <w:tcW w:w="511" w:type="dxa"/>
            <w:tcBorders>
              <w:right w:val="nil"/>
            </w:tcBorders>
            <w:shd w:val="clear" w:color="auto" w:fill="E3E3E3"/>
          </w:tcPr>
          <w:p>
            <w:pPr>
              <w:pStyle w:val="TableParagraph"/>
              <w:spacing w:line="206" w:lineRule="exact"/>
              <w:ind w:left="158" w:right="108"/>
              <w:jc w:val="center"/>
              <w:rPr>
                <w:sz w:val="18"/>
              </w:rPr>
            </w:pPr>
            <w:r>
              <w:rPr>
                <w:sz w:val="18"/>
              </w:rPr>
              <w:t>15</w:t>
            </w:r>
          </w:p>
        </w:tc>
        <w:tc>
          <w:tcPr>
            <w:tcW w:w="4602" w:type="dxa"/>
            <w:tcBorders>
              <w:left w:val="nil"/>
              <w:right w:val="nil"/>
            </w:tcBorders>
            <w:shd w:val="clear" w:color="auto" w:fill="E3E3E3"/>
          </w:tcPr>
          <w:p>
            <w:pPr>
              <w:pStyle w:val="TableParagraph"/>
              <w:spacing w:line="206" w:lineRule="exact"/>
              <w:ind w:left="127" w:right="912"/>
              <w:rPr>
                <w:sz w:val="18"/>
              </w:rPr>
            </w:pPr>
            <w:r>
              <w:rPr>
                <w:sz w:val="18"/>
              </w:rPr>
              <w:t>Cambios del Presupuesto.</w:t>
            </w:r>
          </w:p>
        </w:tc>
        <w:tc>
          <w:tcPr>
            <w:tcW w:w="1135" w:type="dxa"/>
            <w:tcBorders>
              <w:left w:val="nil"/>
              <w:right w:val="nil"/>
            </w:tcBorders>
            <w:shd w:val="clear" w:color="auto" w:fill="E3E3E3"/>
          </w:tcPr>
          <w:p>
            <w:pPr>
              <w:pStyle w:val="TableParagraph"/>
              <w:spacing w:line="206" w:lineRule="exact"/>
              <w:ind w:left="448" w:right="446"/>
              <w:jc w:val="center"/>
              <w:rPr>
                <w:sz w:val="18"/>
              </w:rPr>
            </w:pPr>
            <w:r>
              <w:rPr>
                <w:sz w:val="18"/>
              </w:rPr>
              <w:t>14</w:t>
            </w:r>
          </w:p>
        </w:tc>
        <w:tc>
          <w:tcPr>
            <w:tcW w:w="1133" w:type="dxa"/>
            <w:tcBorders>
              <w:left w:val="nil"/>
              <w:right w:val="nil"/>
            </w:tcBorders>
            <w:shd w:val="clear" w:color="auto" w:fill="E3E3E3"/>
          </w:tcPr>
          <w:p>
            <w:pPr>
              <w:pStyle w:val="TableParagraph"/>
              <w:spacing w:line="206" w:lineRule="exact"/>
              <w:ind w:left="446" w:right="446"/>
              <w:jc w:val="center"/>
              <w:rPr>
                <w:sz w:val="18"/>
              </w:rPr>
            </w:pPr>
            <w:r>
              <w:rPr>
                <w:sz w:val="18"/>
              </w:rPr>
              <w:t>21</w:t>
            </w:r>
          </w:p>
        </w:tc>
        <w:tc>
          <w:tcPr>
            <w:tcW w:w="1135" w:type="dxa"/>
            <w:tcBorders>
              <w:left w:val="nil"/>
            </w:tcBorders>
            <w:shd w:val="clear" w:color="auto" w:fill="E3E3E3"/>
          </w:tcPr>
          <w:p>
            <w:pPr>
              <w:pStyle w:val="TableParagraph"/>
              <w:spacing w:line="206" w:lineRule="exact"/>
              <w:ind w:left="448" w:right="441"/>
              <w:jc w:val="center"/>
              <w:rPr>
                <w:sz w:val="18"/>
              </w:rPr>
            </w:pPr>
            <w:r>
              <w:rPr>
                <w:sz w:val="18"/>
              </w:rPr>
              <w:t>13</w:t>
            </w:r>
          </w:p>
        </w:tc>
      </w:tr>
      <w:tr>
        <w:trPr>
          <w:trHeight w:val="218" w:hRule="exact"/>
        </w:trPr>
        <w:tc>
          <w:tcPr>
            <w:tcW w:w="511" w:type="dxa"/>
            <w:tcBorders>
              <w:right w:val="nil"/>
            </w:tcBorders>
          </w:tcPr>
          <w:p>
            <w:pPr>
              <w:pStyle w:val="TableParagraph"/>
              <w:spacing w:before="1"/>
              <w:ind w:left="158" w:right="108"/>
              <w:jc w:val="center"/>
              <w:rPr>
                <w:sz w:val="18"/>
              </w:rPr>
            </w:pPr>
            <w:r>
              <w:rPr>
                <w:sz w:val="18"/>
              </w:rPr>
              <w:t>16</w:t>
            </w:r>
          </w:p>
        </w:tc>
        <w:tc>
          <w:tcPr>
            <w:tcW w:w="4602" w:type="dxa"/>
            <w:tcBorders>
              <w:left w:val="nil"/>
              <w:right w:val="nil"/>
            </w:tcBorders>
          </w:tcPr>
          <w:p>
            <w:pPr>
              <w:pStyle w:val="TableParagraph"/>
              <w:spacing w:before="1"/>
              <w:ind w:left="127" w:right="912"/>
              <w:rPr>
                <w:sz w:val="18"/>
              </w:rPr>
            </w:pPr>
            <w:r>
              <w:rPr>
                <w:sz w:val="18"/>
              </w:rPr>
              <w:t>Participación Ciudadana en el Presupuesto.</w:t>
            </w:r>
          </w:p>
        </w:tc>
        <w:tc>
          <w:tcPr>
            <w:tcW w:w="1135" w:type="dxa"/>
            <w:tcBorders>
              <w:left w:val="nil"/>
              <w:right w:val="nil"/>
            </w:tcBorders>
          </w:tcPr>
          <w:p>
            <w:pPr>
              <w:pStyle w:val="TableParagraph"/>
              <w:spacing w:before="1"/>
              <w:ind w:left="448" w:right="446"/>
              <w:jc w:val="center"/>
              <w:rPr>
                <w:sz w:val="18"/>
              </w:rPr>
            </w:pPr>
            <w:r>
              <w:rPr>
                <w:sz w:val="18"/>
              </w:rPr>
              <w:t>10</w:t>
            </w:r>
          </w:p>
        </w:tc>
        <w:tc>
          <w:tcPr>
            <w:tcW w:w="1133" w:type="dxa"/>
            <w:tcBorders>
              <w:left w:val="nil"/>
              <w:right w:val="nil"/>
            </w:tcBorders>
          </w:tcPr>
          <w:p>
            <w:pPr>
              <w:pStyle w:val="TableParagraph"/>
              <w:spacing w:before="1"/>
              <w:ind w:right="4"/>
              <w:jc w:val="center"/>
              <w:rPr>
                <w:sz w:val="18"/>
              </w:rPr>
            </w:pPr>
            <w:r>
              <w:rPr>
                <w:w w:val="99"/>
                <w:sz w:val="18"/>
              </w:rPr>
              <w:t>5</w:t>
            </w:r>
          </w:p>
        </w:tc>
        <w:tc>
          <w:tcPr>
            <w:tcW w:w="1135" w:type="dxa"/>
            <w:tcBorders>
              <w:left w:val="nil"/>
            </w:tcBorders>
          </w:tcPr>
          <w:p>
            <w:pPr>
              <w:pStyle w:val="TableParagraph"/>
              <w:spacing w:before="1"/>
              <w:ind w:left="1"/>
              <w:jc w:val="center"/>
              <w:rPr>
                <w:sz w:val="18"/>
              </w:rPr>
            </w:pPr>
            <w:r>
              <w:rPr>
                <w:w w:val="99"/>
                <w:sz w:val="18"/>
              </w:rPr>
              <w:t>6</w:t>
            </w:r>
          </w:p>
        </w:tc>
      </w:tr>
    </w:tbl>
    <w:p>
      <w:pPr>
        <w:pStyle w:val="BodyText"/>
        <w:spacing w:before="8"/>
        <w:rPr>
          <w:sz w:val="11"/>
        </w:rPr>
      </w:pPr>
    </w:p>
    <w:p>
      <w:pPr>
        <w:tabs>
          <w:tab w:pos="2226" w:val="left" w:leader="none"/>
        </w:tabs>
        <w:spacing w:before="0"/>
        <w:ind w:left="2226" w:right="2236" w:hanging="783"/>
        <w:jc w:val="left"/>
        <w:rPr>
          <w:sz w:val="12"/>
        </w:rPr>
      </w:pPr>
      <w:r>
        <w:rPr>
          <w:sz w:val="12"/>
        </w:rPr>
        <w:t>FUENTE:</w:t>
        <w:tab/>
        <w:t>Elaboración propia con base en:  Fundar, Centro de Análisis e</w:t>
      </w:r>
      <w:r>
        <w:rPr>
          <w:spacing w:val="-21"/>
          <w:sz w:val="12"/>
        </w:rPr>
        <w:t> </w:t>
      </w:r>
      <w:r>
        <w:rPr>
          <w:sz w:val="12"/>
        </w:rPr>
        <w:t>Investigación,</w:t>
      </w:r>
      <w:r>
        <w:rPr>
          <w:spacing w:val="-3"/>
          <w:sz w:val="12"/>
        </w:rPr>
        <w:t> </w:t>
      </w:r>
      <w:r>
        <w:rPr>
          <w:sz w:val="12"/>
        </w:rPr>
        <w:t>A.C.</w:t>
      </w:r>
      <w:r>
        <w:rPr>
          <w:w w:val="100"/>
          <w:sz w:val="12"/>
        </w:rPr>
        <w:t> </w:t>
      </w:r>
      <w:r>
        <w:rPr>
          <w:sz w:val="12"/>
        </w:rPr>
        <w:t>Índice Latinoamericano de Transparencia Presupuestaria,</w:t>
      </w:r>
      <w:r>
        <w:rPr>
          <w:spacing w:val="-18"/>
          <w:sz w:val="12"/>
        </w:rPr>
        <w:t> </w:t>
      </w:r>
      <w:r>
        <w:rPr>
          <w:sz w:val="12"/>
        </w:rPr>
        <w:t>2011</w:t>
      </w:r>
    </w:p>
    <w:p>
      <w:pPr>
        <w:spacing w:line="137" w:lineRule="exact" w:before="0"/>
        <w:ind w:left="2226" w:right="255" w:firstLine="0"/>
        <w:jc w:val="left"/>
        <w:rPr>
          <w:sz w:val="12"/>
        </w:rPr>
      </w:pPr>
      <w:r>
        <w:rPr>
          <w:sz w:val="12"/>
        </w:rPr>
        <w:t>Disponible en: </w:t>
      </w:r>
      <w:hyperlink r:id="rId233">
        <w:r>
          <w:rPr>
            <w:color w:val="0000FF"/>
            <w:sz w:val="12"/>
            <w:u w:val="single" w:color="0000FF"/>
          </w:rPr>
          <w:t>http://iltpweb.org</w:t>
        </w:r>
        <w:r>
          <w:rPr>
            <w:color w:val="0000FF"/>
            <w:sz w:val="12"/>
          </w:rPr>
          <w:t>/</w:t>
        </w:r>
      </w:hyperlink>
    </w:p>
    <w:p>
      <w:pPr>
        <w:spacing w:before="1"/>
        <w:ind w:left="2226" w:right="255" w:firstLine="0"/>
        <w:jc w:val="left"/>
        <w:rPr>
          <w:sz w:val="12"/>
        </w:rPr>
      </w:pPr>
      <w:r>
        <w:rPr>
          <w:sz w:val="12"/>
        </w:rPr>
        <w:t>[Fecha de consulta: 8 de octubre, 2015]</w:t>
      </w:r>
    </w:p>
    <w:p>
      <w:pPr>
        <w:pStyle w:val="BodyText"/>
        <w:rPr>
          <w:sz w:val="12"/>
        </w:rPr>
      </w:pPr>
    </w:p>
    <w:p>
      <w:pPr>
        <w:pStyle w:val="BodyText"/>
        <w:rPr>
          <w:sz w:val="12"/>
        </w:rPr>
      </w:pPr>
    </w:p>
    <w:p>
      <w:pPr>
        <w:pStyle w:val="BodyText"/>
        <w:rPr>
          <w:sz w:val="12"/>
        </w:rPr>
      </w:pPr>
    </w:p>
    <w:p>
      <w:pPr>
        <w:pStyle w:val="BodyText"/>
        <w:spacing w:line="360" w:lineRule="auto"/>
        <w:ind w:left="102" w:right="204" w:firstLine="427"/>
        <w:jc w:val="both"/>
      </w:pPr>
      <w:r>
        <w:rPr/>
        <w:t>El estudio indicó que, aunque se aprecian avances en la transparencia del presupuesto, los expertos expresaron insatisfacción por los resultados y sigue habiendo opacidad en las etapas presupuestarias. Respecto de las variables mejor evaluadas, el informe consideró y recomendó lo siguiente:</w:t>
      </w:r>
    </w:p>
    <w:p>
      <w:pPr>
        <w:pStyle w:val="BodyText"/>
      </w:pPr>
    </w:p>
    <w:p>
      <w:pPr>
        <w:pStyle w:val="ListParagraph"/>
        <w:numPr>
          <w:ilvl w:val="0"/>
          <w:numId w:val="88"/>
        </w:numPr>
        <w:tabs>
          <w:tab w:pos="822" w:val="left" w:leader="none"/>
        </w:tabs>
        <w:spacing w:line="360" w:lineRule="auto" w:before="142" w:after="0"/>
        <w:ind w:left="822" w:right="197" w:hanging="360"/>
        <w:jc w:val="both"/>
        <w:rPr>
          <w:sz w:val="24"/>
        </w:rPr>
      </w:pPr>
      <w:r>
        <w:rPr>
          <w:sz w:val="24"/>
        </w:rPr>
        <w:t>Ley de Acceso a la información: No obliga al Poder Ejecutivo a detallar</w:t>
      </w:r>
      <w:r>
        <w:rPr>
          <w:spacing w:val="-34"/>
          <w:sz w:val="24"/>
        </w:rPr>
        <w:t> </w:t>
      </w:r>
      <w:r>
        <w:rPr>
          <w:sz w:val="24"/>
        </w:rPr>
        <w:t>la formulación del presupuesto; en la fase de discusión-aprobación algunas negociaciones son cerradas e impiden saber los criterios considerados para las reasignaciones presupuestarias; y en la etapa de evaluación, la ASF omite presentar información concreta sobre la atención de las recomendaciones. En el informe se sugiere llenar estos</w:t>
      </w:r>
      <w:r>
        <w:rPr>
          <w:spacing w:val="-19"/>
          <w:sz w:val="24"/>
        </w:rPr>
        <w:t> </w:t>
      </w:r>
      <w:r>
        <w:rPr>
          <w:sz w:val="24"/>
        </w:rPr>
        <w:t>vacíos.</w:t>
      </w:r>
    </w:p>
    <w:p>
      <w:pPr>
        <w:pStyle w:val="BodyText"/>
      </w:pPr>
    </w:p>
    <w:p>
      <w:pPr>
        <w:pStyle w:val="ListParagraph"/>
        <w:numPr>
          <w:ilvl w:val="0"/>
          <w:numId w:val="88"/>
        </w:numPr>
        <w:tabs>
          <w:tab w:pos="822" w:val="left" w:leader="none"/>
        </w:tabs>
        <w:spacing w:line="360" w:lineRule="auto" w:before="142" w:after="0"/>
        <w:ind w:left="822" w:right="197" w:hanging="360"/>
        <w:jc w:val="both"/>
        <w:rPr>
          <w:sz w:val="24"/>
        </w:rPr>
      </w:pPr>
      <w:r>
        <w:rPr>
          <w:sz w:val="24"/>
        </w:rPr>
        <w:t>Confianza en la información: Los resultados indican que los expertos desconfían de las proyecciones de ingresos de la autoridad hacendaria, ya que éstas difieren de los datos observados al final del ejercicio fiscal. Los recursos excedentes, de acuerdo con los resultados de la ASF, </w:t>
      </w:r>
      <w:r>
        <w:rPr>
          <w:spacing w:val="44"/>
          <w:sz w:val="24"/>
        </w:rPr>
        <w:t> </w:t>
      </w:r>
      <w:r>
        <w:rPr>
          <w:sz w:val="24"/>
        </w:rPr>
        <w:t>son</w:t>
      </w:r>
    </w:p>
    <w:p>
      <w:pPr>
        <w:spacing w:after="0" w:line="360" w:lineRule="auto"/>
        <w:jc w:val="both"/>
        <w:rPr>
          <w:sz w:val="24"/>
        </w:rPr>
        <w:sectPr>
          <w:pgSz w:w="11910" w:h="16840"/>
          <w:pgMar w:header="0" w:footer="1003" w:top="1340" w:bottom="1200" w:left="1600" w:right="1500"/>
        </w:sectPr>
      </w:pPr>
    </w:p>
    <w:p>
      <w:pPr>
        <w:pStyle w:val="BodyText"/>
        <w:spacing w:line="360" w:lineRule="auto" w:before="55"/>
        <w:ind w:left="841" w:right="121"/>
        <w:jc w:val="both"/>
      </w:pPr>
      <w:r>
        <w:rPr/>
        <w:t>aplicados</w:t>
      </w:r>
      <w:r>
        <w:rPr>
          <w:spacing w:val="-20"/>
        </w:rPr>
        <w:t> </w:t>
      </w:r>
      <w:r>
        <w:rPr/>
        <w:t>en</w:t>
      </w:r>
      <w:r>
        <w:rPr>
          <w:spacing w:val="-19"/>
        </w:rPr>
        <w:t> </w:t>
      </w:r>
      <w:r>
        <w:rPr/>
        <w:t>otros</w:t>
      </w:r>
      <w:r>
        <w:rPr>
          <w:spacing w:val="-17"/>
        </w:rPr>
        <w:t> </w:t>
      </w:r>
      <w:r>
        <w:rPr/>
        <w:t>rubros</w:t>
      </w:r>
      <w:r>
        <w:rPr>
          <w:spacing w:val="-17"/>
        </w:rPr>
        <w:t> </w:t>
      </w:r>
      <w:r>
        <w:rPr/>
        <w:t>no</w:t>
      </w:r>
      <w:r>
        <w:rPr>
          <w:spacing w:val="-17"/>
        </w:rPr>
        <w:t> </w:t>
      </w:r>
      <w:r>
        <w:rPr/>
        <w:t>contemplados,</w:t>
      </w:r>
      <w:r>
        <w:rPr>
          <w:spacing w:val="-17"/>
        </w:rPr>
        <w:t> </w:t>
      </w:r>
      <w:r>
        <w:rPr/>
        <w:t>no</w:t>
      </w:r>
      <w:r>
        <w:rPr>
          <w:spacing w:val="-17"/>
        </w:rPr>
        <w:t> </w:t>
      </w:r>
      <w:r>
        <w:rPr/>
        <w:t>hay</w:t>
      </w:r>
      <w:r>
        <w:rPr>
          <w:spacing w:val="-20"/>
        </w:rPr>
        <w:t> </w:t>
      </w:r>
      <w:r>
        <w:rPr/>
        <w:t>criterios</w:t>
      </w:r>
      <w:r>
        <w:rPr>
          <w:spacing w:val="-17"/>
        </w:rPr>
        <w:t> </w:t>
      </w:r>
      <w:r>
        <w:rPr/>
        <w:t>definidos</w:t>
      </w:r>
      <w:r>
        <w:rPr>
          <w:spacing w:val="-17"/>
        </w:rPr>
        <w:t> </w:t>
      </w:r>
      <w:r>
        <w:rPr/>
        <w:t>para su asignación y la mayoría de estos se usaron en gasto corriente, en detrimento de la</w:t>
      </w:r>
      <w:r>
        <w:rPr>
          <w:spacing w:val="-11"/>
        </w:rPr>
        <w:t> </w:t>
      </w:r>
      <w:r>
        <w:rPr/>
        <w:t>inversión.</w:t>
      </w:r>
    </w:p>
    <w:p>
      <w:pPr>
        <w:pStyle w:val="BodyText"/>
      </w:pPr>
    </w:p>
    <w:p>
      <w:pPr>
        <w:pStyle w:val="BodyText"/>
        <w:spacing w:line="360" w:lineRule="auto" w:before="142"/>
        <w:ind w:left="841" w:right="116"/>
        <w:jc w:val="both"/>
      </w:pPr>
      <w:r>
        <w:rPr/>
        <w:t>El informe señaló que la ASF recomendó con antelación, disminuir la discrecionalidad en el manejo de estos recursos, mediante detallar en la Cuenta Pública todo lo concerniente a su asignación y uso.</w:t>
      </w:r>
    </w:p>
    <w:p>
      <w:pPr>
        <w:pStyle w:val="BodyText"/>
      </w:pPr>
    </w:p>
    <w:p>
      <w:pPr>
        <w:pStyle w:val="ListParagraph"/>
        <w:numPr>
          <w:ilvl w:val="0"/>
          <w:numId w:val="88"/>
        </w:numPr>
        <w:tabs>
          <w:tab w:pos="842" w:val="left" w:leader="none"/>
        </w:tabs>
        <w:spacing w:line="360" w:lineRule="auto" w:before="142" w:after="0"/>
        <w:ind w:left="842" w:right="116" w:hanging="360"/>
        <w:jc w:val="both"/>
        <w:rPr>
          <w:sz w:val="16"/>
        </w:rPr>
      </w:pPr>
      <w:r>
        <w:rPr>
          <w:sz w:val="24"/>
        </w:rPr>
        <w:t>Capacidades del Órgano de Control Externo (Evaluación a la ASF): Aunque ha aumentado el número de revisiones en 205% en la fiscalización a las Cuentas Públicas de 2003 a 2010, los encuestados consideraron que la corrupción no ha disminuido ya que perciben que</w:t>
      </w:r>
      <w:r>
        <w:rPr>
          <w:spacing w:val="-29"/>
          <w:sz w:val="24"/>
        </w:rPr>
        <w:t> </w:t>
      </w:r>
      <w:r>
        <w:rPr>
          <w:sz w:val="24"/>
        </w:rPr>
        <w:t>las conductas sancionatorias se ven limitadas. El documento refrendó la sugerencia de que la facultad sancionatoria esté a cargo de un ente autónomo.</w:t>
      </w:r>
      <w:r>
        <w:rPr>
          <w:position w:val="8"/>
          <w:sz w:val="16"/>
        </w:rPr>
        <w:t>152</w:t>
      </w:r>
    </w:p>
    <w:p>
      <w:pPr>
        <w:pStyle w:val="BodyText"/>
        <w:rPr>
          <w:sz w:val="36"/>
        </w:rPr>
      </w:pPr>
    </w:p>
    <w:p>
      <w:pPr>
        <w:pStyle w:val="ListParagraph"/>
        <w:numPr>
          <w:ilvl w:val="0"/>
          <w:numId w:val="88"/>
        </w:numPr>
        <w:tabs>
          <w:tab w:pos="842" w:val="left" w:leader="none"/>
        </w:tabs>
        <w:spacing w:line="360" w:lineRule="auto" w:before="0" w:after="0"/>
        <w:ind w:left="842" w:right="114" w:hanging="360"/>
        <w:jc w:val="both"/>
        <w:rPr>
          <w:sz w:val="24"/>
        </w:rPr>
      </w:pPr>
      <w:r>
        <w:rPr>
          <w:sz w:val="24"/>
        </w:rPr>
        <w:t>Atribuciones y participación del Poder Legislativo: No hay evidencia del uso de los indicadores de seguimiento y Gestión del Sistema de Evaluación del Desempeño (SED) en la discusión del presupuesto por parte</w:t>
      </w:r>
      <w:r>
        <w:rPr>
          <w:spacing w:val="-7"/>
          <w:sz w:val="24"/>
        </w:rPr>
        <w:t> </w:t>
      </w:r>
      <w:r>
        <w:rPr>
          <w:sz w:val="24"/>
        </w:rPr>
        <w:t>de</w:t>
      </w:r>
      <w:r>
        <w:rPr>
          <w:spacing w:val="-7"/>
          <w:sz w:val="24"/>
        </w:rPr>
        <w:t> </w:t>
      </w:r>
      <w:r>
        <w:rPr>
          <w:sz w:val="24"/>
        </w:rPr>
        <w:t>los</w:t>
      </w:r>
      <w:r>
        <w:rPr>
          <w:spacing w:val="-8"/>
          <w:sz w:val="24"/>
        </w:rPr>
        <w:t> </w:t>
      </w:r>
      <w:r>
        <w:rPr>
          <w:sz w:val="24"/>
        </w:rPr>
        <w:t>diputados,</w:t>
      </w:r>
      <w:r>
        <w:rPr>
          <w:spacing w:val="-8"/>
          <w:sz w:val="24"/>
        </w:rPr>
        <w:t> </w:t>
      </w:r>
      <w:r>
        <w:rPr>
          <w:sz w:val="24"/>
        </w:rPr>
        <w:t>se</w:t>
      </w:r>
      <w:r>
        <w:rPr>
          <w:spacing w:val="-5"/>
          <w:sz w:val="24"/>
        </w:rPr>
        <w:t> </w:t>
      </w:r>
      <w:r>
        <w:rPr>
          <w:sz w:val="24"/>
        </w:rPr>
        <w:t>considera</w:t>
      </w:r>
      <w:r>
        <w:rPr>
          <w:spacing w:val="-6"/>
          <w:sz w:val="24"/>
        </w:rPr>
        <w:t> </w:t>
      </w:r>
      <w:r>
        <w:rPr>
          <w:sz w:val="24"/>
        </w:rPr>
        <w:t>que</w:t>
      </w:r>
      <w:r>
        <w:rPr>
          <w:spacing w:val="-7"/>
          <w:sz w:val="24"/>
        </w:rPr>
        <w:t> </w:t>
      </w:r>
      <w:r>
        <w:rPr>
          <w:sz w:val="24"/>
        </w:rPr>
        <w:t>los</w:t>
      </w:r>
      <w:r>
        <w:rPr>
          <w:spacing w:val="-8"/>
          <w:sz w:val="24"/>
        </w:rPr>
        <w:t> </w:t>
      </w:r>
      <w:r>
        <w:rPr>
          <w:sz w:val="24"/>
        </w:rPr>
        <w:t>indicadores</w:t>
      </w:r>
      <w:r>
        <w:rPr>
          <w:spacing w:val="-6"/>
          <w:sz w:val="24"/>
        </w:rPr>
        <w:t> </w:t>
      </w:r>
      <w:r>
        <w:rPr>
          <w:sz w:val="24"/>
        </w:rPr>
        <w:t>son</w:t>
      </w:r>
      <w:r>
        <w:rPr>
          <w:spacing w:val="-7"/>
          <w:sz w:val="24"/>
        </w:rPr>
        <w:t> </w:t>
      </w:r>
      <w:r>
        <w:rPr>
          <w:sz w:val="24"/>
        </w:rPr>
        <w:t>deficientes</w:t>
      </w:r>
      <w:r>
        <w:rPr>
          <w:spacing w:val="-8"/>
          <w:sz w:val="24"/>
        </w:rPr>
        <w:t> </w:t>
      </w:r>
      <w:r>
        <w:rPr>
          <w:sz w:val="24"/>
        </w:rPr>
        <w:t>y otros, no consideran indicadores. Todo ello, mencionó el informe, inhibe el contrapeso del Legislativo en el</w:t>
      </w:r>
      <w:r>
        <w:rPr>
          <w:spacing w:val="-17"/>
          <w:sz w:val="24"/>
        </w:rPr>
        <w:t> </w:t>
      </w:r>
      <w:r>
        <w:rPr>
          <w:sz w:val="24"/>
        </w:rPr>
        <w:t>Ejecutivo.</w:t>
      </w:r>
    </w:p>
    <w:p>
      <w:pPr>
        <w:pStyle w:val="BodyText"/>
      </w:pPr>
    </w:p>
    <w:p>
      <w:pPr>
        <w:pStyle w:val="BodyText"/>
        <w:spacing w:line="360" w:lineRule="auto" w:before="142"/>
        <w:ind w:left="122" w:right="52"/>
      </w:pPr>
      <w:r>
        <w:rPr/>
        <w:t>Las variables con las menores calificaciones son las mismas que el estudio previo, por lo que realizó las recomendaciones siguientes:</w:t>
      </w:r>
    </w:p>
    <w:p>
      <w:pPr>
        <w:pStyle w:val="BodyText"/>
      </w:pPr>
    </w:p>
    <w:p>
      <w:pPr>
        <w:pStyle w:val="ListParagraph"/>
        <w:numPr>
          <w:ilvl w:val="0"/>
          <w:numId w:val="89"/>
        </w:numPr>
        <w:tabs>
          <w:tab w:pos="842" w:val="left" w:leader="none"/>
        </w:tabs>
        <w:spacing w:line="360" w:lineRule="auto" w:before="142" w:after="0"/>
        <w:ind w:left="842" w:right="120" w:hanging="360"/>
        <w:jc w:val="both"/>
        <w:rPr>
          <w:sz w:val="24"/>
        </w:rPr>
      </w:pPr>
      <w:r>
        <w:rPr>
          <w:sz w:val="24"/>
        </w:rPr>
        <w:t>Participación</w:t>
      </w:r>
      <w:r>
        <w:rPr>
          <w:spacing w:val="-11"/>
          <w:sz w:val="24"/>
        </w:rPr>
        <w:t> </w:t>
      </w:r>
      <w:r>
        <w:rPr>
          <w:sz w:val="24"/>
        </w:rPr>
        <w:t>ciudadana</w:t>
      </w:r>
      <w:r>
        <w:rPr>
          <w:spacing w:val="-12"/>
          <w:sz w:val="24"/>
        </w:rPr>
        <w:t> </w:t>
      </w:r>
      <w:r>
        <w:rPr>
          <w:sz w:val="24"/>
        </w:rPr>
        <w:t>en</w:t>
      </w:r>
      <w:r>
        <w:rPr>
          <w:spacing w:val="-12"/>
          <w:sz w:val="24"/>
        </w:rPr>
        <w:t> </w:t>
      </w:r>
      <w:r>
        <w:rPr>
          <w:sz w:val="24"/>
        </w:rPr>
        <w:t>el</w:t>
      </w:r>
      <w:r>
        <w:rPr>
          <w:spacing w:val="-13"/>
          <w:sz w:val="24"/>
        </w:rPr>
        <w:t> </w:t>
      </w:r>
      <w:r>
        <w:rPr>
          <w:sz w:val="24"/>
        </w:rPr>
        <w:t>presupuesto:</w:t>
      </w:r>
      <w:r>
        <w:rPr>
          <w:spacing w:val="-12"/>
          <w:sz w:val="24"/>
        </w:rPr>
        <w:t> </w:t>
      </w:r>
      <w:r>
        <w:rPr>
          <w:sz w:val="24"/>
        </w:rPr>
        <w:t>Aunque</w:t>
      </w:r>
      <w:r>
        <w:rPr>
          <w:spacing w:val="-12"/>
          <w:sz w:val="24"/>
        </w:rPr>
        <w:t> </w:t>
      </w:r>
      <w:r>
        <w:rPr>
          <w:sz w:val="24"/>
        </w:rPr>
        <w:t>se</w:t>
      </w:r>
      <w:r>
        <w:rPr>
          <w:spacing w:val="-12"/>
          <w:sz w:val="24"/>
        </w:rPr>
        <w:t> </w:t>
      </w:r>
      <w:r>
        <w:rPr>
          <w:sz w:val="24"/>
        </w:rPr>
        <w:t>ha</w:t>
      </w:r>
      <w:r>
        <w:rPr>
          <w:spacing w:val="-12"/>
          <w:sz w:val="24"/>
        </w:rPr>
        <w:t> </w:t>
      </w:r>
      <w:r>
        <w:rPr>
          <w:sz w:val="24"/>
        </w:rPr>
        <w:t>identificado</w:t>
      </w:r>
      <w:r>
        <w:rPr>
          <w:spacing w:val="-12"/>
          <w:sz w:val="24"/>
        </w:rPr>
        <w:t> </w:t>
      </w:r>
      <w:r>
        <w:rPr>
          <w:sz w:val="24"/>
        </w:rPr>
        <w:t>a</w:t>
      </w:r>
      <w:r>
        <w:rPr>
          <w:spacing w:val="-12"/>
          <w:sz w:val="24"/>
        </w:rPr>
        <w:t> </w:t>
      </w:r>
      <w:r>
        <w:rPr>
          <w:sz w:val="24"/>
        </w:rPr>
        <w:t>la variable como un elemento para legitimar las actividades gubernamentales, es la participación ciudadana la que refleja si las necesidades de la sociedad fueron consideradas en el presupuesto; de esta forma mejorará la transparencia y la rendición de</w:t>
      </w:r>
      <w:r>
        <w:rPr>
          <w:spacing w:val="-21"/>
          <w:sz w:val="24"/>
        </w:rPr>
        <w:t> </w:t>
      </w:r>
      <w:r>
        <w:rPr>
          <w:sz w:val="24"/>
        </w:rPr>
        <w:t>cuentas.</w:t>
      </w:r>
    </w:p>
    <w:p>
      <w:pPr>
        <w:pStyle w:val="BodyText"/>
        <w:spacing w:before="9"/>
        <w:rPr>
          <w:sz w:val="20"/>
        </w:rPr>
      </w:pPr>
      <w:r>
        <w:rPr/>
        <w:pict>
          <v:line style="position:absolute;mso-position-horizontal-relative:page;mso-position-vertical-relative:paragraph;z-index:10696;mso-wrap-distance-left:0;mso-wrap-distance-right:0" from="85.103996pt,14.273891pt" to="229.123996pt,14.273891pt" stroked="true" strokeweight=".72003pt" strokecolor="#000000">
            <w10:wrap type="topAndBottom"/>
          </v:line>
        </w:pict>
      </w:r>
    </w:p>
    <w:p>
      <w:pPr>
        <w:spacing w:line="254" w:lineRule="auto" w:before="62"/>
        <w:ind w:left="122" w:right="52" w:firstLine="0"/>
        <w:jc w:val="left"/>
        <w:rPr>
          <w:sz w:val="16"/>
        </w:rPr>
      </w:pPr>
      <w:r>
        <w:rPr>
          <w:rFonts w:ascii="Times New Roman" w:hAnsi="Times New Roman"/>
          <w:position w:val="7"/>
          <w:sz w:val="13"/>
        </w:rPr>
        <w:t>152</w:t>
      </w:r>
      <w:r>
        <w:rPr>
          <w:sz w:val="16"/>
        </w:rPr>
        <w:t>ASF, Mensaje del Auditor Superior de la Federación en la entrega del Informe de Resultado de la Fiscalización Superior de la Cuenta Pública 2010 a la H. Cámara de Diputados, p. 2.</w:t>
      </w:r>
    </w:p>
    <w:p>
      <w:pPr>
        <w:spacing w:line="240" w:lineRule="auto" w:before="0"/>
        <w:ind w:left="122" w:right="2204" w:firstLine="0"/>
        <w:jc w:val="left"/>
        <w:rPr>
          <w:sz w:val="16"/>
        </w:rPr>
      </w:pPr>
      <w:r>
        <w:rPr>
          <w:sz w:val="16"/>
        </w:rPr>
        <w:t>Disponible en: </w:t>
      </w:r>
      <w:hyperlink r:id="rId234">
        <w:r>
          <w:rPr>
            <w:color w:val="0000FF"/>
            <w:sz w:val="16"/>
            <w:u w:val="single" w:color="0000FF"/>
          </w:rPr>
          <w:t>http://www.asf.gob.mx/uploads/55_Informes_de_auditoria/IR2010PRES.pdf</w:t>
        </w:r>
      </w:hyperlink>
      <w:r>
        <w:rPr>
          <w:color w:val="0000FF"/>
          <w:sz w:val="16"/>
          <w:u w:val="single" w:color="0000FF"/>
        </w:rPr>
        <w:t> </w:t>
      </w:r>
      <w:r>
        <w:rPr>
          <w:sz w:val="16"/>
        </w:rPr>
        <w:t>[Fecha de consulta: 3 de junio, 2015]</w:t>
      </w:r>
    </w:p>
    <w:p>
      <w:pPr>
        <w:spacing w:after="0" w:line="240" w:lineRule="auto"/>
        <w:jc w:val="left"/>
        <w:rPr>
          <w:sz w:val="16"/>
        </w:rPr>
        <w:sectPr>
          <w:pgSz w:w="11910" w:h="16840"/>
          <w:pgMar w:header="0" w:footer="1003" w:top="1340" w:bottom="1200" w:left="1580" w:right="1580"/>
        </w:sectPr>
      </w:pPr>
    </w:p>
    <w:p>
      <w:pPr>
        <w:pStyle w:val="BodyText"/>
        <w:rPr>
          <w:sz w:val="14"/>
        </w:rPr>
      </w:pPr>
    </w:p>
    <w:p>
      <w:pPr>
        <w:pStyle w:val="BodyText"/>
        <w:spacing w:line="360" w:lineRule="auto" w:before="70"/>
        <w:ind w:left="821" w:right="118"/>
        <w:jc w:val="both"/>
      </w:pPr>
      <w:r>
        <w:rPr/>
        <w:t>Se consideró que hay avances en la compilación de opiniones ciudadanas, pero también se estima que esta participación es exclusiva para la gente especialista en presupuesto.</w:t>
      </w:r>
    </w:p>
    <w:p>
      <w:pPr>
        <w:pStyle w:val="BodyText"/>
      </w:pPr>
    </w:p>
    <w:p>
      <w:pPr>
        <w:pStyle w:val="ListParagraph"/>
        <w:numPr>
          <w:ilvl w:val="0"/>
          <w:numId w:val="89"/>
        </w:numPr>
        <w:tabs>
          <w:tab w:pos="822" w:val="left" w:leader="none"/>
        </w:tabs>
        <w:spacing w:line="360" w:lineRule="auto" w:before="142" w:after="0"/>
        <w:ind w:left="822" w:right="120" w:hanging="360"/>
        <w:jc w:val="both"/>
        <w:rPr>
          <w:sz w:val="24"/>
        </w:rPr>
      </w:pPr>
      <w:r>
        <w:rPr>
          <w:sz w:val="24"/>
        </w:rPr>
        <w:t>Cambios en el Presupuesto: Se observó que el presupuesto es inercial (rubros</w:t>
      </w:r>
      <w:r>
        <w:rPr>
          <w:spacing w:val="-8"/>
          <w:sz w:val="24"/>
        </w:rPr>
        <w:t> </w:t>
      </w:r>
      <w:r>
        <w:rPr>
          <w:sz w:val="24"/>
        </w:rPr>
        <w:t>sin</w:t>
      </w:r>
      <w:r>
        <w:rPr>
          <w:spacing w:val="-7"/>
          <w:sz w:val="24"/>
        </w:rPr>
        <w:t> </w:t>
      </w:r>
      <w:r>
        <w:rPr>
          <w:sz w:val="24"/>
        </w:rPr>
        <w:t>cambios</w:t>
      </w:r>
      <w:r>
        <w:rPr>
          <w:spacing w:val="-8"/>
          <w:sz w:val="24"/>
        </w:rPr>
        <w:t> </w:t>
      </w:r>
      <w:r>
        <w:rPr>
          <w:sz w:val="24"/>
        </w:rPr>
        <w:t>desde</w:t>
      </w:r>
      <w:r>
        <w:rPr>
          <w:spacing w:val="-7"/>
          <w:sz w:val="24"/>
        </w:rPr>
        <w:t> </w:t>
      </w:r>
      <w:r>
        <w:rPr>
          <w:sz w:val="24"/>
        </w:rPr>
        <w:t>años</w:t>
      </w:r>
      <w:r>
        <w:rPr>
          <w:spacing w:val="-8"/>
          <w:sz w:val="24"/>
        </w:rPr>
        <w:t> </w:t>
      </w:r>
      <w:r>
        <w:rPr>
          <w:sz w:val="24"/>
        </w:rPr>
        <w:t>atrás</w:t>
      </w:r>
      <w:r>
        <w:rPr>
          <w:spacing w:val="-8"/>
          <w:sz w:val="24"/>
        </w:rPr>
        <w:t> </w:t>
      </w:r>
      <w:r>
        <w:rPr>
          <w:sz w:val="24"/>
        </w:rPr>
        <w:t>porque</w:t>
      </w:r>
      <w:r>
        <w:rPr>
          <w:spacing w:val="-7"/>
          <w:sz w:val="24"/>
        </w:rPr>
        <w:t> </w:t>
      </w:r>
      <w:r>
        <w:rPr>
          <w:sz w:val="24"/>
        </w:rPr>
        <w:t>hay</w:t>
      </w:r>
      <w:r>
        <w:rPr>
          <w:spacing w:val="-10"/>
          <w:sz w:val="24"/>
        </w:rPr>
        <w:t> </w:t>
      </w:r>
      <w:r>
        <w:rPr>
          <w:sz w:val="24"/>
        </w:rPr>
        <w:t>gastos</w:t>
      </w:r>
      <w:r>
        <w:rPr>
          <w:spacing w:val="-8"/>
          <w:sz w:val="24"/>
        </w:rPr>
        <w:t> </w:t>
      </w:r>
      <w:r>
        <w:rPr>
          <w:sz w:val="24"/>
        </w:rPr>
        <w:t>comprometidos, como los sueldos y el pago de la deuda), lo que reduce el margen de maniobra de los</w:t>
      </w:r>
      <w:r>
        <w:rPr>
          <w:spacing w:val="-10"/>
          <w:sz w:val="24"/>
        </w:rPr>
        <w:t> </w:t>
      </w:r>
      <w:r>
        <w:rPr>
          <w:sz w:val="24"/>
        </w:rPr>
        <w:t>diputados.</w:t>
      </w:r>
    </w:p>
    <w:p>
      <w:pPr>
        <w:pStyle w:val="BodyText"/>
      </w:pPr>
    </w:p>
    <w:p>
      <w:pPr>
        <w:pStyle w:val="BodyText"/>
        <w:spacing w:line="360" w:lineRule="auto" w:before="142"/>
        <w:ind w:left="821" w:right="118"/>
        <w:jc w:val="both"/>
      </w:pPr>
      <w:r>
        <w:rPr/>
        <w:t>El informe identificó que existen programas sin indicadores, por lo que consideró la observación de la ASF de que los indicadores y el mismo SED deben ser revisados y a su vez, éstos deben usarse en la modificación y reasignación presupuestaria que realiza el Legislativo, ya que el no hacerlo, debilita el contrapeso requerido para el Ejecutivo.</w:t>
      </w:r>
    </w:p>
    <w:p>
      <w:pPr>
        <w:pStyle w:val="BodyText"/>
        <w:spacing w:line="360" w:lineRule="auto" w:before="5"/>
        <w:ind w:left="821" w:right="126"/>
        <w:jc w:val="both"/>
      </w:pPr>
      <w:r>
        <w:rPr/>
        <w:t>La ASF sugiere que el Ejecutivo presente información detallada en la Cuenta Pública.</w:t>
      </w:r>
    </w:p>
    <w:p>
      <w:pPr>
        <w:pStyle w:val="ListParagraph"/>
        <w:numPr>
          <w:ilvl w:val="0"/>
          <w:numId w:val="89"/>
        </w:numPr>
        <w:tabs>
          <w:tab w:pos="822" w:val="left" w:leader="none"/>
        </w:tabs>
        <w:spacing w:line="360" w:lineRule="auto" w:before="5" w:after="0"/>
        <w:ind w:left="822" w:right="118" w:hanging="360"/>
        <w:jc w:val="both"/>
        <w:rPr>
          <w:sz w:val="24"/>
        </w:rPr>
      </w:pPr>
      <w:r>
        <w:rPr>
          <w:sz w:val="24"/>
        </w:rPr>
        <w:t>Evaluación de la Contraloría Interna (evaluación a la Secretaría de la Función Pública): Aunque mejoró su calificación con respecto al estudio previo, la Secretaría de la Función Pública (SFP) al momento de la publicación</w:t>
      </w:r>
      <w:r>
        <w:rPr>
          <w:spacing w:val="-14"/>
          <w:sz w:val="24"/>
        </w:rPr>
        <w:t> </w:t>
      </w:r>
      <w:r>
        <w:rPr>
          <w:sz w:val="24"/>
        </w:rPr>
        <w:t>de</w:t>
      </w:r>
      <w:r>
        <w:rPr>
          <w:spacing w:val="-17"/>
          <w:sz w:val="24"/>
        </w:rPr>
        <w:t> </w:t>
      </w:r>
      <w:r>
        <w:rPr>
          <w:sz w:val="24"/>
        </w:rPr>
        <w:t>este</w:t>
      </w:r>
      <w:r>
        <w:rPr>
          <w:spacing w:val="-14"/>
          <w:sz w:val="24"/>
        </w:rPr>
        <w:t> </w:t>
      </w:r>
      <w:r>
        <w:rPr>
          <w:sz w:val="24"/>
        </w:rPr>
        <w:t>indicador,</w:t>
      </w:r>
      <w:r>
        <w:rPr>
          <w:spacing w:val="-15"/>
          <w:sz w:val="24"/>
        </w:rPr>
        <w:t> </w:t>
      </w:r>
      <w:r>
        <w:rPr>
          <w:sz w:val="24"/>
        </w:rPr>
        <w:t>tenía</w:t>
      </w:r>
      <w:r>
        <w:rPr>
          <w:spacing w:val="-14"/>
          <w:sz w:val="24"/>
        </w:rPr>
        <w:t> </w:t>
      </w:r>
      <w:r>
        <w:rPr>
          <w:sz w:val="24"/>
        </w:rPr>
        <w:t>pendiente</w:t>
      </w:r>
      <w:r>
        <w:rPr>
          <w:spacing w:val="-16"/>
          <w:sz w:val="24"/>
        </w:rPr>
        <w:t> </w:t>
      </w:r>
      <w:r>
        <w:rPr>
          <w:sz w:val="24"/>
        </w:rPr>
        <w:t>la</w:t>
      </w:r>
      <w:r>
        <w:rPr>
          <w:spacing w:val="-14"/>
          <w:sz w:val="24"/>
        </w:rPr>
        <w:t> </w:t>
      </w:r>
      <w:r>
        <w:rPr>
          <w:sz w:val="24"/>
        </w:rPr>
        <w:t>solventación</w:t>
      </w:r>
      <w:r>
        <w:rPr>
          <w:spacing w:val="-14"/>
          <w:sz w:val="24"/>
        </w:rPr>
        <w:t> </w:t>
      </w:r>
      <w:r>
        <w:rPr>
          <w:sz w:val="24"/>
        </w:rPr>
        <w:t>de</w:t>
      </w:r>
      <w:r>
        <w:rPr>
          <w:spacing w:val="-14"/>
          <w:sz w:val="24"/>
        </w:rPr>
        <w:t> </w:t>
      </w:r>
      <w:r>
        <w:rPr>
          <w:sz w:val="24"/>
        </w:rPr>
        <w:t>acciones de cuentas públicas de 2004 y</w:t>
      </w:r>
      <w:r>
        <w:rPr>
          <w:spacing w:val="-16"/>
          <w:sz w:val="24"/>
        </w:rPr>
        <w:t> </w:t>
      </w:r>
      <w:r>
        <w:rPr>
          <w:sz w:val="24"/>
        </w:rPr>
        <w:t>anteriores.</w:t>
      </w:r>
    </w:p>
    <w:p>
      <w:pPr>
        <w:pStyle w:val="BodyText"/>
        <w:spacing w:line="360" w:lineRule="auto" w:before="2"/>
        <w:ind w:left="821" w:right="122"/>
        <w:jc w:val="both"/>
      </w:pPr>
      <w:r>
        <w:rPr/>
        <w:t>En</w:t>
      </w:r>
      <w:r>
        <w:rPr>
          <w:spacing w:val="-4"/>
        </w:rPr>
        <w:t> </w:t>
      </w:r>
      <w:r>
        <w:rPr/>
        <w:t>opinión</w:t>
      </w:r>
      <w:r>
        <w:rPr>
          <w:spacing w:val="-6"/>
        </w:rPr>
        <w:t> </w:t>
      </w:r>
      <w:r>
        <w:rPr/>
        <w:t>de</w:t>
      </w:r>
      <w:r>
        <w:rPr>
          <w:spacing w:val="-4"/>
        </w:rPr>
        <w:t> </w:t>
      </w:r>
      <w:r>
        <w:rPr/>
        <w:t>los</w:t>
      </w:r>
      <w:r>
        <w:rPr>
          <w:spacing w:val="-6"/>
        </w:rPr>
        <w:t> </w:t>
      </w:r>
      <w:r>
        <w:rPr/>
        <w:t>expertos</w:t>
      </w:r>
      <w:r>
        <w:rPr>
          <w:spacing w:val="-4"/>
        </w:rPr>
        <w:t> </w:t>
      </w:r>
      <w:r>
        <w:rPr/>
        <w:t>encuestados,</w:t>
      </w:r>
      <w:r>
        <w:rPr>
          <w:spacing w:val="-6"/>
        </w:rPr>
        <w:t> </w:t>
      </w:r>
      <w:r>
        <w:rPr/>
        <w:t>la</w:t>
      </w:r>
      <w:r>
        <w:rPr>
          <w:spacing w:val="-4"/>
        </w:rPr>
        <w:t> </w:t>
      </w:r>
      <w:r>
        <w:rPr/>
        <w:t>SFP</w:t>
      </w:r>
      <w:r>
        <w:rPr>
          <w:spacing w:val="-4"/>
        </w:rPr>
        <w:t> </w:t>
      </w:r>
      <w:r>
        <w:rPr/>
        <w:t>tiene</w:t>
      </w:r>
      <w:r>
        <w:rPr>
          <w:spacing w:val="-4"/>
        </w:rPr>
        <w:t> </w:t>
      </w:r>
      <w:r>
        <w:rPr/>
        <w:t>impedimentos</w:t>
      </w:r>
      <w:r>
        <w:rPr>
          <w:spacing w:val="-7"/>
        </w:rPr>
        <w:t> </w:t>
      </w:r>
      <w:r>
        <w:rPr/>
        <w:t>para cumplir con su labor y no ha contribuido a combatir la</w:t>
      </w:r>
      <w:r>
        <w:rPr>
          <w:spacing w:val="-20"/>
        </w:rPr>
        <w:t> </w:t>
      </w:r>
      <w:r>
        <w:rPr/>
        <w:t>corrupción.</w:t>
      </w:r>
    </w:p>
    <w:p>
      <w:pPr>
        <w:pStyle w:val="BodyText"/>
        <w:spacing w:line="360" w:lineRule="auto" w:before="2"/>
        <w:ind w:left="102" w:right="115" w:firstLine="707"/>
        <w:jc w:val="both"/>
      </w:pPr>
      <w:r>
        <w:rPr/>
        <w:t>De acuerdo con Fundar, los resultados indican que los encuestados consideraron que el proceso presupuestario en México es su óptimo debido a la publicación de las irregularidades detectadas al gasto público por parte de la ASF.</w:t>
      </w:r>
    </w:p>
    <w:p>
      <w:pPr>
        <w:pStyle w:val="BodyText"/>
        <w:spacing w:line="360" w:lineRule="auto" w:before="2"/>
        <w:ind w:left="102" w:right="125" w:firstLine="707"/>
        <w:jc w:val="both"/>
      </w:pPr>
      <w:r>
        <w:rPr/>
        <w:t>Los resultados por variable indican que la percepción sobre asignación del presupuesto obtuvo el mayor avance (9%), mientras que el mayor retroceso lo registró la LFTAIPG con una percepción 25% menor que el año previo.</w:t>
      </w:r>
    </w:p>
    <w:p>
      <w:pPr>
        <w:pStyle w:val="ListParagraph"/>
        <w:numPr>
          <w:ilvl w:val="0"/>
          <w:numId w:val="87"/>
        </w:numPr>
        <w:tabs>
          <w:tab w:pos="400" w:val="left" w:leader="none"/>
        </w:tabs>
        <w:spacing w:line="360" w:lineRule="auto" w:before="0" w:after="0"/>
        <w:ind w:left="102" w:right="115" w:firstLine="0"/>
        <w:jc w:val="left"/>
        <w:rPr>
          <w:i/>
          <w:sz w:val="24"/>
        </w:rPr>
      </w:pPr>
      <w:r>
        <w:rPr>
          <w:i/>
          <w:sz w:val="24"/>
        </w:rPr>
        <w:t>Índice de Transparencia de la Disponibilidad de la Información Fiscal de las </w:t>
      </w:r>
      <w:r>
        <w:rPr>
          <w:i/>
          <w:sz w:val="24"/>
        </w:rPr>
        <w:t>Entidades Federativas</w:t>
      </w:r>
      <w:r>
        <w:rPr>
          <w:i/>
          <w:spacing w:val="-14"/>
          <w:sz w:val="24"/>
        </w:rPr>
        <w:t> </w:t>
      </w:r>
      <w:r>
        <w:rPr>
          <w:i/>
          <w:sz w:val="24"/>
        </w:rPr>
        <w:t>2013</w:t>
      </w:r>
    </w:p>
    <w:p>
      <w:pPr>
        <w:spacing w:after="0" w:line="360" w:lineRule="auto"/>
        <w:jc w:val="left"/>
        <w:rPr>
          <w:sz w:val="24"/>
        </w:rPr>
        <w:sectPr>
          <w:pgSz w:w="11910" w:h="16840"/>
          <w:pgMar w:header="0" w:footer="1003" w:top="1580" w:bottom="1200" w:left="1600" w:right="1580"/>
        </w:sectPr>
      </w:pPr>
    </w:p>
    <w:p>
      <w:pPr>
        <w:spacing w:line="360" w:lineRule="auto" w:before="53"/>
        <w:ind w:left="402" w:right="416" w:firstLine="427"/>
        <w:jc w:val="both"/>
        <w:rPr>
          <w:b/>
          <w:i/>
          <w:sz w:val="24"/>
        </w:rPr>
      </w:pPr>
      <w:r>
        <w:rPr>
          <w:sz w:val="24"/>
        </w:rPr>
        <w:t>El </w:t>
      </w:r>
      <w:r>
        <w:rPr>
          <w:i/>
          <w:sz w:val="24"/>
        </w:rPr>
        <w:t>Índice de Transparencia de la Disponibilidad de la Información Fiscal de </w:t>
      </w:r>
      <w:r>
        <w:rPr>
          <w:i/>
          <w:sz w:val="24"/>
        </w:rPr>
        <w:t>las</w:t>
      </w:r>
      <w:r>
        <w:rPr>
          <w:i/>
          <w:spacing w:val="-7"/>
          <w:sz w:val="24"/>
        </w:rPr>
        <w:t> </w:t>
      </w:r>
      <w:r>
        <w:rPr>
          <w:i/>
          <w:sz w:val="24"/>
        </w:rPr>
        <w:t>Entidades</w:t>
      </w:r>
      <w:r>
        <w:rPr>
          <w:i/>
          <w:spacing w:val="-8"/>
          <w:sz w:val="24"/>
        </w:rPr>
        <w:t> </w:t>
      </w:r>
      <w:r>
        <w:rPr>
          <w:i/>
          <w:sz w:val="24"/>
        </w:rPr>
        <w:t>Federativas</w:t>
      </w:r>
      <w:r>
        <w:rPr>
          <w:i/>
          <w:spacing w:val="-8"/>
          <w:sz w:val="24"/>
        </w:rPr>
        <w:t> </w:t>
      </w:r>
      <w:r>
        <w:rPr>
          <w:i/>
          <w:sz w:val="24"/>
        </w:rPr>
        <w:t>2013</w:t>
      </w:r>
      <w:r>
        <w:rPr>
          <w:i/>
          <w:spacing w:val="-6"/>
          <w:sz w:val="24"/>
        </w:rPr>
        <w:t> </w:t>
      </w:r>
      <w:r>
        <w:rPr>
          <w:sz w:val="24"/>
        </w:rPr>
        <w:t>(ITDIF),</w:t>
      </w:r>
      <w:r>
        <w:rPr>
          <w:spacing w:val="-7"/>
          <w:sz w:val="24"/>
        </w:rPr>
        <w:t> </w:t>
      </w:r>
      <w:r>
        <w:rPr>
          <w:sz w:val="24"/>
        </w:rPr>
        <w:t>elaborado</w:t>
      </w:r>
      <w:r>
        <w:rPr>
          <w:spacing w:val="-9"/>
          <w:sz w:val="24"/>
        </w:rPr>
        <w:t> </w:t>
      </w:r>
      <w:r>
        <w:rPr>
          <w:sz w:val="24"/>
        </w:rPr>
        <w:t>por</w:t>
      </w:r>
      <w:r>
        <w:rPr>
          <w:spacing w:val="-7"/>
          <w:sz w:val="24"/>
        </w:rPr>
        <w:t> </w:t>
      </w:r>
      <w:r>
        <w:rPr>
          <w:i/>
          <w:sz w:val="24"/>
        </w:rPr>
        <w:t>A</w:t>
      </w:r>
      <w:r>
        <w:rPr>
          <w:i/>
          <w:spacing w:val="-9"/>
          <w:sz w:val="24"/>
        </w:rPr>
        <w:t> </w:t>
      </w:r>
      <w:r>
        <w:rPr>
          <w:i/>
          <w:sz w:val="24"/>
        </w:rPr>
        <w:t>regional</w:t>
      </w:r>
      <w:r>
        <w:rPr>
          <w:i/>
          <w:spacing w:val="-8"/>
          <w:sz w:val="24"/>
        </w:rPr>
        <w:t> </w:t>
      </w:r>
      <w:r>
        <w:rPr>
          <w:sz w:val="24"/>
        </w:rPr>
        <w:t>y</w:t>
      </w:r>
      <w:r>
        <w:rPr>
          <w:spacing w:val="-13"/>
          <w:sz w:val="24"/>
        </w:rPr>
        <w:t> </w:t>
      </w:r>
      <w:r>
        <w:rPr>
          <w:sz w:val="24"/>
        </w:rPr>
        <w:t>publicado</w:t>
      </w:r>
      <w:r>
        <w:rPr>
          <w:spacing w:val="-9"/>
          <w:sz w:val="24"/>
        </w:rPr>
        <w:t> </w:t>
      </w:r>
      <w:r>
        <w:rPr>
          <w:sz w:val="24"/>
        </w:rPr>
        <w:t>en mayo de 2012, es un instrumento estadístico que evaluó y cuantificó la disponibilidad y calidad de la información financiera y fiscal de 2012, generada por los gobiernos estatales </w:t>
      </w:r>
      <w:r>
        <w:rPr>
          <w:i/>
          <w:sz w:val="24"/>
        </w:rPr>
        <w:t>(participaciones federales de los estados a los </w:t>
      </w:r>
      <w:r>
        <w:rPr>
          <w:i/>
          <w:sz w:val="24"/>
        </w:rPr>
        <w:t>municipios </w:t>
      </w:r>
      <w:r>
        <w:rPr>
          <w:sz w:val="24"/>
        </w:rPr>
        <w:t>e </w:t>
      </w:r>
      <w:r>
        <w:rPr>
          <w:i/>
          <w:sz w:val="24"/>
        </w:rPr>
        <w:t>impulso de los sistemas estatales de evaluación del desempeño). </w:t>
      </w:r>
      <w:r>
        <w:rPr>
          <w:sz w:val="24"/>
        </w:rPr>
        <w:t>La escala es de 0 a 100, donde los valores más altos representan mayor transparencia</w:t>
      </w:r>
      <w:bookmarkStart w:name="_bookmark91" w:id="122"/>
      <w:bookmarkEnd w:id="122"/>
      <w:r>
        <w:rPr>
          <w:sz w:val="24"/>
        </w:rPr>
      </w:r>
      <w:r>
        <w:rPr>
          <w:b/>
          <w:i/>
          <w:sz w:val="24"/>
        </w:rPr>
        <w:t>.</w:t>
      </w:r>
    </w:p>
    <w:p>
      <w:pPr>
        <w:spacing w:before="203"/>
        <w:ind w:left="402" w:right="319" w:firstLine="0"/>
        <w:jc w:val="left"/>
        <w:rPr>
          <w:i/>
          <w:sz w:val="20"/>
        </w:rPr>
      </w:pPr>
      <w:r>
        <w:rPr>
          <w:i/>
          <w:sz w:val="20"/>
        </w:rPr>
        <w:t>Cuadro 4. 11. Índice de transparencia de la disponibilidad de la información fiscal, 2011-2012</w:t>
      </w:r>
    </w:p>
    <w:p>
      <w:pPr>
        <w:pStyle w:val="BodyText"/>
        <w:spacing w:before="7"/>
        <w:rPr>
          <w:i/>
          <w:sz w:val="27"/>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8"/>
        <w:gridCol w:w="1054"/>
        <w:gridCol w:w="1346"/>
        <w:gridCol w:w="1018"/>
        <w:gridCol w:w="1430"/>
        <w:gridCol w:w="2333"/>
      </w:tblGrid>
      <w:tr>
        <w:trPr>
          <w:trHeight w:val="335" w:hRule="exact"/>
        </w:trPr>
        <w:tc>
          <w:tcPr>
            <w:tcW w:w="1898" w:type="dxa"/>
            <w:vMerge w:val="restart"/>
            <w:tcBorders>
              <w:top w:val="single" w:sz="8" w:space="0" w:color="D9D9D9"/>
              <w:left w:val="single" w:sz="8" w:space="0" w:color="D9D9D9"/>
              <w:right w:val="single" w:sz="8" w:space="0" w:color="D9D9D9"/>
            </w:tcBorders>
            <w:shd w:val="clear" w:color="auto" w:fill="000000"/>
          </w:tcPr>
          <w:p>
            <w:pPr>
              <w:pStyle w:val="TableParagraph"/>
              <w:spacing w:before="2"/>
              <w:rPr>
                <w:i/>
                <w:sz w:val="16"/>
              </w:rPr>
            </w:pPr>
          </w:p>
          <w:p>
            <w:pPr>
              <w:pStyle w:val="TableParagraph"/>
              <w:ind w:left="134"/>
              <w:rPr>
                <w:b/>
                <w:sz w:val="18"/>
              </w:rPr>
            </w:pPr>
            <w:r>
              <w:rPr>
                <w:b/>
                <w:color w:val="FFFFFF"/>
                <w:sz w:val="18"/>
              </w:rPr>
              <w:t>Entidad Federativa</w:t>
            </w:r>
          </w:p>
        </w:tc>
        <w:tc>
          <w:tcPr>
            <w:tcW w:w="2401" w:type="dxa"/>
            <w:gridSpan w:val="2"/>
            <w:tcBorders>
              <w:top w:val="single" w:sz="8" w:space="0" w:color="D9D9D9"/>
              <w:left w:val="single" w:sz="8" w:space="0" w:color="D9D9D9"/>
              <w:bottom w:val="single" w:sz="8" w:space="0" w:color="D9D9D9"/>
              <w:right w:val="single" w:sz="8" w:space="0" w:color="D9D9D9"/>
            </w:tcBorders>
            <w:shd w:val="clear" w:color="auto" w:fill="000000"/>
          </w:tcPr>
          <w:p>
            <w:pPr>
              <w:pStyle w:val="TableParagraph"/>
              <w:spacing w:before="102"/>
              <w:ind w:left="970" w:right="970"/>
              <w:jc w:val="center"/>
              <w:rPr>
                <w:b/>
                <w:sz w:val="18"/>
              </w:rPr>
            </w:pPr>
            <w:r>
              <w:rPr>
                <w:b/>
                <w:color w:val="FFFFFF"/>
                <w:sz w:val="18"/>
              </w:rPr>
              <w:t>2011</w:t>
            </w:r>
          </w:p>
        </w:tc>
        <w:tc>
          <w:tcPr>
            <w:tcW w:w="4782" w:type="dxa"/>
            <w:gridSpan w:val="3"/>
            <w:tcBorders>
              <w:top w:val="single" w:sz="8" w:space="0" w:color="D9D9D9"/>
              <w:left w:val="single" w:sz="8" w:space="0" w:color="D9D9D9"/>
              <w:bottom w:val="single" w:sz="8" w:space="0" w:color="D9D9D9"/>
              <w:right w:val="single" w:sz="8" w:space="0" w:color="D9D9D9"/>
            </w:tcBorders>
            <w:shd w:val="clear" w:color="auto" w:fill="000000"/>
          </w:tcPr>
          <w:p>
            <w:pPr>
              <w:pStyle w:val="TableParagraph"/>
              <w:spacing w:before="102"/>
              <w:ind w:left="2161" w:right="2161"/>
              <w:jc w:val="center"/>
              <w:rPr>
                <w:b/>
                <w:sz w:val="18"/>
              </w:rPr>
            </w:pPr>
            <w:r>
              <w:rPr>
                <w:b/>
                <w:color w:val="FFFFFF"/>
                <w:sz w:val="18"/>
              </w:rPr>
              <w:t>2012</w:t>
            </w:r>
          </w:p>
        </w:tc>
      </w:tr>
      <w:tr>
        <w:trPr>
          <w:trHeight w:val="270" w:hRule="exact"/>
        </w:trPr>
        <w:tc>
          <w:tcPr>
            <w:tcW w:w="1898" w:type="dxa"/>
            <w:vMerge/>
            <w:tcBorders>
              <w:left w:val="single" w:sz="8" w:space="0" w:color="D9D9D9"/>
              <w:right w:val="single" w:sz="8" w:space="0" w:color="D9D9D9"/>
            </w:tcBorders>
            <w:shd w:val="clear" w:color="auto" w:fill="000000"/>
          </w:tcPr>
          <w:p>
            <w:pPr/>
          </w:p>
        </w:tc>
        <w:tc>
          <w:tcPr>
            <w:tcW w:w="1054" w:type="dxa"/>
            <w:tcBorders>
              <w:top w:val="single" w:sz="8" w:space="0" w:color="D9D9D9"/>
              <w:left w:val="single" w:sz="8" w:space="0" w:color="D9D9D9"/>
              <w:right w:val="single" w:sz="8" w:space="0" w:color="D9D9D9"/>
            </w:tcBorders>
            <w:shd w:val="clear" w:color="auto" w:fill="000000"/>
          </w:tcPr>
          <w:p>
            <w:pPr>
              <w:pStyle w:val="TableParagraph"/>
              <w:spacing w:before="19"/>
              <w:ind w:left="299"/>
              <w:rPr>
                <w:b/>
                <w:sz w:val="18"/>
              </w:rPr>
            </w:pPr>
            <w:r>
              <w:rPr>
                <w:b/>
                <w:color w:val="FFFFFF"/>
                <w:sz w:val="18"/>
              </w:rPr>
              <w:t>Total</w:t>
            </w:r>
          </w:p>
        </w:tc>
        <w:tc>
          <w:tcPr>
            <w:tcW w:w="1346" w:type="dxa"/>
            <w:tcBorders>
              <w:top w:val="single" w:sz="8" w:space="0" w:color="D9D9D9"/>
              <w:left w:val="single" w:sz="8" w:space="0" w:color="D9D9D9"/>
              <w:right w:val="single" w:sz="8" w:space="0" w:color="D9D9D9"/>
            </w:tcBorders>
            <w:shd w:val="clear" w:color="auto" w:fill="000000"/>
          </w:tcPr>
          <w:p>
            <w:pPr>
              <w:pStyle w:val="TableParagraph"/>
              <w:spacing w:before="19"/>
              <w:ind w:right="284"/>
              <w:jc w:val="right"/>
              <w:rPr>
                <w:b/>
                <w:sz w:val="18"/>
              </w:rPr>
            </w:pPr>
            <w:r>
              <w:rPr>
                <w:b/>
                <w:color w:val="FFFFFF"/>
                <w:w w:val="95"/>
                <w:sz w:val="18"/>
              </w:rPr>
              <w:t>Posición</w:t>
            </w:r>
          </w:p>
        </w:tc>
        <w:tc>
          <w:tcPr>
            <w:tcW w:w="1018" w:type="dxa"/>
            <w:tcBorders>
              <w:top w:val="single" w:sz="8" w:space="0" w:color="D9D9D9"/>
              <w:left w:val="single" w:sz="8" w:space="0" w:color="D9D9D9"/>
              <w:right w:val="single" w:sz="8" w:space="0" w:color="D9D9D9"/>
            </w:tcBorders>
            <w:shd w:val="clear" w:color="auto" w:fill="000000"/>
          </w:tcPr>
          <w:p>
            <w:pPr>
              <w:pStyle w:val="TableParagraph"/>
              <w:spacing w:before="19"/>
              <w:ind w:left="263" w:right="264"/>
              <w:jc w:val="center"/>
              <w:rPr>
                <w:b/>
                <w:sz w:val="18"/>
              </w:rPr>
            </w:pPr>
            <w:r>
              <w:rPr>
                <w:b/>
                <w:color w:val="FFFFFF"/>
                <w:sz w:val="18"/>
              </w:rPr>
              <w:t>Total</w:t>
            </w:r>
          </w:p>
        </w:tc>
        <w:tc>
          <w:tcPr>
            <w:tcW w:w="1430" w:type="dxa"/>
            <w:tcBorders>
              <w:top w:val="single" w:sz="8" w:space="0" w:color="D9D9D9"/>
              <w:left w:val="single" w:sz="8" w:space="0" w:color="D9D9D9"/>
              <w:right w:val="single" w:sz="8" w:space="0" w:color="D9D9D9"/>
            </w:tcBorders>
            <w:shd w:val="clear" w:color="auto" w:fill="000000"/>
          </w:tcPr>
          <w:p>
            <w:pPr>
              <w:pStyle w:val="TableParagraph"/>
              <w:spacing w:before="19"/>
              <w:ind w:left="310" w:right="311"/>
              <w:jc w:val="center"/>
              <w:rPr>
                <w:b/>
                <w:sz w:val="18"/>
              </w:rPr>
            </w:pPr>
            <w:r>
              <w:rPr>
                <w:b/>
                <w:color w:val="FFFFFF"/>
                <w:sz w:val="18"/>
              </w:rPr>
              <w:t>Posición</w:t>
            </w:r>
          </w:p>
        </w:tc>
        <w:tc>
          <w:tcPr>
            <w:tcW w:w="2333" w:type="dxa"/>
            <w:tcBorders>
              <w:top w:val="single" w:sz="8" w:space="0" w:color="D9D9D9"/>
              <w:left w:val="single" w:sz="8" w:space="0" w:color="D9D9D9"/>
            </w:tcBorders>
            <w:shd w:val="clear" w:color="auto" w:fill="000000"/>
          </w:tcPr>
          <w:p>
            <w:pPr>
              <w:pStyle w:val="TableParagraph"/>
              <w:spacing w:before="19"/>
              <w:ind w:left="877" w:right="886"/>
              <w:jc w:val="center"/>
              <w:rPr>
                <w:b/>
                <w:sz w:val="18"/>
              </w:rPr>
            </w:pPr>
            <w:r>
              <w:rPr>
                <w:b/>
                <w:color w:val="FFFFFF"/>
                <w:sz w:val="18"/>
              </w:rPr>
              <w:t>Nivel</w:t>
            </w:r>
          </w:p>
        </w:tc>
      </w:tr>
      <w:tr>
        <w:trPr>
          <w:trHeight w:val="220" w:hRule="exact"/>
        </w:trPr>
        <w:tc>
          <w:tcPr>
            <w:tcW w:w="1898" w:type="dxa"/>
            <w:tcBorders>
              <w:left w:val="single" w:sz="4" w:space="0" w:color="000000"/>
              <w:right w:val="single" w:sz="4" w:space="0" w:color="000000"/>
            </w:tcBorders>
            <w:shd w:val="clear" w:color="auto" w:fill="92D050"/>
          </w:tcPr>
          <w:p>
            <w:pPr>
              <w:pStyle w:val="TableParagraph"/>
              <w:spacing w:line="206" w:lineRule="exact"/>
              <w:ind w:left="64"/>
              <w:rPr>
                <w:b/>
                <w:sz w:val="18"/>
              </w:rPr>
            </w:pPr>
            <w:r>
              <w:rPr>
                <w:b/>
                <w:sz w:val="18"/>
              </w:rPr>
              <w:t>Jalisco</w:t>
            </w:r>
          </w:p>
        </w:tc>
        <w:tc>
          <w:tcPr>
            <w:tcW w:w="1054" w:type="dxa"/>
            <w:tcBorders>
              <w:left w:val="single" w:sz="4" w:space="0" w:color="000000"/>
              <w:right w:val="single" w:sz="4" w:space="0" w:color="000000"/>
            </w:tcBorders>
            <w:shd w:val="clear" w:color="auto" w:fill="92D050"/>
          </w:tcPr>
          <w:p>
            <w:pPr>
              <w:pStyle w:val="TableParagraph"/>
              <w:spacing w:line="206" w:lineRule="exact"/>
              <w:ind w:right="165"/>
              <w:jc w:val="right"/>
              <w:rPr>
                <w:b/>
                <w:sz w:val="18"/>
              </w:rPr>
            </w:pPr>
            <w:r>
              <w:rPr>
                <w:b/>
                <w:w w:val="95"/>
                <w:sz w:val="18"/>
              </w:rPr>
              <w:t>96.5</w:t>
            </w:r>
          </w:p>
        </w:tc>
        <w:tc>
          <w:tcPr>
            <w:tcW w:w="1346" w:type="dxa"/>
            <w:tcBorders>
              <w:left w:val="single" w:sz="4" w:space="0" w:color="000000"/>
              <w:right w:val="single" w:sz="4" w:space="0" w:color="000000"/>
            </w:tcBorders>
            <w:shd w:val="clear" w:color="auto" w:fill="92D050"/>
          </w:tcPr>
          <w:p>
            <w:pPr>
              <w:pStyle w:val="TableParagraph"/>
              <w:spacing w:line="206" w:lineRule="exact"/>
              <w:ind w:left="796"/>
              <w:rPr>
                <w:b/>
                <w:sz w:val="18"/>
              </w:rPr>
            </w:pPr>
            <w:r>
              <w:rPr>
                <w:b/>
                <w:w w:val="99"/>
                <w:sz w:val="18"/>
              </w:rPr>
              <w:t>2</w:t>
            </w:r>
          </w:p>
        </w:tc>
        <w:tc>
          <w:tcPr>
            <w:tcW w:w="1018" w:type="dxa"/>
            <w:tcBorders>
              <w:left w:val="single" w:sz="4" w:space="0" w:color="000000"/>
              <w:right w:val="single" w:sz="4" w:space="0" w:color="000000"/>
            </w:tcBorders>
            <w:shd w:val="clear" w:color="auto" w:fill="92D050"/>
          </w:tcPr>
          <w:p>
            <w:pPr>
              <w:pStyle w:val="TableParagraph"/>
              <w:spacing w:line="206" w:lineRule="exact"/>
              <w:ind w:left="258" w:right="260"/>
              <w:jc w:val="center"/>
              <w:rPr>
                <w:b/>
                <w:sz w:val="18"/>
              </w:rPr>
            </w:pPr>
            <w:r>
              <w:rPr>
                <w:b/>
                <w:sz w:val="18"/>
              </w:rPr>
              <w:t>95.10</w:t>
            </w:r>
          </w:p>
        </w:tc>
        <w:tc>
          <w:tcPr>
            <w:tcW w:w="1430" w:type="dxa"/>
            <w:tcBorders>
              <w:left w:val="single" w:sz="4" w:space="0" w:color="000000"/>
              <w:right w:val="single" w:sz="4" w:space="0" w:color="000000"/>
            </w:tcBorders>
            <w:shd w:val="clear" w:color="auto" w:fill="92D050"/>
          </w:tcPr>
          <w:p>
            <w:pPr>
              <w:pStyle w:val="TableParagraph"/>
              <w:spacing w:line="206" w:lineRule="exact"/>
              <w:jc w:val="center"/>
              <w:rPr>
                <w:b/>
                <w:sz w:val="18"/>
              </w:rPr>
            </w:pPr>
            <w:r>
              <w:rPr>
                <w:b/>
                <w:w w:val="99"/>
                <w:sz w:val="18"/>
              </w:rPr>
              <w:t>1</w:t>
            </w:r>
          </w:p>
        </w:tc>
        <w:tc>
          <w:tcPr>
            <w:tcW w:w="2333" w:type="dxa"/>
            <w:vMerge w:val="restart"/>
            <w:tcBorders>
              <w:left w:val="single" w:sz="4" w:space="0" w:color="000000"/>
              <w:right w:val="single" w:sz="4" w:space="0" w:color="000000"/>
            </w:tcBorders>
            <w:shd w:val="clear" w:color="auto" w:fill="92D050"/>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157"/>
              <w:ind w:left="886" w:right="886"/>
              <w:jc w:val="center"/>
              <w:rPr>
                <w:b/>
                <w:sz w:val="18"/>
              </w:rPr>
            </w:pPr>
            <w:r>
              <w:rPr>
                <w:b/>
                <w:sz w:val="18"/>
              </w:rPr>
              <w:t>Alta</w:t>
            </w: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2" w:lineRule="exact"/>
              <w:ind w:left="64"/>
              <w:rPr>
                <w:b/>
                <w:sz w:val="18"/>
              </w:rPr>
            </w:pPr>
            <w:r>
              <w:rPr>
                <w:b/>
                <w:sz w:val="18"/>
              </w:rPr>
              <w:t>Nayarit</w:t>
            </w:r>
          </w:p>
        </w:tc>
        <w:tc>
          <w:tcPr>
            <w:tcW w:w="1054" w:type="dxa"/>
            <w:tcBorders>
              <w:left w:val="single" w:sz="4" w:space="0" w:color="000000"/>
              <w:right w:val="single" w:sz="4" w:space="0" w:color="000000"/>
            </w:tcBorders>
            <w:shd w:val="clear" w:color="auto" w:fill="92D050"/>
          </w:tcPr>
          <w:p>
            <w:pPr>
              <w:pStyle w:val="TableParagraph"/>
              <w:spacing w:line="202" w:lineRule="exact"/>
              <w:ind w:right="165"/>
              <w:jc w:val="right"/>
              <w:rPr>
                <w:b/>
                <w:sz w:val="18"/>
              </w:rPr>
            </w:pPr>
            <w:r>
              <w:rPr>
                <w:b/>
                <w:w w:val="95"/>
                <w:sz w:val="18"/>
              </w:rPr>
              <w:t>94.9</w:t>
            </w:r>
          </w:p>
        </w:tc>
        <w:tc>
          <w:tcPr>
            <w:tcW w:w="1346" w:type="dxa"/>
            <w:tcBorders>
              <w:left w:val="single" w:sz="4" w:space="0" w:color="000000"/>
              <w:right w:val="single" w:sz="4" w:space="0" w:color="000000"/>
            </w:tcBorders>
            <w:shd w:val="clear" w:color="auto" w:fill="92D050"/>
          </w:tcPr>
          <w:p>
            <w:pPr>
              <w:pStyle w:val="TableParagraph"/>
              <w:spacing w:line="202" w:lineRule="exact"/>
              <w:ind w:left="796"/>
              <w:rPr>
                <w:b/>
                <w:sz w:val="18"/>
              </w:rPr>
            </w:pPr>
            <w:r>
              <w:rPr>
                <w:b/>
                <w:w w:val="99"/>
                <w:sz w:val="18"/>
              </w:rPr>
              <w:t>4</w:t>
            </w:r>
          </w:p>
        </w:tc>
        <w:tc>
          <w:tcPr>
            <w:tcW w:w="1018" w:type="dxa"/>
            <w:tcBorders>
              <w:left w:val="single" w:sz="4" w:space="0" w:color="000000"/>
              <w:right w:val="single" w:sz="4" w:space="0" w:color="000000"/>
            </w:tcBorders>
            <w:shd w:val="clear" w:color="auto" w:fill="92D050"/>
          </w:tcPr>
          <w:p>
            <w:pPr>
              <w:pStyle w:val="TableParagraph"/>
              <w:spacing w:line="202" w:lineRule="exact"/>
              <w:ind w:left="258" w:right="260"/>
              <w:jc w:val="center"/>
              <w:rPr>
                <w:b/>
                <w:sz w:val="18"/>
              </w:rPr>
            </w:pPr>
            <w:r>
              <w:rPr>
                <w:b/>
                <w:sz w:val="18"/>
              </w:rPr>
              <w:t>95.10</w:t>
            </w:r>
          </w:p>
        </w:tc>
        <w:tc>
          <w:tcPr>
            <w:tcW w:w="1430" w:type="dxa"/>
            <w:tcBorders>
              <w:left w:val="single" w:sz="4" w:space="0" w:color="000000"/>
              <w:right w:val="single" w:sz="4" w:space="0" w:color="000000"/>
            </w:tcBorders>
            <w:shd w:val="clear" w:color="auto" w:fill="92D050"/>
          </w:tcPr>
          <w:p>
            <w:pPr>
              <w:pStyle w:val="TableParagraph"/>
              <w:spacing w:line="202" w:lineRule="exact"/>
              <w:jc w:val="center"/>
              <w:rPr>
                <w:b/>
                <w:sz w:val="18"/>
              </w:rPr>
            </w:pPr>
            <w:r>
              <w:rPr>
                <w:b/>
                <w:w w:val="99"/>
                <w:sz w:val="18"/>
              </w:rPr>
              <w:t>1</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3" w:lineRule="exact"/>
              <w:ind w:left="64"/>
              <w:rPr>
                <w:b/>
                <w:sz w:val="18"/>
              </w:rPr>
            </w:pPr>
            <w:r>
              <w:rPr>
                <w:b/>
                <w:sz w:val="18"/>
              </w:rPr>
              <w:t>Estado de México</w:t>
            </w:r>
          </w:p>
        </w:tc>
        <w:tc>
          <w:tcPr>
            <w:tcW w:w="1054" w:type="dxa"/>
            <w:tcBorders>
              <w:left w:val="single" w:sz="4" w:space="0" w:color="000000"/>
              <w:right w:val="single" w:sz="4" w:space="0" w:color="000000"/>
            </w:tcBorders>
            <w:shd w:val="clear" w:color="auto" w:fill="92D050"/>
          </w:tcPr>
          <w:p>
            <w:pPr>
              <w:pStyle w:val="TableParagraph"/>
              <w:spacing w:line="203" w:lineRule="exact"/>
              <w:ind w:right="165"/>
              <w:jc w:val="right"/>
              <w:rPr>
                <w:b/>
                <w:sz w:val="18"/>
              </w:rPr>
            </w:pPr>
            <w:r>
              <w:rPr>
                <w:b/>
                <w:w w:val="95"/>
                <w:sz w:val="18"/>
              </w:rPr>
              <w:t>96.5</w:t>
            </w:r>
          </w:p>
        </w:tc>
        <w:tc>
          <w:tcPr>
            <w:tcW w:w="1346" w:type="dxa"/>
            <w:tcBorders>
              <w:left w:val="single" w:sz="4" w:space="0" w:color="000000"/>
              <w:right w:val="single" w:sz="4" w:space="0" w:color="000000"/>
            </w:tcBorders>
            <w:shd w:val="clear" w:color="auto" w:fill="92D050"/>
          </w:tcPr>
          <w:p>
            <w:pPr>
              <w:pStyle w:val="TableParagraph"/>
              <w:spacing w:line="203" w:lineRule="exact"/>
              <w:ind w:left="796"/>
              <w:rPr>
                <w:b/>
                <w:sz w:val="18"/>
              </w:rPr>
            </w:pPr>
            <w:r>
              <w:rPr>
                <w:b/>
                <w:w w:val="99"/>
                <w:sz w:val="18"/>
              </w:rPr>
              <w:t>2</w:t>
            </w:r>
          </w:p>
        </w:tc>
        <w:tc>
          <w:tcPr>
            <w:tcW w:w="1018" w:type="dxa"/>
            <w:tcBorders>
              <w:left w:val="single" w:sz="4" w:space="0" w:color="000000"/>
              <w:right w:val="single" w:sz="4" w:space="0" w:color="000000"/>
            </w:tcBorders>
            <w:shd w:val="clear" w:color="auto" w:fill="92D050"/>
          </w:tcPr>
          <w:p>
            <w:pPr>
              <w:pStyle w:val="TableParagraph"/>
              <w:spacing w:line="203" w:lineRule="exact"/>
              <w:ind w:left="258" w:right="260"/>
              <w:jc w:val="center"/>
              <w:rPr>
                <w:b/>
                <w:sz w:val="18"/>
              </w:rPr>
            </w:pPr>
            <w:r>
              <w:rPr>
                <w:b/>
                <w:sz w:val="18"/>
              </w:rPr>
              <w:t>93.64</w:t>
            </w:r>
          </w:p>
        </w:tc>
        <w:tc>
          <w:tcPr>
            <w:tcW w:w="1430" w:type="dxa"/>
            <w:tcBorders>
              <w:left w:val="single" w:sz="4" w:space="0" w:color="000000"/>
              <w:right w:val="single" w:sz="4" w:space="0" w:color="000000"/>
            </w:tcBorders>
            <w:shd w:val="clear" w:color="auto" w:fill="92D050"/>
          </w:tcPr>
          <w:p>
            <w:pPr>
              <w:pStyle w:val="TableParagraph"/>
              <w:spacing w:line="203" w:lineRule="exact"/>
              <w:jc w:val="center"/>
              <w:rPr>
                <w:b/>
                <w:sz w:val="18"/>
              </w:rPr>
            </w:pPr>
            <w:r>
              <w:rPr>
                <w:b/>
                <w:w w:val="99"/>
                <w:sz w:val="18"/>
              </w:rPr>
              <w:t>2</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2" w:lineRule="exact"/>
              <w:ind w:left="64"/>
              <w:rPr>
                <w:b/>
                <w:sz w:val="18"/>
              </w:rPr>
            </w:pPr>
            <w:r>
              <w:rPr>
                <w:b/>
                <w:sz w:val="18"/>
              </w:rPr>
              <w:t>Baja California Sur</w:t>
            </w:r>
          </w:p>
        </w:tc>
        <w:tc>
          <w:tcPr>
            <w:tcW w:w="1054" w:type="dxa"/>
            <w:tcBorders>
              <w:left w:val="single" w:sz="4" w:space="0" w:color="000000"/>
              <w:right w:val="single" w:sz="4" w:space="0" w:color="000000"/>
            </w:tcBorders>
            <w:shd w:val="clear" w:color="auto" w:fill="92D050"/>
          </w:tcPr>
          <w:p>
            <w:pPr>
              <w:pStyle w:val="TableParagraph"/>
              <w:spacing w:line="202" w:lineRule="exact"/>
              <w:ind w:right="165"/>
              <w:jc w:val="right"/>
              <w:rPr>
                <w:b/>
                <w:sz w:val="18"/>
              </w:rPr>
            </w:pPr>
            <w:r>
              <w:rPr>
                <w:b/>
                <w:w w:val="95"/>
                <w:sz w:val="18"/>
              </w:rPr>
              <w:t>87.0</w:t>
            </w:r>
          </w:p>
        </w:tc>
        <w:tc>
          <w:tcPr>
            <w:tcW w:w="1346" w:type="dxa"/>
            <w:tcBorders>
              <w:left w:val="single" w:sz="4" w:space="0" w:color="000000"/>
              <w:right w:val="single" w:sz="4" w:space="0" w:color="000000"/>
            </w:tcBorders>
            <w:shd w:val="clear" w:color="auto" w:fill="92D050"/>
          </w:tcPr>
          <w:p>
            <w:pPr>
              <w:pStyle w:val="TableParagraph"/>
              <w:spacing w:line="202" w:lineRule="exact"/>
              <w:ind w:left="796"/>
              <w:rPr>
                <w:b/>
                <w:sz w:val="18"/>
              </w:rPr>
            </w:pPr>
            <w:r>
              <w:rPr>
                <w:b/>
                <w:w w:val="99"/>
                <w:sz w:val="18"/>
              </w:rPr>
              <w:t>7</w:t>
            </w:r>
          </w:p>
        </w:tc>
        <w:tc>
          <w:tcPr>
            <w:tcW w:w="1018" w:type="dxa"/>
            <w:tcBorders>
              <w:left w:val="single" w:sz="4" w:space="0" w:color="000000"/>
              <w:right w:val="single" w:sz="4" w:space="0" w:color="000000"/>
            </w:tcBorders>
            <w:shd w:val="clear" w:color="auto" w:fill="92D050"/>
          </w:tcPr>
          <w:p>
            <w:pPr>
              <w:pStyle w:val="TableParagraph"/>
              <w:spacing w:line="202" w:lineRule="exact"/>
              <w:ind w:left="258" w:right="260"/>
              <w:jc w:val="center"/>
              <w:rPr>
                <w:b/>
                <w:sz w:val="18"/>
              </w:rPr>
            </w:pPr>
            <w:r>
              <w:rPr>
                <w:b/>
                <w:sz w:val="18"/>
              </w:rPr>
              <w:t>92.34</w:t>
            </w:r>
          </w:p>
        </w:tc>
        <w:tc>
          <w:tcPr>
            <w:tcW w:w="1430" w:type="dxa"/>
            <w:tcBorders>
              <w:left w:val="single" w:sz="4" w:space="0" w:color="000000"/>
              <w:right w:val="single" w:sz="4" w:space="0" w:color="000000"/>
            </w:tcBorders>
            <w:shd w:val="clear" w:color="auto" w:fill="92D050"/>
          </w:tcPr>
          <w:p>
            <w:pPr>
              <w:pStyle w:val="TableParagraph"/>
              <w:spacing w:line="202" w:lineRule="exact"/>
              <w:jc w:val="center"/>
              <w:rPr>
                <w:b/>
                <w:sz w:val="18"/>
              </w:rPr>
            </w:pPr>
            <w:r>
              <w:rPr>
                <w:b/>
                <w:w w:val="99"/>
                <w:sz w:val="18"/>
              </w:rPr>
              <w:t>3</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3" w:lineRule="exact"/>
              <w:ind w:left="64"/>
              <w:rPr>
                <w:b/>
                <w:sz w:val="18"/>
              </w:rPr>
            </w:pPr>
            <w:r>
              <w:rPr>
                <w:b/>
                <w:sz w:val="18"/>
              </w:rPr>
              <w:t>Chihuahua</w:t>
            </w:r>
          </w:p>
        </w:tc>
        <w:tc>
          <w:tcPr>
            <w:tcW w:w="1054" w:type="dxa"/>
            <w:tcBorders>
              <w:left w:val="single" w:sz="4" w:space="0" w:color="000000"/>
              <w:right w:val="single" w:sz="4" w:space="0" w:color="000000"/>
            </w:tcBorders>
            <w:shd w:val="clear" w:color="auto" w:fill="92D050"/>
          </w:tcPr>
          <w:p>
            <w:pPr>
              <w:pStyle w:val="TableParagraph"/>
              <w:spacing w:line="203" w:lineRule="exact"/>
              <w:ind w:right="165"/>
              <w:jc w:val="right"/>
              <w:rPr>
                <w:b/>
                <w:sz w:val="18"/>
              </w:rPr>
            </w:pPr>
            <w:r>
              <w:rPr>
                <w:b/>
                <w:w w:val="95"/>
                <w:sz w:val="18"/>
              </w:rPr>
              <w:t>95.6</w:t>
            </w:r>
          </w:p>
        </w:tc>
        <w:tc>
          <w:tcPr>
            <w:tcW w:w="1346" w:type="dxa"/>
            <w:tcBorders>
              <w:left w:val="single" w:sz="4" w:space="0" w:color="000000"/>
              <w:right w:val="single" w:sz="4" w:space="0" w:color="000000"/>
            </w:tcBorders>
            <w:shd w:val="clear" w:color="auto" w:fill="92D050"/>
          </w:tcPr>
          <w:p>
            <w:pPr>
              <w:pStyle w:val="TableParagraph"/>
              <w:spacing w:line="203" w:lineRule="exact"/>
              <w:ind w:left="796"/>
              <w:rPr>
                <w:b/>
                <w:sz w:val="18"/>
              </w:rPr>
            </w:pPr>
            <w:r>
              <w:rPr>
                <w:b/>
                <w:w w:val="99"/>
                <w:sz w:val="18"/>
              </w:rPr>
              <w:t>3</w:t>
            </w:r>
          </w:p>
        </w:tc>
        <w:tc>
          <w:tcPr>
            <w:tcW w:w="1018" w:type="dxa"/>
            <w:tcBorders>
              <w:left w:val="single" w:sz="4" w:space="0" w:color="000000"/>
              <w:right w:val="single" w:sz="4" w:space="0" w:color="000000"/>
            </w:tcBorders>
            <w:shd w:val="clear" w:color="auto" w:fill="92D050"/>
          </w:tcPr>
          <w:p>
            <w:pPr>
              <w:pStyle w:val="TableParagraph"/>
              <w:spacing w:line="203" w:lineRule="exact"/>
              <w:ind w:left="258" w:right="260"/>
              <w:jc w:val="center"/>
              <w:rPr>
                <w:b/>
                <w:sz w:val="18"/>
              </w:rPr>
            </w:pPr>
            <w:r>
              <w:rPr>
                <w:b/>
                <w:sz w:val="18"/>
              </w:rPr>
              <w:t>91.48</w:t>
            </w:r>
          </w:p>
        </w:tc>
        <w:tc>
          <w:tcPr>
            <w:tcW w:w="1430" w:type="dxa"/>
            <w:tcBorders>
              <w:left w:val="single" w:sz="4" w:space="0" w:color="000000"/>
              <w:right w:val="single" w:sz="4" w:space="0" w:color="000000"/>
            </w:tcBorders>
            <w:shd w:val="clear" w:color="auto" w:fill="92D050"/>
          </w:tcPr>
          <w:p>
            <w:pPr>
              <w:pStyle w:val="TableParagraph"/>
              <w:spacing w:line="203" w:lineRule="exact"/>
              <w:jc w:val="center"/>
              <w:rPr>
                <w:b/>
                <w:sz w:val="18"/>
              </w:rPr>
            </w:pPr>
            <w:r>
              <w:rPr>
                <w:b/>
                <w:w w:val="99"/>
                <w:sz w:val="18"/>
              </w:rPr>
              <w:t>4</w:t>
            </w:r>
          </w:p>
        </w:tc>
        <w:tc>
          <w:tcPr>
            <w:tcW w:w="2333" w:type="dxa"/>
            <w:vMerge/>
            <w:tcBorders>
              <w:left w:val="single" w:sz="4" w:space="0" w:color="000000"/>
              <w:right w:val="single" w:sz="4" w:space="0" w:color="000000"/>
            </w:tcBorders>
            <w:shd w:val="clear" w:color="auto" w:fill="92D050"/>
          </w:tcPr>
          <w:p>
            <w:pPr/>
          </w:p>
        </w:tc>
      </w:tr>
      <w:tr>
        <w:trPr>
          <w:trHeight w:val="216" w:hRule="exact"/>
        </w:trPr>
        <w:tc>
          <w:tcPr>
            <w:tcW w:w="1898" w:type="dxa"/>
            <w:tcBorders>
              <w:left w:val="single" w:sz="4" w:space="0" w:color="000000"/>
              <w:right w:val="single" w:sz="4" w:space="0" w:color="000000"/>
            </w:tcBorders>
            <w:shd w:val="clear" w:color="auto" w:fill="92D050"/>
          </w:tcPr>
          <w:p>
            <w:pPr>
              <w:pStyle w:val="TableParagraph"/>
              <w:spacing w:line="202" w:lineRule="exact"/>
              <w:ind w:left="64"/>
              <w:rPr>
                <w:b/>
                <w:sz w:val="18"/>
              </w:rPr>
            </w:pPr>
            <w:r>
              <w:rPr>
                <w:b/>
                <w:sz w:val="18"/>
              </w:rPr>
              <w:t>Oaxaca</w:t>
            </w:r>
          </w:p>
        </w:tc>
        <w:tc>
          <w:tcPr>
            <w:tcW w:w="1054" w:type="dxa"/>
            <w:tcBorders>
              <w:left w:val="single" w:sz="4" w:space="0" w:color="000000"/>
              <w:right w:val="single" w:sz="4" w:space="0" w:color="000000"/>
            </w:tcBorders>
            <w:shd w:val="clear" w:color="auto" w:fill="92D050"/>
          </w:tcPr>
          <w:p>
            <w:pPr>
              <w:pStyle w:val="TableParagraph"/>
              <w:spacing w:line="202" w:lineRule="exact"/>
              <w:ind w:right="165"/>
              <w:jc w:val="right"/>
              <w:rPr>
                <w:b/>
                <w:sz w:val="18"/>
              </w:rPr>
            </w:pPr>
            <w:r>
              <w:rPr>
                <w:b/>
                <w:w w:val="95"/>
                <w:sz w:val="18"/>
              </w:rPr>
              <w:t>76.3</w:t>
            </w:r>
          </w:p>
        </w:tc>
        <w:tc>
          <w:tcPr>
            <w:tcW w:w="1346" w:type="dxa"/>
            <w:tcBorders>
              <w:left w:val="single" w:sz="4" w:space="0" w:color="000000"/>
              <w:right w:val="single" w:sz="4" w:space="0" w:color="000000"/>
            </w:tcBorders>
            <w:shd w:val="clear" w:color="auto" w:fill="92D050"/>
          </w:tcPr>
          <w:p>
            <w:pPr>
              <w:pStyle w:val="TableParagraph"/>
              <w:spacing w:line="202" w:lineRule="exact"/>
              <w:ind w:right="384"/>
              <w:jc w:val="right"/>
              <w:rPr>
                <w:b/>
                <w:sz w:val="18"/>
              </w:rPr>
            </w:pPr>
            <w:r>
              <w:rPr>
                <w:b/>
                <w:sz w:val="18"/>
              </w:rPr>
              <w:t>18</w:t>
            </w:r>
          </w:p>
        </w:tc>
        <w:tc>
          <w:tcPr>
            <w:tcW w:w="1018" w:type="dxa"/>
            <w:tcBorders>
              <w:left w:val="single" w:sz="4" w:space="0" w:color="000000"/>
              <w:right w:val="single" w:sz="4" w:space="0" w:color="000000"/>
            </w:tcBorders>
            <w:shd w:val="clear" w:color="auto" w:fill="92D050"/>
          </w:tcPr>
          <w:p>
            <w:pPr>
              <w:pStyle w:val="TableParagraph"/>
              <w:spacing w:line="202" w:lineRule="exact"/>
              <w:ind w:left="258" w:right="260"/>
              <w:jc w:val="center"/>
              <w:rPr>
                <w:b/>
                <w:sz w:val="18"/>
              </w:rPr>
            </w:pPr>
            <w:r>
              <w:rPr>
                <w:b/>
                <w:sz w:val="18"/>
              </w:rPr>
              <w:t>90.16</w:t>
            </w:r>
          </w:p>
        </w:tc>
        <w:tc>
          <w:tcPr>
            <w:tcW w:w="1430" w:type="dxa"/>
            <w:tcBorders>
              <w:left w:val="single" w:sz="4" w:space="0" w:color="000000"/>
              <w:right w:val="single" w:sz="4" w:space="0" w:color="000000"/>
            </w:tcBorders>
            <w:shd w:val="clear" w:color="auto" w:fill="92D050"/>
          </w:tcPr>
          <w:p>
            <w:pPr>
              <w:pStyle w:val="TableParagraph"/>
              <w:spacing w:line="202" w:lineRule="exact"/>
              <w:jc w:val="center"/>
              <w:rPr>
                <w:b/>
                <w:sz w:val="18"/>
              </w:rPr>
            </w:pPr>
            <w:r>
              <w:rPr>
                <w:b/>
                <w:w w:val="99"/>
                <w:sz w:val="18"/>
              </w:rPr>
              <w:t>5</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2" w:lineRule="exact"/>
              <w:ind w:left="64"/>
              <w:rPr>
                <w:b/>
                <w:sz w:val="18"/>
              </w:rPr>
            </w:pPr>
            <w:r>
              <w:rPr>
                <w:b/>
                <w:sz w:val="18"/>
              </w:rPr>
              <w:t>Aguascalientes</w:t>
            </w:r>
          </w:p>
        </w:tc>
        <w:tc>
          <w:tcPr>
            <w:tcW w:w="1054" w:type="dxa"/>
            <w:tcBorders>
              <w:left w:val="single" w:sz="4" w:space="0" w:color="000000"/>
              <w:right w:val="single" w:sz="4" w:space="0" w:color="000000"/>
            </w:tcBorders>
            <w:shd w:val="clear" w:color="auto" w:fill="92D050"/>
          </w:tcPr>
          <w:p>
            <w:pPr>
              <w:pStyle w:val="TableParagraph"/>
              <w:spacing w:line="202" w:lineRule="exact"/>
              <w:ind w:right="165"/>
              <w:jc w:val="right"/>
              <w:rPr>
                <w:b/>
                <w:sz w:val="18"/>
              </w:rPr>
            </w:pPr>
            <w:r>
              <w:rPr>
                <w:b/>
                <w:w w:val="95"/>
                <w:sz w:val="18"/>
              </w:rPr>
              <w:t>83.5</w:t>
            </w:r>
          </w:p>
        </w:tc>
        <w:tc>
          <w:tcPr>
            <w:tcW w:w="1346" w:type="dxa"/>
            <w:tcBorders>
              <w:left w:val="single" w:sz="4" w:space="0" w:color="000000"/>
              <w:right w:val="single" w:sz="4" w:space="0" w:color="000000"/>
            </w:tcBorders>
            <w:shd w:val="clear" w:color="auto" w:fill="92D050"/>
          </w:tcPr>
          <w:p>
            <w:pPr>
              <w:pStyle w:val="TableParagraph"/>
              <w:spacing w:line="202" w:lineRule="exact"/>
              <w:ind w:left="796"/>
              <w:rPr>
                <w:b/>
                <w:sz w:val="18"/>
              </w:rPr>
            </w:pPr>
            <w:r>
              <w:rPr>
                <w:b/>
                <w:w w:val="99"/>
                <w:sz w:val="18"/>
              </w:rPr>
              <w:t>9</w:t>
            </w:r>
          </w:p>
        </w:tc>
        <w:tc>
          <w:tcPr>
            <w:tcW w:w="1018" w:type="dxa"/>
            <w:tcBorders>
              <w:left w:val="single" w:sz="4" w:space="0" w:color="000000"/>
              <w:right w:val="single" w:sz="4" w:space="0" w:color="000000"/>
            </w:tcBorders>
            <w:shd w:val="clear" w:color="auto" w:fill="92D050"/>
          </w:tcPr>
          <w:p>
            <w:pPr>
              <w:pStyle w:val="TableParagraph"/>
              <w:spacing w:line="202" w:lineRule="exact"/>
              <w:ind w:left="258" w:right="260"/>
              <w:jc w:val="center"/>
              <w:rPr>
                <w:b/>
                <w:sz w:val="18"/>
              </w:rPr>
            </w:pPr>
            <w:r>
              <w:rPr>
                <w:b/>
                <w:sz w:val="18"/>
              </w:rPr>
              <w:t>87.55</w:t>
            </w:r>
          </w:p>
        </w:tc>
        <w:tc>
          <w:tcPr>
            <w:tcW w:w="1430" w:type="dxa"/>
            <w:tcBorders>
              <w:left w:val="single" w:sz="4" w:space="0" w:color="000000"/>
              <w:right w:val="single" w:sz="4" w:space="0" w:color="000000"/>
            </w:tcBorders>
            <w:shd w:val="clear" w:color="auto" w:fill="92D050"/>
          </w:tcPr>
          <w:p>
            <w:pPr>
              <w:pStyle w:val="TableParagraph"/>
              <w:spacing w:line="202" w:lineRule="exact"/>
              <w:jc w:val="center"/>
              <w:rPr>
                <w:b/>
                <w:sz w:val="18"/>
              </w:rPr>
            </w:pPr>
            <w:r>
              <w:rPr>
                <w:b/>
                <w:w w:val="99"/>
                <w:sz w:val="18"/>
              </w:rPr>
              <w:t>6</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3" w:lineRule="exact"/>
              <w:ind w:left="64"/>
              <w:rPr>
                <w:b/>
                <w:sz w:val="18"/>
              </w:rPr>
            </w:pPr>
            <w:r>
              <w:rPr>
                <w:b/>
                <w:sz w:val="18"/>
              </w:rPr>
              <w:t>Puebla</w:t>
            </w:r>
          </w:p>
        </w:tc>
        <w:tc>
          <w:tcPr>
            <w:tcW w:w="1054" w:type="dxa"/>
            <w:tcBorders>
              <w:left w:val="single" w:sz="4" w:space="0" w:color="000000"/>
              <w:right w:val="single" w:sz="4" w:space="0" w:color="000000"/>
            </w:tcBorders>
            <w:shd w:val="clear" w:color="auto" w:fill="92D050"/>
          </w:tcPr>
          <w:p>
            <w:pPr>
              <w:pStyle w:val="TableParagraph"/>
              <w:spacing w:line="203" w:lineRule="exact"/>
              <w:ind w:right="165"/>
              <w:jc w:val="right"/>
              <w:rPr>
                <w:b/>
                <w:sz w:val="18"/>
              </w:rPr>
            </w:pPr>
            <w:r>
              <w:rPr>
                <w:b/>
                <w:w w:val="95"/>
                <w:sz w:val="18"/>
              </w:rPr>
              <w:t>76.1</w:t>
            </w:r>
          </w:p>
        </w:tc>
        <w:tc>
          <w:tcPr>
            <w:tcW w:w="1346" w:type="dxa"/>
            <w:tcBorders>
              <w:left w:val="single" w:sz="4" w:space="0" w:color="000000"/>
              <w:right w:val="single" w:sz="4" w:space="0" w:color="000000"/>
            </w:tcBorders>
            <w:shd w:val="clear" w:color="auto" w:fill="92D050"/>
          </w:tcPr>
          <w:p>
            <w:pPr>
              <w:pStyle w:val="TableParagraph"/>
              <w:spacing w:line="203" w:lineRule="exact"/>
              <w:ind w:right="384"/>
              <w:jc w:val="right"/>
              <w:rPr>
                <w:b/>
                <w:sz w:val="18"/>
              </w:rPr>
            </w:pPr>
            <w:r>
              <w:rPr>
                <w:b/>
                <w:sz w:val="18"/>
              </w:rPr>
              <w:t>19</w:t>
            </w:r>
          </w:p>
        </w:tc>
        <w:tc>
          <w:tcPr>
            <w:tcW w:w="1018" w:type="dxa"/>
            <w:tcBorders>
              <w:left w:val="single" w:sz="4" w:space="0" w:color="000000"/>
              <w:right w:val="single" w:sz="4" w:space="0" w:color="000000"/>
            </w:tcBorders>
            <w:shd w:val="clear" w:color="auto" w:fill="92D050"/>
          </w:tcPr>
          <w:p>
            <w:pPr>
              <w:pStyle w:val="TableParagraph"/>
              <w:spacing w:line="203" w:lineRule="exact"/>
              <w:ind w:left="258" w:right="260"/>
              <w:jc w:val="center"/>
              <w:rPr>
                <w:b/>
                <w:sz w:val="18"/>
              </w:rPr>
            </w:pPr>
            <w:r>
              <w:rPr>
                <w:b/>
                <w:sz w:val="18"/>
              </w:rPr>
              <w:t>85.47</w:t>
            </w:r>
          </w:p>
        </w:tc>
        <w:tc>
          <w:tcPr>
            <w:tcW w:w="1430" w:type="dxa"/>
            <w:tcBorders>
              <w:left w:val="single" w:sz="4" w:space="0" w:color="000000"/>
              <w:right w:val="single" w:sz="4" w:space="0" w:color="000000"/>
            </w:tcBorders>
            <w:shd w:val="clear" w:color="auto" w:fill="92D050"/>
          </w:tcPr>
          <w:p>
            <w:pPr>
              <w:pStyle w:val="TableParagraph"/>
              <w:spacing w:line="203" w:lineRule="exact"/>
              <w:jc w:val="center"/>
              <w:rPr>
                <w:b/>
                <w:sz w:val="18"/>
              </w:rPr>
            </w:pPr>
            <w:r>
              <w:rPr>
                <w:b/>
                <w:w w:val="99"/>
                <w:sz w:val="18"/>
              </w:rPr>
              <w:t>7</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2" w:lineRule="exact"/>
              <w:ind w:left="64"/>
              <w:rPr>
                <w:b/>
                <w:sz w:val="18"/>
              </w:rPr>
            </w:pPr>
            <w:r>
              <w:rPr>
                <w:b/>
                <w:sz w:val="18"/>
              </w:rPr>
              <w:t>Guanajuato</w:t>
            </w:r>
          </w:p>
        </w:tc>
        <w:tc>
          <w:tcPr>
            <w:tcW w:w="1054" w:type="dxa"/>
            <w:tcBorders>
              <w:left w:val="single" w:sz="4" w:space="0" w:color="000000"/>
              <w:right w:val="single" w:sz="4" w:space="0" w:color="000000"/>
            </w:tcBorders>
            <w:shd w:val="clear" w:color="auto" w:fill="92D050"/>
          </w:tcPr>
          <w:p>
            <w:pPr>
              <w:pStyle w:val="TableParagraph"/>
              <w:spacing w:line="202" w:lineRule="exact"/>
              <w:ind w:right="165"/>
              <w:jc w:val="right"/>
              <w:rPr>
                <w:b/>
                <w:sz w:val="18"/>
              </w:rPr>
            </w:pPr>
            <w:r>
              <w:rPr>
                <w:b/>
                <w:w w:val="95"/>
                <w:sz w:val="18"/>
              </w:rPr>
              <w:t>66.9</w:t>
            </w:r>
          </w:p>
        </w:tc>
        <w:tc>
          <w:tcPr>
            <w:tcW w:w="1346" w:type="dxa"/>
            <w:tcBorders>
              <w:left w:val="single" w:sz="4" w:space="0" w:color="000000"/>
              <w:right w:val="single" w:sz="4" w:space="0" w:color="000000"/>
            </w:tcBorders>
            <w:shd w:val="clear" w:color="auto" w:fill="92D050"/>
          </w:tcPr>
          <w:p>
            <w:pPr>
              <w:pStyle w:val="TableParagraph"/>
              <w:spacing w:line="202" w:lineRule="exact"/>
              <w:ind w:right="384"/>
              <w:jc w:val="right"/>
              <w:rPr>
                <w:b/>
                <w:sz w:val="18"/>
              </w:rPr>
            </w:pPr>
            <w:r>
              <w:rPr>
                <w:b/>
                <w:sz w:val="18"/>
              </w:rPr>
              <w:t>22</w:t>
            </w:r>
          </w:p>
        </w:tc>
        <w:tc>
          <w:tcPr>
            <w:tcW w:w="1018" w:type="dxa"/>
            <w:tcBorders>
              <w:left w:val="single" w:sz="4" w:space="0" w:color="000000"/>
              <w:right w:val="single" w:sz="4" w:space="0" w:color="000000"/>
            </w:tcBorders>
            <w:shd w:val="clear" w:color="auto" w:fill="92D050"/>
          </w:tcPr>
          <w:p>
            <w:pPr>
              <w:pStyle w:val="TableParagraph"/>
              <w:spacing w:line="202" w:lineRule="exact"/>
              <w:ind w:left="258" w:right="260"/>
              <w:jc w:val="center"/>
              <w:rPr>
                <w:b/>
                <w:sz w:val="18"/>
              </w:rPr>
            </w:pPr>
            <w:r>
              <w:rPr>
                <w:b/>
                <w:sz w:val="18"/>
              </w:rPr>
              <w:t>81.22</w:t>
            </w:r>
          </w:p>
        </w:tc>
        <w:tc>
          <w:tcPr>
            <w:tcW w:w="1430" w:type="dxa"/>
            <w:tcBorders>
              <w:left w:val="single" w:sz="4" w:space="0" w:color="000000"/>
              <w:right w:val="single" w:sz="4" w:space="0" w:color="000000"/>
            </w:tcBorders>
            <w:shd w:val="clear" w:color="auto" w:fill="92D050"/>
          </w:tcPr>
          <w:p>
            <w:pPr>
              <w:pStyle w:val="TableParagraph"/>
              <w:spacing w:line="202" w:lineRule="exact"/>
              <w:jc w:val="center"/>
              <w:rPr>
                <w:b/>
                <w:sz w:val="18"/>
              </w:rPr>
            </w:pPr>
            <w:r>
              <w:rPr>
                <w:b/>
                <w:w w:val="99"/>
                <w:sz w:val="18"/>
              </w:rPr>
              <w:t>8</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3" w:lineRule="exact"/>
              <w:ind w:left="64"/>
              <w:rPr>
                <w:b/>
                <w:sz w:val="18"/>
              </w:rPr>
            </w:pPr>
            <w:r>
              <w:rPr>
                <w:b/>
                <w:sz w:val="18"/>
              </w:rPr>
              <w:t>Chiapas</w:t>
            </w:r>
          </w:p>
        </w:tc>
        <w:tc>
          <w:tcPr>
            <w:tcW w:w="1054" w:type="dxa"/>
            <w:tcBorders>
              <w:left w:val="single" w:sz="4" w:space="0" w:color="000000"/>
              <w:right w:val="single" w:sz="4" w:space="0" w:color="000000"/>
            </w:tcBorders>
            <w:shd w:val="clear" w:color="auto" w:fill="92D050"/>
          </w:tcPr>
          <w:p>
            <w:pPr>
              <w:pStyle w:val="TableParagraph"/>
              <w:spacing w:line="203" w:lineRule="exact"/>
              <w:ind w:right="165"/>
              <w:jc w:val="right"/>
              <w:rPr>
                <w:b/>
                <w:sz w:val="18"/>
              </w:rPr>
            </w:pPr>
            <w:r>
              <w:rPr>
                <w:b/>
                <w:w w:val="95"/>
                <w:sz w:val="18"/>
              </w:rPr>
              <w:t>96.7</w:t>
            </w:r>
          </w:p>
        </w:tc>
        <w:tc>
          <w:tcPr>
            <w:tcW w:w="1346" w:type="dxa"/>
            <w:tcBorders>
              <w:left w:val="single" w:sz="4" w:space="0" w:color="000000"/>
              <w:right w:val="single" w:sz="4" w:space="0" w:color="000000"/>
            </w:tcBorders>
            <w:shd w:val="clear" w:color="auto" w:fill="92D050"/>
          </w:tcPr>
          <w:p>
            <w:pPr>
              <w:pStyle w:val="TableParagraph"/>
              <w:spacing w:line="203" w:lineRule="exact"/>
              <w:ind w:left="796"/>
              <w:rPr>
                <w:b/>
                <w:sz w:val="18"/>
              </w:rPr>
            </w:pPr>
            <w:r>
              <w:rPr>
                <w:b/>
                <w:w w:val="99"/>
                <w:sz w:val="18"/>
              </w:rPr>
              <w:t>1</w:t>
            </w:r>
          </w:p>
        </w:tc>
        <w:tc>
          <w:tcPr>
            <w:tcW w:w="1018" w:type="dxa"/>
            <w:tcBorders>
              <w:left w:val="single" w:sz="4" w:space="0" w:color="000000"/>
              <w:right w:val="single" w:sz="4" w:space="0" w:color="000000"/>
            </w:tcBorders>
            <w:shd w:val="clear" w:color="auto" w:fill="92D050"/>
          </w:tcPr>
          <w:p>
            <w:pPr>
              <w:pStyle w:val="TableParagraph"/>
              <w:spacing w:line="203" w:lineRule="exact"/>
              <w:ind w:left="258" w:right="260"/>
              <w:jc w:val="center"/>
              <w:rPr>
                <w:b/>
                <w:sz w:val="18"/>
              </w:rPr>
            </w:pPr>
            <w:r>
              <w:rPr>
                <w:b/>
                <w:sz w:val="18"/>
              </w:rPr>
              <w:t>80.90</w:t>
            </w:r>
          </w:p>
        </w:tc>
        <w:tc>
          <w:tcPr>
            <w:tcW w:w="1430" w:type="dxa"/>
            <w:tcBorders>
              <w:left w:val="single" w:sz="4" w:space="0" w:color="000000"/>
              <w:right w:val="single" w:sz="4" w:space="0" w:color="000000"/>
            </w:tcBorders>
            <w:shd w:val="clear" w:color="auto" w:fill="92D050"/>
          </w:tcPr>
          <w:p>
            <w:pPr>
              <w:pStyle w:val="TableParagraph"/>
              <w:spacing w:line="203" w:lineRule="exact"/>
              <w:jc w:val="center"/>
              <w:rPr>
                <w:b/>
                <w:sz w:val="18"/>
              </w:rPr>
            </w:pPr>
            <w:r>
              <w:rPr>
                <w:b/>
                <w:w w:val="99"/>
                <w:sz w:val="18"/>
              </w:rPr>
              <w:t>9</w:t>
            </w:r>
          </w:p>
        </w:tc>
        <w:tc>
          <w:tcPr>
            <w:tcW w:w="2333" w:type="dxa"/>
            <w:vMerge/>
            <w:tcBorders>
              <w:left w:val="single" w:sz="4" w:space="0" w:color="000000"/>
              <w:right w:val="single" w:sz="4" w:space="0" w:color="000000"/>
            </w:tcBorders>
            <w:shd w:val="clear" w:color="auto" w:fill="92D050"/>
          </w:tcPr>
          <w:p>
            <w:pPr/>
          </w:p>
        </w:tc>
      </w:tr>
      <w:tr>
        <w:trPr>
          <w:trHeight w:val="217" w:hRule="exact"/>
        </w:trPr>
        <w:tc>
          <w:tcPr>
            <w:tcW w:w="1898" w:type="dxa"/>
            <w:tcBorders>
              <w:left w:val="single" w:sz="4" w:space="0" w:color="000000"/>
              <w:right w:val="single" w:sz="4" w:space="0" w:color="000000"/>
            </w:tcBorders>
            <w:shd w:val="clear" w:color="auto" w:fill="92D050"/>
          </w:tcPr>
          <w:p>
            <w:pPr>
              <w:pStyle w:val="TableParagraph"/>
              <w:spacing w:line="202" w:lineRule="exact"/>
              <w:ind w:left="64"/>
              <w:rPr>
                <w:b/>
                <w:sz w:val="18"/>
              </w:rPr>
            </w:pPr>
            <w:r>
              <w:rPr>
                <w:b/>
                <w:sz w:val="18"/>
              </w:rPr>
              <w:t>Nuevo León</w:t>
            </w:r>
          </w:p>
        </w:tc>
        <w:tc>
          <w:tcPr>
            <w:tcW w:w="1054" w:type="dxa"/>
            <w:tcBorders>
              <w:left w:val="single" w:sz="4" w:space="0" w:color="000000"/>
              <w:right w:val="single" w:sz="4" w:space="0" w:color="000000"/>
            </w:tcBorders>
            <w:shd w:val="clear" w:color="auto" w:fill="92D050"/>
          </w:tcPr>
          <w:p>
            <w:pPr>
              <w:pStyle w:val="TableParagraph"/>
              <w:spacing w:line="202" w:lineRule="exact"/>
              <w:ind w:right="165"/>
              <w:jc w:val="right"/>
              <w:rPr>
                <w:b/>
                <w:sz w:val="18"/>
              </w:rPr>
            </w:pPr>
            <w:r>
              <w:rPr>
                <w:b/>
                <w:w w:val="95"/>
                <w:sz w:val="18"/>
              </w:rPr>
              <w:t>88.2</w:t>
            </w:r>
          </w:p>
        </w:tc>
        <w:tc>
          <w:tcPr>
            <w:tcW w:w="1346" w:type="dxa"/>
            <w:tcBorders>
              <w:left w:val="single" w:sz="4" w:space="0" w:color="000000"/>
              <w:right w:val="single" w:sz="4" w:space="0" w:color="000000"/>
            </w:tcBorders>
            <w:shd w:val="clear" w:color="auto" w:fill="92D050"/>
          </w:tcPr>
          <w:p>
            <w:pPr>
              <w:pStyle w:val="TableParagraph"/>
              <w:spacing w:line="202" w:lineRule="exact"/>
              <w:ind w:left="796"/>
              <w:rPr>
                <w:b/>
                <w:sz w:val="18"/>
              </w:rPr>
            </w:pPr>
            <w:r>
              <w:rPr>
                <w:b/>
                <w:w w:val="99"/>
                <w:sz w:val="18"/>
              </w:rPr>
              <w:t>6</w:t>
            </w:r>
          </w:p>
        </w:tc>
        <w:tc>
          <w:tcPr>
            <w:tcW w:w="1018" w:type="dxa"/>
            <w:tcBorders>
              <w:left w:val="single" w:sz="4" w:space="0" w:color="000000"/>
              <w:right w:val="single" w:sz="4" w:space="0" w:color="000000"/>
            </w:tcBorders>
            <w:shd w:val="clear" w:color="auto" w:fill="92D050"/>
          </w:tcPr>
          <w:p>
            <w:pPr>
              <w:pStyle w:val="TableParagraph"/>
              <w:spacing w:line="202" w:lineRule="exact"/>
              <w:ind w:left="258" w:right="260"/>
              <w:jc w:val="center"/>
              <w:rPr>
                <w:b/>
                <w:sz w:val="18"/>
              </w:rPr>
            </w:pPr>
            <w:r>
              <w:rPr>
                <w:b/>
                <w:sz w:val="18"/>
              </w:rPr>
              <w:t>80.90</w:t>
            </w:r>
          </w:p>
        </w:tc>
        <w:tc>
          <w:tcPr>
            <w:tcW w:w="1430" w:type="dxa"/>
            <w:tcBorders>
              <w:left w:val="single" w:sz="4" w:space="0" w:color="000000"/>
              <w:right w:val="single" w:sz="4" w:space="0" w:color="000000"/>
            </w:tcBorders>
            <w:shd w:val="clear" w:color="auto" w:fill="92D050"/>
          </w:tcPr>
          <w:p>
            <w:pPr>
              <w:pStyle w:val="TableParagraph"/>
              <w:spacing w:line="202" w:lineRule="exact"/>
              <w:jc w:val="center"/>
              <w:rPr>
                <w:b/>
                <w:sz w:val="18"/>
              </w:rPr>
            </w:pPr>
            <w:r>
              <w:rPr>
                <w:b/>
                <w:w w:val="99"/>
                <w:sz w:val="18"/>
              </w:rPr>
              <w:t>9</w:t>
            </w:r>
          </w:p>
        </w:tc>
        <w:tc>
          <w:tcPr>
            <w:tcW w:w="2333" w:type="dxa"/>
            <w:vMerge/>
            <w:tcBorders>
              <w:left w:val="single" w:sz="4" w:space="0" w:color="000000"/>
              <w:right w:val="single" w:sz="4" w:space="0" w:color="000000"/>
            </w:tcBorders>
            <w:shd w:val="clear" w:color="auto" w:fill="92D050"/>
          </w:tcPr>
          <w:p>
            <w:pPr/>
          </w:p>
        </w:tc>
      </w:tr>
      <w:tr>
        <w:trPr>
          <w:trHeight w:val="213" w:hRule="exact"/>
        </w:trPr>
        <w:tc>
          <w:tcPr>
            <w:tcW w:w="1898" w:type="dxa"/>
            <w:tcBorders>
              <w:left w:val="single" w:sz="4" w:space="0" w:color="000000"/>
              <w:bottom w:val="single" w:sz="4" w:space="0" w:color="000000"/>
              <w:right w:val="single" w:sz="4" w:space="0" w:color="000000"/>
            </w:tcBorders>
            <w:shd w:val="clear" w:color="auto" w:fill="92D050"/>
          </w:tcPr>
          <w:p>
            <w:pPr>
              <w:pStyle w:val="TableParagraph"/>
              <w:spacing w:line="203" w:lineRule="exact"/>
              <w:ind w:left="64"/>
              <w:rPr>
                <w:b/>
                <w:sz w:val="18"/>
              </w:rPr>
            </w:pPr>
            <w:r>
              <w:rPr>
                <w:b/>
                <w:sz w:val="18"/>
              </w:rPr>
              <w:t>Veracruz</w:t>
            </w:r>
          </w:p>
        </w:tc>
        <w:tc>
          <w:tcPr>
            <w:tcW w:w="1054" w:type="dxa"/>
            <w:tcBorders>
              <w:left w:val="single" w:sz="4" w:space="0" w:color="000000"/>
              <w:bottom w:val="single" w:sz="4" w:space="0" w:color="000000"/>
              <w:right w:val="single" w:sz="4" w:space="0" w:color="000000"/>
            </w:tcBorders>
            <w:shd w:val="clear" w:color="auto" w:fill="92D050"/>
          </w:tcPr>
          <w:p>
            <w:pPr>
              <w:pStyle w:val="TableParagraph"/>
              <w:spacing w:line="203" w:lineRule="exact"/>
              <w:ind w:right="165"/>
              <w:jc w:val="right"/>
              <w:rPr>
                <w:b/>
                <w:sz w:val="18"/>
              </w:rPr>
            </w:pPr>
            <w:r>
              <w:rPr>
                <w:b/>
                <w:w w:val="95"/>
                <w:sz w:val="18"/>
              </w:rPr>
              <w:t>91.7</w:t>
            </w:r>
          </w:p>
        </w:tc>
        <w:tc>
          <w:tcPr>
            <w:tcW w:w="1346" w:type="dxa"/>
            <w:tcBorders>
              <w:left w:val="single" w:sz="4" w:space="0" w:color="000000"/>
              <w:bottom w:val="single" w:sz="4" w:space="0" w:color="000000"/>
              <w:right w:val="single" w:sz="4" w:space="0" w:color="000000"/>
            </w:tcBorders>
            <w:shd w:val="clear" w:color="auto" w:fill="92D050"/>
          </w:tcPr>
          <w:p>
            <w:pPr>
              <w:pStyle w:val="TableParagraph"/>
              <w:spacing w:line="203" w:lineRule="exact"/>
              <w:ind w:left="796"/>
              <w:rPr>
                <w:b/>
                <w:sz w:val="18"/>
              </w:rPr>
            </w:pPr>
            <w:r>
              <w:rPr>
                <w:b/>
                <w:w w:val="99"/>
                <w:sz w:val="18"/>
              </w:rPr>
              <w:t>5</w:t>
            </w:r>
          </w:p>
        </w:tc>
        <w:tc>
          <w:tcPr>
            <w:tcW w:w="1018" w:type="dxa"/>
            <w:tcBorders>
              <w:left w:val="single" w:sz="4" w:space="0" w:color="000000"/>
              <w:bottom w:val="single" w:sz="4" w:space="0" w:color="000000"/>
              <w:right w:val="single" w:sz="4" w:space="0" w:color="000000"/>
            </w:tcBorders>
            <w:shd w:val="clear" w:color="auto" w:fill="92D050"/>
          </w:tcPr>
          <w:p>
            <w:pPr>
              <w:pStyle w:val="TableParagraph"/>
              <w:spacing w:line="203" w:lineRule="exact"/>
              <w:ind w:left="258" w:right="260"/>
              <w:jc w:val="center"/>
              <w:rPr>
                <w:b/>
                <w:sz w:val="18"/>
              </w:rPr>
            </w:pPr>
            <w:r>
              <w:rPr>
                <w:b/>
                <w:sz w:val="18"/>
              </w:rPr>
              <w:t>80.00</w:t>
            </w:r>
          </w:p>
        </w:tc>
        <w:tc>
          <w:tcPr>
            <w:tcW w:w="1430" w:type="dxa"/>
            <w:tcBorders>
              <w:left w:val="single" w:sz="4" w:space="0" w:color="000000"/>
              <w:bottom w:val="single" w:sz="4" w:space="0" w:color="000000"/>
              <w:right w:val="single" w:sz="4" w:space="0" w:color="000000"/>
            </w:tcBorders>
            <w:shd w:val="clear" w:color="auto" w:fill="92D050"/>
          </w:tcPr>
          <w:p>
            <w:pPr>
              <w:pStyle w:val="TableParagraph"/>
              <w:spacing w:line="203" w:lineRule="exact"/>
              <w:ind w:left="590" w:right="590"/>
              <w:jc w:val="center"/>
              <w:rPr>
                <w:b/>
                <w:sz w:val="18"/>
              </w:rPr>
            </w:pPr>
            <w:r>
              <w:rPr>
                <w:b/>
                <w:sz w:val="18"/>
              </w:rPr>
              <w:t>10</w:t>
            </w:r>
          </w:p>
        </w:tc>
        <w:tc>
          <w:tcPr>
            <w:tcW w:w="2333" w:type="dxa"/>
            <w:vMerge/>
            <w:tcBorders>
              <w:left w:val="single" w:sz="4" w:space="0" w:color="000000"/>
              <w:bottom w:val="single" w:sz="4" w:space="0" w:color="000000"/>
              <w:right w:val="single" w:sz="4" w:space="0" w:color="000000"/>
            </w:tcBorders>
            <w:shd w:val="clear" w:color="auto" w:fill="92D050"/>
          </w:tcPr>
          <w:p>
            <w:pPr/>
          </w:p>
        </w:tc>
      </w:tr>
      <w:tr>
        <w:trPr>
          <w:trHeight w:val="220" w:hRule="exact"/>
        </w:trPr>
        <w:tc>
          <w:tcPr>
            <w:tcW w:w="1898" w:type="dxa"/>
            <w:tcBorders>
              <w:top w:val="single" w:sz="4" w:space="0" w:color="000000"/>
              <w:left w:val="single" w:sz="4" w:space="0" w:color="000000"/>
              <w:right w:val="single" w:sz="4" w:space="0" w:color="000000"/>
            </w:tcBorders>
            <w:shd w:val="clear" w:color="auto" w:fill="FFFF00"/>
          </w:tcPr>
          <w:p>
            <w:pPr>
              <w:pStyle w:val="TableParagraph"/>
              <w:spacing w:line="201" w:lineRule="exact"/>
              <w:ind w:left="64"/>
              <w:rPr>
                <w:b/>
                <w:sz w:val="18"/>
              </w:rPr>
            </w:pPr>
            <w:r>
              <w:rPr>
                <w:b/>
                <w:sz w:val="18"/>
              </w:rPr>
              <w:t>Campeche</w:t>
            </w:r>
          </w:p>
        </w:tc>
        <w:tc>
          <w:tcPr>
            <w:tcW w:w="1054" w:type="dxa"/>
            <w:tcBorders>
              <w:top w:val="single" w:sz="4" w:space="0" w:color="000000"/>
              <w:left w:val="single" w:sz="4" w:space="0" w:color="000000"/>
              <w:right w:val="single" w:sz="4" w:space="0" w:color="000000"/>
            </w:tcBorders>
            <w:shd w:val="clear" w:color="auto" w:fill="FFFF00"/>
          </w:tcPr>
          <w:p>
            <w:pPr>
              <w:pStyle w:val="TableParagraph"/>
              <w:spacing w:line="201" w:lineRule="exact"/>
              <w:ind w:right="165"/>
              <w:jc w:val="right"/>
              <w:rPr>
                <w:b/>
                <w:sz w:val="18"/>
              </w:rPr>
            </w:pPr>
            <w:r>
              <w:rPr>
                <w:b/>
                <w:w w:val="95"/>
                <w:sz w:val="18"/>
              </w:rPr>
              <w:t>82.1</w:t>
            </w:r>
          </w:p>
        </w:tc>
        <w:tc>
          <w:tcPr>
            <w:tcW w:w="1346" w:type="dxa"/>
            <w:tcBorders>
              <w:top w:val="single" w:sz="4" w:space="0" w:color="000000"/>
              <w:left w:val="single" w:sz="4" w:space="0" w:color="000000"/>
              <w:right w:val="single" w:sz="4" w:space="0" w:color="000000"/>
            </w:tcBorders>
            <w:shd w:val="clear" w:color="auto" w:fill="FFFF00"/>
          </w:tcPr>
          <w:p>
            <w:pPr>
              <w:pStyle w:val="TableParagraph"/>
              <w:spacing w:line="201" w:lineRule="exact"/>
              <w:ind w:right="384"/>
              <w:jc w:val="right"/>
              <w:rPr>
                <w:b/>
                <w:sz w:val="18"/>
              </w:rPr>
            </w:pPr>
            <w:r>
              <w:rPr>
                <w:b/>
                <w:sz w:val="18"/>
              </w:rPr>
              <w:t>14</w:t>
            </w:r>
          </w:p>
        </w:tc>
        <w:tc>
          <w:tcPr>
            <w:tcW w:w="1018" w:type="dxa"/>
            <w:tcBorders>
              <w:top w:val="single" w:sz="4" w:space="0" w:color="000000"/>
              <w:left w:val="single" w:sz="4" w:space="0" w:color="000000"/>
              <w:right w:val="single" w:sz="4" w:space="0" w:color="000000"/>
            </w:tcBorders>
            <w:shd w:val="clear" w:color="auto" w:fill="FFFF00"/>
          </w:tcPr>
          <w:p>
            <w:pPr>
              <w:pStyle w:val="TableParagraph"/>
              <w:spacing w:line="201" w:lineRule="exact"/>
              <w:ind w:left="258" w:right="260"/>
              <w:jc w:val="center"/>
              <w:rPr>
                <w:b/>
                <w:sz w:val="18"/>
              </w:rPr>
            </w:pPr>
            <w:r>
              <w:rPr>
                <w:b/>
                <w:sz w:val="18"/>
              </w:rPr>
              <w:t>79.25</w:t>
            </w:r>
          </w:p>
        </w:tc>
        <w:tc>
          <w:tcPr>
            <w:tcW w:w="1430" w:type="dxa"/>
            <w:tcBorders>
              <w:top w:val="single" w:sz="4" w:space="0" w:color="000000"/>
              <w:left w:val="single" w:sz="4" w:space="0" w:color="000000"/>
              <w:right w:val="single" w:sz="4" w:space="0" w:color="000000"/>
            </w:tcBorders>
            <w:shd w:val="clear" w:color="auto" w:fill="FFFF00"/>
          </w:tcPr>
          <w:p>
            <w:pPr>
              <w:pStyle w:val="TableParagraph"/>
              <w:spacing w:line="201" w:lineRule="exact"/>
              <w:ind w:left="590" w:right="590"/>
              <w:jc w:val="center"/>
              <w:rPr>
                <w:b/>
                <w:sz w:val="18"/>
              </w:rPr>
            </w:pPr>
            <w:r>
              <w:rPr>
                <w:b/>
                <w:sz w:val="18"/>
              </w:rPr>
              <w:t>11</w:t>
            </w:r>
          </w:p>
        </w:tc>
        <w:tc>
          <w:tcPr>
            <w:tcW w:w="2333" w:type="dxa"/>
            <w:vMerge w:val="restart"/>
            <w:tcBorders>
              <w:top w:val="single" w:sz="4" w:space="0" w:color="000000"/>
              <w:left w:val="single" w:sz="4" w:space="0" w:color="000000"/>
              <w:right w:val="single" w:sz="4" w:space="0" w:color="000000"/>
            </w:tcBorders>
            <w:shd w:val="clear" w:color="auto" w:fill="FFFF00"/>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152"/>
              <w:ind w:left="886" w:right="886"/>
              <w:jc w:val="center"/>
              <w:rPr>
                <w:b/>
                <w:sz w:val="18"/>
              </w:rPr>
            </w:pPr>
            <w:r>
              <w:rPr>
                <w:b/>
                <w:sz w:val="18"/>
              </w:rPr>
              <w:t>Media</w:t>
            </w: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2" w:lineRule="exact"/>
              <w:ind w:left="64"/>
              <w:rPr>
                <w:b/>
                <w:sz w:val="18"/>
              </w:rPr>
            </w:pPr>
            <w:r>
              <w:rPr>
                <w:b/>
                <w:sz w:val="18"/>
              </w:rPr>
              <w:t>Baja California</w:t>
            </w:r>
          </w:p>
        </w:tc>
        <w:tc>
          <w:tcPr>
            <w:tcW w:w="1054" w:type="dxa"/>
            <w:tcBorders>
              <w:left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65.5</w:t>
            </w:r>
          </w:p>
        </w:tc>
        <w:tc>
          <w:tcPr>
            <w:tcW w:w="1346" w:type="dxa"/>
            <w:tcBorders>
              <w:left w:val="single" w:sz="4" w:space="0" w:color="000000"/>
              <w:right w:val="single" w:sz="4" w:space="0" w:color="000000"/>
            </w:tcBorders>
            <w:shd w:val="clear" w:color="auto" w:fill="FFFF00"/>
          </w:tcPr>
          <w:p>
            <w:pPr>
              <w:pStyle w:val="TableParagraph"/>
              <w:spacing w:line="202" w:lineRule="exact"/>
              <w:ind w:right="384"/>
              <w:jc w:val="right"/>
              <w:rPr>
                <w:b/>
                <w:sz w:val="18"/>
              </w:rPr>
            </w:pPr>
            <w:r>
              <w:rPr>
                <w:b/>
                <w:sz w:val="18"/>
              </w:rPr>
              <w:t>24</w:t>
            </w:r>
          </w:p>
        </w:tc>
        <w:tc>
          <w:tcPr>
            <w:tcW w:w="1018" w:type="dxa"/>
            <w:tcBorders>
              <w:left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78.54</w:t>
            </w:r>
          </w:p>
        </w:tc>
        <w:tc>
          <w:tcPr>
            <w:tcW w:w="1430" w:type="dxa"/>
            <w:tcBorders>
              <w:left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12</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3" w:lineRule="exact"/>
              <w:ind w:left="64"/>
              <w:rPr>
                <w:b/>
                <w:sz w:val="18"/>
              </w:rPr>
            </w:pPr>
            <w:r>
              <w:rPr>
                <w:b/>
                <w:sz w:val="18"/>
              </w:rPr>
              <w:t>Tabasco</w:t>
            </w:r>
          </w:p>
        </w:tc>
        <w:tc>
          <w:tcPr>
            <w:tcW w:w="1054" w:type="dxa"/>
            <w:tcBorders>
              <w:left w:val="single" w:sz="4" w:space="0" w:color="000000"/>
              <w:right w:val="single" w:sz="4" w:space="0" w:color="000000"/>
            </w:tcBorders>
            <w:shd w:val="clear" w:color="auto" w:fill="FFFF00"/>
          </w:tcPr>
          <w:p>
            <w:pPr>
              <w:pStyle w:val="TableParagraph"/>
              <w:spacing w:line="203" w:lineRule="exact"/>
              <w:ind w:right="165"/>
              <w:jc w:val="right"/>
              <w:rPr>
                <w:b/>
                <w:sz w:val="18"/>
              </w:rPr>
            </w:pPr>
            <w:r>
              <w:rPr>
                <w:b/>
                <w:w w:val="95"/>
                <w:sz w:val="18"/>
              </w:rPr>
              <w:t>73.4</w:t>
            </w:r>
          </w:p>
        </w:tc>
        <w:tc>
          <w:tcPr>
            <w:tcW w:w="1346" w:type="dxa"/>
            <w:tcBorders>
              <w:left w:val="single" w:sz="4" w:space="0" w:color="000000"/>
              <w:right w:val="single" w:sz="4" w:space="0" w:color="000000"/>
            </w:tcBorders>
            <w:shd w:val="clear" w:color="auto" w:fill="FFFF00"/>
          </w:tcPr>
          <w:p>
            <w:pPr>
              <w:pStyle w:val="TableParagraph"/>
              <w:spacing w:line="203" w:lineRule="exact"/>
              <w:ind w:right="384"/>
              <w:jc w:val="right"/>
              <w:rPr>
                <w:b/>
                <w:sz w:val="18"/>
              </w:rPr>
            </w:pPr>
            <w:r>
              <w:rPr>
                <w:b/>
                <w:sz w:val="18"/>
              </w:rPr>
              <w:t>20</w:t>
            </w:r>
          </w:p>
        </w:tc>
        <w:tc>
          <w:tcPr>
            <w:tcW w:w="1018" w:type="dxa"/>
            <w:tcBorders>
              <w:left w:val="single" w:sz="4" w:space="0" w:color="000000"/>
              <w:right w:val="single" w:sz="4" w:space="0" w:color="000000"/>
            </w:tcBorders>
            <w:shd w:val="clear" w:color="auto" w:fill="FFFF00"/>
          </w:tcPr>
          <w:p>
            <w:pPr>
              <w:pStyle w:val="TableParagraph"/>
              <w:spacing w:line="203" w:lineRule="exact"/>
              <w:ind w:left="258" w:right="260"/>
              <w:jc w:val="center"/>
              <w:rPr>
                <w:b/>
                <w:sz w:val="18"/>
              </w:rPr>
            </w:pPr>
            <w:r>
              <w:rPr>
                <w:b/>
                <w:sz w:val="18"/>
              </w:rPr>
              <w:t>78.17</w:t>
            </w:r>
          </w:p>
        </w:tc>
        <w:tc>
          <w:tcPr>
            <w:tcW w:w="1430" w:type="dxa"/>
            <w:tcBorders>
              <w:left w:val="single" w:sz="4" w:space="0" w:color="000000"/>
              <w:right w:val="single" w:sz="4" w:space="0" w:color="000000"/>
            </w:tcBorders>
            <w:shd w:val="clear" w:color="auto" w:fill="FFFF00"/>
          </w:tcPr>
          <w:p>
            <w:pPr>
              <w:pStyle w:val="TableParagraph"/>
              <w:spacing w:line="203" w:lineRule="exact"/>
              <w:ind w:left="590" w:right="590"/>
              <w:jc w:val="center"/>
              <w:rPr>
                <w:b/>
                <w:sz w:val="18"/>
              </w:rPr>
            </w:pPr>
            <w:r>
              <w:rPr>
                <w:b/>
                <w:sz w:val="18"/>
              </w:rPr>
              <w:t>13</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2" w:lineRule="exact"/>
              <w:ind w:left="64"/>
              <w:rPr>
                <w:b/>
                <w:sz w:val="18"/>
              </w:rPr>
            </w:pPr>
            <w:r>
              <w:rPr>
                <w:b/>
                <w:sz w:val="18"/>
              </w:rPr>
              <w:t>Colima</w:t>
            </w:r>
          </w:p>
        </w:tc>
        <w:tc>
          <w:tcPr>
            <w:tcW w:w="1054" w:type="dxa"/>
            <w:tcBorders>
              <w:left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85.4</w:t>
            </w:r>
          </w:p>
        </w:tc>
        <w:tc>
          <w:tcPr>
            <w:tcW w:w="1346" w:type="dxa"/>
            <w:tcBorders>
              <w:left w:val="single" w:sz="4" w:space="0" w:color="000000"/>
              <w:right w:val="single" w:sz="4" w:space="0" w:color="000000"/>
            </w:tcBorders>
            <w:shd w:val="clear" w:color="auto" w:fill="FFFF00"/>
          </w:tcPr>
          <w:p>
            <w:pPr>
              <w:pStyle w:val="TableParagraph"/>
              <w:spacing w:line="202" w:lineRule="exact"/>
              <w:ind w:left="796"/>
              <w:rPr>
                <w:b/>
                <w:sz w:val="18"/>
              </w:rPr>
            </w:pPr>
            <w:r>
              <w:rPr>
                <w:b/>
                <w:w w:val="99"/>
                <w:sz w:val="18"/>
              </w:rPr>
              <w:t>8</w:t>
            </w:r>
          </w:p>
        </w:tc>
        <w:tc>
          <w:tcPr>
            <w:tcW w:w="1018" w:type="dxa"/>
            <w:tcBorders>
              <w:left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74.69</w:t>
            </w:r>
          </w:p>
        </w:tc>
        <w:tc>
          <w:tcPr>
            <w:tcW w:w="1430" w:type="dxa"/>
            <w:tcBorders>
              <w:left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14</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3" w:lineRule="exact"/>
              <w:ind w:left="64"/>
              <w:rPr>
                <w:b/>
                <w:sz w:val="18"/>
              </w:rPr>
            </w:pPr>
            <w:r>
              <w:rPr>
                <w:b/>
                <w:sz w:val="18"/>
              </w:rPr>
              <w:t>San Luis Potosí</w:t>
            </w:r>
          </w:p>
        </w:tc>
        <w:tc>
          <w:tcPr>
            <w:tcW w:w="1054" w:type="dxa"/>
            <w:tcBorders>
              <w:left w:val="single" w:sz="4" w:space="0" w:color="000000"/>
              <w:right w:val="single" w:sz="4" w:space="0" w:color="000000"/>
            </w:tcBorders>
            <w:shd w:val="clear" w:color="auto" w:fill="FFFF00"/>
          </w:tcPr>
          <w:p>
            <w:pPr>
              <w:pStyle w:val="TableParagraph"/>
              <w:spacing w:line="203" w:lineRule="exact"/>
              <w:ind w:right="165"/>
              <w:jc w:val="right"/>
              <w:rPr>
                <w:b/>
                <w:sz w:val="18"/>
              </w:rPr>
            </w:pPr>
            <w:r>
              <w:rPr>
                <w:b/>
                <w:w w:val="95"/>
                <w:sz w:val="18"/>
              </w:rPr>
              <w:t>82.4</w:t>
            </w:r>
          </w:p>
        </w:tc>
        <w:tc>
          <w:tcPr>
            <w:tcW w:w="1346" w:type="dxa"/>
            <w:tcBorders>
              <w:left w:val="single" w:sz="4" w:space="0" w:color="000000"/>
              <w:right w:val="single" w:sz="4" w:space="0" w:color="000000"/>
            </w:tcBorders>
            <w:shd w:val="clear" w:color="auto" w:fill="FFFF00"/>
          </w:tcPr>
          <w:p>
            <w:pPr>
              <w:pStyle w:val="TableParagraph"/>
              <w:spacing w:line="203" w:lineRule="exact"/>
              <w:ind w:right="384"/>
              <w:jc w:val="right"/>
              <w:rPr>
                <w:b/>
                <w:sz w:val="18"/>
              </w:rPr>
            </w:pPr>
            <w:r>
              <w:rPr>
                <w:b/>
                <w:sz w:val="18"/>
              </w:rPr>
              <w:t>12</w:t>
            </w:r>
          </w:p>
        </w:tc>
        <w:tc>
          <w:tcPr>
            <w:tcW w:w="1018" w:type="dxa"/>
            <w:tcBorders>
              <w:left w:val="single" w:sz="4" w:space="0" w:color="000000"/>
              <w:right w:val="single" w:sz="4" w:space="0" w:color="000000"/>
            </w:tcBorders>
            <w:shd w:val="clear" w:color="auto" w:fill="FFFF00"/>
          </w:tcPr>
          <w:p>
            <w:pPr>
              <w:pStyle w:val="TableParagraph"/>
              <w:spacing w:line="203" w:lineRule="exact"/>
              <w:ind w:left="258" w:right="260"/>
              <w:jc w:val="center"/>
              <w:rPr>
                <w:b/>
                <w:sz w:val="18"/>
              </w:rPr>
            </w:pPr>
            <w:r>
              <w:rPr>
                <w:b/>
                <w:sz w:val="18"/>
              </w:rPr>
              <w:t>68.45</w:t>
            </w:r>
          </w:p>
        </w:tc>
        <w:tc>
          <w:tcPr>
            <w:tcW w:w="1430" w:type="dxa"/>
            <w:tcBorders>
              <w:left w:val="single" w:sz="4" w:space="0" w:color="000000"/>
              <w:right w:val="single" w:sz="4" w:space="0" w:color="000000"/>
            </w:tcBorders>
            <w:shd w:val="clear" w:color="auto" w:fill="FFFF00"/>
          </w:tcPr>
          <w:p>
            <w:pPr>
              <w:pStyle w:val="TableParagraph"/>
              <w:spacing w:line="203" w:lineRule="exact"/>
              <w:ind w:left="590" w:right="590"/>
              <w:jc w:val="center"/>
              <w:rPr>
                <w:b/>
                <w:sz w:val="18"/>
              </w:rPr>
            </w:pPr>
            <w:r>
              <w:rPr>
                <w:b/>
                <w:sz w:val="18"/>
              </w:rPr>
              <w:t>15</w:t>
            </w:r>
          </w:p>
        </w:tc>
        <w:tc>
          <w:tcPr>
            <w:tcW w:w="2333" w:type="dxa"/>
            <w:vMerge/>
            <w:tcBorders>
              <w:left w:val="single" w:sz="4" w:space="0" w:color="000000"/>
              <w:right w:val="single" w:sz="4" w:space="0" w:color="000000"/>
            </w:tcBorders>
            <w:shd w:val="clear" w:color="auto" w:fill="FFFF00"/>
          </w:tcPr>
          <w:p>
            <w:pPr/>
          </w:p>
        </w:tc>
      </w:tr>
      <w:tr>
        <w:trPr>
          <w:trHeight w:val="216" w:hRule="exact"/>
        </w:trPr>
        <w:tc>
          <w:tcPr>
            <w:tcW w:w="1898" w:type="dxa"/>
            <w:tcBorders>
              <w:left w:val="single" w:sz="4" w:space="0" w:color="000000"/>
              <w:right w:val="single" w:sz="4" w:space="0" w:color="000000"/>
            </w:tcBorders>
            <w:shd w:val="clear" w:color="auto" w:fill="FFFF00"/>
          </w:tcPr>
          <w:p>
            <w:pPr>
              <w:pStyle w:val="TableParagraph"/>
              <w:spacing w:line="202" w:lineRule="exact"/>
              <w:ind w:left="64"/>
              <w:rPr>
                <w:b/>
                <w:sz w:val="18"/>
              </w:rPr>
            </w:pPr>
            <w:r>
              <w:rPr>
                <w:b/>
                <w:sz w:val="18"/>
              </w:rPr>
              <w:t>Durango</w:t>
            </w:r>
          </w:p>
        </w:tc>
        <w:tc>
          <w:tcPr>
            <w:tcW w:w="1054" w:type="dxa"/>
            <w:tcBorders>
              <w:left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78.5</w:t>
            </w:r>
          </w:p>
        </w:tc>
        <w:tc>
          <w:tcPr>
            <w:tcW w:w="1346" w:type="dxa"/>
            <w:tcBorders>
              <w:left w:val="single" w:sz="4" w:space="0" w:color="000000"/>
              <w:right w:val="single" w:sz="4" w:space="0" w:color="000000"/>
            </w:tcBorders>
            <w:shd w:val="clear" w:color="auto" w:fill="FFFF00"/>
          </w:tcPr>
          <w:p>
            <w:pPr>
              <w:pStyle w:val="TableParagraph"/>
              <w:spacing w:line="202" w:lineRule="exact"/>
              <w:ind w:right="384"/>
              <w:jc w:val="right"/>
              <w:rPr>
                <w:b/>
                <w:sz w:val="18"/>
              </w:rPr>
            </w:pPr>
            <w:r>
              <w:rPr>
                <w:b/>
                <w:sz w:val="18"/>
              </w:rPr>
              <w:t>15</w:t>
            </w:r>
          </w:p>
        </w:tc>
        <w:tc>
          <w:tcPr>
            <w:tcW w:w="1018" w:type="dxa"/>
            <w:tcBorders>
              <w:left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66.48</w:t>
            </w:r>
          </w:p>
        </w:tc>
        <w:tc>
          <w:tcPr>
            <w:tcW w:w="1430" w:type="dxa"/>
            <w:tcBorders>
              <w:left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16</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2" w:lineRule="exact"/>
              <w:ind w:left="64"/>
              <w:rPr>
                <w:b/>
                <w:sz w:val="18"/>
              </w:rPr>
            </w:pPr>
            <w:r>
              <w:rPr>
                <w:b/>
                <w:sz w:val="18"/>
              </w:rPr>
              <w:t>Tamaulipas</w:t>
            </w:r>
          </w:p>
        </w:tc>
        <w:tc>
          <w:tcPr>
            <w:tcW w:w="1054" w:type="dxa"/>
            <w:tcBorders>
              <w:left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18.4</w:t>
            </w:r>
          </w:p>
        </w:tc>
        <w:tc>
          <w:tcPr>
            <w:tcW w:w="1346" w:type="dxa"/>
            <w:tcBorders>
              <w:left w:val="single" w:sz="4" w:space="0" w:color="000000"/>
              <w:right w:val="single" w:sz="4" w:space="0" w:color="000000"/>
            </w:tcBorders>
            <w:shd w:val="clear" w:color="auto" w:fill="FFFF00"/>
          </w:tcPr>
          <w:p>
            <w:pPr>
              <w:pStyle w:val="TableParagraph"/>
              <w:spacing w:line="202" w:lineRule="exact"/>
              <w:ind w:right="384"/>
              <w:jc w:val="right"/>
              <w:rPr>
                <w:b/>
                <w:sz w:val="18"/>
              </w:rPr>
            </w:pPr>
            <w:r>
              <w:rPr>
                <w:b/>
                <w:sz w:val="18"/>
              </w:rPr>
              <w:t>30</w:t>
            </w:r>
          </w:p>
        </w:tc>
        <w:tc>
          <w:tcPr>
            <w:tcW w:w="1018" w:type="dxa"/>
            <w:tcBorders>
              <w:left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65.04</w:t>
            </w:r>
          </w:p>
        </w:tc>
        <w:tc>
          <w:tcPr>
            <w:tcW w:w="1430" w:type="dxa"/>
            <w:tcBorders>
              <w:left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17</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3" w:lineRule="exact"/>
              <w:ind w:left="64"/>
              <w:rPr>
                <w:b/>
                <w:sz w:val="18"/>
              </w:rPr>
            </w:pPr>
            <w:r>
              <w:rPr>
                <w:b/>
                <w:sz w:val="18"/>
              </w:rPr>
              <w:t>Distrito Federal</w:t>
            </w:r>
          </w:p>
        </w:tc>
        <w:tc>
          <w:tcPr>
            <w:tcW w:w="1054" w:type="dxa"/>
            <w:tcBorders>
              <w:left w:val="single" w:sz="4" w:space="0" w:color="000000"/>
              <w:right w:val="single" w:sz="4" w:space="0" w:color="000000"/>
            </w:tcBorders>
            <w:shd w:val="clear" w:color="auto" w:fill="FFFF00"/>
          </w:tcPr>
          <w:p>
            <w:pPr>
              <w:pStyle w:val="TableParagraph"/>
              <w:spacing w:line="203" w:lineRule="exact"/>
              <w:ind w:right="165"/>
              <w:jc w:val="right"/>
              <w:rPr>
                <w:b/>
                <w:sz w:val="18"/>
              </w:rPr>
            </w:pPr>
            <w:r>
              <w:rPr>
                <w:b/>
                <w:w w:val="95"/>
                <w:sz w:val="18"/>
              </w:rPr>
              <w:t>76.7</w:t>
            </w:r>
          </w:p>
        </w:tc>
        <w:tc>
          <w:tcPr>
            <w:tcW w:w="1346" w:type="dxa"/>
            <w:tcBorders>
              <w:left w:val="single" w:sz="4" w:space="0" w:color="000000"/>
              <w:right w:val="single" w:sz="4" w:space="0" w:color="000000"/>
            </w:tcBorders>
            <w:shd w:val="clear" w:color="auto" w:fill="FFFF00"/>
          </w:tcPr>
          <w:p>
            <w:pPr>
              <w:pStyle w:val="TableParagraph"/>
              <w:spacing w:line="203" w:lineRule="exact"/>
              <w:ind w:right="384"/>
              <w:jc w:val="right"/>
              <w:rPr>
                <w:b/>
                <w:sz w:val="18"/>
              </w:rPr>
            </w:pPr>
            <w:r>
              <w:rPr>
                <w:b/>
                <w:sz w:val="18"/>
              </w:rPr>
              <w:t>16</w:t>
            </w:r>
          </w:p>
        </w:tc>
        <w:tc>
          <w:tcPr>
            <w:tcW w:w="1018" w:type="dxa"/>
            <w:tcBorders>
              <w:left w:val="single" w:sz="4" w:space="0" w:color="000000"/>
              <w:right w:val="single" w:sz="4" w:space="0" w:color="000000"/>
            </w:tcBorders>
            <w:shd w:val="clear" w:color="auto" w:fill="FFFF00"/>
          </w:tcPr>
          <w:p>
            <w:pPr>
              <w:pStyle w:val="TableParagraph"/>
              <w:spacing w:line="203" w:lineRule="exact"/>
              <w:ind w:left="258" w:right="260"/>
              <w:jc w:val="center"/>
              <w:rPr>
                <w:b/>
                <w:sz w:val="18"/>
              </w:rPr>
            </w:pPr>
            <w:r>
              <w:rPr>
                <w:b/>
                <w:sz w:val="18"/>
              </w:rPr>
              <w:t>62.91</w:t>
            </w:r>
          </w:p>
        </w:tc>
        <w:tc>
          <w:tcPr>
            <w:tcW w:w="1430" w:type="dxa"/>
            <w:tcBorders>
              <w:left w:val="single" w:sz="4" w:space="0" w:color="000000"/>
              <w:right w:val="single" w:sz="4" w:space="0" w:color="000000"/>
            </w:tcBorders>
            <w:shd w:val="clear" w:color="auto" w:fill="FFFF00"/>
          </w:tcPr>
          <w:p>
            <w:pPr>
              <w:pStyle w:val="TableParagraph"/>
              <w:spacing w:line="203" w:lineRule="exact"/>
              <w:ind w:left="590" w:right="590"/>
              <w:jc w:val="center"/>
              <w:rPr>
                <w:b/>
                <w:sz w:val="18"/>
              </w:rPr>
            </w:pPr>
            <w:r>
              <w:rPr>
                <w:b/>
                <w:sz w:val="18"/>
              </w:rPr>
              <w:t>18</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2" w:lineRule="exact"/>
              <w:ind w:left="64"/>
              <w:rPr>
                <w:b/>
                <w:sz w:val="18"/>
              </w:rPr>
            </w:pPr>
            <w:r>
              <w:rPr>
                <w:b/>
                <w:sz w:val="18"/>
              </w:rPr>
              <w:t>Yucatán</w:t>
            </w:r>
          </w:p>
        </w:tc>
        <w:tc>
          <w:tcPr>
            <w:tcW w:w="1054" w:type="dxa"/>
            <w:tcBorders>
              <w:left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76.6</w:t>
            </w:r>
          </w:p>
        </w:tc>
        <w:tc>
          <w:tcPr>
            <w:tcW w:w="1346" w:type="dxa"/>
            <w:tcBorders>
              <w:left w:val="single" w:sz="4" w:space="0" w:color="000000"/>
              <w:right w:val="single" w:sz="4" w:space="0" w:color="000000"/>
            </w:tcBorders>
            <w:shd w:val="clear" w:color="auto" w:fill="FFFF00"/>
          </w:tcPr>
          <w:p>
            <w:pPr>
              <w:pStyle w:val="TableParagraph"/>
              <w:spacing w:line="202" w:lineRule="exact"/>
              <w:ind w:right="384"/>
              <w:jc w:val="right"/>
              <w:rPr>
                <w:b/>
                <w:sz w:val="18"/>
              </w:rPr>
            </w:pPr>
            <w:r>
              <w:rPr>
                <w:b/>
                <w:sz w:val="18"/>
              </w:rPr>
              <w:t>17</w:t>
            </w:r>
          </w:p>
        </w:tc>
        <w:tc>
          <w:tcPr>
            <w:tcW w:w="1018" w:type="dxa"/>
            <w:tcBorders>
              <w:left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62.86</w:t>
            </w:r>
          </w:p>
        </w:tc>
        <w:tc>
          <w:tcPr>
            <w:tcW w:w="1430" w:type="dxa"/>
            <w:tcBorders>
              <w:left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19</w:t>
            </w:r>
          </w:p>
        </w:tc>
        <w:tc>
          <w:tcPr>
            <w:tcW w:w="2333" w:type="dxa"/>
            <w:vMerge/>
            <w:tcBorders>
              <w:left w:val="single" w:sz="4" w:space="0" w:color="000000"/>
              <w:right w:val="single" w:sz="4" w:space="0" w:color="000000"/>
            </w:tcBorders>
            <w:shd w:val="clear" w:color="auto" w:fill="FFFF00"/>
          </w:tcPr>
          <w:p>
            <w:pPr/>
          </w:p>
        </w:tc>
      </w:tr>
      <w:tr>
        <w:trPr>
          <w:trHeight w:val="217" w:hRule="exact"/>
        </w:trPr>
        <w:tc>
          <w:tcPr>
            <w:tcW w:w="1898" w:type="dxa"/>
            <w:tcBorders>
              <w:left w:val="single" w:sz="4" w:space="0" w:color="000000"/>
              <w:right w:val="single" w:sz="4" w:space="0" w:color="000000"/>
            </w:tcBorders>
            <w:shd w:val="clear" w:color="auto" w:fill="FFFF00"/>
          </w:tcPr>
          <w:p>
            <w:pPr>
              <w:pStyle w:val="TableParagraph"/>
              <w:spacing w:line="203" w:lineRule="exact"/>
              <w:ind w:left="64"/>
              <w:rPr>
                <w:b/>
                <w:sz w:val="18"/>
              </w:rPr>
            </w:pPr>
            <w:r>
              <w:rPr>
                <w:b/>
                <w:sz w:val="18"/>
              </w:rPr>
              <w:t>Coahuila</w:t>
            </w:r>
          </w:p>
        </w:tc>
        <w:tc>
          <w:tcPr>
            <w:tcW w:w="1054" w:type="dxa"/>
            <w:tcBorders>
              <w:left w:val="single" w:sz="4" w:space="0" w:color="000000"/>
              <w:right w:val="single" w:sz="4" w:space="0" w:color="000000"/>
            </w:tcBorders>
            <w:shd w:val="clear" w:color="auto" w:fill="FFFF00"/>
          </w:tcPr>
          <w:p>
            <w:pPr>
              <w:pStyle w:val="TableParagraph"/>
              <w:spacing w:line="203" w:lineRule="exact"/>
              <w:ind w:right="165"/>
              <w:jc w:val="right"/>
              <w:rPr>
                <w:b/>
                <w:sz w:val="18"/>
              </w:rPr>
            </w:pPr>
            <w:r>
              <w:rPr>
                <w:b/>
                <w:w w:val="95"/>
                <w:sz w:val="18"/>
              </w:rPr>
              <w:t>69.0</w:t>
            </w:r>
          </w:p>
        </w:tc>
        <w:tc>
          <w:tcPr>
            <w:tcW w:w="1346" w:type="dxa"/>
            <w:tcBorders>
              <w:left w:val="single" w:sz="4" w:space="0" w:color="000000"/>
              <w:right w:val="single" w:sz="4" w:space="0" w:color="000000"/>
            </w:tcBorders>
            <w:shd w:val="clear" w:color="auto" w:fill="FFFF00"/>
          </w:tcPr>
          <w:p>
            <w:pPr>
              <w:pStyle w:val="TableParagraph"/>
              <w:spacing w:line="203" w:lineRule="exact"/>
              <w:ind w:right="384"/>
              <w:jc w:val="right"/>
              <w:rPr>
                <w:b/>
                <w:sz w:val="18"/>
              </w:rPr>
            </w:pPr>
            <w:r>
              <w:rPr>
                <w:b/>
                <w:sz w:val="18"/>
              </w:rPr>
              <w:t>21</w:t>
            </w:r>
          </w:p>
        </w:tc>
        <w:tc>
          <w:tcPr>
            <w:tcW w:w="1018" w:type="dxa"/>
            <w:tcBorders>
              <w:left w:val="single" w:sz="4" w:space="0" w:color="000000"/>
              <w:right w:val="single" w:sz="4" w:space="0" w:color="000000"/>
            </w:tcBorders>
            <w:shd w:val="clear" w:color="auto" w:fill="FFFF00"/>
          </w:tcPr>
          <w:p>
            <w:pPr>
              <w:pStyle w:val="TableParagraph"/>
              <w:spacing w:line="203" w:lineRule="exact"/>
              <w:ind w:left="258" w:right="260"/>
              <w:jc w:val="center"/>
              <w:rPr>
                <w:b/>
                <w:sz w:val="18"/>
              </w:rPr>
            </w:pPr>
            <w:r>
              <w:rPr>
                <w:b/>
                <w:sz w:val="18"/>
              </w:rPr>
              <w:t>61.81</w:t>
            </w:r>
          </w:p>
        </w:tc>
        <w:tc>
          <w:tcPr>
            <w:tcW w:w="1430" w:type="dxa"/>
            <w:tcBorders>
              <w:left w:val="single" w:sz="4" w:space="0" w:color="000000"/>
              <w:right w:val="single" w:sz="4" w:space="0" w:color="000000"/>
            </w:tcBorders>
            <w:shd w:val="clear" w:color="auto" w:fill="FFFF00"/>
          </w:tcPr>
          <w:p>
            <w:pPr>
              <w:pStyle w:val="TableParagraph"/>
              <w:spacing w:line="203" w:lineRule="exact"/>
              <w:ind w:left="590" w:right="590"/>
              <w:jc w:val="center"/>
              <w:rPr>
                <w:b/>
                <w:sz w:val="18"/>
              </w:rPr>
            </w:pPr>
            <w:r>
              <w:rPr>
                <w:b/>
                <w:sz w:val="18"/>
              </w:rPr>
              <w:t>20</w:t>
            </w:r>
          </w:p>
        </w:tc>
        <w:tc>
          <w:tcPr>
            <w:tcW w:w="2333" w:type="dxa"/>
            <w:vMerge/>
            <w:tcBorders>
              <w:left w:val="single" w:sz="4" w:space="0" w:color="000000"/>
              <w:right w:val="single" w:sz="4" w:space="0" w:color="000000"/>
            </w:tcBorders>
            <w:shd w:val="clear" w:color="auto" w:fill="FFFF00"/>
          </w:tcPr>
          <w:p>
            <w:pPr/>
          </w:p>
        </w:tc>
      </w:tr>
      <w:tr>
        <w:trPr>
          <w:trHeight w:val="216" w:hRule="exact"/>
        </w:trPr>
        <w:tc>
          <w:tcPr>
            <w:tcW w:w="1898" w:type="dxa"/>
            <w:tcBorders>
              <w:left w:val="single" w:sz="4" w:space="0" w:color="000000"/>
              <w:right w:val="single" w:sz="4" w:space="0" w:color="000000"/>
            </w:tcBorders>
            <w:shd w:val="clear" w:color="auto" w:fill="FFFF00"/>
          </w:tcPr>
          <w:p>
            <w:pPr>
              <w:pStyle w:val="TableParagraph"/>
              <w:spacing w:line="202" w:lineRule="exact"/>
              <w:ind w:left="64"/>
              <w:rPr>
                <w:b/>
                <w:sz w:val="18"/>
              </w:rPr>
            </w:pPr>
            <w:r>
              <w:rPr>
                <w:b/>
                <w:sz w:val="18"/>
              </w:rPr>
              <w:t>Michoacán</w:t>
            </w:r>
          </w:p>
        </w:tc>
        <w:tc>
          <w:tcPr>
            <w:tcW w:w="1054" w:type="dxa"/>
            <w:tcBorders>
              <w:left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82.3</w:t>
            </w:r>
          </w:p>
        </w:tc>
        <w:tc>
          <w:tcPr>
            <w:tcW w:w="1346" w:type="dxa"/>
            <w:tcBorders>
              <w:left w:val="single" w:sz="4" w:space="0" w:color="000000"/>
              <w:right w:val="single" w:sz="4" w:space="0" w:color="000000"/>
            </w:tcBorders>
            <w:shd w:val="clear" w:color="auto" w:fill="FFFF00"/>
          </w:tcPr>
          <w:p>
            <w:pPr>
              <w:pStyle w:val="TableParagraph"/>
              <w:spacing w:line="202" w:lineRule="exact"/>
              <w:ind w:right="384"/>
              <w:jc w:val="right"/>
              <w:rPr>
                <w:b/>
                <w:sz w:val="18"/>
              </w:rPr>
            </w:pPr>
            <w:r>
              <w:rPr>
                <w:b/>
                <w:sz w:val="18"/>
              </w:rPr>
              <w:t>13</w:t>
            </w:r>
          </w:p>
        </w:tc>
        <w:tc>
          <w:tcPr>
            <w:tcW w:w="1018" w:type="dxa"/>
            <w:tcBorders>
              <w:left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61.63</w:t>
            </w:r>
          </w:p>
        </w:tc>
        <w:tc>
          <w:tcPr>
            <w:tcW w:w="1430" w:type="dxa"/>
            <w:tcBorders>
              <w:left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21</w:t>
            </w:r>
          </w:p>
        </w:tc>
        <w:tc>
          <w:tcPr>
            <w:tcW w:w="2333" w:type="dxa"/>
            <w:vMerge/>
            <w:tcBorders>
              <w:left w:val="single" w:sz="4" w:space="0" w:color="000000"/>
              <w:right w:val="single" w:sz="4" w:space="0" w:color="000000"/>
            </w:tcBorders>
            <w:shd w:val="clear" w:color="auto" w:fill="FFFF00"/>
          </w:tcPr>
          <w:p>
            <w:pPr/>
          </w:p>
        </w:tc>
      </w:tr>
      <w:tr>
        <w:trPr>
          <w:trHeight w:val="214" w:hRule="exact"/>
        </w:trPr>
        <w:tc>
          <w:tcPr>
            <w:tcW w:w="1898" w:type="dxa"/>
            <w:tcBorders>
              <w:left w:val="single" w:sz="4" w:space="0" w:color="000000"/>
              <w:bottom w:val="single" w:sz="4" w:space="0" w:color="000000"/>
              <w:right w:val="single" w:sz="4" w:space="0" w:color="000000"/>
            </w:tcBorders>
            <w:shd w:val="clear" w:color="auto" w:fill="FFFF00"/>
          </w:tcPr>
          <w:p>
            <w:pPr>
              <w:pStyle w:val="TableParagraph"/>
              <w:spacing w:line="202" w:lineRule="exact"/>
              <w:ind w:left="64"/>
              <w:rPr>
                <w:b/>
                <w:sz w:val="18"/>
              </w:rPr>
            </w:pPr>
            <w:r>
              <w:rPr>
                <w:b/>
                <w:sz w:val="18"/>
              </w:rPr>
              <w:t>Zacatecas</w:t>
            </w:r>
          </w:p>
        </w:tc>
        <w:tc>
          <w:tcPr>
            <w:tcW w:w="1054" w:type="dxa"/>
            <w:tcBorders>
              <w:left w:val="single" w:sz="4" w:space="0" w:color="000000"/>
              <w:bottom w:val="single" w:sz="4" w:space="0" w:color="000000"/>
              <w:right w:val="single" w:sz="4" w:space="0" w:color="000000"/>
            </w:tcBorders>
            <w:shd w:val="clear" w:color="auto" w:fill="FFFF00"/>
          </w:tcPr>
          <w:p>
            <w:pPr>
              <w:pStyle w:val="TableParagraph"/>
              <w:spacing w:line="202" w:lineRule="exact"/>
              <w:ind w:right="165"/>
              <w:jc w:val="right"/>
              <w:rPr>
                <w:b/>
                <w:sz w:val="18"/>
              </w:rPr>
            </w:pPr>
            <w:r>
              <w:rPr>
                <w:b/>
                <w:w w:val="95"/>
                <w:sz w:val="18"/>
              </w:rPr>
              <w:t>66.8</w:t>
            </w:r>
          </w:p>
        </w:tc>
        <w:tc>
          <w:tcPr>
            <w:tcW w:w="1346" w:type="dxa"/>
            <w:tcBorders>
              <w:left w:val="single" w:sz="4" w:space="0" w:color="000000"/>
              <w:bottom w:val="single" w:sz="4" w:space="0" w:color="000000"/>
              <w:right w:val="single" w:sz="4" w:space="0" w:color="000000"/>
            </w:tcBorders>
            <w:shd w:val="clear" w:color="auto" w:fill="FFFF00"/>
          </w:tcPr>
          <w:p>
            <w:pPr>
              <w:pStyle w:val="TableParagraph"/>
              <w:spacing w:line="202" w:lineRule="exact"/>
              <w:ind w:right="384"/>
              <w:jc w:val="right"/>
              <w:rPr>
                <w:b/>
                <w:sz w:val="18"/>
              </w:rPr>
            </w:pPr>
            <w:r>
              <w:rPr>
                <w:b/>
                <w:sz w:val="18"/>
              </w:rPr>
              <w:t>23</w:t>
            </w:r>
          </w:p>
        </w:tc>
        <w:tc>
          <w:tcPr>
            <w:tcW w:w="1018" w:type="dxa"/>
            <w:tcBorders>
              <w:left w:val="single" w:sz="4" w:space="0" w:color="000000"/>
              <w:bottom w:val="single" w:sz="4" w:space="0" w:color="000000"/>
              <w:right w:val="single" w:sz="4" w:space="0" w:color="000000"/>
            </w:tcBorders>
            <w:shd w:val="clear" w:color="auto" w:fill="FFFF00"/>
          </w:tcPr>
          <w:p>
            <w:pPr>
              <w:pStyle w:val="TableParagraph"/>
              <w:spacing w:line="202" w:lineRule="exact"/>
              <w:ind w:left="258" w:right="260"/>
              <w:jc w:val="center"/>
              <w:rPr>
                <w:b/>
                <w:sz w:val="18"/>
              </w:rPr>
            </w:pPr>
            <w:r>
              <w:rPr>
                <w:b/>
                <w:sz w:val="18"/>
              </w:rPr>
              <w:t>60.59</w:t>
            </w:r>
          </w:p>
        </w:tc>
        <w:tc>
          <w:tcPr>
            <w:tcW w:w="1430" w:type="dxa"/>
            <w:tcBorders>
              <w:left w:val="single" w:sz="4" w:space="0" w:color="000000"/>
              <w:bottom w:val="single" w:sz="4" w:space="0" w:color="000000"/>
              <w:right w:val="single" w:sz="4" w:space="0" w:color="000000"/>
            </w:tcBorders>
            <w:shd w:val="clear" w:color="auto" w:fill="FFFF00"/>
          </w:tcPr>
          <w:p>
            <w:pPr>
              <w:pStyle w:val="TableParagraph"/>
              <w:spacing w:line="202" w:lineRule="exact"/>
              <w:ind w:left="590" w:right="590"/>
              <w:jc w:val="center"/>
              <w:rPr>
                <w:b/>
                <w:sz w:val="18"/>
              </w:rPr>
            </w:pPr>
            <w:r>
              <w:rPr>
                <w:b/>
                <w:sz w:val="18"/>
              </w:rPr>
              <w:t>22</w:t>
            </w:r>
          </w:p>
        </w:tc>
        <w:tc>
          <w:tcPr>
            <w:tcW w:w="2333" w:type="dxa"/>
            <w:vMerge/>
            <w:tcBorders>
              <w:left w:val="single" w:sz="4" w:space="0" w:color="000000"/>
              <w:bottom w:val="single" w:sz="4" w:space="0" w:color="000000"/>
              <w:right w:val="single" w:sz="4" w:space="0" w:color="000000"/>
            </w:tcBorders>
            <w:shd w:val="clear" w:color="auto" w:fill="FFFF00"/>
          </w:tcPr>
          <w:p>
            <w:pPr/>
          </w:p>
        </w:tc>
      </w:tr>
      <w:tr>
        <w:trPr>
          <w:trHeight w:val="264" w:hRule="exact"/>
        </w:trPr>
        <w:tc>
          <w:tcPr>
            <w:tcW w:w="1898" w:type="dxa"/>
            <w:tcBorders>
              <w:top w:val="single" w:sz="4" w:space="0" w:color="000000"/>
              <w:left w:val="single" w:sz="4" w:space="0" w:color="000000"/>
              <w:right w:val="single" w:sz="4" w:space="0" w:color="000000"/>
            </w:tcBorders>
            <w:shd w:val="clear" w:color="auto" w:fill="FF0000"/>
          </w:tcPr>
          <w:p>
            <w:pPr>
              <w:pStyle w:val="TableParagraph"/>
              <w:spacing w:before="18"/>
              <w:ind w:left="64"/>
              <w:rPr>
                <w:b/>
                <w:sz w:val="18"/>
              </w:rPr>
            </w:pPr>
            <w:r>
              <w:rPr>
                <w:b/>
                <w:color w:val="FFFFFF"/>
                <w:sz w:val="18"/>
              </w:rPr>
              <w:t>Querétaro</w:t>
            </w:r>
          </w:p>
        </w:tc>
        <w:tc>
          <w:tcPr>
            <w:tcW w:w="1054" w:type="dxa"/>
            <w:tcBorders>
              <w:top w:val="single" w:sz="4" w:space="0" w:color="000000"/>
              <w:left w:val="single" w:sz="4" w:space="0" w:color="000000"/>
              <w:right w:val="single" w:sz="4" w:space="0" w:color="000000"/>
            </w:tcBorders>
            <w:shd w:val="clear" w:color="auto" w:fill="FF0000"/>
          </w:tcPr>
          <w:p>
            <w:pPr>
              <w:pStyle w:val="TableParagraph"/>
              <w:spacing w:before="18"/>
              <w:ind w:right="165"/>
              <w:jc w:val="right"/>
              <w:rPr>
                <w:b/>
                <w:sz w:val="18"/>
              </w:rPr>
            </w:pPr>
            <w:r>
              <w:rPr>
                <w:b/>
                <w:color w:val="FFFFFF"/>
                <w:w w:val="95"/>
                <w:sz w:val="18"/>
              </w:rPr>
              <w:t>82.5</w:t>
            </w:r>
          </w:p>
        </w:tc>
        <w:tc>
          <w:tcPr>
            <w:tcW w:w="1346" w:type="dxa"/>
            <w:tcBorders>
              <w:top w:val="single" w:sz="4" w:space="0" w:color="000000"/>
              <w:left w:val="single" w:sz="4" w:space="0" w:color="000000"/>
              <w:right w:val="single" w:sz="4" w:space="0" w:color="000000"/>
            </w:tcBorders>
            <w:shd w:val="clear" w:color="auto" w:fill="FF0000"/>
          </w:tcPr>
          <w:p>
            <w:pPr>
              <w:pStyle w:val="TableParagraph"/>
              <w:spacing w:before="18"/>
              <w:ind w:right="384"/>
              <w:jc w:val="right"/>
              <w:rPr>
                <w:b/>
                <w:sz w:val="18"/>
              </w:rPr>
            </w:pPr>
            <w:r>
              <w:rPr>
                <w:b/>
                <w:color w:val="FFFFFF"/>
                <w:sz w:val="18"/>
              </w:rPr>
              <w:t>11</w:t>
            </w:r>
          </w:p>
        </w:tc>
        <w:tc>
          <w:tcPr>
            <w:tcW w:w="1018" w:type="dxa"/>
            <w:tcBorders>
              <w:top w:val="single" w:sz="4" w:space="0" w:color="000000"/>
              <w:left w:val="single" w:sz="4" w:space="0" w:color="000000"/>
              <w:right w:val="single" w:sz="4" w:space="0" w:color="000000"/>
            </w:tcBorders>
            <w:shd w:val="clear" w:color="auto" w:fill="FF0000"/>
          </w:tcPr>
          <w:p>
            <w:pPr>
              <w:pStyle w:val="TableParagraph"/>
              <w:spacing w:before="42"/>
              <w:ind w:left="258" w:right="260"/>
              <w:jc w:val="center"/>
              <w:rPr>
                <w:b/>
                <w:sz w:val="18"/>
              </w:rPr>
            </w:pPr>
            <w:r>
              <w:rPr>
                <w:b/>
                <w:color w:val="FFFFFF"/>
                <w:sz w:val="18"/>
              </w:rPr>
              <w:t>57.33</w:t>
            </w:r>
          </w:p>
        </w:tc>
        <w:tc>
          <w:tcPr>
            <w:tcW w:w="1430" w:type="dxa"/>
            <w:tcBorders>
              <w:top w:val="single" w:sz="4" w:space="0" w:color="000000"/>
              <w:left w:val="single" w:sz="4" w:space="0" w:color="000000"/>
              <w:right w:val="single" w:sz="4" w:space="0" w:color="000000"/>
            </w:tcBorders>
            <w:shd w:val="clear" w:color="auto" w:fill="FF0000"/>
          </w:tcPr>
          <w:p>
            <w:pPr>
              <w:pStyle w:val="TableParagraph"/>
              <w:spacing w:before="42"/>
              <w:ind w:left="590" w:right="590"/>
              <w:jc w:val="center"/>
              <w:rPr>
                <w:b/>
                <w:sz w:val="18"/>
              </w:rPr>
            </w:pPr>
            <w:r>
              <w:rPr>
                <w:b/>
                <w:color w:val="FFFFFF"/>
                <w:sz w:val="18"/>
              </w:rPr>
              <w:t>23</w:t>
            </w:r>
          </w:p>
        </w:tc>
        <w:tc>
          <w:tcPr>
            <w:tcW w:w="2333" w:type="dxa"/>
            <w:vMerge w:val="restart"/>
            <w:tcBorders>
              <w:top w:val="single" w:sz="4" w:space="0" w:color="000000"/>
              <w:left w:val="single" w:sz="4" w:space="0" w:color="000000"/>
              <w:right w:val="single" w:sz="4" w:space="0" w:color="000000"/>
            </w:tcBorders>
            <w:shd w:val="clear" w:color="auto" w:fill="FF0000"/>
          </w:tcPr>
          <w:p>
            <w:pPr>
              <w:pStyle w:val="TableParagraph"/>
              <w:rPr>
                <w:i/>
                <w:sz w:val="18"/>
              </w:rPr>
            </w:pPr>
          </w:p>
          <w:p>
            <w:pPr>
              <w:pStyle w:val="TableParagraph"/>
              <w:rPr>
                <w:i/>
                <w:sz w:val="18"/>
              </w:rPr>
            </w:pPr>
          </w:p>
          <w:p>
            <w:pPr>
              <w:pStyle w:val="TableParagraph"/>
              <w:rPr>
                <w:i/>
                <w:sz w:val="18"/>
              </w:rPr>
            </w:pPr>
          </w:p>
          <w:p>
            <w:pPr>
              <w:pStyle w:val="TableParagraph"/>
              <w:spacing w:before="156"/>
              <w:ind w:left="886" w:right="886"/>
              <w:jc w:val="center"/>
              <w:rPr>
                <w:b/>
                <w:sz w:val="18"/>
              </w:rPr>
            </w:pPr>
            <w:r>
              <w:rPr>
                <w:b/>
                <w:color w:val="FFFFFF"/>
                <w:sz w:val="18"/>
              </w:rPr>
              <w:t>Bajo</w:t>
            </w:r>
          </w:p>
        </w:tc>
      </w:tr>
      <w:tr>
        <w:trPr>
          <w:trHeight w:val="221" w:hRule="exact"/>
        </w:trPr>
        <w:tc>
          <w:tcPr>
            <w:tcW w:w="1898" w:type="dxa"/>
            <w:tcBorders>
              <w:left w:val="single" w:sz="4" w:space="0" w:color="000000"/>
              <w:right w:val="single" w:sz="4" w:space="0" w:color="000000"/>
            </w:tcBorders>
            <w:shd w:val="clear" w:color="auto" w:fill="FF0000"/>
          </w:tcPr>
          <w:p>
            <w:pPr>
              <w:pStyle w:val="TableParagraph"/>
              <w:spacing w:line="206" w:lineRule="exact"/>
              <w:ind w:left="64"/>
              <w:rPr>
                <w:b/>
                <w:sz w:val="18"/>
              </w:rPr>
            </w:pPr>
            <w:r>
              <w:rPr>
                <w:b/>
                <w:color w:val="FFFFFF"/>
                <w:sz w:val="18"/>
              </w:rPr>
              <w:t>Sonora</w:t>
            </w:r>
          </w:p>
        </w:tc>
        <w:tc>
          <w:tcPr>
            <w:tcW w:w="1054" w:type="dxa"/>
            <w:tcBorders>
              <w:left w:val="single" w:sz="4" w:space="0" w:color="000000"/>
              <w:right w:val="single" w:sz="4" w:space="0" w:color="000000"/>
            </w:tcBorders>
            <w:shd w:val="clear" w:color="auto" w:fill="FF0000"/>
          </w:tcPr>
          <w:p>
            <w:pPr>
              <w:pStyle w:val="TableParagraph"/>
              <w:spacing w:line="206" w:lineRule="exact"/>
              <w:ind w:right="165"/>
              <w:jc w:val="right"/>
              <w:rPr>
                <w:b/>
                <w:sz w:val="18"/>
              </w:rPr>
            </w:pPr>
            <w:r>
              <w:rPr>
                <w:b/>
                <w:color w:val="FFFFFF"/>
                <w:w w:val="95"/>
                <w:sz w:val="18"/>
              </w:rPr>
              <w:t>48.2</w:t>
            </w:r>
          </w:p>
        </w:tc>
        <w:tc>
          <w:tcPr>
            <w:tcW w:w="1346" w:type="dxa"/>
            <w:tcBorders>
              <w:left w:val="single" w:sz="4" w:space="0" w:color="000000"/>
              <w:right w:val="single" w:sz="4" w:space="0" w:color="000000"/>
            </w:tcBorders>
            <w:shd w:val="clear" w:color="auto" w:fill="FF0000"/>
          </w:tcPr>
          <w:p>
            <w:pPr>
              <w:pStyle w:val="TableParagraph"/>
              <w:spacing w:line="206" w:lineRule="exact"/>
              <w:ind w:right="384"/>
              <w:jc w:val="right"/>
              <w:rPr>
                <w:b/>
                <w:sz w:val="18"/>
              </w:rPr>
            </w:pPr>
            <w:r>
              <w:rPr>
                <w:b/>
                <w:color w:val="FFFFFF"/>
                <w:sz w:val="18"/>
              </w:rPr>
              <w:t>28</w:t>
            </w:r>
          </w:p>
        </w:tc>
        <w:tc>
          <w:tcPr>
            <w:tcW w:w="1018" w:type="dxa"/>
            <w:tcBorders>
              <w:left w:val="single" w:sz="4" w:space="0" w:color="000000"/>
              <w:right w:val="single" w:sz="4" w:space="0" w:color="000000"/>
            </w:tcBorders>
            <w:shd w:val="clear" w:color="auto" w:fill="FF0000"/>
          </w:tcPr>
          <w:p>
            <w:pPr>
              <w:pStyle w:val="TableParagraph"/>
              <w:spacing w:line="206" w:lineRule="exact"/>
              <w:ind w:left="258" w:right="260"/>
              <w:jc w:val="center"/>
              <w:rPr>
                <w:b/>
                <w:sz w:val="18"/>
              </w:rPr>
            </w:pPr>
            <w:r>
              <w:rPr>
                <w:b/>
                <w:color w:val="FFFFFF"/>
                <w:sz w:val="18"/>
              </w:rPr>
              <w:t>53.06</w:t>
            </w:r>
          </w:p>
        </w:tc>
        <w:tc>
          <w:tcPr>
            <w:tcW w:w="1430" w:type="dxa"/>
            <w:tcBorders>
              <w:left w:val="single" w:sz="4" w:space="0" w:color="000000"/>
              <w:right w:val="single" w:sz="4" w:space="0" w:color="000000"/>
            </w:tcBorders>
            <w:shd w:val="clear" w:color="auto" w:fill="FF0000"/>
          </w:tcPr>
          <w:p>
            <w:pPr>
              <w:pStyle w:val="TableParagraph"/>
              <w:spacing w:line="206" w:lineRule="exact"/>
              <w:ind w:left="590" w:right="590"/>
              <w:jc w:val="center"/>
              <w:rPr>
                <w:b/>
                <w:sz w:val="18"/>
              </w:rPr>
            </w:pPr>
            <w:r>
              <w:rPr>
                <w:b/>
                <w:color w:val="FFFFFF"/>
                <w:sz w:val="18"/>
              </w:rPr>
              <w:t>24</w:t>
            </w:r>
          </w:p>
        </w:tc>
        <w:tc>
          <w:tcPr>
            <w:tcW w:w="2333" w:type="dxa"/>
            <w:vMerge/>
            <w:tcBorders>
              <w:left w:val="single" w:sz="4" w:space="0" w:color="000000"/>
              <w:right w:val="single" w:sz="4" w:space="0" w:color="000000"/>
            </w:tcBorders>
            <w:shd w:val="clear" w:color="auto" w:fill="FF0000"/>
          </w:tcPr>
          <w:p>
            <w:pPr/>
          </w:p>
        </w:tc>
      </w:tr>
      <w:tr>
        <w:trPr>
          <w:trHeight w:val="217" w:hRule="exact"/>
        </w:trPr>
        <w:tc>
          <w:tcPr>
            <w:tcW w:w="1898" w:type="dxa"/>
            <w:tcBorders>
              <w:left w:val="single" w:sz="4" w:space="0" w:color="000000"/>
              <w:right w:val="single" w:sz="4" w:space="0" w:color="000000"/>
            </w:tcBorders>
            <w:shd w:val="clear" w:color="auto" w:fill="FF0000"/>
          </w:tcPr>
          <w:p>
            <w:pPr>
              <w:pStyle w:val="TableParagraph"/>
              <w:spacing w:line="203" w:lineRule="exact"/>
              <w:ind w:left="64"/>
              <w:rPr>
                <w:b/>
                <w:sz w:val="18"/>
              </w:rPr>
            </w:pPr>
            <w:r>
              <w:rPr>
                <w:b/>
                <w:color w:val="FFFFFF"/>
                <w:sz w:val="18"/>
              </w:rPr>
              <w:t>Morelos</w:t>
            </w:r>
          </w:p>
        </w:tc>
        <w:tc>
          <w:tcPr>
            <w:tcW w:w="1054" w:type="dxa"/>
            <w:tcBorders>
              <w:left w:val="single" w:sz="4" w:space="0" w:color="000000"/>
              <w:right w:val="single" w:sz="4" w:space="0" w:color="000000"/>
            </w:tcBorders>
            <w:shd w:val="clear" w:color="auto" w:fill="FF0000"/>
          </w:tcPr>
          <w:p>
            <w:pPr>
              <w:pStyle w:val="TableParagraph"/>
              <w:spacing w:line="203" w:lineRule="exact"/>
              <w:ind w:right="165"/>
              <w:jc w:val="right"/>
              <w:rPr>
                <w:b/>
                <w:sz w:val="18"/>
              </w:rPr>
            </w:pPr>
            <w:r>
              <w:rPr>
                <w:b/>
                <w:color w:val="FFFFFF"/>
                <w:w w:val="95"/>
                <w:sz w:val="18"/>
              </w:rPr>
              <w:t>58.5</w:t>
            </w:r>
          </w:p>
        </w:tc>
        <w:tc>
          <w:tcPr>
            <w:tcW w:w="1346" w:type="dxa"/>
            <w:tcBorders>
              <w:left w:val="single" w:sz="4" w:space="0" w:color="000000"/>
              <w:right w:val="single" w:sz="4" w:space="0" w:color="000000"/>
            </w:tcBorders>
            <w:shd w:val="clear" w:color="auto" w:fill="FF0000"/>
          </w:tcPr>
          <w:p>
            <w:pPr>
              <w:pStyle w:val="TableParagraph"/>
              <w:spacing w:line="203" w:lineRule="exact"/>
              <w:ind w:right="384"/>
              <w:jc w:val="right"/>
              <w:rPr>
                <w:b/>
                <w:sz w:val="18"/>
              </w:rPr>
            </w:pPr>
            <w:r>
              <w:rPr>
                <w:b/>
                <w:color w:val="FFFFFF"/>
                <w:sz w:val="18"/>
              </w:rPr>
              <w:t>25</w:t>
            </w:r>
          </w:p>
        </w:tc>
        <w:tc>
          <w:tcPr>
            <w:tcW w:w="1018" w:type="dxa"/>
            <w:tcBorders>
              <w:left w:val="single" w:sz="4" w:space="0" w:color="000000"/>
              <w:right w:val="single" w:sz="4" w:space="0" w:color="000000"/>
            </w:tcBorders>
            <w:shd w:val="clear" w:color="auto" w:fill="FF0000"/>
          </w:tcPr>
          <w:p>
            <w:pPr>
              <w:pStyle w:val="TableParagraph"/>
              <w:spacing w:line="203" w:lineRule="exact"/>
              <w:ind w:left="258" w:right="260"/>
              <w:jc w:val="center"/>
              <w:rPr>
                <w:b/>
                <w:sz w:val="18"/>
              </w:rPr>
            </w:pPr>
            <w:r>
              <w:rPr>
                <w:b/>
                <w:color w:val="FFFFFF"/>
                <w:sz w:val="18"/>
              </w:rPr>
              <w:t>52.34</w:t>
            </w:r>
          </w:p>
        </w:tc>
        <w:tc>
          <w:tcPr>
            <w:tcW w:w="1430" w:type="dxa"/>
            <w:tcBorders>
              <w:left w:val="single" w:sz="4" w:space="0" w:color="000000"/>
              <w:right w:val="single" w:sz="4" w:space="0" w:color="000000"/>
            </w:tcBorders>
            <w:shd w:val="clear" w:color="auto" w:fill="FF0000"/>
          </w:tcPr>
          <w:p>
            <w:pPr>
              <w:pStyle w:val="TableParagraph"/>
              <w:spacing w:line="203" w:lineRule="exact"/>
              <w:ind w:left="590" w:right="590"/>
              <w:jc w:val="center"/>
              <w:rPr>
                <w:b/>
                <w:sz w:val="18"/>
              </w:rPr>
            </w:pPr>
            <w:r>
              <w:rPr>
                <w:b/>
                <w:color w:val="FFFFFF"/>
                <w:sz w:val="18"/>
              </w:rPr>
              <w:t>25</w:t>
            </w:r>
          </w:p>
        </w:tc>
        <w:tc>
          <w:tcPr>
            <w:tcW w:w="2333" w:type="dxa"/>
            <w:vMerge/>
            <w:tcBorders>
              <w:left w:val="single" w:sz="4" w:space="0" w:color="000000"/>
              <w:right w:val="single" w:sz="4" w:space="0" w:color="000000"/>
            </w:tcBorders>
            <w:shd w:val="clear" w:color="auto" w:fill="FF0000"/>
          </w:tcPr>
          <w:p>
            <w:pPr/>
          </w:p>
        </w:tc>
      </w:tr>
      <w:tr>
        <w:trPr>
          <w:trHeight w:val="217" w:hRule="exact"/>
        </w:trPr>
        <w:tc>
          <w:tcPr>
            <w:tcW w:w="1898" w:type="dxa"/>
            <w:tcBorders>
              <w:left w:val="single" w:sz="4" w:space="0" w:color="000000"/>
              <w:right w:val="single" w:sz="4" w:space="0" w:color="000000"/>
            </w:tcBorders>
            <w:shd w:val="clear" w:color="auto" w:fill="FF0000"/>
          </w:tcPr>
          <w:p>
            <w:pPr>
              <w:pStyle w:val="TableParagraph"/>
              <w:spacing w:line="202" w:lineRule="exact"/>
              <w:ind w:left="64"/>
              <w:rPr>
                <w:b/>
                <w:sz w:val="18"/>
              </w:rPr>
            </w:pPr>
            <w:r>
              <w:rPr>
                <w:b/>
                <w:color w:val="FFFFFF"/>
                <w:sz w:val="18"/>
              </w:rPr>
              <w:t>Guerrero</w:t>
            </w:r>
          </w:p>
        </w:tc>
        <w:tc>
          <w:tcPr>
            <w:tcW w:w="1054" w:type="dxa"/>
            <w:tcBorders>
              <w:left w:val="single" w:sz="4" w:space="0" w:color="000000"/>
              <w:right w:val="single" w:sz="4" w:space="0" w:color="000000"/>
            </w:tcBorders>
            <w:shd w:val="clear" w:color="auto" w:fill="FF0000"/>
          </w:tcPr>
          <w:p>
            <w:pPr>
              <w:pStyle w:val="TableParagraph"/>
              <w:spacing w:line="202" w:lineRule="exact"/>
              <w:ind w:right="165"/>
              <w:jc w:val="right"/>
              <w:rPr>
                <w:b/>
                <w:sz w:val="18"/>
              </w:rPr>
            </w:pPr>
            <w:r>
              <w:rPr>
                <w:b/>
                <w:color w:val="FFFFFF"/>
                <w:w w:val="95"/>
                <w:sz w:val="18"/>
              </w:rPr>
              <w:t>26.7</w:t>
            </w:r>
          </w:p>
        </w:tc>
        <w:tc>
          <w:tcPr>
            <w:tcW w:w="1346" w:type="dxa"/>
            <w:tcBorders>
              <w:left w:val="single" w:sz="4" w:space="0" w:color="000000"/>
              <w:right w:val="single" w:sz="4" w:space="0" w:color="000000"/>
            </w:tcBorders>
            <w:shd w:val="clear" w:color="auto" w:fill="FF0000"/>
          </w:tcPr>
          <w:p>
            <w:pPr>
              <w:pStyle w:val="TableParagraph"/>
              <w:spacing w:line="202" w:lineRule="exact"/>
              <w:ind w:right="384"/>
              <w:jc w:val="right"/>
              <w:rPr>
                <w:b/>
                <w:sz w:val="18"/>
              </w:rPr>
            </w:pPr>
            <w:r>
              <w:rPr>
                <w:b/>
                <w:color w:val="FFFFFF"/>
                <w:sz w:val="18"/>
              </w:rPr>
              <w:t>29</w:t>
            </w:r>
          </w:p>
        </w:tc>
        <w:tc>
          <w:tcPr>
            <w:tcW w:w="1018" w:type="dxa"/>
            <w:tcBorders>
              <w:left w:val="single" w:sz="4" w:space="0" w:color="000000"/>
              <w:right w:val="single" w:sz="4" w:space="0" w:color="000000"/>
            </w:tcBorders>
            <w:shd w:val="clear" w:color="auto" w:fill="FF0000"/>
          </w:tcPr>
          <w:p>
            <w:pPr>
              <w:pStyle w:val="TableParagraph"/>
              <w:spacing w:line="202" w:lineRule="exact"/>
              <w:ind w:left="258" w:right="260"/>
              <w:jc w:val="center"/>
              <w:rPr>
                <w:b/>
                <w:sz w:val="18"/>
              </w:rPr>
            </w:pPr>
            <w:r>
              <w:rPr>
                <w:b/>
                <w:color w:val="FFFFFF"/>
                <w:sz w:val="18"/>
              </w:rPr>
              <w:t>52.04</w:t>
            </w:r>
          </w:p>
        </w:tc>
        <w:tc>
          <w:tcPr>
            <w:tcW w:w="1430" w:type="dxa"/>
            <w:tcBorders>
              <w:left w:val="single" w:sz="4" w:space="0" w:color="000000"/>
              <w:right w:val="single" w:sz="4" w:space="0" w:color="000000"/>
            </w:tcBorders>
            <w:shd w:val="clear" w:color="auto" w:fill="FF0000"/>
          </w:tcPr>
          <w:p>
            <w:pPr>
              <w:pStyle w:val="TableParagraph"/>
              <w:spacing w:line="202" w:lineRule="exact"/>
              <w:ind w:left="590" w:right="590"/>
              <w:jc w:val="center"/>
              <w:rPr>
                <w:b/>
                <w:sz w:val="18"/>
              </w:rPr>
            </w:pPr>
            <w:r>
              <w:rPr>
                <w:b/>
                <w:color w:val="FFFFFF"/>
                <w:sz w:val="18"/>
              </w:rPr>
              <w:t>26</w:t>
            </w:r>
          </w:p>
        </w:tc>
        <w:tc>
          <w:tcPr>
            <w:tcW w:w="2333" w:type="dxa"/>
            <w:vMerge/>
            <w:tcBorders>
              <w:left w:val="single" w:sz="4" w:space="0" w:color="000000"/>
              <w:right w:val="single" w:sz="4" w:space="0" w:color="000000"/>
            </w:tcBorders>
            <w:shd w:val="clear" w:color="auto" w:fill="FF0000"/>
          </w:tcPr>
          <w:p>
            <w:pPr/>
          </w:p>
        </w:tc>
      </w:tr>
      <w:tr>
        <w:trPr>
          <w:trHeight w:val="218" w:hRule="exact"/>
        </w:trPr>
        <w:tc>
          <w:tcPr>
            <w:tcW w:w="1898" w:type="dxa"/>
            <w:tcBorders>
              <w:left w:val="single" w:sz="4" w:space="0" w:color="000000"/>
              <w:right w:val="single" w:sz="4" w:space="0" w:color="000000"/>
            </w:tcBorders>
            <w:shd w:val="clear" w:color="auto" w:fill="FF0000"/>
          </w:tcPr>
          <w:p>
            <w:pPr>
              <w:pStyle w:val="TableParagraph"/>
              <w:spacing w:line="203" w:lineRule="exact"/>
              <w:ind w:left="64"/>
              <w:rPr>
                <w:b/>
                <w:sz w:val="18"/>
              </w:rPr>
            </w:pPr>
            <w:r>
              <w:rPr>
                <w:b/>
                <w:color w:val="FFFFFF"/>
                <w:sz w:val="18"/>
              </w:rPr>
              <w:t>Quintana Roo</w:t>
            </w:r>
          </w:p>
        </w:tc>
        <w:tc>
          <w:tcPr>
            <w:tcW w:w="1054" w:type="dxa"/>
            <w:tcBorders>
              <w:left w:val="single" w:sz="4" w:space="0" w:color="000000"/>
              <w:right w:val="single" w:sz="4" w:space="0" w:color="000000"/>
            </w:tcBorders>
            <w:shd w:val="clear" w:color="auto" w:fill="FF0000"/>
          </w:tcPr>
          <w:p>
            <w:pPr>
              <w:pStyle w:val="TableParagraph"/>
              <w:spacing w:line="203" w:lineRule="exact"/>
              <w:ind w:right="165"/>
              <w:jc w:val="right"/>
              <w:rPr>
                <w:b/>
                <w:sz w:val="18"/>
              </w:rPr>
            </w:pPr>
            <w:r>
              <w:rPr>
                <w:b/>
                <w:color w:val="FFFFFF"/>
                <w:w w:val="95"/>
                <w:sz w:val="18"/>
              </w:rPr>
              <w:t>51.7</w:t>
            </w:r>
          </w:p>
        </w:tc>
        <w:tc>
          <w:tcPr>
            <w:tcW w:w="1346" w:type="dxa"/>
            <w:tcBorders>
              <w:left w:val="single" w:sz="4" w:space="0" w:color="000000"/>
              <w:right w:val="single" w:sz="4" w:space="0" w:color="000000"/>
            </w:tcBorders>
            <w:shd w:val="clear" w:color="auto" w:fill="FF0000"/>
          </w:tcPr>
          <w:p>
            <w:pPr>
              <w:pStyle w:val="TableParagraph"/>
              <w:spacing w:line="203" w:lineRule="exact"/>
              <w:ind w:right="384"/>
              <w:jc w:val="right"/>
              <w:rPr>
                <w:b/>
                <w:sz w:val="18"/>
              </w:rPr>
            </w:pPr>
            <w:r>
              <w:rPr>
                <w:b/>
                <w:color w:val="FFFFFF"/>
                <w:sz w:val="18"/>
              </w:rPr>
              <w:t>27</w:t>
            </w:r>
          </w:p>
        </w:tc>
        <w:tc>
          <w:tcPr>
            <w:tcW w:w="1018" w:type="dxa"/>
            <w:tcBorders>
              <w:left w:val="single" w:sz="4" w:space="0" w:color="000000"/>
              <w:right w:val="single" w:sz="4" w:space="0" w:color="000000"/>
            </w:tcBorders>
            <w:shd w:val="clear" w:color="auto" w:fill="FF0000"/>
          </w:tcPr>
          <w:p>
            <w:pPr>
              <w:pStyle w:val="TableParagraph"/>
              <w:spacing w:line="203" w:lineRule="exact"/>
              <w:ind w:left="258" w:right="260"/>
              <w:jc w:val="center"/>
              <w:rPr>
                <w:b/>
                <w:sz w:val="18"/>
              </w:rPr>
            </w:pPr>
            <w:r>
              <w:rPr>
                <w:b/>
                <w:color w:val="FFFFFF"/>
                <w:sz w:val="18"/>
              </w:rPr>
              <w:t>51.99</w:t>
            </w:r>
          </w:p>
        </w:tc>
        <w:tc>
          <w:tcPr>
            <w:tcW w:w="1430" w:type="dxa"/>
            <w:tcBorders>
              <w:left w:val="single" w:sz="4" w:space="0" w:color="000000"/>
              <w:right w:val="single" w:sz="4" w:space="0" w:color="000000"/>
            </w:tcBorders>
            <w:shd w:val="clear" w:color="auto" w:fill="FF0000"/>
          </w:tcPr>
          <w:p>
            <w:pPr>
              <w:pStyle w:val="TableParagraph"/>
              <w:spacing w:line="203" w:lineRule="exact"/>
              <w:ind w:left="590" w:right="590"/>
              <w:jc w:val="center"/>
              <w:rPr>
                <w:b/>
                <w:sz w:val="18"/>
              </w:rPr>
            </w:pPr>
            <w:r>
              <w:rPr>
                <w:b/>
                <w:color w:val="FFFFFF"/>
                <w:sz w:val="18"/>
              </w:rPr>
              <w:t>27</w:t>
            </w:r>
          </w:p>
        </w:tc>
        <w:tc>
          <w:tcPr>
            <w:tcW w:w="2333" w:type="dxa"/>
            <w:vMerge/>
            <w:tcBorders>
              <w:left w:val="single" w:sz="4" w:space="0" w:color="000000"/>
              <w:right w:val="single" w:sz="4" w:space="0" w:color="000000"/>
            </w:tcBorders>
            <w:shd w:val="clear" w:color="auto" w:fill="FF0000"/>
          </w:tcPr>
          <w:p>
            <w:pPr/>
          </w:p>
        </w:tc>
      </w:tr>
      <w:tr>
        <w:trPr>
          <w:trHeight w:val="216" w:hRule="exact"/>
        </w:trPr>
        <w:tc>
          <w:tcPr>
            <w:tcW w:w="1898" w:type="dxa"/>
            <w:tcBorders>
              <w:left w:val="single" w:sz="4" w:space="0" w:color="000000"/>
              <w:right w:val="single" w:sz="4" w:space="0" w:color="000000"/>
            </w:tcBorders>
            <w:shd w:val="clear" w:color="auto" w:fill="FF0000"/>
          </w:tcPr>
          <w:p>
            <w:pPr>
              <w:pStyle w:val="TableParagraph"/>
              <w:spacing w:line="202" w:lineRule="exact"/>
              <w:ind w:left="64"/>
              <w:rPr>
                <w:b/>
                <w:sz w:val="18"/>
              </w:rPr>
            </w:pPr>
            <w:r>
              <w:rPr>
                <w:b/>
                <w:color w:val="FFFFFF"/>
                <w:sz w:val="18"/>
              </w:rPr>
              <w:t>Hidalgo</w:t>
            </w:r>
          </w:p>
        </w:tc>
        <w:tc>
          <w:tcPr>
            <w:tcW w:w="1054" w:type="dxa"/>
            <w:tcBorders>
              <w:left w:val="single" w:sz="4" w:space="0" w:color="000000"/>
              <w:right w:val="single" w:sz="4" w:space="0" w:color="000000"/>
            </w:tcBorders>
            <w:shd w:val="clear" w:color="auto" w:fill="FF0000"/>
          </w:tcPr>
          <w:p>
            <w:pPr>
              <w:pStyle w:val="TableParagraph"/>
              <w:spacing w:line="202" w:lineRule="exact"/>
              <w:ind w:right="165"/>
              <w:jc w:val="right"/>
              <w:rPr>
                <w:b/>
                <w:sz w:val="18"/>
              </w:rPr>
            </w:pPr>
            <w:r>
              <w:rPr>
                <w:b/>
                <w:color w:val="FFFFFF"/>
                <w:w w:val="95"/>
                <w:sz w:val="18"/>
              </w:rPr>
              <w:t>58.4</w:t>
            </w:r>
          </w:p>
        </w:tc>
        <w:tc>
          <w:tcPr>
            <w:tcW w:w="1346" w:type="dxa"/>
            <w:tcBorders>
              <w:left w:val="single" w:sz="4" w:space="0" w:color="000000"/>
              <w:right w:val="single" w:sz="4" w:space="0" w:color="000000"/>
            </w:tcBorders>
            <w:shd w:val="clear" w:color="auto" w:fill="FF0000"/>
          </w:tcPr>
          <w:p>
            <w:pPr>
              <w:pStyle w:val="TableParagraph"/>
              <w:spacing w:line="202" w:lineRule="exact"/>
              <w:ind w:right="384"/>
              <w:jc w:val="right"/>
              <w:rPr>
                <w:b/>
                <w:sz w:val="18"/>
              </w:rPr>
            </w:pPr>
            <w:r>
              <w:rPr>
                <w:b/>
                <w:color w:val="FFFFFF"/>
                <w:sz w:val="18"/>
              </w:rPr>
              <w:t>26</w:t>
            </w:r>
          </w:p>
        </w:tc>
        <w:tc>
          <w:tcPr>
            <w:tcW w:w="1018" w:type="dxa"/>
            <w:tcBorders>
              <w:left w:val="single" w:sz="4" w:space="0" w:color="000000"/>
              <w:right w:val="single" w:sz="4" w:space="0" w:color="000000"/>
            </w:tcBorders>
            <w:shd w:val="clear" w:color="auto" w:fill="FF0000"/>
          </w:tcPr>
          <w:p>
            <w:pPr>
              <w:pStyle w:val="TableParagraph"/>
              <w:spacing w:line="202" w:lineRule="exact"/>
              <w:ind w:left="258" w:right="260"/>
              <w:jc w:val="center"/>
              <w:rPr>
                <w:b/>
                <w:sz w:val="18"/>
              </w:rPr>
            </w:pPr>
            <w:r>
              <w:rPr>
                <w:b/>
                <w:color w:val="FFFFFF"/>
                <w:sz w:val="18"/>
              </w:rPr>
              <w:t>50.04</w:t>
            </w:r>
          </w:p>
        </w:tc>
        <w:tc>
          <w:tcPr>
            <w:tcW w:w="1430" w:type="dxa"/>
            <w:tcBorders>
              <w:left w:val="single" w:sz="4" w:space="0" w:color="000000"/>
              <w:right w:val="single" w:sz="4" w:space="0" w:color="000000"/>
            </w:tcBorders>
            <w:shd w:val="clear" w:color="auto" w:fill="FF0000"/>
          </w:tcPr>
          <w:p>
            <w:pPr>
              <w:pStyle w:val="TableParagraph"/>
              <w:spacing w:line="202" w:lineRule="exact"/>
              <w:ind w:left="590" w:right="590"/>
              <w:jc w:val="center"/>
              <w:rPr>
                <w:b/>
                <w:sz w:val="18"/>
              </w:rPr>
            </w:pPr>
            <w:r>
              <w:rPr>
                <w:b/>
                <w:color w:val="FFFFFF"/>
                <w:sz w:val="18"/>
              </w:rPr>
              <w:t>28</w:t>
            </w:r>
          </w:p>
        </w:tc>
        <w:tc>
          <w:tcPr>
            <w:tcW w:w="2333" w:type="dxa"/>
            <w:vMerge/>
            <w:tcBorders>
              <w:left w:val="single" w:sz="4" w:space="0" w:color="000000"/>
              <w:right w:val="single" w:sz="4" w:space="0" w:color="000000"/>
            </w:tcBorders>
            <w:shd w:val="clear" w:color="auto" w:fill="FF0000"/>
          </w:tcPr>
          <w:p>
            <w:pPr/>
          </w:p>
        </w:tc>
      </w:tr>
      <w:tr>
        <w:trPr>
          <w:trHeight w:val="217" w:hRule="exact"/>
        </w:trPr>
        <w:tc>
          <w:tcPr>
            <w:tcW w:w="1898" w:type="dxa"/>
            <w:tcBorders>
              <w:left w:val="single" w:sz="4" w:space="0" w:color="000000"/>
              <w:right w:val="single" w:sz="4" w:space="0" w:color="000000"/>
            </w:tcBorders>
            <w:shd w:val="clear" w:color="auto" w:fill="FF0000"/>
          </w:tcPr>
          <w:p>
            <w:pPr>
              <w:pStyle w:val="TableParagraph"/>
              <w:spacing w:line="202" w:lineRule="exact"/>
              <w:ind w:left="64"/>
              <w:rPr>
                <w:b/>
                <w:sz w:val="18"/>
              </w:rPr>
            </w:pPr>
            <w:r>
              <w:rPr>
                <w:b/>
                <w:color w:val="FFFFFF"/>
                <w:sz w:val="18"/>
              </w:rPr>
              <w:t>Sinaloa</w:t>
            </w:r>
          </w:p>
        </w:tc>
        <w:tc>
          <w:tcPr>
            <w:tcW w:w="1054" w:type="dxa"/>
            <w:tcBorders>
              <w:left w:val="single" w:sz="4" w:space="0" w:color="000000"/>
              <w:right w:val="single" w:sz="4" w:space="0" w:color="000000"/>
            </w:tcBorders>
            <w:shd w:val="clear" w:color="auto" w:fill="FF0000"/>
          </w:tcPr>
          <w:p>
            <w:pPr>
              <w:pStyle w:val="TableParagraph"/>
              <w:spacing w:line="202" w:lineRule="exact"/>
              <w:ind w:right="165"/>
              <w:jc w:val="right"/>
              <w:rPr>
                <w:b/>
                <w:sz w:val="18"/>
              </w:rPr>
            </w:pPr>
            <w:r>
              <w:rPr>
                <w:b/>
                <w:color w:val="FFFFFF"/>
                <w:w w:val="95"/>
                <w:sz w:val="18"/>
              </w:rPr>
              <w:t>82.7</w:t>
            </w:r>
          </w:p>
        </w:tc>
        <w:tc>
          <w:tcPr>
            <w:tcW w:w="1346" w:type="dxa"/>
            <w:tcBorders>
              <w:left w:val="single" w:sz="4" w:space="0" w:color="000000"/>
              <w:right w:val="single" w:sz="4" w:space="0" w:color="000000"/>
            </w:tcBorders>
            <w:shd w:val="clear" w:color="auto" w:fill="FF0000"/>
          </w:tcPr>
          <w:p>
            <w:pPr>
              <w:pStyle w:val="TableParagraph"/>
              <w:spacing w:line="202" w:lineRule="exact"/>
              <w:ind w:right="384"/>
              <w:jc w:val="right"/>
              <w:rPr>
                <w:b/>
                <w:sz w:val="18"/>
              </w:rPr>
            </w:pPr>
            <w:r>
              <w:rPr>
                <w:b/>
                <w:color w:val="FFFFFF"/>
                <w:sz w:val="18"/>
              </w:rPr>
              <w:t>10</w:t>
            </w:r>
          </w:p>
        </w:tc>
        <w:tc>
          <w:tcPr>
            <w:tcW w:w="1018" w:type="dxa"/>
            <w:tcBorders>
              <w:left w:val="single" w:sz="4" w:space="0" w:color="000000"/>
              <w:right w:val="single" w:sz="4" w:space="0" w:color="000000"/>
            </w:tcBorders>
            <w:shd w:val="clear" w:color="auto" w:fill="FF0000"/>
          </w:tcPr>
          <w:p>
            <w:pPr>
              <w:pStyle w:val="TableParagraph"/>
              <w:spacing w:line="202" w:lineRule="exact"/>
              <w:ind w:left="258" w:right="260"/>
              <w:jc w:val="center"/>
              <w:rPr>
                <w:b/>
                <w:sz w:val="18"/>
              </w:rPr>
            </w:pPr>
            <w:r>
              <w:rPr>
                <w:b/>
                <w:color w:val="FFFFFF"/>
                <w:sz w:val="18"/>
              </w:rPr>
              <w:t>47.00</w:t>
            </w:r>
          </w:p>
        </w:tc>
        <w:tc>
          <w:tcPr>
            <w:tcW w:w="1430" w:type="dxa"/>
            <w:tcBorders>
              <w:left w:val="single" w:sz="4" w:space="0" w:color="000000"/>
              <w:right w:val="single" w:sz="4" w:space="0" w:color="000000"/>
            </w:tcBorders>
            <w:shd w:val="clear" w:color="auto" w:fill="FF0000"/>
          </w:tcPr>
          <w:p>
            <w:pPr>
              <w:pStyle w:val="TableParagraph"/>
              <w:spacing w:line="202" w:lineRule="exact"/>
              <w:ind w:left="590" w:right="590"/>
              <w:jc w:val="center"/>
              <w:rPr>
                <w:b/>
                <w:sz w:val="18"/>
              </w:rPr>
            </w:pPr>
            <w:r>
              <w:rPr>
                <w:b/>
                <w:color w:val="FFFFFF"/>
                <w:sz w:val="18"/>
              </w:rPr>
              <w:t>29</w:t>
            </w:r>
          </w:p>
        </w:tc>
        <w:tc>
          <w:tcPr>
            <w:tcW w:w="2333" w:type="dxa"/>
            <w:vMerge/>
            <w:tcBorders>
              <w:left w:val="single" w:sz="4" w:space="0" w:color="000000"/>
              <w:right w:val="single" w:sz="4" w:space="0" w:color="000000"/>
            </w:tcBorders>
            <w:shd w:val="clear" w:color="auto" w:fill="FF0000"/>
          </w:tcPr>
          <w:p>
            <w:pPr/>
          </w:p>
        </w:tc>
      </w:tr>
      <w:tr>
        <w:trPr>
          <w:trHeight w:val="213" w:hRule="exact"/>
        </w:trPr>
        <w:tc>
          <w:tcPr>
            <w:tcW w:w="1898" w:type="dxa"/>
            <w:tcBorders>
              <w:left w:val="single" w:sz="4" w:space="0" w:color="000000"/>
              <w:bottom w:val="single" w:sz="4" w:space="0" w:color="000000"/>
              <w:right w:val="single" w:sz="4" w:space="0" w:color="000000"/>
            </w:tcBorders>
            <w:shd w:val="clear" w:color="auto" w:fill="FF0000"/>
          </w:tcPr>
          <w:p>
            <w:pPr>
              <w:pStyle w:val="TableParagraph"/>
              <w:spacing w:line="203" w:lineRule="exact"/>
              <w:ind w:left="64"/>
              <w:rPr>
                <w:b/>
                <w:sz w:val="18"/>
              </w:rPr>
            </w:pPr>
            <w:r>
              <w:rPr>
                <w:b/>
                <w:color w:val="FFFFFF"/>
                <w:sz w:val="18"/>
              </w:rPr>
              <w:t>Tlaxcala</w:t>
            </w:r>
          </w:p>
        </w:tc>
        <w:tc>
          <w:tcPr>
            <w:tcW w:w="1054" w:type="dxa"/>
            <w:tcBorders>
              <w:left w:val="single" w:sz="4" w:space="0" w:color="000000"/>
              <w:bottom w:val="single" w:sz="4" w:space="0" w:color="000000"/>
              <w:right w:val="single" w:sz="4" w:space="0" w:color="000000"/>
            </w:tcBorders>
            <w:shd w:val="clear" w:color="auto" w:fill="FF0000"/>
          </w:tcPr>
          <w:p>
            <w:pPr>
              <w:pStyle w:val="TableParagraph"/>
              <w:spacing w:line="203" w:lineRule="exact"/>
              <w:ind w:right="165"/>
              <w:jc w:val="right"/>
              <w:rPr>
                <w:b/>
                <w:sz w:val="18"/>
              </w:rPr>
            </w:pPr>
            <w:r>
              <w:rPr>
                <w:b/>
                <w:color w:val="FFFFFF"/>
                <w:w w:val="95"/>
                <w:sz w:val="18"/>
              </w:rPr>
              <w:t>11.4</w:t>
            </w:r>
          </w:p>
        </w:tc>
        <w:tc>
          <w:tcPr>
            <w:tcW w:w="1346" w:type="dxa"/>
            <w:tcBorders>
              <w:left w:val="single" w:sz="4" w:space="0" w:color="000000"/>
              <w:bottom w:val="single" w:sz="4" w:space="0" w:color="000000"/>
              <w:right w:val="single" w:sz="4" w:space="0" w:color="000000"/>
            </w:tcBorders>
            <w:shd w:val="clear" w:color="auto" w:fill="FF0000"/>
          </w:tcPr>
          <w:p>
            <w:pPr>
              <w:pStyle w:val="TableParagraph"/>
              <w:spacing w:line="203" w:lineRule="exact"/>
              <w:ind w:right="384"/>
              <w:jc w:val="right"/>
              <w:rPr>
                <w:b/>
                <w:sz w:val="18"/>
              </w:rPr>
            </w:pPr>
            <w:r>
              <w:rPr>
                <w:b/>
                <w:color w:val="FFFFFF"/>
                <w:sz w:val="18"/>
              </w:rPr>
              <w:t>31</w:t>
            </w:r>
          </w:p>
        </w:tc>
        <w:tc>
          <w:tcPr>
            <w:tcW w:w="1018" w:type="dxa"/>
            <w:tcBorders>
              <w:left w:val="single" w:sz="4" w:space="0" w:color="000000"/>
              <w:bottom w:val="single" w:sz="4" w:space="0" w:color="000000"/>
              <w:right w:val="single" w:sz="4" w:space="0" w:color="000000"/>
            </w:tcBorders>
            <w:shd w:val="clear" w:color="auto" w:fill="FF0000"/>
          </w:tcPr>
          <w:p>
            <w:pPr>
              <w:pStyle w:val="TableParagraph"/>
              <w:spacing w:line="203" w:lineRule="exact"/>
              <w:ind w:left="258" w:right="260"/>
              <w:jc w:val="center"/>
              <w:rPr>
                <w:b/>
                <w:sz w:val="18"/>
              </w:rPr>
            </w:pPr>
            <w:r>
              <w:rPr>
                <w:b/>
                <w:color w:val="FFFFFF"/>
                <w:sz w:val="18"/>
              </w:rPr>
              <w:t>27.59</w:t>
            </w:r>
          </w:p>
        </w:tc>
        <w:tc>
          <w:tcPr>
            <w:tcW w:w="1430" w:type="dxa"/>
            <w:tcBorders>
              <w:left w:val="single" w:sz="4" w:space="0" w:color="000000"/>
              <w:bottom w:val="single" w:sz="4" w:space="0" w:color="000000"/>
              <w:right w:val="single" w:sz="4" w:space="0" w:color="000000"/>
            </w:tcBorders>
            <w:shd w:val="clear" w:color="auto" w:fill="FF0000"/>
          </w:tcPr>
          <w:p>
            <w:pPr>
              <w:pStyle w:val="TableParagraph"/>
              <w:spacing w:line="203" w:lineRule="exact"/>
              <w:ind w:left="590" w:right="590"/>
              <w:jc w:val="center"/>
              <w:rPr>
                <w:b/>
                <w:sz w:val="18"/>
              </w:rPr>
            </w:pPr>
            <w:r>
              <w:rPr>
                <w:b/>
                <w:color w:val="FFFFFF"/>
                <w:sz w:val="18"/>
              </w:rPr>
              <w:t>30</w:t>
            </w:r>
          </w:p>
        </w:tc>
        <w:tc>
          <w:tcPr>
            <w:tcW w:w="2333" w:type="dxa"/>
            <w:vMerge/>
            <w:tcBorders>
              <w:left w:val="single" w:sz="4" w:space="0" w:color="000000"/>
              <w:bottom w:val="single" w:sz="4" w:space="0" w:color="000000"/>
              <w:right w:val="single" w:sz="4" w:space="0" w:color="000000"/>
            </w:tcBorders>
            <w:shd w:val="clear" w:color="auto" w:fill="FF0000"/>
          </w:tcPr>
          <w:p>
            <w:pPr/>
          </w:p>
        </w:tc>
      </w:tr>
    </w:tbl>
    <w:p>
      <w:pPr>
        <w:pStyle w:val="BodyText"/>
        <w:spacing w:before="2"/>
        <w:rPr>
          <w:i/>
          <w:sz w:val="6"/>
        </w:rPr>
      </w:pPr>
    </w:p>
    <w:p>
      <w:pPr>
        <w:spacing w:before="85"/>
        <w:ind w:left="1818" w:right="629" w:hanging="708"/>
        <w:jc w:val="left"/>
        <w:rPr>
          <w:sz w:val="12"/>
        </w:rPr>
      </w:pPr>
      <w:r>
        <w:rPr>
          <w:sz w:val="12"/>
        </w:rPr>
        <w:t>FUENTE: A regional, </w:t>
      </w:r>
      <w:r>
        <w:rPr>
          <w:i/>
          <w:sz w:val="12"/>
        </w:rPr>
        <w:t>Índice de Transparencia y Disponibilidad de la Información Fiscal de las Entidades Federativas (ITIDIF) 2012</w:t>
      </w:r>
      <w:r>
        <w:rPr>
          <w:sz w:val="12"/>
        </w:rPr>
        <w:t>, p. 8. [Fecha de consulta: 10 de octubre, 2015]</w:t>
      </w:r>
    </w:p>
    <w:p>
      <w:pPr>
        <w:pStyle w:val="BodyText"/>
        <w:rPr>
          <w:sz w:val="12"/>
        </w:rPr>
      </w:pPr>
    </w:p>
    <w:p>
      <w:pPr>
        <w:pStyle w:val="BodyText"/>
        <w:rPr>
          <w:sz w:val="12"/>
        </w:rPr>
      </w:pPr>
    </w:p>
    <w:p>
      <w:pPr>
        <w:pStyle w:val="BodyText"/>
        <w:rPr>
          <w:sz w:val="12"/>
        </w:rPr>
      </w:pPr>
    </w:p>
    <w:p>
      <w:pPr>
        <w:pStyle w:val="BodyText"/>
        <w:spacing w:before="4"/>
        <w:rPr>
          <w:sz w:val="17"/>
        </w:rPr>
      </w:pPr>
    </w:p>
    <w:p>
      <w:pPr>
        <w:pStyle w:val="BodyText"/>
        <w:spacing w:line="360" w:lineRule="auto"/>
        <w:ind w:left="402" w:right="319" w:firstLine="424"/>
      </w:pPr>
      <w:r>
        <w:rPr/>
        <w:t>En 2011 las entidades federativas se distribuyeron en la misma proporción en el nivel de transparencia (11 para cada nivel), y en 2012 la distribución</w:t>
      </w:r>
    </w:p>
    <w:p>
      <w:pPr>
        <w:spacing w:after="0" w:line="360" w:lineRule="auto"/>
        <w:sectPr>
          <w:footerReference w:type="even" r:id="rId235"/>
          <w:footerReference w:type="default" r:id="rId236"/>
          <w:pgSz w:w="11910" w:h="16840"/>
          <w:pgMar w:footer="1003" w:header="0" w:top="1340" w:bottom="1200" w:left="1300" w:right="1280"/>
          <w:pgNumType w:start="160"/>
        </w:sectPr>
      </w:pPr>
    </w:p>
    <w:p>
      <w:pPr>
        <w:pStyle w:val="BodyText"/>
        <w:spacing w:line="362" w:lineRule="auto" w:before="55"/>
        <w:ind w:left="102" w:right="66"/>
      </w:pPr>
      <w:r>
        <w:rPr/>
        <w:t>cambió,</w:t>
      </w:r>
      <w:r>
        <w:rPr>
          <w:spacing w:val="-16"/>
        </w:rPr>
        <w:t> </w:t>
      </w:r>
      <w:r>
        <w:rPr/>
        <w:t>12</w:t>
      </w:r>
      <w:r>
        <w:rPr>
          <w:spacing w:val="-16"/>
        </w:rPr>
        <w:t> </w:t>
      </w:r>
      <w:r>
        <w:rPr/>
        <w:t>estados</w:t>
      </w:r>
      <w:r>
        <w:rPr>
          <w:spacing w:val="-16"/>
        </w:rPr>
        <w:t> </w:t>
      </w:r>
      <w:r>
        <w:rPr/>
        <w:t>se</w:t>
      </w:r>
      <w:r>
        <w:rPr>
          <w:spacing w:val="-18"/>
        </w:rPr>
        <w:t> </w:t>
      </w:r>
      <w:r>
        <w:rPr/>
        <w:t>clasifican</w:t>
      </w:r>
      <w:r>
        <w:rPr>
          <w:spacing w:val="-16"/>
        </w:rPr>
        <w:t> </w:t>
      </w:r>
      <w:r>
        <w:rPr/>
        <w:t>en</w:t>
      </w:r>
      <w:r>
        <w:rPr>
          <w:spacing w:val="-18"/>
        </w:rPr>
        <w:t> </w:t>
      </w:r>
      <w:r>
        <w:rPr/>
        <w:t>un</w:t>
      </w:r>
      <w:r>
        <w:rPr>
          <w:spacing w:val="-18"/>
        </w:rPr>
        <w:t> </w:t>
      </w:r>
      <w:r>
        <w:rPr/>
        <w:t>nivel</w:t>
      </w:r>
      <w:r>
        <w:rPr>
          <w:spacing w:val="-17"/>
        </w:rPr>
        <w:t> </w:t>
      </w:r>
      <w:r>
        <w:rPr/>
        <w:t>de</w:t>
      </w:r>
      <w:r>
        <w:rPr>
          <w:spacing w:val="-16"/>
        </w:rPr>
        <w:t> </w:t>
      </w:r>
      <w:r>
        <w:rPr/>
        <w:t>transparencia</w:t>
      </w:r>
      <w:r>
        <w:rPr>
          <w:spacing w:val="-18"/>
        </w:rPr>
        <w:t> </w:t>
      </w:r>
      <w:r>
        <w:rPr/>
        <w:t>alta,</w:t>
      </w:r>
      <w:r>
        <w:rPr>
          <w:spacing w:val="-18"/>
        </w:rPr>
        <w:t> </w:t>
      </w:r>
      <w:r>
        <w:rPr/>
        <w:t>12</w:t>
      </w:r>
      <w:r>
        <w:rPr>
          <w:spacing w:val="-16"/>
        </w:rPr>
        <w:t> </w:t>
      </w:r>
      <w:r>
        <w:rPr/>
        <w:t>en</w:t>
      </w:r>
      <w:r>
        <w:rPr>
          <w:spacing w:val="-16"/>
        </w:rPr>
        <w:t> </w:t>
      </w:r>
      <w:r>
        <w:rPr/>
        <w:t>la</w:t>
      </w:r>
      <w:r>
        <w:rPr>
          <w:spacing w:val="-18"/>
        </w:rPr>
        <w:t> </w:t>
      </w:r>
      <w:r>
        <w:rPr/>
        <w:t>media y 8 en la</w:t>
      </w:r>
      <w:r>
        <w:rPr>
          <w:spacing w:val="-3"/>
        </w:rPr>
        <w:t> </w:t>
      </w:r>
      <w:r>
        <w:rPr/>
        <w:t>baja.</w:t>
      </w:r>
    </w:p>
    <w:p>
      <w:pPr>
        <w:pStyle w:val="BodyText"/>
        <w:spacing w:line="360" w:lineRule="auto"/>
        <w:ind w:left="102" w:right="125" w:firstLine="424"/>
        <w:jc w:val="both"/>
      </w:pPr>
      <w:r>
        <w:rPr/>
        <w:t>Jalisco y Nayarit presentaron la primera posición, el Estado de México la segunda y Baja California Sur la tercera. Es importante considerar que las 4 entidades mejoraron su posición con respecto al estudio 2011.</w:t>
      </w:r>
    </w:p>
    <w:p>
      <w:pPr>
        <w:pStyle w:val="BodyText"/>
        <w:spacing w:line="360" w:lineRule="auto" w:before="5"/>
        <w:ind w:left="102" w:right="116" w:firstLine="424"/>
        <w:jc w:val="both"/>
      </w:pPr>
      <w:r>
        <w:rPr/>
        <w:t>Guanajuato, Oaxaca y Puebla mostraron los mayores avances en sus posiciones con respecto al estudio anterior. Por otra parte, Tlaxcala, Sinaloa e Hidalgo ocuparon las últimas posiciones del último estudio, siendo Sinaloa el Estado</w:t>
      </w:r>
      <w:r>
        <w:rPr>
          <w:spacing w:val="-9"/>
        </w:rPr>
        <w:t> </w:t>
      </w:r>
      <w:r>
        <w:rPr/>
        <w:t>que</w:t>
      </w:r>
      <w:r>
        <w:rPr>
          <w:spacing w:val="-9"/>
        </w:rPr>
        <w:t> </w:t>
      </w:r>
      <w:r>
        <w:rPr/>
        <w:t>retrocedió</w:t>
      </w:r>
      <w:r>
        <w:rPr>
          <w:spacing w:val="-12"/>
        </w:rPr>
        <w:t> </w:t>
      </w:r>
      <w:r>
        <w:rPr/>
        <w:t>21</w:t>
      </w:r>
      <w:r>
        <w:rPr>
          <w:spacing w:val="-9"/>
        </w:rPr>
        <w:t> </w:t>
      </w:r>
      <w:r>
        <w:rPr/>
        <w:t>posiciones</w:t>
      </w:r>
      <w:r>
        <w:rPr>
          <w:spacing w:val="-10"/>
        </w:rPr>
        <w:t> </w:t>
      </w:r>
      <w:r>
        <w:rPr/>
        <w:t>con</w:t>
      </w:r>
      <w:r>
        <w:rPr>
          <w:spacing w:val="-9"/>
        </w:rPr>
        <w:t> </w:t>
      </w:r>
      <w:r>
        <w:rPr/>
        <w:t>respecto</w:t>
      </w:r>
      <w:r>
        <w:rPr>
          <w:spacing w:val="-9"/>
        </w:rPr>
        <w:t> </w:t>
      </w:r>
      <w:r>
        <w:rPr/>
        <w:t>a</w:t>
      </w:r>
      <w:r>
        <w:rPr>
          <w:spacing w:val="-12"/>
        </w:rPr>
        <w:t> </w:t>
      </w:r>
      <w:r>
        <w:rPr/>
        <w:t>2011,</w:t>
      </w:r>
      <w:r>
        <w:rPr>
          <w:spacing w:val="-10"/>
        </w:rPr>
        <w:t> </w:t>
      </w:r>
      <w:r>
        <w:rPr/>
        <w:t>seguido</w:t>
      </w:r>
      <w:r>
        <w:rPr>
          <w:spacing w:val="-9"/>
        </w:rPr>
        <w:t> </w:t>
      </w:r>
      <w:r>
        <w:rPr/>
        <w:t>de</w:t>
      </w:r>
      <w:r>
        <w:rPr>
          <w:spacing w:val="-9"/>
        </w:rPr>
        <w:t> </w:t>
      </w:r>
      <w:r>
        <w:rPr/>
        <w:t>Querétaro y</w:t>
      </w:r>
      <w:r>
        <w:rPr>
          <w:spacing w:val="-5"/>
        </w:rPr>
        <w:t> </w:t>
      </w:r>
      <w:r>
        <w:rPr/>
        <w:t>Michoacán.</w:t>
      </w:r>
    </w:p>
    <w:p>
      <w:pPr>
        <w:pStyle w:val="BodyText"/>
        <w:spacing w:line="360" w:lineRule="auto" w:before="2"/>
        <w:ind w:left="102" w:right="121" w:firstLine="424"/>
        <w:jc w:val="both"/>
      </w:pPr>
      <w:r>
        <w:rPr/>
        <w:t>En general, se observó un retroceso en los niveles de transparencia a nivel nacional, ya que en el estudio de 2011 se obtuvo un puntaje promedio de 72.7, mientras que en 2012 la media fue de 70.8 puntos.</w:t>
      </w:r>
    </w:p>
    <w:p>
      <w:pPr>
        <w:pStyle w:val="BodyText"/>
        <w:spacing w:line="276" w:lineRule="auto" w:before="5"/>
        <w:ind w:left="102" w:right="123" w:firstLine="427"/>
        <w:jc w:val="both"/>
      </w:pPr>
      <w:r>
        <w:rPr/>
        <w:t>A</w:t>
      </w:r>
      <w:r>
        <w:rPr>
          <w:spacing w:val="-5"/>
        </w:rPr>
        <w:t> </w:t>
      </w:r>
      <w:r>
        <w:rPr/>
        <w:t>regional</w:t>
      </w:r>
      <w:r>
        <w:rPr>
          <w:spacing w:val="-10"/>
        </w:rPr>
        <w:t> </w:t>
      </w:r>
      <w:r>
        <w:rPr/>
        <w:t>facilitó</w:t>
      </w:r>
      <w:r>
        <w:rPr>
          <w:spacing w:val="-6"/>
        </w:rPr>
        <w:t> </w:t>
      </w:r>
      <w:r>
        <w:rPr/>
        <w:t>el</w:t>
      </w:r>
      <w:r>
        <w:rPr>
          <w:spacing w:val="-7"/>
        </w:rPr>
        <w:t> </w:t>
      </w:r>
      <w:r>
        <w:rPr/>
        <w:t>análisis</w:t>
      </w:r>
      <w:r>
        <w:rPr>
          <w:spacing w:val="-5"/>
        </w:rPr>
        <w:t> </w:t>
      </w:r>
      <w:r>
        <w:rPr/>
        <w:t>presentando</w:t>
      </w:r>
      <w:r>
        <w:rPr>
          <w:spacing w:val="-6"/>
        </w:rPr>
        <w:t> </w:t>
      </w:r>
      <w:r>
        <w:rPr/>
        <w:t>los</w:t>
      </w:r>
      <w:r>
        <w:rPr>
          <w:spacing w:val="-9"/>
        </w:rPr>
        <w:t> </w:t>
      </w:r>
      <w:r>
        <w:rPr/>
        <w:t>niveles</w:t>
      </w:r>
      <w:r>
        <w:rPr>
          <w:spacing w:val="-5"/>
        </w:rPr>
        <w:t> </w:t>
      </w:r>
      <w:r>
        <w:rPr/>
        <w:t>de</w:t>
      </w:r>
      <w:r>
        <w:rPr>
          <w:spacing w:val="-6"/>
        </w:rPr>
        <w:t> </w:t>
      </w:r>
      <w:r>
        <w:rPr/>
        <w:t>corrupción</w:t>
      </w:r>
      <w:r>
        <w:rPr>
          <w:spacing w:val="-6"/>
        </w:rPr>
        <w:t> </w:t>
      </w:r>
      <w:r>
        <w:rPr/>
        <w:t>mediante realizar un mapa de la disponibilidad de la información fiscal. El esquema es el siguiente:</w:t>
      </w:r>
    </w:p>
    <w:p>
      <w:pPr>
        <w:pStyle w:val="BodyText"/>
        <w:spacing w:before="2"/>
        <w:rPr>
          <w:sz w:val="18"/>
        </w:rPr>
      </w:pPr>
    </w:p>
    <w:p>
      <w:pPr>
        <w:spacing w:before="74"/>
        <w:ind w:left="1225" w:right="66" w:firstLine="0"/>
        <w:jc w:val="left"/>
        <w:rPr>
          <w:sz w:val="20"/>
        </w:rPr>
      </w:pPr>
      <w:r>
        <w:rPr>
          <w:sz w:val="20"/>
        </w:rPr>
        <w:t>Esquema 4. 5. Niveles de transparencia en las Entidades Federativas, 2011</w:t>
      </w:r>
    </w:p>
    <w:p>
      <w:pPr>
        <w:pStyle w:val="BodyText"/>
        <w:spacing w:before="9"/>
        <w:rPr>
          <w:sz w:val="11"/>
        </w:rPr>
      </w:pPr>
      <w:r>
        <w:rPr/>
        <w:drawing>
          <wp:anchor distT="0" distB="0" distL="0" distR="0" allowOverlap="1" layoutInCell="1" locked="0" behindDoc="0" simplePos="0" relativeHeight="10720">
            <wp:simplePos x="0" y="0"/>
            <wp:positionH relativeFrom="page">
              <wp:posOffset>1408527</wp:posOffset>
            </wp:positionH>
            <wp:positionV relativeFrom="paragraph">
              <wp:posOffset>111180</wp:posOffset>
            </wp:positionV>
            <wp:extent cx="5022713" cy="3178683"/>
            <wp:effectExtent l="0" t="0" r="0" b="0"/>
            <wp:wrapTopAndBottom/>
            <wp:docPr id="3" name="image71.jpeg" descr=""/>
            <wp:cNvGraphicFramePr>
              <a:graphicFrameLocks noChangeAspect="1"/>
            </wp:cNvGraphicFramePr>
            <a:graphic>
              <a:graphicData uri="http://schemas.openxmlformats.org/drawingml/2006/picture">
                <pic:pic>
                  <pic:nvPicPr>
                    <pic:cNvPr id="4" name="image71.jpeg"/>
                    <pic:cNvPicPr/>
                  </pic:nvPicPr>
                  <pic:blipFill>
                    <a:blip r:embed="rId237" cstate="print"/>
                    <a:stretch>
                      <a:fillRect/>
                    </a:stretch>
                  </pic:blipFill>
                  <pic:spPr>
                    <a:xfrm>
                      <a:off x="0" y="0"/>
                      <a:ext cx="5022713" cy="317868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810" w:right="66" w:firstLine="0"/>
        <w:jc w:val="left"/>
        <w:rPr>
          <w:i/>
          <w:sz w:val="12"/>
        </w:rPr>
      </w:pPr>
      <w:r>
        <w:rPr>
          <w:sz w:val="12"/>
        </w:rPr>
        <w:t>FUENTE:     A regional, </w:t>
      </w:r>
      <w:r>
        <w:rPr>
          <w:i/>
          <w:sz w:val="12"/>
        </w:rPr>
        <w:t>Índice de Transparencia y Disponibilidad de la Información Fiscal de las Entidades Federativas (ITIDIF) 2012.</w:t>
      </w:r>
    </w:p>
    <w:p>
      <w:pPr>
        <w:spacing w:before="20"/>
        <w:ind w:left="1518" w:right="66" w:firstLine="0"/>
        <w:jc w:val="left"/>
        <w:rPr>
          <w:sz w:val="12"/>
        </w:rPr>
      </w:pPr>
      <w:r>
        <w:rPr>
          <w:sz w:val="12"/>
        </w:rPr>
        <w:t>[Fecha de consulta: 10 de octubre, 2015]</w:t>
      </w:r>
    </w:p>
    <w:p>
      <w:pPr>
        <w:spacing w:after="0"/>
        <w:jc w:val="left"/>
        <w:rPr>
          <w:sz w:val="12"/>
        </w:rPr>
        <w:sectPr>
          <w:pgSz w:w="11910" w:h="16840"/>
          <w:pgMar w:header="0" w:footer="1003" w:top="1340" w:bottom="1200" w:left="1600" w:right="1580"/>
        </w:sectPr>
      </w:pPr>
    </w:p>
    <w:p>
      <w:pPr>
        <w:spacing w:before="54"/>
        <w:ind w:left="122" w:right="52" w:firstLine="0"/>
        <w:jc w:val="left"/>
        <w:rPr>
          <w:i/>
          <w:sz w:val="24"/>
        </w:rPr>
      </w:pPr>
      <w:r>
        <w:rPr>
          <w:i/>
          <w:sz w:val="24"/>
        </w:rPr>
        <w:t>Fiscalización</w:t>
      </w:r>
    </w:p>
    <w:p>
      <w:pPr>
        <w:pStyle w:val="BodyText"/>
        <w:rPr>
          <w:i/>
        </w:rPr>
      </w:pPr>
    </w:p>
    <w:p>
      <w:pPr>
        <w:pStyle w:val="BodyText"/>
        <w:rPr>
          <w:i/>
        </w:rPr>
      </w:pPr>
    </w:p>
    <w:p>
      <w:pPr>
        <w:spacing w:line="360" w:lineRule="auto" w:before="0"/>
        <w:ind w:left="1254" w:right="52" w:hanging="1133"/>
        <w:jc w:val="left"/>
        <w:rPr>
          <w:i/>
          <w:sz w:val="24"/>
        </w:rPr>
      </w:pPr>
      <w:r>
        <w:rPr>
          <w:i/>
          <w:sz w:val="24"/>
        </w:rPr>
        <w:t>Evaluación de la Legislación en Materia de Fiscalización Superior en México, </w:t>
      </w:r>
      <w:r>
        <w:rPr>
          <w:i/>
          <w:sz w:val="24"/>
        </w:rPr>
        <w:t>2009</w:t>
      </w:r>
    </w:p>
    <w:p>
      <w:pPr>
        <w:pStyle w:val="BodyText"/>
        <w:rPr>
          <w:i/>
        </w:rPr>
      </w:pPr>
    </w:p>
    <w:p>
      <w:pPr>
        <w:pStyle w:val="BodyText"/>
        <w:spacing w:line="360" w:lineRule="auto" w:before="144"/>
        <w:ind w:left="122" w:right="112" w:firstLine="427"/>
        <w:jc w:val="both"/>
      </w:pPr>
      <w:r>
        <w:rPr/>
        <w:t>La</w:t>
      </w:r>
      <w:r>
        <w:rPr>
          <w:spacing w:val="-13"/>
        </w:rPr>
        <w:t> </w:t>
      </w:r>
      <w:r>
        <w:rPr/>
        <w:t>Universidad</w:t>
      </w:r>
      <w:r>
        <w:rPr>
          <w:spacing w:val="-15"/>
        </w:rPr>
        <w:t> </w:t>
      </w:r>
      <w:r>
        <w:rPr/>
        <w:t>de</w:t>
      </w:r>
      <w:r>
        <w:rPr>
          <w:spacing w:val="-15"/>
        </w:rPr>
        <w:t> </w:t>
      </w:r>
      <w:r>
        <w:rPr/>
        <w:t>Guadalajara,</w:t>
      </w:r>
      <w:r>
        <w:rPr>
          <w:spacing w:val="-16"/>
        </w:rPr>
        <w:t> </w:t>
      </w:r>
      <w:r>
        <w:rPr/>
        <w:t>con</w:t>
      </w:r>
      <w:r>
        <w:rPr>
          <w:spacing w:val="-13"/>
        </w:rPr>
        <w:t> </w:t>
      </w:r>
      <w:r>
        <w:rPr/>
        <w:t>la</w:t>
      </w:r>
      <w:r>
        <w:rPr>
          <w:spacing w:val="-16"/>
        </w:rPr>
        <w:t> </w:t>
      </w:r>
      <w:r>
        <w:rPr/>
        <w:t>colaboración</w:t>
      </w:r>
      <w:r>
        <w:rPr>
          <w:spacing w:val="-15"/>
        </w:rPr>
        <w:t> </w:t>
      </w:r>
      <w:r>
        <w:rPr/>
        <w:t>de</w:t>
      </w:r>
      <w:r>
        <w:rPr>
          <w:spacing w:val="-15"/>
        </w:rPr>
        <w:t> </w:t>
      </w:r>
      <w:r>
        <w:rPr/>
        <w:t>la</w:t>
      </w:r>
      <w:r>
        <w:rPr>
          <w:spacing w:val="-13"/>
        </w:rPr>
        <w:t> </w:t>
      </w:r>
      <w:r>
        <w:rPr/>
        <w:t>consultora</w:t>
      </w:r>
      <w:r>
        <w:rPr>
          <w:spacing w:val="-16"/>
        </w:rPr>
        <w:t> </w:t>
      </w:r>
      <w:r>
        <w:rPr/>
        <w:t>Orienta- Agenda Pública, en abril de 2009 difundió los resultados de la evaluación de las leyes de fiscalización superior de México que realizó ese</w:t>
      </w:r>
      <w:r>
        <w:rPr>
          <w:spacing w:val="-15"/>
        </w:rPr>
        <w:t> </w:t>
      </w:r>
      <w:r>
        <w:rPr/>
        <w:t>año.</w:t>
      </w:r>
    </w:p>
    <w:p>
      <w:pPr>
        <w:pStyle w:val="BodyText"/>
      </w:pPr>
    </w:p>
    <w:p>
      <w:pPr>
        <w:pStyle w:val="BodyText"/>
        <w:spacing w:line="360" w:lineRule="auto" w:before="142"/>
        <w:ind w:left="122" w:right="117" w:firstLine="427"/>
        <w:jc w:val="both"/>
      </w:pPr>
      <w:r>
        <w:rPr/>
        <w:t>El indicador tiene el propósito de diagnosticar el estado y calidad de los ordenamientos jurídicos federales y estatales que regulan la revisión y fiscalización del gasto público; evaluar comparativamente estas leyes; dar seguimiento a la evolución legislativa, y comparar la legislación federal en el ámbito internacional.</w:t>
      </w:r>
    </w:p>
    <w:p>
      <w:pPr>
        <w:pStyle w:val="BodyText"/>
        <w:spacing w:before="10"/>
        <w:rPr>
          <w:sz w:val="35"/>
        </w:rPr>
      </w:pPr>
    </w:p>
    <w:p>
      <w:pPr>
        <w:pStyle w:val="BodyText"/>
        <w:spacing w:line="360" w:lineRule="auto"/>
        <w:ind w:left="122" w:right="119" w:firstLine="427"/>
        <w:jc w:val="both"/>
      </w:pPr>
      <w:r>
        <w:rPr/>
        <w:t>Se</w:t>
      </w:r>
      <w:r>
        <w:rPr>
          <w:spacing w:val="-8"/>
        </w:rPr>
        <w:t> </w:t>
      </w:r>
      <w:r>
        <w:rPr/>
        <w:t>evaluaron</w:t>
      </w:r>
      <w:r>
        <w:rPr>
          <w:spacing w:val="-8"/>
        </w:rPr>
        <w:t> </w:t>
      </w:r>
      <w:r>
        <w:rPr/>
        <w:t>10</w:t>
      </w:r>
      <w:r>
        <w:rPr>
          <w:spacing w:val="-6"/>
        </w:rPr>
        <w:t> </w:t>
      </w:r>
      <w:r>
        <w:rPr/>
        <w:t>indicadores</w:t>
      </w:r>
      <w:r>
        <w:rPr>
          <w:position w:val="8"/>
          <w:sz w:val="16"/>
        </w:rPr>
        <w:t>153</w:t>
      </w:r>
      <w:r>
        <w:rPr>
          <w:spacing w:val="15"/>
          <w:position w:val="8"/>
          <w:sz w:val="16"/>
        </w:rPr>
        <w:t> </w:t>
      </w:r>
      <w:r>
        <w:rPr/>
        <w:t>para</w:t>
      </w:r>
      <w:r>
        <w:rPr>
          <w:spacing w:val="-9"/>
        </w:rPr>
        <w:t> </w:t>
      </w:r>
      <w:r>
        <w:rPr/>
        <w:t>calificar</w:t>
      </w:r>
      <w:r>
        <w:rPr>
          <w:spacing w:val="-9"/>
        </w:rPr>
        <w:t> </w:t>
      </w:r>
      <w:r>
        <w:rPr/>
        <w:t>leyes</w:t>
      </w:r>
      <w:r>
        <w:rPr>
          <w:spacing w:val="-7"/>
        </w:rPr>
        <w:t> </w:t>
      </w:r>
      <w:r>
        <w:rPr/>
        <w:t>y</w:t>
      </w:r>
      <w:r>
        <w:rPr>
          <w:spacing w:val="-9"/>
        </w:rPr>
        <w:t> </w:t>
      </w:r>
      <w:r>
        <w:rPr/>
        <w:t>reglamentos</w:t>
      </w:r>
      <w:r>
        <w:rPr>
          <w:spacing w:val="-12"/>
        </w:rPr>
        <w:t> </w:t>
      </w:r>
      <w:r>
        <w:rPr/>
        <w:t>en</w:t>
      </w:r>
      <w:r>
        <w:rPr>
          <w:spacing w:val="-8"/>
        </w:rPr>
        <w:t> </w:t>
      </w:r>
      <w:r>
        <w:rPr/>
        <w:t>materia de fiscalización correspondientes a los congresos de los estados y del Distrito Federal.</w:t>
      </w:r>
    </w:p>
    <w:p>
      <w:pPr>
        <w:pStyle w:val="BodyText"/>
      </w:pPr>
    </w:p>
    <w:p>
      <w:pPr>
        <w:pStyle w:val="BodyText"/>
        <w:spacing w:line="360" w:lineRule="auto" w:before="142"/>
        <w:ind w:left="122" w:right="116" w:firstLine="427"/>
        <w:jc w:val="both"/>
      </w:pPr>
      <w:r>
        <w:rPr/>
        <w:t>La escala de calificaciones es de 0 a 100, donde valores más altos indican un sistema legal más completo. De acuerdo con el estudio, los indicadores presentan las deficiencias en materia de fiscalización, lo cual sirve como parámetro para mejorar la rendición de cuentas.</w:t>
      </w:r>
    </w:p>
    <w:p>
      <w:pPr>
        <w:pStyle w:val="BodyText"/>
      </w:pPr>
    </w:p>
    <w:p>
      <w:pPr>
        <w:pStyle w:val="BodyText"/>
        <w:spacing w:line="360" w:lineRule="auto" w:before="142"/>
        <w:ind w:left="122" w:right="118" w:firstLine="427"/>
        <w:jc w:val="both"/>
      </w:pPr>
      <w:r>
        <w:rPr/>
        <w:t>La calificación general promedio para las leyes fue de 84.7 puntos, cifra superior al año anterior (77) en una escala de 0 a 100. Campeche, Chiapas, Durango, México, Michoacán, Morelos, Zacatecas, Coahuila, Sonora, Sinaloa y Oaxaca obtuvieron la calificación máxima en sus ordenamientos jurídicos.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10744;mso-wrap-distance-left:0;mso-wrap-distance-right:0" from="85.103996pt,10.898769pt" to="229.123996pt,10.898769pt" stroked="true" strokeweight=".72003pt" strokecolor="#000000">
            <w10:wrap type="topAndBottom"/>
          </v:line>
        </w:pict>
      </w:r>
    </w:p>
    <w:p>
      <w:pPr>
        <w:spacing w:line="244" w:lineRule="auto" w:before="62"/>
        <w:ind w:left="122" w:right="117" w:firstLine="0"/>
        <w:jc w:val="both"/>
        <w:rPr>
          <w:sz w:val="16"/>
        </w:rPr>
      </w:pPr>
      <w:r>
        <w:rPr>
          <w:rFonts w:ascii="Times New Roman" w:hAnsi="Times New Roman"/>
          <w:position w:val="7"/>
          <w:sz w:val="13"/>
        </w:rPr>
        <w:t>153</w:t>
      </w:r>
      <w:r>
        <w:rPr>
          <w:sz w:val="16"/>
        </w:rPr>
        <w:t>Los indicadores y su ponderación son los siguientes: Fundamento constitucional suficiente: 10; Actualización legislativa: 10; Glosario conceptos clave: 5; Reglamento actualizado: 5; Autonomía plena de la Entidad de Fiscalización Superior</w:t>
      </w:r>
      <w:r>
        <w:rPr>
          <w:spacing w:val="-5"/>
          <w:sz w:val="16"/>
        </w:rPr>
        <w:t> </w:t>
      </w:r>
      <w:r>
        <w:rPr>
          <w:sz w:val="16"/>
        </w:rPr>
        <w:t>(EFS):</w:t>
      </w:r>
      <w:r>
        <w:rPr>
          <w:spacing w:val="-5"/>
          <w:sz w:val="16"/>
        </w:rPr>
        <w:t> </w:t>
      </w:r>
      <w:r>
        <w:rPr>
          <w:sz w:val="16"/>
        </w:rPr>
        <w:t>20;</w:t>
      </w:r>
      <w:r>
        <w:rPr>
          <w:spacing w:val="-3"/>
          <w:sz w:val="16"/>
        </w:rPr>
        <w:t> </w:t>
      </w:r>
      <w:r>
        <w:rPr>
          <w:sz w:val="16"/>
        </w:rPr>
        <w:t>Legitimidad</w:t>
      </w:r>
      <w:r>
        <w:rPr>
          <w:spacing w:val="-4"/>
          <w:sz w:val="16"/>
        </w:rPr>
        <w:t> </w:t>
      </w:r>
      <w:r>
        <w:rPr>
          <w:sz w:val="16"/>
        </w:rPr>
        <w:t>en</w:t>
      </w:r>
      <w:r>
        <w:rPr>
          <w:spacing w:val="-7"/>
          <w:sz w:val="16"/>
        </w:rPr>
        <w:t> </w:t>
      </w:r>
      <w:r>
        <w:rPr>
          <w:sz w:val="16"/>
        </w:rPr>
        <w:t>el</w:t>
      </w:r>
      <w:r>
        <w:rPr>
          <w:spacing w:val="-6"/>
          <w:sz w:val="16"/>
        </w:rPr>
        <w:t> </w:t>
      </w:r>
      <w:r>
        <w:rPr>
          <w:sz w:val="16"/>
        </w:rPr>
        <w:t>nombramiento</w:t>
      </w:r>
      <w:r>
        <w:rPr>
          <w:spacing w:val="-7"/>
          <w:sz w:val="16"/>
        </w:rPr>
        <w:t> </w:t>
      </w:r>
      <w:r>
        <w:rPr>
          <w:sz w:val="16"/>
        </w:rPr>
        <w:t>del</w:t>
      </w:r>
      <w:r>
        <w:rPr>
          <w:spacing w:val="-6"/>
          <w:sz w:val="16"/>
        </w:rPr>
        <w:t> </w:t>
      </w:r>
      <w:r>
        <w:rPr>
          <w:sz w:val="16"/>
        </w:rPr>
        <w:t>titular</w:t>
      </w:r>
      <w:r>
        <w:rPr>
          <w:spacing w:val="-7"/>
          <w:sz w:val="16"/>
        </w:rPr>
        <w:t> </w:t>
      </w:r>
      <w:r>
        <w:rPr>
          <w:sz w:val="16"/>
        </w:rPr>
        <w:t>de</w:t>
      </w:r>
      <w:r>
        <w:rPr>
          <w:spacing w:val="-7"/>
          <w:sz w:val="16"/>
        </w:rPr>
        <w:t> </w:t>
      </w:r>
      <w:r>
        <w:rPr>
          <w:sz w:val="16"/>
        </w:rPr>
        <w:t>las</w:t>
      </w:r>
      <w:r>
        <w:rPr>
          <w:spacing w:val="-8"/>
          <w:sz w:val="16"/>
        </w:rPr>
        <w:t> </w:t>
      </w:r>
      <w:r>
        <w:rPr>
          <w:sz w:val="16"/>
        </w:rPr>
        <w:t>EFS:</w:t>
      </w:r>
      <w:r>
        <w:rPr>
          <w:spacing w:val="-5"/>
          <w:sz w:val="16"/>
        </w:rPr>
        <w:t> </w:t>
      </w:r>
      <w:r>
        <w:rPr>
          <w:sz w:val="16"/>
        </w:rPr>
        <w:t>10;</w:t>
      </w:r>
      <w:r>
        <w:rPr>
          <w:spacing w:val="-8"/>
          <w:sz w:val="16"/>
        </w:rPr>
        <w:t> </w:t>
      </w:r>
      <w:r>
        <w:rPr>
          <w:sz w:val="16"/>
        </w:rPr>
        <w:t>Plazo</w:t>
      </w:r>
      <w:r>
        <w:rPr>
          <w:spacing w:val="-4"/>
          <w:sz w:val="16"/>
        </w:rPr>
        <w:t> </w:t>
      </w:r>
      <w:r>
        <w:rPr>
          <w:sz w:val="16"/>
        </w:rPr>
        <w:t>de</w:t>
      </w:r>
      <w:r>
        <w:rPr>
          <w:spacing w:val="-7"/>
          <w:sz w:val="16"/>
        </w:rPr>
        <w:t> </w:t>
      </w:r>
      <w:r>
        <w:rPr>
          <w:sz w:val="16"/>
        </w:rPr>
        <w:t>revisión</w:t>
      </w:r>
      <w:r>
        <w:rPr>
          <w:spacing w:val="-7"/>
          <w:sz w:val="16"/>
        </w:rPr>
        <w:t> </w:t>
      </w:r>
      <w:r>
        <w:rPr>
          <w:sz w:val="16"/>
        </w:rPr>
        <w:t>de</w:t>
      </w:r>
      <w:r>
        <w:rPr>
          <w:spacing w:val="-7"/>
          <w:sz w:val="16"/>
        </w:rPr>
        <w:t> </w:t>
      </w:r>
      <w:r>
        <w:rPr>
          <w:sz w:val="16"/>
        </w:rPr>
        <w:t>la</w:t>
      </w:r>
      <w:r>
        <w:rPr>
          <w:spacing w:val="-9"/>
          <w:sz w:val="16"/>
        </w:rPr>
        <w:t> </w:t>
      </w:r>
      <w:r>
        <w:rPr>
          <w:sz w:val="16"/>
        </w:rPr>
        <w:t>cuenta</w:t>
      </w:r>
      <w:r>
        <w:rPr>
          <w:spacing w:val="-4"/>
          <w:sz w:val="16"/>
        </w:rPr>
        <w:t> </w:t>
      </w:r>
      <w:r>
        <w:rPr>
          <w:sz w:val="16"/>
        </w:rPr>
        <w:t>pública:</w:t>
      </w:r>
      <w:r>
        <w:rPr>
          <w:spacing w:val="-5"/>
          <w:sz w:val="16"/>
        </w:rPr>
        <w:t> </w:t>
      </w:r>
      <w:r>
        <w:rPr>
          <w:sz w:val="16"/>
        </w:rPr>
        <w:t>10; Revisión</w:t>
      </w:r>
      <w:r>
        <w:rPr>
          <w:spacing w:val="-3"/>
          <w:sz w:val="16"/>
        </w:rPr>
        <w:t> </w:t>
      </w:r>
      <w:r>
        <w:rPr>
          <w:sz w:val="16"/>
        </w:rPr>
        <w:t>ex</w:t>
      </w:r>
      <w:r>
        <w:rPr>
          <w:spacing w:val="-6"/>
          <w:sz w:val="16"/>
        </w:rPr>
        <w:t> </w:t>
      </w:r>
      <w:r>
        <w:rPr>
          <w:sz w:val="16"/>
        </w:rPr>
        <w:t>ante:</w:t>
      </w:r>
      <w:r>
        <w:rPr>
          <w:spacing w:val="-2"/>
          <w:sz w:val="16"/>
        </w:rPr>
        <w:t> </w:t>
      </w:r>
      <w:r>
        <w:rPr>
          <w:sz w:val="16"/>
        </w:rPr>
        <w:t>10;</w:t>
      </w:r>
      <w:r>
        <w:rPr>
          <w:spacing w:val="-4"/>
          <w:sz w:val="16"/>
        </w:rPr>
        <w:t> </w:t>
      </w:r>
      <w:r>
        <w:rPr>
          <w:sz w:val="16"/>
        </w:rPr>
        <w:t>Medición</w:t>
      </w:r>
      <w:r>
        <w:rPr>
          <w:spacing w:val="-3"/>
          <w:sz w:val="16"/>
        </w:rPr>
        <w:t> </w:t>
      </w:r>
      <w:r>
        <w:rPr>
          <w:sz w:val="16"/>
        </w:rPr>
        <w:t>del</w:t>
      </w:r>
      <w:r>
        <w:rPr>
          <w:spacing w:val="-5"/>
          <w:sz w:val="16"/>
        </w:rPr>
        <w:t> </w:t>
      </w:r>
      <w:r>
        <w:rPr>
          <w:sz w:val="16"/>
        </w:rPr>
        <w:t>desempeño</w:t>
      </w:r>
      <w:r>
        <w:rPr>
          <w:spacing w:val="-5"/>
          <w:sz w:val="16"/>
        </w:rPr>
        <w:t> </w:t>
      </w:r>
      <w:r>
        <w:rPr>
          <w:sz w:val="16"/>
        </w:rPr>
        <w:t>institucional:</w:t>
      </w:r>
      <w:r>
        <w:rPr>
          <w:spacing w:val="-2"/>
          <w:sz w:val="16"/>
        </w:rPr>
        <w:t> </w:t>
      </w:r>
      <w:r>
        <w:rPr>
          <w:sz w:val="16"/>
        </w:rPr>
        <w:t>10;</w:t>
      </w:r>
      <w:r>
        <w:rPr>
          <w:spacing w:val="-4"/>
          <w:sz w:val="16"/>
        </w:rPr>
        <w:t> </w:t>
      </w:r>
      <w:r>
        <w:rPr>
          <w:sz w:val="16"/>
        </w:rPr>
        <w:t>y</w:t>
      </w:r>
      <w:r>
        <w:rPr>
          <w:spacing w:val="-4"/>
          <w:sz w:val="16"/>
        </w:rPr>
        <w:t> </w:t>
      </w:r>
      <w:r>
        <w:rPr>
          <w:sz w:val="16"/>
        </w:rPr>
        <w:t>Transparencia</w:t>
      </w:r>
      <w:r>
        <w:rPr>
          <w:spacing w:val="-3"/>
          <w:sz w:val="16"/>
        </w:rPr>
        <w:t> </w:t>
      </w:r>
      <w:r>
        <w:rPr>
          <w:sz w:val="16"/>
        </w:rPr>
        <w:t>de</w:t>
      </w:r>
      <w:r>
        <w:rPr>
          <w:spacing w:val="-5"/>
          <w:sz w:val="16"/>
        </w:rPr>
        <w:t> </w:t>
      </w:r>
      <w:r>
        <w:rPr>
          <w:sz w:val="16"/>
        </w:rPr>
        <w:t>la</w:t>
      </w:r>
      <w:r>
        <w:rPr>
          <w:spacing w:val="-5"/>
          <w:sz w:val="16"/>
        </w:rPr>
        <w:t> </w:t>
      </w:r>
      <w:r>
        <w:rPr>
          <w:sz w:val="16"/>
        </w:rPr>
        <w:t>fiscalización</w:t>
      </w:r>
      <w:r>
        <w:rPr>
          <w:spacing w:val="-6"/>
          <w:sz w:val="16"/>
        </w:rPr>
        <w:t> </w:t>
      </w:r>
      <w:r>
        <w:rPr>
          <w:sz w:val="16"/>
        </w:rPr>
        <w:t>superior:</w:t>
      </w:r>
      <w:r>
        <w:rPr>
          <w:spacing w:val="-2"/>
          <w:sz w:val="16"/>
        </w:rPr>
        <w:t> </w:t>
      </w:r>
      <w:r>
        <w:rPr>
          <w:sz w:val="16"/>
        </w:rPr>
        <w:t>10.</w:t>
      </w:r>
    </w:p>
    <w:p>
      <w:pPr>
        <w:spacing w:after="0" w:line="244" w:lineRule="auto"/>
        <w:jc w:val="both"/>
        <w:rPr>
          <w:sz w:val="16"/>
        </w:rPr>
        <w:sectPr>
          <w:pgSz w:w="11910" w:h="16840"/>
          <w:pgMar w:header="0" w:footer="1003" w:top="1500" w:bottom="1200" w:left="1580" w:right="1580"/>
        </w:sectPr>
      </w:pPr>
    </w:p>
    <w:p>
      <w:pPr>
        <w:spacing w:before="57"/>
        <w:ind w:left="1390" w:right="66" w:firstLine="0"/>
        <w:jc w:val="left"/>
        <w:rPr>
          <w:sz w:val="20"/>
        </w:rPr>
      </w:pPr>
      <w:bookmarkStart w:name="_bookmark92" w:id="123"/>
      <w:bookmarkEnd w:id="123"/>
      <w:r>
        <w:rPr/>
      </w:r>
      <w:r>
        <w:rPr>
          <w:sz w:val="20"/>
        </w:rPr>
        <w:t>Cuadro 4. 12. Evaluación general de la fiscalización superior, 2009</w:t>
      </w:r>
    </w:p>
    <w:p>
      <w:pPr>
        <w:pStyle w:val="BodyText"/>
        <w:spacing w:before="7"/>
        <w:rPr>
          <w:sz w:val="17"/>
        </w:rPr>
      </w:pPr>
    </w:p>
    <w:tbl>
      <w:tblPr>
        <w:tblW w:w="0" w:type="auto"/>
        <w:jc w:val="left"/>
        <w:tblInd w:w="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3"/>
        <w:gridCol w:w="1974"/>
        <w:gridCol w:w="1163"/>
        <w:gridCol w:w="953"/>
        <w:gridCol w:w="1812"/>
        <w:gridCol w:w="1107"/>
      </w:tblGrid>
      <w:tr>
        <w:trPr>
          <w:trHeight w:val="377" w:hRule="exact"/>
        </w:trPr>
        <w:tc>
          <w:tcPr>
            <w:tcW w:w="1193" w:type="dxa"/>
            <w:tcBorders>
              <w:left w:val="nil"/>
              <w:right w:val="nil"/>
            </w:tcBorders>
          </w:tcPr>
          <w:p>
            <w:pPr>
              <w:pStyle w:val="TableParagraph"/>
              <w:spacing w:before="64"/>
              <w:ind w:left="302" w:right="170"/>
              <w:jc w:val="center"/>
              <w:rPr>
                <w:sz w:val="18"/>
              </w:rPr>
            </w:pPr>
            <w:r>
              <w:rPr>
                <w:sz w:val="18"/>
              </w:rPr>
              <w:t>Posición</w:t>
            </w:r>
          </w:p>
        </w:tc>
        <w:tc>
          <w:tcPr>
            <w:tcW w:w="1974" w:type="dxa"/>
            <w:tcBorders>
              <w:left w:val="nil"/>
              <w:right w:val="nil"/>
            </w:tcBorders>
          </w:tcPr>
          <w:p>
            <w:pPr>
              <w:pStyle w:val="TableParagraph"/>
              <w:spacing w:before="64"/>
              <w:ind w:left="306"/>
              <w:rPr>
                <w:sz w:val="18"/>
              </w:rPr>
            </w:pPr>
            <w:r>
              <w:rPr>
                <w:sz w:val="18"/>
              </w:rPr>
              <w:t>Entidad Federativa</w:t>
            </w:r>
          </w:p>
        </w:tc>
        <w:tc>
          <w:tcPr>
            <w:tcW w:w="1163" w:type="dxa"/>
            <w:tcBorders>
              <w:left w:val="nil"/>
              <w:right w:val="nil"/>
            </w:tcBorders>
          </w:tcPr>
          <w:p>
            <w:pPr>
              <w:pStyle w:val="TableParagraph"/>
              <w:spacing w:before="64"/>
              <w:ind w:left="137" w:right="104"/>
              <w:jc w:val="center"/>
              <w:rPr>
                <w:sz w:val="18"/>
              </w:rPr>
            </w:pPr>
            <w:r>
              <w:rPr>
                <w:sz w:val="18"/>
              </w:rPr>
              <w:t>Evaluación</w:t>
            </w:r>
          </w:p>
        </w:tc>
        <w:tc>
          <w:tcPr>
            <w:tcW w:w="953" w:type="dxa"/>
            <w:tcBorders>
              <w:left w:val="nil"/>
              <w:right w:val="nil"/>
            </w:tcBorders>
          </w:tcPr>
          <w:p>
            <w:pPr>
              <w:pStyle w:val="TableParagraph"/>
              <w:spacing w:before="64"/>
              <w:ind w:left="117" w:right="114"/>
              <w:jc w:val="center"/>
              <w:rPr>
                <w:sz w:val="18"/>
              </w:rPr>
            </w:pPr>
            <w:r>
              <w:rPr>
                <w:sz w:val="18"/>
              </w:rPr>
              <w:t>Posición</w:t>
            </w:r>
          </w:p>
        </w:tc>
        <w:tc>
          <w:tcPr>
            <w:tcW w:w="1812" w:type="dxa"/>
            <w:tcBorders>
              <w:left w:val="nil"/>
              <w:right w:val="nil"/>
            </w:tcBorders>
          </w:tcPr>
          <w:p>
            <w:pPr>
              <w:pStyle w:val="TableParagraph"/>
              <w:spacing w:before="64"/>
              <w:ind w:left="170"/>
              <w:rPr>
                <w:sz w:val="18"/>
              </w:rPr>
            </w:pPr>
            <w:r>
              <w:rPr>
                <w:sz w:val="18"/>
              </w:rPr>
              <w:t>Entidad Federativa</w:t>
            </w:r>
          </w:p>
        </w:tc>
        <w:tc>
          <w:tcPr>
            <w:tcW w:w="1107" w:type="dxa"/>
            <w:tcBorders>
              <w:left w:val="nil"/>
              <w:right w:val="nil"/>
            </w:tcBorders>
          </w:tcPr>
          <w:p>
            <w:pPr>
              <w:pStyle w:val="TableParagraph"/>
              <w:spacing w:before="64"/>
              <w:ind w:left="110" w:right="75"/>
              <w:jc w:val="center"/>
              <w:rPr>
                <w:sz w:val="18"/>
              </w:rPr>
            </w:pPr>
            <w:r>
              <w:rPr>
                <w:sz w:val="18"/>
              </w:rPr>
              <w:t>Evaluación</w:t>
            </w:r>
          </w:p>
        </w:tc>
      </w:tr>
      <w:tr>
        <w:trPr>
          <w:trHeight w:val="247" w:hRule="exact"/>
        </w:trPr>
        <w:tc>
          <w:tcPr>
            <w:tcW w:w="1193" w:type="dxa"/>
            <w:tcBorders>
              <w:left w:val="nil"/>
              <w:bottom w:val="single" w:sz="4" w:space="0" w:color="F1F1F1"/>
              <w:right w:val="nil"/>
            </w:tcBorders>
          </w:tcPr>
          <w:p>
            <w:pPr>
              <w:pStyle w:val="TableParagraph"/>
              <w:spacing w:line="206" w:lineRule="exact"/>
              <w:ind w:left="130"/>
              <w:jc w:val="center"/>
              <w:rPr>
                <w:sz w:val="18"/>
              </w:rPr>
            </w:pPr>
            <w:r>
              <w:rPr>
                <w:w w:val="99"/>
                <w:sz w:val="18"/>
              </w:rPr>
              <w:t>1</w:t>
            </w:r>
          </w:p>
        </w:tc>
        <w:tc>
          <w:tcPr>
            <w:tcW w:w="1974" w:type="dxa"/>
            <w:tcBorders>
              <w:left w:val="nil"/>
              <w:bottom w:val="single" w:sz="4" w:space="0" w:color="F1F1F1"/>
              <w:right w:val="nil"/>
            </w:tcBorders>
          </w:tcPr>
          <w:p>
            <w:pPr>
              <w:pStyle w:val="TableParagraph"/>
              <w:spacing w:line="206" w:lineRule="exact"/>
              <w:ind w:left="189"/>
              <w:rPr>
                <w:sz w:val="18"/>
              </w:rPr>
            </w:pPr>
            <w:r>
              <w:rPr>
                <w:sz w:val="18"/>
              </w:rPr>
              <w:t>Campeche</w:t>
            </w:r>
          </w:p>
        </w:tc>
        <w:tc>
          <w:tcPr>
            <w:tcW w:w="1163" w:type="dxa"/>
            <w:tcBorders>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left w:val="nil"/>
              <w:bottom w:val="nil"/>
              <w:right w:val="nil"/>
            </w:tcBorders>
          </w:tcPr>
          <w:p>
            <w:pPr>
              <w:pStyle w:val="TableParagraph"/>
              <w:spacing w:line="206" w:lineRule="exact"/>
              <w:ind w:left="116" w:right="114"/>
              <w:jc w:val="center"/>
              <w:rPr>
                <w:sz w:val="18"/>
              </w:rPr>
            </w:pPr>
            <w:r>
              <w:rPr>
                <w:sz w:val="18"/>
              </w:rPr>
              <w:t>18</w:t>
            </w:r>
          </w:p>
        </w:tc>
        <w:tc>
          <w:tcPr>
            <w:tcW w:w="1812" w:type="dxa"/>
            <w:tcBorders>
              <w:left w:val="nil"/>
              <w:bottom w:val="nil"/>
              <w:right w:val="nil"/>
            </w:tcBorders>
          </w:tcPr>
          <w:p>
            <w:pPr>
              <w:pStyle w:val="TableParagraph"/>
              <w:spacing w:line="206" w:lineRule="exact"/>
              <w:ind w:left="71"/>
              <w:rPr>
                <w:sz w:val="18"/>
              </w:rPr>
            </w:pPr>
            <w:r>
              <w:rPr>
                <w:sz w:val="18"/>
              </w:rPr>
              <w:t>Nayarit</w:t>
            </w:r>
          </w:p>
        </w:tc>
        <w:tc>
          <w:tcPr>
            <w:tcW w:w="1107" w:type="dxa"/>
            <w:tcBorders>
              <w:left w:val="nil"/>
              <w:bottom w:val="nil"/>
              <w:right w:val="nil"/>
            </w:tcBorders>
          </w:tcPr>
          <w:p>
            <w:pPr>
              <w:pStyle w:val="TableParagraph"/>
              <w:spacing w:line="206" w:lineRule="exact"/>
              <w:ind w:left="110" w:right="69"/>
              <w:jc w:val="center"/>
              <w:rPr>
                <w:sz w:val="18"/>
              </w:rPr>
            </w:pPr>
            <w:r>
              <w:rPr>
                <w:sz w:val="18"/>
              </w:rPr>
              <w:t>80</w:t>
            </w:r>
          </w:p>
        </w:tc>
      </w:tr>
      <w:tr>
        <w:trPr>
          <w:trHeight w:val="250" w:hRule="exact"/>
        </w:trPr>
        <w:tc>
          <w:tcPr>
            <w:tcW w:w="1193" w:type="dxa"/>
            <w:tcBorders>
              <w:top w:val="single" w:sz="4" w:space="0" w:color="F1F1F1"/>
              <w:left w:val="nil"/>
              <w:bottom w:val="single" w:sz="4" w:space="0" w:color="F1F1F1"/>
              <w:right w:val="nil"/>
            </w:tcBorders>
          </w:tcPr>
          <w:p>
            <w:pPr>
              <w:pStyle w:val="TableParagraph"/>
              <w:spacing w:before="1"/>
              <w:ind w:left="130"/>
              <w:jc w:val="center"/>
              <w:rPr>
                <w:sz w:val="18"/>
              </w:rPr>
            </w:pPr>
            <w:r>
              <w:rPr>
                <w:w w:val="99"/>
                <w:sz w:val="18"/>
              </w:rPr>
              <w:t>2</w:t>
            </w:r>
          </w:p>
        </w:tc>
        <w:tc>
          <w:tcPr>
            <w:tcW w:w="1974" w:type="dxa"/>
            <w:tcBorders>
              <w:top w:val="single" w:sz="4" w:space="0" w:color="F1F1F1"/>
              <w:left w:val="nil"/>
              <w:bottom w:val="single" w:sz="4" w:space="0" w:color="F1F1F1"/>
              <w:right w:val="nil"/>
            </w:tcBorders>
          </w:tcPr>
          <w:p>
            <w:pPr>
              <w:pStyle w:val="TableParagraph"/>
              <w:spacing w:before="1"/>
              <w:ind w:left="189"/>
              <w:rPr>
                <w:sz w:val="18"/>
              </w:rPr>
            </w:pPr>
            <w:r>
              <w:rPr>
                <w:sz w:val="18"/>
              </w:rPr>
              <w:t>Chiapas</w:t>
            </w:r>
          </w:p>
        </w:tc>
        <w:tc>
          <w:tcPr>
            <w:tcW w:w="1163" w:type="dxa"/>
            <w:tcBorders>
              <w:top w:val="single" w:sz="4" w:space="0" w:color="F1F1F1"/>
              <w:left w:val="nil"/>
              <w:bottom w:val="single" w:sz="4" w:space="0" w:color="F1F1F1"/>
              <w:right w:val="nil"/>
            </w:tcBorders>
          </w:tcPr>
          <w:p>
            <w:pPr>
              <w:pStyle w:val="TableParagraph"/>
              <w:spacing w:before="1"/>
              <w:ind w:left="137" w:right="103"/>
              <w:jc w:val="center"/>
              <w:rPr>
                <w:sz w:val="18"/>
              </w:rPr>
            </w:pPr>
            <w:r>
              <w:rPr>
                <w:sz w:val="18"/>
              </w:rPr>
              <w:t>100</w:t>
            </w:r>
          </w:p>
        </w:tc>
        <w:tc>
          <w:tcPr>
            <w:tcW w:w="953" w:type="dxa"/>
            <w:tcBorders>
              <w:top w:val="nil"/>
              <w:left w:val="nil"/>
              <w:bottom w:val="nil"/>
              <w:right w:val="nil"/>
            </w:tcBorders>
          </w:tcPr>
          <w:p>
            <w:pPr>
              <w:pStyle w:val="TableParagraph"/>
              <w:spacing w:before="6"/>
              <w:ind w:left="116" w:right="114"/>
              <w:jc w:val="center"/>
              <w:rPr>
                <w:sz w:val="18"/>
              </w:rPr>
            </w:pPr>
            <w:r>
              <w:rPr>
                <w:sz w:val="18"/>
              </w:rPr>
              <w:t>19</w:t>
            </w:r>
          </w:p>
        </w:tc>
        <w:tc>
          <w:tcPr>
            <w:tcW w:w="1812" w:type="dxa"/>
            <w:tcBorders>
              <w:top w:val="nil"/>
              <w:left w:val="nil"/>
              <w:bottom w:val="nil"/>
              <w:right w:val="nil"/>
            </w:tcBorders>
          </w:tcPr>
          <w:p>
            <w:pPr>
              <w:pStyle w:val="TableParagraph"/>
              <w:spacing w:before="6"/>
              <w:ind w:left="71"/>
              <w:rPr>
                <w:sz w:val="18"/>
              </w:rPr>
            </w:pPr>
            <w:r>
              <w:rPr>
                <w:sz w:val="18"/>
              </w:rPr>
              <w:t>Veracruz</w:t>
            </w:r>
          </w:p>
        </w:tc>
        <w:tc>
          <w:tcPr>
            <w:tcW w:w="1107" w:type="dxa"/>
            <w:tcBorders>
              <w:top w:val="nil"/>
              <w:left w:val="nil"/>
              <w:bottom w:val="nil"/>
              <w:right w:val="nil"/>
            </w:tcBorders>
          </w:tcPr>
          <w:p>
            <w:pPr>
              <w:pStyle w:val="TableParagraph"/>
              <w:spacing w:before="6"/>
              <w:ind w:left="110" w:right="69"/>
              <w:jc w:val="center"/>
              <w:rPr>
                <w:sz w:val="18"/>
              </w:rPr>
            </w:pPr>
            <w:r>
              <w:rPr>
                <w:sz w:val="18"/>
              </w:rPr>
              <w:t>80</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130"/>
              <w:jc w:val="center"/>
              <w:rPr>
                <w:sz w:val="18"/>
              </w:rPr>
            </w:pPr>
            <w:r>
              <w:rPr>
                <w:w w:val="99"/>
                <w:sz w:val="18"/>
              </w:rPr>
              <w:t>3</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Durango</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20</w:t>
            </w:r>
          </w:p>
        </w:tc>
        <w:tc>
          <w:tcPr>
            <w:tcW w:w="1812" w:type="dxa"/>
            <w:tcBorders>
              <w:top w:val="nil"/>
              <w:left w:val="nil"/>
              <w:bottom w:val="nil"/>
              <w:right w:val="nil"/>
            </w:tcBorders>
          </w:tcPr>
          <w:p>
            <w:pPr>
              <w:pStyle w:val="TableParagraph"/>
              <w:spacing w:before="4"/>
              <w:ind w:left="71"/>
              <w:rPr>
                <w:sz w:val="18"/>
              </w:rPr>
            </w:pPr>
            <w:r>
              <w:rPr>
                <w:sz w:val="18"/>
              </w:rPr>
              <w:t>Puebla</w:t>
            </w:r>
          </w:p>
        </w:tc>
        <w:tc>
          <w:tcPr>
            <w:tcW w:w="1107" w:type="dxa"/>
            <w:tcBorders>
              <w:top w:val="nil"/>
              <w:left w:val="nil"/>
              <w:bottom w:val="nil"/>
              <w:right w:val="nil"/>
            </w:tcBorders>
          </w:tcPr>
          <w:p>
            <w:pPr>
              <w:pStyle w:val="TableParagraph"/>
              <w:spacing w:before="4"/>
              <w:ind w:left="110" w:right="69"/>
              <w:jc w:val="center"/>
              <w:rPr>
                <w:sz w:val="18"/>
              </w:rPr>
            </w:pPr>
            <w:r>
              <w:rPr>
                <w:sz w:val="18"/>
              </w:rPr>
              <w:t>80</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130"/>
              <w:jc w:val="center"/>
              <w:rPr>
                <w:sz w:val="18"/>
              </w:rPr>
            </w:pPr>
            <w:r>
              <w:rPr>
                <w:w w:val="99"/>
                <w:sz w:val="18"/>
              </w:rPr>
              <w:t>4</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México</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21</w:t>
            </w:r>
          </w:p>
        </w:tc>
        <w:tc>
          <w:tcPr>
            <w:tcW w:w="1812" w:type="dxa"/>
            <w:tcBorders>
              <w:top w:val="nil"/>
              <w:left w:val="nil"/>
              <w:bottom w:val="nil"/>
              <w:right w:val="nil"/>
            </w:tcBorders>
          </w:tcPr>
          <w:p>
            <w:pPr>
              <w:pStyle w:val="TableParagraph"/>
              <w:spacing w:before="4"/>
              <w:ind w:left="71"/>
              <w:rPr>
                <w:sz w:val="18"/>
              </w:rPr>
            </w:pPr>
            <w:r>
              <w:rPr>
                <w:sz w:val="18"/>
              </w:rPr>
              <w:t>Tabasco</w:t>
            </w:r>
          </w:p>
        </w:tc>
        <w:tc>
          <w:tcPr>
            <w:tcW w:w="1107" w:type="dxa"/>
            <w:tcBorders>
              <w:top w:val="nil"/>
              <w:left w:val="nil"/>
              <w:bottom w:val="nil"/>
              <w:right w:val="nil"/>
            </w:tcBorders>
          </w:tcPr>
          <w:p>
            <w:pPr>
              <w:pStyle w:val="TableParagraph"/>
              <w:spacing w:before="4"/>
              <w:ind w:left="110" w:right="69"/>
              <w:jc w:val="center"/>
              <w:rPr>
                <w:sz w:val="18"/>
              </w:rPr>
            </w:pPr>
            <w:r>
              <w:rPr>
                <w:sz w:val="18"/>
              </w:rPr>
              <w:t>80</w:t>
            </w:r>
          </w:p>
        </w:tc>
      </w:tr>
      <w:tr>
        <w:trPr>
          <w:trHeight w:val="250" w:hRule="exact"/>
        </w:trPr>
        <w:tc>
          <w:tcPr>
            <w:tcW w:w="1193" w:type="dxa"/>
            <w:tcBorders>
              <w:top w:val="single" w:sz="4" w:space="0" w:color="F1F1F1"/>
              <w:left w:val="nil"/>
              <w:bottom w:val="single" w:sz="4" w:space="0" w:color="F1F1F1"/>
              <w:right w:val="nil"/>
            </w:tcBorders>
          </w:tcPr>
          <w:p>
            <w:pPr>
              <w:pStyle w:val="TableParagraph"/>
              <w:spacing w:before="1"/>
              <w:ind w:left="130"/>
              <w:jc w:val="center"/>
              <w:rPr>
                <w:sz w:val="18"/>
              </w:rPr>
            </w:pPr>
            <w:r>
              <w:rPr>
                <w:w w:val="99"/>
                <w:sz w:val="18"/>
              </w:rPr>
              <w:t>5</w:t>
            </w:r>
          </w:p>
        </w:tc>
        <w:tc>
          <w:tcPr>
            <w:tcW w:w="1974" w:type="dxa"/>
            <w:tcBorders>
              <w:top w:val="single" w:sz="4" w:space="0" w:color="F1F1F1"/>
              <w:left w:val="nil"/>
              <w:bottom w:val="single" w:sz="4" w:space="0" w:color="F1F1F1"/>
              <w:right w:val="nil"/>
            </w:tcBorders>
          </w:tcPr>
          <w:p>
            <w:pPr>
              <w:pStyle w:val="TableParagraph"/>
              <w:spacing w:before="1"/>
              <w:ind w:left="189"/>
              <w:rPr>
                <w:sz w:val="18"/>
              </w:rPr>
            </w:pPr>
            <w:r>
              <w:rPr>
                <w:sz w:val="18"/>
              </w:rPr>
              <w:t>Michoacán</w:t>
            </w:r>
          </w:p>
        </w:tc>
        <w:tc>
          <w:tcPr>
            <w:tcW w:w="1163" w:type="dxa"/>
            <w:tcBorders>
              <w:top w:val="single" w:sz="4" w:space="0" w:color="F1F1F1"/>
              <w:left w:val="nil"/>
              <w:bottom w:val="single" w:sz="4" w:space="0" w:color="F1F1F1"/>
              <w:right w:val="nil"/>
            </w:tcBorders>
          </w:tcPr>
          <w:p>
            <w:pPr>
              <w:pStyle w:val="TableParagraph"/>
              <w:spacing w:before="1"/>
              <w:ind w:left="137" w:right="103"/>
              <w:jc w:val="center"/>
              <w:rPr>
                <w:sz w:val="18"/>
              </w:rPr>
            </w:pPr>
            <w:r>
              <w:rPr>
                <w:sz w:val="18"/>
              </w:rPr>
              <w:t>100</w:t>
            </w:r>
          </w:p>
        </w:tc>
        <w:tc>
          <w:tcPr>
            <w:tcW w:w="953" w:type="dxa"/>
            <w:tcBorders>
              <w:top w:val="nil"/>
              <w:left w:val="nil"/>
              <w:bottom w:val="nil"/>
              <w:right w:val="nil"/>
            </w:tcBorders>
          </w:tcPr>
          <w:p>
            <w:pPr>
              <w:pStyle w:val="TableParagraph"/>
              <w:spacing w:before="6"/>
              <w:ind w:left="116" w:right="114"/>
              <w:jc w:val="center"/>
              <w:rPr>
                <w:sz w:val="18"/>
              </w:rPr>
            </w:pPr>
            <w:r>
              <w:rPr>
                <w:sz w:val="18"/>
              </w:rPr>
              <w:t>22</w:t>
            </w:r>
          </w:p>
        </w:tc>
        <w:tc>
          <w:tcPr>
            <w:tcW w:w="1812" w:type="dxa"/>
            <w:tcBorders>
              <w:top w:val="nil"/>
              <w:left w:val="nil"/>
              <w:bottom w:val="nil"/>
              <w:right w:val="nil"/>
            </w:tcBorders>
          </w:tcPr>
          <w:p>
            <w:pPr>
              <w:pStyle w:val="TableParagraph"/>
              <w:spacing w:before="6"/>
              <w:ind w:left="71"/>
              <w:rPr>
                <w:sz w:val="18"/>
              </w:rPr>
            </w:pPr>
            <w:r>
              <w:rPr>
                <w:sz w:val="18"/>
              </w:rPr>
              <w:t>Chihuahua</w:t>
            </w:r>
          </w:p>
        </w:tc>
        <w:tc>
          <w:tcPr>
            <w:tcW w:w="1107" w:type="dxa"/>
            <w:tcBorders>
              <w:top w:val="nil"/>
              <w:left w:val="nil"/>
              <w:bottom w:val="nil"/>
              <w:right w:val="nil"/>
            </w:tcBorders>
          </w:tcPr>
          <w:p>
            <w:pPr>
              <w:pStyle w:val="TableParagraph"/>
              <w:spacing w:before="6"/>
              <w:ind w:left="110" w:right="69"/>
              <w:jc w:val="center"/>
              <w:rPr>
                <w:sz w:val="18"/>
              </w:rPr>
            </w:pPr>
            <w:r>
              <w:rPr>
                <w:sz w:val="18"/>
              </w:rPr>
              <w:t>75</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130"/>
              <w:jc w:val="center"/>
              <w:rPr>
                <w:sz w:val="18"/>
              </w:rPr>
            </w:pPr>
            <w:r>
              <w:rPr>
                <w:w w:val="99"/>
                <w:sz w:val="18"/>
              </w:rPr>
              <w:t>6</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Morelos</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23</w:t>
            </w:r>
          </w:p>
        </w:tc>
        <w:tc>
          <w:tcPr>
            <w:tcW w:w="1812" w:type="dxa"/>
            <w:tcBorders>
              <w:top w:val="nil"/>
              <w:left w:val="nil"/>
              <w:bottom w:val="nil"/>
              <w:right w:val="nil"/>
            </w:tcBorders>
          </w:tcPr>
          <w:p>
            <w:pPr>
              <w:pStyle w:val="TableParagraph"/>
              <w:spacing w:before="4"/>
              <w:ind w:left="71"/>
              <w:rPr>
                <w:sz w:val="18"/>
              </w:rPr>
            </w:pPr>
            <w:r>
              <w:rPr>
                <w:sz w:val="18"/>
              </w:rPr>
              <w:t>Querétaro</w:t>
            </w:r>
          </w:p>
        </w:tc>
        <w:tc>
          <w:tcPr>
            <w:tcW w:w="1107" w:type="dxa"/>
            <w:tcBorders>
              <w:top w:val="nil"/>
              <w:left w:val="nil"/>
              <w:bottom w:val="nil"/>
              <w:right w:val="nil"/>
            </w:tcBorders>
          </w:tcPr>
          <w:p>
            <w:pPr>
              <w:pStyle w:val="TableParagraph"/>
              <w:spacing w:before="4"/>
              <w:ind w:left="110" w:right="69"/>
              <w:jc w:val="center"/>
              <w:rPr>
                <w:sz w:val="18"/>
              </w:rPr>
            </w:pPr>
            <w:r>
              <w:rPr>
                <w:sz w:val="18"/>
              </w:rPr>
              <w:t>75</w:t>
            </w:r>
          </w:p>
        </w:tc>
      </w:tr>
      <w:tr>
        <w:trPr>
          <w:trHeight w:val="250" w:hRule="exact"/>
        </w:trPr>
        <w:tc>
          <w:tcPr>
            <w:tcW w:w="1193" w:type="dxa"/>
            <w:tcBorders>
              <w:top w:val="single" w:sz="4" w:space="0" w:color="F1F1F1"/>
              <w:left w:val="nil"/>
              <w:bottom w:val="single" w:sz="4" w:space="0" w:color="F1F1F1"/>
              <w:right w:val="nil"/>
            </w:tcBorders>
          </w:tcPr>
          <w:p>
            <w:pPr>
              <w:pStyle w:val="TableParagraph"/>
              <w:spacing w:line="206" w:lineRule="exact"/>
              <w:ind w:left="130"/>
              <w:jc w:val="center"/>
              <w:rPr>
                <w:sz w:val="18"/>
              </w:rPr>
            </w:pPr>
            <w:r>
              <w:rPr>
                <w:w w:val="99"/>
                <w:sz w:val="18"/>
              </w:rPr>
              <w:t>7</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Zacatecas</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24</w:t>
            </w:r>
          </w:p>
        </w:tc>
        <w:tc>
          <w:tcPr>
            <w:tcW w:w="1812" w:type="dxa"/>
            <w:tcBorders>
              <w:top w:val="nil"/>
              <w:left w:val="nil"/>
              <w:bottom w:val="nil"/>
              <w:right w:val="nil"/>
            </w:tcBorders>
          </w:tcPr>
          <w:p>
            <w:pPr>
              <w:pStyle w:val="TableParagraph"/>
              <w:spacing w:before="4"/>
              <w:ind w:left="71"/>
              <w:rPr>
                <w:sz w:val="18"/>
              </w:rPr>
            </w:pPr>
            <w:r>
              <w:rPr>
                <w:sz w:val="18"/>
              </w:rPr>
              <w:t>Tamaulipas</w:t>
            </w:r>
          </w:p>
        </w:tc>
        <w:tc>
          <w:tcPr>
            <w:tcW w:w="1107" w:type="dxa"/>
            <w:tcBorders>
              <w:top w:val="nil"/>
              <w:left w:val="nil"/>
              <w:bottom w:val="nil"/>
              <w:right w:val="nil"/>
            </w:tcBorders>
          </w:tcPr>
          <w:p>
            <w:pPr>
              <w:pStyle w:val="TableParagraph"/>
              <w:spacing w:before="4"/>
              <w:ind w:left="110" w:right="69"/>
              <w:jc w:val="center"/>
              <w:rPr>
                <w:sz w:val="18"/>
              </w:rPr>
            </w:pPr>
            <w:r>
              <w:rPr>
                <w:sz w:val="18"/>
              </w:rPr>
              <w:t>75</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130"/>
              <w:jc w:val="center"/>
              <w:rPr>
                <w:sz w:val="18"/>
              </w:rPr>
            </w:pPr>
            <w:r>
              <w:rPr>
                <w:w w:val="99"/>
                <w:sz w:val="18"/>
              </w:rPr>
              <w:t>8</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Coahuila</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25</w:t>
            </w:r>
          </w:p>
        </w:tc>
        <w:tc>
          <w:tcPr>
            <w:tcW w:w="1812" w:type="dxa"/>
            <w:tcBorders>
              <w:top w:val="nil"/>
              <w:left w:val="nil"/>
              <w:bottom w:val="nil"/>
              <w:right w:val="nil"/>
            </w:tcBorders>
          </w:tcPr>
          <w:p>
            <w:pPr>
              <w:pStyle w:val="TableParagraph"/>
              <w:spacing w:before="4"/>
              <w:ind w:left="71"/>
              <w:rPr>
                <w:sz w:val="18"/>
              </w:rPr>
            </w:pPr>
            <w:r>
              <w:rPr>
                <w:sz w:val="18"/>
              </w:rPr>
              <w:t>Hidalgo</w:t>
            </w:r>
          </w:p>
        </w:tc>
        <w:tc>
          <w:tcPr>
            <w:tcW w:w="1107" w:type="dxa"/>
            <w:tcBorders>
              <w:top w:val="nil"/>
              <w:left w:val="nil"/>
              <w:bottom w:val="nil"/>
              <w:right w:val="nil"/>
            </w:tcBorders>
          </w:tcPr>
          <w:p>
            <w:pPr>
              <w:pStyle w:val="TableParagraph"/>
              <w:spacing w:before="4"/>
              <w:ind w:left="110" w:right="69"/>
              <w:jc w:val="center"/>
              <w:rPr>
                <w:sz w:val="18"/>
              </w:rPr>
            </w:pPr>
            <w:r>
              <w:rPr>
                <w:sz w:val="18"/>
              </w:rPr>
              <w:t>75</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130"/>
              <w:jc w:val="center"/>
              <w:rPr>
                <w:sz w:val="18"/>
              </w:rPr>
            </w:pPr>
            <w:r>
              <w:rPr>
                <w:w w:val="99"/>
                <w:sz w:val="18"/>
              </w:rPr>
              <w:t>9</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Sonora</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26</w:t>
            </w:r>
          </w:p>
        </w:tc>
        <w:tc>
          <w:tcPr>
            <w:tcW w:w="1812" w:type="dxa"/>
            <w:tcBorders>
              <w:top w:val="nil"/>
              <w:left w:val="nil"/>
              <w:bottom w:val="nil"/>
              <w:right w:val="nil"/>
            </w:tcBorders>
          </w:tcPr>
          <w:p>
            <w:pPr>
              <w:pStyle w:val="TableParagraph"/>
              <w:spacing w:before="4"/>
              <w:ind w:left="71"/>
              <w:rPr>
                <w:sz w:val="18"/>
              </w:rPr>
            </w:pPr>
            <w:r>
              <w:rPr>
                <w:sz w:val="18"/>
              </w:rPr>
              <w:t>Baja California</w:t>
            </w:r>
          </w:p>
        </w:tc>
        <w:tc>
          <w:tcPr>
            <w:tcW w:w="1107" w:type="dxa"/>
            <w:tcBorders>
              <w:top w:val="nil"/>
              <w:left w:val="nil"/>
              <w:bottom w:val="nil"/>
              <w:right w:val="nil"/>
            </w:tcBorders>
          </w:tcPr>
          <w:p>
            <w:pPr>
              <w:pStyle w:val="TableParagraph"/>
              <w:spacing w:before="4"/>
              <w:ind w:left="110" w:right="69"/>
              <w:jc w:val="center"/>
              <w:rPr>
                <w:sz w:val="18"/>
              </w:rPr>
            </w:pPr>
            <w:r>
              <w:rPr>
                <w:sz w:val="18"/>
              </w:rPr>
              <w:t>70</w:t>
            </w:r>
          </w:p>
        </w:tc>
      </w:tr>
      <w:tr>
        <w:trPr>
          <w:trHeight w:val="250" w:hRule="exact"/>
        </w:trPr>
        <w:tc>
          <w:tcPr>
            <w:tcW w:w="1193" w:type="dxa"/>
            <w:tcBorders>
              <w:top w:val="single" w:sz="4" w:space="0" w:color="F1F1F1"/>
              <w:left w:val="nil"/>
              <w:bottom w:val="single" w:sz="4" w:space="0" w:color="F1F1F1"/>
              <w:right w:val="nil"/>
            </w:tcBorders>
          </w:tcPr>
          <w:p>
            <w:pPr>
              <w:pStyle w:val="TableParagraph"/>
              <w:spacing w:line="206" w:lineRule="exact"/>
              <w:ind w:left="302" w:right="166"/>
              <w:jc w:val="center"/>
              <w:rPr>
                <w:sz w:val="18"/>
              </w:rPr>
            </w:pPr>
            <w:r>
              <w:rPr>
                <w:sz w:val="18"/>
              </w:rPr>
              <w:t>10</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Sinaloa</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27</w:t>
            </w:r>
          </w:p>
        </w:tc>
        <w:tc>
          <w:tcPr>
            <w:tcW w:w="1812" w:type="dxa"/>
            <w:tcBorders>
              <w:top w:val="nil"/>
              <w:left w:val="nil"/>
              <w:bottom w:val="nil"/>
              <w:right w:val="nil"/>
            </w:tcBorders>
          </w:tcPr>
          <w:p>
            <w:pPr>
              <w:pStyle w:val="TableParagraph"/>
              <w:spacing w:before="4"/>
              <w:ind w:left="71"/>
              <w:rPr>
                <w:sz w:val="18"/>
              </w:rPr>
            </w:pPr>
            <w:r>
              <w:rPr>
                <w:sz w:val="18"/>
              </w:rPr>
              <w:t>Distrito Federal</w:t>
            </w:r>
          </w:p>
        </w:tc>
        <w:tc>
          <w:tcPr>
            <w:tcW w:w="1107" w:type="dxa"/>
            <w:tcBorders>
              <w:top w:val="nil"/>
              <w:left w:val="nil"/>
              <w:bottom w:val="nil"/>
              <w:right w:val="nil"/>
            </w:tcBorders>
          </w:tcPr>
          <w:p>
            <w:pPr>
              <w:pStyle w:val="TableParagraph"/>
              <w:spacing w:before="4"/>
              <w:ind w:left="110" w:right="69"/>
              <w:jc w:val="center"/>
              <w:rPr>
                <w:sz w:val="18"/>
              </w:rPr>
            </w:pPr>
            <w:r>
              <w:rPr>
                <w:sz w:val="18"/>
              </w:rPr>
              <w:t>70</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302" w:right="166"/>
              <w:jc w:val="center"/>
              <w:rPr>
                <w:sz w:val="18"/>
              </w:rPr>
            </w:pPr>
            <w:r>
              <w:rPr>
                <w:sz w:val="18"/>
              </w:rPr>
              <w:t>11</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Oaxaca</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100</w:t>
            </w:r>
          </w:p>
        </w:tc>
        <w:tc>
          <w:tcPr>
            <w:tcW w:w="953" w:type="dxa"/>
            <w:tcBorders>
              <w:top w:val="nil"/>
              <w:left w:val="nil"/>
              <w:bottom w:val="nil"/>
              <w:right w:val="nil"/>
            </w:tcBorders>
          </w:tcPr>
          <w:p>
            <w:pPr>
              <w:pStyle w:val="TableParagraph"/>
              <w:spacing w:before="4"/>
              <w:ind w:left="116" w:right="114"/>
              <w:jc w:val="center"/>
              <w:rPr>
                <w:sz w:val="18"/>
              </w:rPr>
            </w:pPr>
            <w:r>
              <w:rPr>
                <w:sz w:val="18"/>
              </w:rPr>
              <w:t>28</w:t>
            </w:r>
          </w:p>
        </w:tc>
        <w:tc>
          <w:tcPr>
            <w:tcW w:w="1812" w:type="dxa"/>
            <w:tcBorders>
              <w:top w:val="nil"/>
              <w:left w:val="nil"/>
              <w:bottom w:val="nil"/>
              <w:right w:val="nil"/>
            </w:tcBorders>
          </w:tcPr>
          <w:p>
            <w:pPr>
              <w:pStyle w:val="TableParagraph"/>
              <w:spacing w:before="4"/>
              <w:ind w:left="71"/>
              <w:rPr>
                <w:sz w:val="18"/>
              </w:rPr>
            </w:pPr>
            <w:r>
              <w:rPr>
                <w:sz w:val="18"/>
              </w:rPr>
              <w:t>Jalisco</w:t>
            </w:r>
          </w:p>
        </w:tc>
        <w:tc>
          <w:tcPr>
            <w:tcW w:w="1107" w:type="dxa"/>
            <w:tcBorders>
              <w:top w:val="nil"/>
              <w:left w:val="nil"/>
              <w:bottom w:val="nil"/>
              <w:right w:val="nil"/>
            </w:tcBorders>
          </w:tcPr>
          <w:p>
            <w:pPr>
              <w:pStyle w:val="TableParagraph"/>
              <w:spacing w:before="4"/>
              <w:ind w:left="110" w:right="69"/>
              <w:jc w:val="center"/>
              <w:rPr>
                <w:sz w:val="18"/>
              </w:rPr>
            </w:pPr>
            <w:r>
              <w:rPr>
                <w:sz w:val="18"/>
              </w:rPr>
              <w:t>70</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302" w:right="166"/>
              <w:jc w:val="center"/>
              <w:rPr>
                <w:sz w:val="18"/>
              </w:rPr>
            </w:pPr>
            <w:r>
              <w:rPr>
                <w:sz w:val="18"/>
              </w:rPr>
              <w:t>12</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Tlaxcala</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95</w:t>
            </w:r>
          </w:p>
        </w:tc>
        <w:tc>
          <w:tcPr>
            <w:tcW w:w="953" w:type="dxa"/>
            <w:tcBorders>
              <w:top w:val="nil"/>
              <w:left w:val="nil"/>
              <w:bottom w:val="nil"/>
              <w:right w:val="nil"/>
            </w:tcBorders>
          </w:tcPr>
          <w:p>
            <w:pPr>
              <w:pStyle w:val="TableParagraph"/>
              <w:spacing w:before="4"/>
              <w:ind w:left="116" w:right="114"/>
              <w:jc w:val="center"/>
              <w:rPr>
                <w:sz w:val="18"/>
              </w:rPr>
            </w:pPr>
            <w:r>
              <w:rPr>
                <w:sz w:val="18"/>
              </w:rPr>
              <w:t>29</w:t>
            </w:r>
          </w:p>
        </w:tc>
        <w:tc>
          <w:tcPr>
            <w:tcW w:w="1812" w:type="dxa"/>
            <w:tcBorders>
              <w:top w:val="nil"/>
              <w:left w:val="nil"/>
              <w:bottom w:val="nil"/>
              <w:right w:val="nil"/>
            </w:tcBorders>
          </w:tcPr>
          <w:p>
            <w:pPr>
              <w:pStyle w:val="TableParagraph"/>
              <w:spacing w:before="4"/>
              <w:ind w:left="71"/>
              <w:rPr>
                <w:sz w:val="18"/>
              </w:rPr>
            </w:pPr>
            <w:r>
              <w:rPr>
                <w:sz w:val="18"/>
              </w:rPr>
              <w:t>Baja California Sur</w:t>
            </w:r>
          </w:p>
        </w:tc>
        <w:tc>
          <w:tcPr>
            <w:tcW w:w="1107" w:type="dxa"/>
            <w:tcBorders>
              <w:top w:val="nil"/>
              <w:left w:val="nil"/>
              <w:bottom w:val="nil"/>
              <w:right w:val="nil"/>
            </w:tcBorders>
          </w:tcPr>
          <w:p>
            <w:pPr>
              <w:pStyle w:val="TableParagraph"/>
              <w:spacing w:before="4"/>
              <w:ind w:left="110" w:right="69"/>
              <w:jc w:val="center"/>
              <w:rPr>
                <w:sz w:val="18"/>
              </w:rPr>
            </w:pPr>
            <w:r>
              <w:rPr>
                <w:sz w:val="18"/>
              </w:rPr>
              <w:t>70</w:t>
            </w:r>
          </w:p>
        </w:tc>
      </w:tr>
      <w:tr>
        <w:trPr>
          <w:trHeight w:val="250" w:hRule="exact"/>
        </w:trPr>
        <w:tc>
          <w:tcPr>
            <w:tcW w:w="1193" w:type="dxa"/>
            <w:tcBorders>
              <w:top w:val="single" w:sz="4" w:space="0" w:color="F1F1F1"/>
              <w:left w:val="nil"/>
              <w:bottom w:val="single" w:sz="4" w:space="0" w:color="F1F1F1"/>
              <w:right w:val="nil"/>
            </w:tcBorders>
          </w:tcPr>
          <w:p>
            <w:pPr>
              <w:pStyle w:val="TableParagraph"/>
              <w:spacing w:line="207" w:lineRule="exact"/>
              <w:ind w:left="302" w:right="166"/>
              <w:jc w:val="center"/>
              <w:rPr>
                <w:sz w:val="18"/>
              </w:rPr>
            </w:pPr>
            <w:r>
              <w:rPr>
                <w:sz w:val="18"/>
              </w:rPr>
              <w:t>13</w:t>
            </w:r>
          </w:p>
        </w:tc>
        <w:tc>
          <w:tcPr>
            <w:tcW w:w="1974" w:type="dxa"/>
            <w:tcBorders>
              <w:top w:val="single" w:sz="4" w:space="0" w:color="F1F1F1"/>
              <w:left w:val="nil"/>
              <w:bottom w:val="single" w:sz="4" w:space="0" w:color="F1F1F1"/>
              <w:right w:val="nil"/>
            </w:tcBorders>
          </w:tcPr>
          <w:p>
            <w:pPr>
              <w:pStyle w:val="TableParagraph"/>
              <w:spacing w:line="207" w:lineRule="exact"/>
              <w:ind w:left="189"/>
              <w:rPr>
                <w:sz w:val="18"/>
              </w:rPr>
            </w:pPr>
            <w:r>
              <w:rPr>
                <w:sz w:val="18"/>
              </w:rPr>
              <w:t>San Luis Potosí</w:t>
            </w:r>
          </w:p>
        </w:tc>
        <w:tc>
          <w:tcPr>
            <w:tcW w:w="1163" w:type="dxa"/>
            <w:tcBorders>
              <w:top w:val="single" w:sz="4" w:space="0" w:color="F1F1F1"/>
              <w:left w:val="nil"/>
              <w:bottom w:val="single" w:sz="4" w:space="0" w:color="F1F1F1"/>
              <w:right w:val="nil"/>
            </w:tcBorders>
          </w:tcPr>
          <w:p>
            <w:pPr>
              <w:pStyle w:val="TableParagraph"/>
              <w:spacing w:line="207" w:lineRule="exact"/>
              <w:ind w:left="137" w:right="103"/>
              <w:jc w:val="center"/>
              <w:rPr>
                <w:sz w:val="18"/>
              </w:rPr>
            </w:pPr>
            <w:r>
              <w:rPr>
                <w:sz w:val="18"/>
              </w:rPr>
              <w:t>95</w:t>
            </w:r>
          </w:p>
        </w:tc>
        <w:tc>
          <w:tcPr>
            <w:tcW w:w="953" w:type="dxa"/>
            <w:tcBorders>
              <w:top w:val="nil"/>
              <w:left w:val="nil"/>
              <w:bottom w:val="nil"/>
              <w:right w:val="nil"/>
            </w:tcBorders>
          </w:tcPr>
          <w:p>
            <w:pPr>
              <w:pStyle w:val="TableParagraph"/>
              <w:spacing w:before="4"/>
              <w:ind w:left="116" w:right="114"/>
              <w:jc w:val="center"/>
              <w:rPr>
                <w:sz w:val="18"/>
              </w:rPr>
            </w:pPr>
            <w:r>
              <w:rPr>
                <w:sz w:val="18"/>
              </w:rPr>
              <w:t>30</w:t>
            </w:r>
          </w:p>
        </w:tc>
        <w:tc>
          <w:tcPr>
            <w:tcW w:w="1812" w:type="dxa"/>
            <w:tcBorders>
              <w:top w:val="nil"/>
              <w:left w:val="nil"/>
              <w:bottom w:val="nil"/>
              <w:right w:val="nil"/>
            </w:tcBorders>
          </w:tcPr>
          <w:p>
            <w:pPr>
              <w:pStyle w:val="TableParagraph"/>
              <w:spacing w:before="4"/>
              <w:ind w:left="71"/>
              <w:rPr>
                <w:sz w:val="18"/>
              </w:rPr>
            </w:pPr>
            <w:r>
              <w:rPr>
                <w:sz w:val="18"/>
              </w:rPr>
              <w:t>Nuevo León</w:t>
            </w:r>
          </w:p>
        </w:tc>
        <w:tc>
          <w:tcPr>
            <w:tcW w:w="1107" w:type="dxa"/>
            <w:tcBorders>
              <w:top w:val="nil"/>
              <w:left w:val="nil"/>
              <w:bottom w:val="nil"/>
              <w:right w:val="nil"/>
            </w:tcBorders>
          </w:tcPr>
          <w:p>
            <w:pPr>
              <w:pStyle w:val="TableParagraph"/>
              <w:spacing w:before="4"/>
              <w:ind w:left="110" w:right="69"/>
              <w:jc w:val="center"/>
              <w:rPr>
                <w:sz w:val="18"/>
              </w:rPr>
            </w:pPr>
            <w:r>
              <w:rPr>
                <w:sz w:val="18"/>
              </w:rPr>
              <w:t>60</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302" w:right="166"/>
              <w:jc w:val="center"/>
              <w:rPr>
                <w:sz w:val="18"/>
              </w:rPr>
            </w:pPr>
            <w:r>
              <w:rPr>
                <w:sz w:val="18"/>
              </w:rPr>
              <w:t>14</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Guanajuato</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90</w:t>
            </w:r>
          </w:p>
        </w:tc>
        <w:tc>
          <w:tcPr>
            <w:tcW w:w="953" w:type="dxa"/>
            <w:tcBorders>
              <w:top w:val="nil"/>
              <w:left w:val="nil"/>
              <w:bottom w:val="nil"/>
              <w:right w:val="nil"/>
            </w:tcBorders>
          </w:tcPr>
          <w:p>
            <w:pPr>
              <w:pStyle w:val="TableParagraph"/>
              <w:spacing w:before="4"/>
              <w:ind w:left="116" w:right="114"/>
              <w:jc w:val="center"/>
              <w:rPr>
                <w:sz w:val="18"/>
              </w:rPr>
            </w:pPr>
            <w:r>
              <w:rPr>
                <w:sz w:val="18"/>
              </w:rPr>
              <w:t>31</w:t>
            </w:r>
          </w:p>
        </w:tc>
        <w:tc>
          <w:tcPr>
            <w:tcW w:w="1812" w:type="dxa"/>
            <w:tcBorders>
              <w:top w:val="nil"/>
              <w:left w:val="nil"/>
              <w:bottom w:val="nil"/>
              <w:right w:val="nil"/>
            </w:tcBorders>
          </w:tcPr>
          <w:p>
            <w:pPr>
              <w:pStyle w:val="TableParagraph"/>
              <w:spacing w:before="4"/>
              <w:ind w:left="71"/>
              <w:rPr>
                <w:sz w:val="18"/>
              </w:rPr>
            </w:pPr>
            <w:r>
              <w:rPr>
                <w:sz w:val="18"/>
              </w:rPr>
              <w:t>Aguascalientes</w:t>
            </w:r>
          </w:p>
        </w:tc>
        <w:tc>
          <w:tcPr>
            <w:tcW w:w="1107" w:type="dxa"/>
            <w:tcBorders>
              <w:top w:val="nil"/>
              <w:left w:val="nil"/>
              <w:bottom w:val="nil"/>
              <w:right w:val="nil"/>
            </w:tcBorders>
          </w:tcPr>
          <w:p>
            <w:pPr>
              <w:pStyle w:val="TableParagraph"/>
              <w:spacing w:before="4"/>
              <w:ind w:left="110" w:right="69"/>
              <w:jc w:val="center"/>
              <w:rPr>
                <w:sz w:val="18"/>
              </w:rPr>
            </w:pPr>
            <w:r>
              <w:rPr>
                <w:sz w:val="18"/>
              </w:rPr>
              <w:t>60</w:t>
            </w:r>
          </w:p>
        </w:tc>
      </w:tr>
      <w:tr>
        <w:trPr>
          <w:trHeight w:val="247" w:hRule="exact"/>
        </w:trPr>
        <w:tc>
          <w:tcPr>
            <w:tcW w:w="1193" w:type="dxa"/>
            <w:tcBorders>
              <w:top w:val="single" w:sz="4" w:space="0" w:color="F1F1F1"/>
              <w:left w:val="nil"/>
              <w:bottom w:val="single" w:sz="4" w:space="0" w:color="F1F1F1"/>
              <w:right w:val="nil"/>
            </w:tcBorders>
          </w:tcPr>
          <w:p>
            <w:pPr>
              <w:pStyle w:val="TableParagraph"/>
              <w:spacing w:line="206" w:lineRule="exact"/>
              <w:ind w:left="302" w:right="166"/>
              <w:jc w:val="center"/>
              <w:rPr>
                <w:sz w:val="18"/>
              </w:rPr>
            </w:pPr>
            <w:r>
              <w:rPr>
                <w:sz w:val="18"/>
              </w:rPr>
              <w:t>15</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Guerrero</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85</w:t>
            </w:r>
          </w:p>
        </w:tc>
        <w:tc>
          <w:tcPr>
            <w:tcW w:w="953" w:type="dxa"/>
            <w:tcBorders>
              <w:top w:val="nil"/>
              <w:left w:val="nil"/>
              <w:bottom w:val="nil"/>
              <w:right w:val="nil"/>
            </w:tcBorders>
          </w:tcPr>
          <w:p>
            <w:pPr>
              <w:pStyle w:val="TableParagraph"/>
              <w:spacing w:before="4"/>
              <w:ind w:left="116" w:right="114"/>
              <w:jc w:val="center"/>
              <w:rPr>
                <w:sz w:val="18"/>
              </w:rPr>
            </w:pPr>
            <w:r>
              <w:rPr>
                <w:sz w:val="18"/>
              </w:rPr>
              <w:t>32</w:t>
            </w:r>
          </w:p>
        </w:tc>
        <w:tc>
          <w:tcPr>
            <w:tcW w:w="1812" w:type="dxa"/>
            <w:tcBorders>
              <w:top w:val="nil"/>
              <w:left w:val="nil"/>
              <w:bottom w:val="nil"/>
              <w:right w:val="nil"/>
            </w:tcBorders>
          </w:tcPr>
          <w:p>
            <w:pPr>
              <w:pStyle w:val="TableParagraph"/>
              <w:spacing w:before="4"/>
              <w:ind w:left="71"/>
              <w:rPr>
                <w:sz w:val="18"/>
              </w:rPr>
            </w:pPr>
            <w:r>
              <w:rPr>
                <w:sz w:val="18"/>
              </w:rPr>
              <w:t>Colima</w:t>
            </w:r>
          </w:p>
        </w:tc>
        <w:tc>
          <w:tcPr>
            <w:tcW w:w="1107" w:type="dxa"/>
            <w:tcBorders>
              <w:top w:val="nil"/>
              <w:left w:val="nil"/>
              <w:bottom w:val="nil"/>
              <w:right w:val="nil"/>
            </w:tcBorders>
          </w:tcPr>
          <w:p>
            <w:pPr>
              <w:pStyle w:val="TableParagraph"/>
              <w:spacing w:before="4"/>
              <w:ind w:left="110" w:right="69"/>
              <w:jc w:val="center"/>
              <w:rPr>
                <w:sz w:val="18"/>
              </w:rPr>
            </w:pPr>
            <w:r>
              <w:rPr>
                <w:sz w:val="18"/>
              </w:rPr>
              <w:t>45</w:t>
            </w:r>
          </w:p>
        </w:tc>
      </w:tr>
      <w:tr>
        <w:trPr>
          <w:trHeight w:val="250" w:hRule="exact"/>
        </w:trPr>
        <w:tc>
          <w:tcPr>
            <w:tcW w:w="1193" w:type="dxa"/>
            <w:tcBorders>
              <w:top w:val="single" w:sz="4" w:space="0" w:color="F1F1F1"/>
              <w:left w:val="nil"/>
              <w:bottom w:val="single" w:sz="4" w:space="0" w:color="F1F1F1"/>
              <w:right w:val="nil"/>
            </w:tcBorders>
          </w:tcPr>
          <w:p>
            <w:pPr>
              <w:pStyle w:val="TableParagraph"/>
              <w:spacing w:line="206" w:lineRule="exact"/>
              <w:ind w:left="302" w:right="166"/>
              <w:jc w:val="center"/>
              <w:rPr>
                <w:sz w:val="18"/>
              </w:rPr>
            </w:pPr>
            <w:r>
              <w:rPr>
                <w:sz w:val="18"/>
              </w:rPr>
              <w:t>16</w:t>
            </w:r>
          </w:p>
        </w:tc>
        <w:tc>
          <w:tcPr>
            <w:tcW w:w="1974" w:type="dxa"/>
            <w:tcBorders>
              <w:top w:val="single" w:sz="4" w:space="0" w:color="F1F1F1"/>
              <w:left w:val="nil"/>
              <w:bottom w:val="single" w:sz="4" w:space="0" w:color="F1F1F1"/>
              <w:right w:val="nil"/>
            </w:tcBorders>
          </w:tcPr>
          <w:p>
            <w:pPr>
              <w:pStyle w:val="TableParagraph"/>
              <w:spacing w:line="206" w:lineRule="exact"/>
              <w:ind w:left="189"/>
              <w:rPr>
                <w:sz w:val="18"/>
              </w:rPr>
            </w:pPr>
            <w:r>
              <w:rPr>
                <w:sz w:val="18"/>
              </w:rPr>
              <w:t>Quintana Roo</w:t>
            </w:r>
          </w:p>
        </w:tc>
        <w:tc>
          <w:tcPr>
            <w:tcW w:w="1163" w:type="dxa"/>
            <w:tcBorders>
              <w:top w:val="single" w:sz="4" w:space="0" w:color="F1F1F1"/>
              <w:left w:val="nil"/>
              <w:bottom w:val="single" w:sz="4" w:space="0" w:color="F1F1F1"/>
              <w:right w:val="nil"/>
            </w:tcBorders>
          </w:tcPr>
          <w:p>
            <w:pPr>
              <w:pStyle w:val="TableParagraph"/>
              <w:spacing w:line="206" w:lineRule="exact"/>
              <w:ind w:left="137" w:right="103"/>
              <w:jc w:val="center"/>
              <w:rPr>
                <w:sz w:val="18"/>
              </w:rPr>
            </w:pPr>
            <w:r>
              <w:rPr>
                <w:sz w:val="18"/>
              </w:rPr>
              <w:t>85</w:t>
            </w:r>
          </w:p>
        </w:tc>
        <w:tc>
          <w:tcPr>
            <w:tcW w:w="953" w:type="dxa"/>
            <w:tcBorders>
              <w:top w:val="nil"/>
              <w:left w:val="nil"/>
              <w:bottom w:val="nil"/>
              <w:right w:val="nil"/>
            </w:tcBorders>
          </w:tcPr>
          <w:p>
            <w:pPr/>
          </w:p>
        </w:tc>
        <w:tc>
          <w:tcPr>
            <w:tcW w:w="1812" w:type="dxa"/>
            <w:tcBorders>
              <w:top w:val="nil"/>
              <w:left w:val="nil"/>
              <w:bottom w:val="single" w:sz="4" w:space="0" w:color="FFFF00"/>
              <w:right w:val="nil"/>
            </w:tcBorders>
          </w:tcPr>
          <w:p>
            <w:pPr/>
          </w:p>
        </w:tc>
        <w:tc>
          <w:tcPr>
            <w:tcW w:w="1107" w:type="dxa"/>
            <w:tcBorders>
              <w:top w:val="nil"/>
              <w:left w:val="nil"/>
              <w:bottom w:val="single" w:sz="4" w:space="0" w:color="FFFF00"/>
              <w:right w:val="nil"/>
            </w:tcBorders>
          </w:tcPr>
          <w:p>
            <w:pPr/>
          </w:p>
        </w:tc>
      </w:tr>
      <w:tr>
        <w:trPr>
          <w:trHeight w:val="247" w:hRule="exact"/>
        </w:trPr>
        <w:tc>
          <w:tcPr>
            <w:tcW w:w="1193" w:type="dxa"/>
            <w:tcBorders>
              <w:top w:val="single" w:sz="4" w:space="0" w:color="F1F1F1"/>
              <w:left w:val="nil"/>
              <w:right w:val="nil"/>
            </w:tcBorders>
          </w:tcPr>
          <w:p>
            <w:pPr>
              <w:pStyle w:val="TableParagraph"/>
              <w:spacing w:line="206" w:lineRule="exact"/>
              <w:ind w:left="302" w:right="166"/>
              <w:jc w:val="center"/>
              <w:rPr>
                <w:sz w:val="18"/>
              </w:rPr>
            </w:pPr>
            <w:r>
              <w:rPr>
                <w:sz w:val="18"/>
              </w:rPr>
              <w:t>17</w:t>
            </w:r>
          </w:p>
        </w:tc>
        <w:tc>
          <w:tcPr>
            <w:tcW w:w="1974" w:type="dxa"/>
            <w:tcBorders>
              <w:top w:val="single" w:sz="4" w:space="0" w:color="F1F1F1"/>
              <w:left w:val="nil"/>
              <w:right w:val="nil"/>
            </w:tcBorders>
          </w:tcPr>
          <w:p>
            <w:pPr>
              <w:pStyle w:val="TableParagraph"/>
              <w:spacing w:line="206" w:lineRule="exact"/>
              <w:ind w:left="189"/>
              <w:rPr>
                <w:sz w:val="18"/>
              </w:rPr>
            </w:pPr>
            <w:r>
              <w:rPr>
                <w:sz w:val="18"/>
              </w:rPr>
              <w:t>Yucatán</w:t>
            </w:r>
          </w:p>
        </w:tc>
        <w:tc>
          <w:tcPr>
            <w:tcW w:w="1163" w:type="dxa"/>
            <w:tcBorders>
              <w:top w:val="single" w:sz="4" w:space="0" w:color="F1F1F1"/>
              <w:left w:val="nil"/>
              <w:right w:val="nil"/>
            </w:tcBorders>
          </w:tcPr>
          <w:p>
            <w:pPr>
              <w:pStyle w:val="TableParagraph"/>
              <w:spacing w:line="206" w:lineRule="exact"/>
              <w:ind w:left="137" w:right="103"/>
              <w:jc w:val="center"/>
              <w:rPr>
                <w:sz w:val="18"/>
              </w:rPr>
            </w:pPr>
            <w:r>
              <w:rPr>
                <w:sz w:val="18"/>
              </w:rPr>
              <w:t>85</w:t>
            </w:r>
          </w:p>
        </w:tc>
        <w:tc>
          <w:tcPr>
            <w:tcW w:w="953" w:type="dxa"/>
            <w:tcBorders>
              <w:top w:val="nil"/>
              <w:left w:val="nil"/>
              <w:right w:val="nil"/>
            </w:tcBorders>
          </w:tcPr>
          <w:p>
            <w:pPr/>
          </w:p>
        </w:tc>
        <w:tc>
          <w:tcPr>
            <w:tcW w:w="1812" w:type="dxa"/>
            <w:tcBorders>
              <w:top w:val="nil"/>
              <w:left w:val="nil"/>
              <w:right w:val="nil"/>
            </w:tcBorders>
            <w:shd w:val="clear" w:color="auto" w:fill="FFFF00"/>
          </w:tcPr>
          <w:p>
            <w:pPr>
              <w:pStyle w:val="TableParagraph"/>
              <w:spacing w:before="25"/>
              <w:ind w:left="71"/>
              <w:rPr>
                <w:b/>
                <w:sz w:val="18"/>
              </w:rPr>
            </w:pPr>
            <w:r>
              <w:rPr>
                <w:b/>
                <w:sz w:val="18"/>
              </w:rPr>
              <w:t>Promedio</w:t>
            </w:r>
          </w:p>
        </w:tc>
        <w:tc>
          <w:tcPr>
            <w:tcW w:w="1107" w:type="dxa"/>
            <w:tcBorders>
              <w:top w:val="nil"/>
              <w:left w:val="nil"/>
              <w:right w:val="nil"/>
            </w:tcBorders>
            <w:shd w:val="clear" w:color="auto" w:fill="FFFF00"/>
          </w:tcPr>
          <w:p>
            <w:pPr>
              <w:pStyle w:val="TableParagraph"/>
              <w:spacing w:before="25"/>
              <w:ind w:left="110" w:right="73"/>
              <w:jc w:val="center"/>
              <w:rPr>
                <w:b/>
                <w:sz w:val="18"/>
              </w:rPr>
            </w:pPr>
            <w:r>
              <w:rPr>
                <w:b/>
                <w:sz w:val="18"/>
              </w:rPr>
              <w:t>84.7</w:t>
            </w:r>
          </w:p>
        </w:tc>
      </w:tr>
    </w:tbl>
    <w:p>
      <w:pPr>
        <w:pStyle w:val="BodyText"/>
        <w:spacing w:before="8"/>
        <w:rPr>
          <w:sz w:val="9"/>
        </w:rPr>
      </w:pPr>
    </w:p>
    <w:p>
      <w:pPr>
        <w:spacing w:before="85"/>
        <w:ind w:left="668" w:right="66" w:hanging="567"/>
        <w:jc w:val="left"/>
        <w:rPr>
          <w:sz w:val="12"/>
        </w:rPr>
      </w:pPr>
      <w:r>
        <w:rPr>
          <w:sz w:val="12"/>
        </w:rPr>
        <w:t>FUENTE: Figueroa Nery, Aimé, </w:t>
      </w:r>
      <w:r>
        <w:rPr>
          <w:i/>
          <w:sz w:val="12"/>
        </w:rPr>
        <w:t>Cuenta Pública en México. Evaluación de las Leyes de Fiscalización Superior</w:t>
      </w:r>
      <w:r>
        <w:rPr>
          <w:sz w:val="12"/>
        </w:rPr>
        <w:t>. Universidad de Guadalajara y Consultora Orienta Agenda Pública. </w:t>
      </w:r>
      <w:r>
        <w:rPr>
          <w:i/>
          <w:sz w:val="12"/>
        </w:rPr>
        <w:t>Evaluación de la legislación en materia de fiscalización superior mexicana, </w:t>
      </w:r>
      <w:r>
        <w:rPr>
          <w:sz w:val="12"/>
        </w:rPr>
        <w:t>2009, p. 37.</w:t>
      </w:r>
    </w:p>
    <w:p>
      <w:pPr>
        <w:spacing w:line="309" w:lineRule="auto" w:before="1"/>
        <w:ind w:left="668" w:right="3693" w:firstLine="0"/>
        <w:jc w:val="left"/>
        <w:rPr>
          <w:sz w:val="12"/>
        </w:rPr>
      </w:pPr>
      <w:r>
        <w:rPr>
          <w:sz w:val="12"/>
        </w:rPr>
        <w:t>Disponible en: </w:t>
      </w:r>
      <w:hyperlink r:id="rId238">
        <w:r>
          <w:rPr>
            <w:sz w:val="12"/>
          </w:rPr>
          <w:t>http://www.asf.gob.mx/pags/OTROS/CPMEX/Eval2009_abril09.pdf</w:t>
        </w:r>
      </w:hyperlink>
      <w:r>
        <w:rPr>
          <w:sz w:val="12"/>
        </w:rPr>
        <w:t> [Fecha de consulta: 10 de octubre, 2015]</w:t>
      </w:r>
    </w:p>
    <w:p>
      <w:pPr>
        <w:pStyle w:val="BodyText"/>
        <w:rPr>
          <w:sz w:val="12"/>
        </w:rPr>
      </w:pPr>
    </w:p>
    <w:p>
      <w:pPr>
        <w:pStyle w:val="BodyText"/>
        <w:rPr>
          <w:sz w:val="12"/>
        </w:rPr>
      </w:pPr>
    </w:p>
    <w:p>
      <w:pPr>
        <w:pStyle w:val="BodyText"/>
        <w:rPr>
          <w:sz w:val="12"/>
        </w:rPr>
      </w:pPr>
    </w:p>
    <w:p>
      <w:pPr>
        <w:pStyle w:val="BodyText"/>
        <w:spacing w:line="360" w:lineRule="auto" w:before="103"/>
        <w:ind w:left="102" w:right="124" w:firstLine="427"/>
        <w:jc w:val="both"/>
      </w:pPr>
      <w:r>
        <w:rPr/>
        <w:t>Los estados que aumentaron su calificación en relación con los ordenamientos jurídicos fueron: Oaxaca con 65 puntos, en 2007 registró 35 puntos y en 2008, 100; Sinaloa con 50 puntos, y Aguascalientes con 45 puntos, pasando de 25 en 2007 a 60 en 2008.</w:t>
      </w:r>
    </w:p>
    <w:p>
      <w:pPr>
        <w:pStyle w:val="BodyText"/>
      </w:pPr>
    </w:p>
    <w:p>
      <w:pPr>
        <w:spacing w:before="139"/>
        <w:ind w:left="102" w:right="0" w:firstLine="0"/>
        <w:jc w:val="both"/>
        <w:rPr>
          <w:i/>
          <w:sz w:val="24"/>
        </w:rPr>
      </w:pPr>
      <w:r>
        <w:rPr>
          <w:i/>
          <w:sz w:val="24"/>
        </w:rPr>
        <w:t>Calidad Institucional</w:t>
      </w:r>
    </w:p>
    <w:p>
      <w:pPr>
        <w:pStyle w:val="ListParagraph"/>
        <w:numPr>
          <w:ilvl w:val="0"/>
          <w:numId w:val="90"/>
        </w:numPr>
        <w:tabs>
          <w:tab w:pos="383" w:val="left" w:leader="none"/>
        </w:tabs>
        <w:spacing w:line="240" w:lineRule="auto" w:before="137" w:after="0"/>
        <w:ind w:left="382" w:right="0" w:hanging="280"/>
        <w:jc w:val="both"/>
        <w:rPr>
          <w:i/>
          <w:sz w:val="24"/>
        </w:rPr>
      </w:pPr>
      <w:r>
        <w:rPr>
          <w:i/>
          <w:sz w:val="24"/>
        </w:rPr>
        <w:t>Índice de Confianza en las Instituciones,</w:t>
      </w:r>
      <w:r>
        <w:rPr>
          <w:i/>
          <w:spacing w:val="-15"/>
          <w:sz w:val="24"/>
        </w:rPr>
        <w:t> </w:t>
      </w:r>
      <w:r>
        <w:rPr>
          <w:i/>
          <w:sz w:val="24"/>
        </w:rPr>
        <w:t>2011</w:t>
      </w:r>
    </w:p>
    <w:p>
      <w:pPr>
        <w:pStyle w:val="BodyText"/>
        <w:rPr>
          <w:i/>
        </w:rPr>
      </w:pPr>
    </w:p>
    <w:p>
      <w:pPr>
        <w:pStyle w:val="BodyText"/>
        <w:spacing w:before="2"/>
        <w:rPr>
          <w:i/>
        </w:rPr>
      </w:pPr>
    </w:p>
    <w:p>
      <w:pPr>
        <w:pStyle w:val="BodyText"/>
        <w:spacing w:line="360" w:lineRule="auto"/>
        <w:ind w:left="102" w:right="116"/>
        <w:jc w:val="both"/>
      </w:pPr>
      <w:r>
        <w:rPr/>
        <w:t>En octubre de 2011, la Corporación Latino barómetro, ONG publicó su informe 2011 en el cual se presentaron los resultados de encuestas en 18 países de América Latina sobre la confianza en las instituciones, entre otros temas.</w:t>
      </w:r>
    </w:p>
    <w:p>
      <w:pPr>
        <w:pStyle w:val="BodyText"/>
        <w:spacing w:line="360" w:lineRule="auto" w:before="5"/>
        <w:ind w:left="102" w:right="119" w:firstLine="427"/>
        <w:jc w:val="both"/>
      </w:pPr>
      <w:r>
        <w:rPr/>
        <w:t>La metodología consistió en obtener una muestra representativa de la población de estudio mediante la aplicación 20,204 entrevistas del 15 de julio al 16 de agosto de 2011. Los resultados se presentaron en porcentajes en una escala de 0 a 100, donde los valores altos, cercanos a 100, representan mayor confianza.</w:t>
      </w:r>
    </w:p>
    <w:p>
      <w:pPr>
        <w:pStyle w:val="BodyText"/>
        <w:spacing w:line="360" w:lineRule="auto" w:before="2"/>
        <w:ind w:left="102" w:right="120" w:firstLine="427"/>
        <w:jc w:val="both"/>
      </w:pPr>
      <w:r>
        <w:rPr/>
        <w:t>Los resultados mostraron que las 16 instituciones evaluadas en América Latina presentaron posiciones similares que en años anteriores: la iglesia, la</w:t>
      </w:r>
    </w:p>
    <w:p>
      <w:pPr>
        <w:spacing w:after="0" w:line="360" w:lineRule="auto"/>
        <w:jc w:val="both"/>
        <w:sectPr>
          <w:pgSz w:w="11910" w:h="16840"/>
          <w:pgMar w:header="0" w:footer="1003" w:top="1340" w:bottom="1200" w:left="1600" w:right="1580"/>
        </w:sectPr>
      </w:pPr>
    </w:p>
    <w:p>
      <w:pPr>
        <w:pStyle w:val="BodyText"/>
        <w:spacing w:line="360" w:lineRule="auto" w:before="55"/>
        <w:ind w:left="102" w:right="101"/>
        <w:jc w:val="both"/>
      </w:pPr>
      <w:r>
        <w:rPr/>
        <w:t>radio y la televisión tuvieron la mayor confianza institucional con 64%, 49% y 48%, respectivamente; sin embargo, sus calificaciones disminuyeron con respecto a los años anteriores.</w:t>
      </w:r>
    </w:p>
    <w:p>
      <w:pPr>
        <w:pStyle w:val="BodyText"/>
        <w:spacing w:line="360" w:lineRule="auto" w:before="5"/>
        <w:ind w:left="102" w:right="100" w:firstLine="427"/>
        <w:jc w:val="both"/>
      </w:pPr>
      <w:r>
        <w:rPr/>
        <w:t>Los partidos políticos, los sindicatos y el Poder Judicial son las instituciones que tuvieron la confianza más baja en el periodo de estudio con 22%, 28% y 29%, en ese orden. Las disminuciones más pronunciadas en la confianza institucional se observan en la iglesia, radio y las fuerzas armadas.</w:t>
      </w:r>
    </w:p>
    <w:p>
      <w:pPr>
        <w:pStyle w:val="BodyText"/>
        <w:spacing w:before="6"/>
        <w:rPr>
          <w:sz w:val="23"/>
        </w:rPr>
      </w:pPr>
    </w:p>
    <w:p>
      <w:pPr>
        <w:spacing w:line="448" w:lineRule="auto" w:before="0" w:after="42"/>
        <w:ind w:left="3757" w:right="224" w:hanging="3519"/>
        <w:jc w:val="left"/>
        <w:rPr>
          <w:sz w:val="20"/>
        </w:rPr>
      </w:pPr>
      <w:bookmarkStart w:name="_bookmark93" w:id="124"/>
      <w:bookmarkEnd w:id="124"/>
      <w:r>
        <w:rPr/>
      </w:r>
      <w:r>
        <w:rPr>
          <w:sz w:val="20"/>
        </w:rPr>
        <w:t>Cuadro 4. 13. Confianza en las instituciones de países de América Latina, 1996-2010 y 2011 (Porcentajes)</w:t>
      </w:r>
    </w:p>
    <w:tbl>
      <w:tblPr>
        <w:tblW w:w="0" w:type="auto"/>
        <w:jc w:val="left"/>
        <w:tblInd w:w="2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8"/>
        <w:gridCol w:w="1294"/>
        <w:gridCol w:w="1066"/>
      </w:tblGrid>
      <w:tr>
        <w:trPr>
          <w:trHeight w:val="372" w:hRule="exact"/>
        </w:trPr>
        <w:tc>
          <w:tcPr>
            <w:tcW w:w="2118" w:type="dxa"/>
            <w:tcBorders>
              <w:left w:val="nil"/>
              <w:right w:val="nil"/>
            </w:tcBorders>
          </w:tcPr>
          <w:p>
            <w:pPr>
              <w:pStyle w:val="TableParagraph"/>
              <w:spacing w:before="73"/>
              <w:ind w:left="646"/>
              <w:rPr>
                <w:sz w:val="16"/>
              </w:rPr>
            </w:pPr>
            <w:r>
              <w:rPr>
                <w:sz w:val="16"/>
              </w:rPr>
              <w:t>Institución</w:t>
            </w:r>
          </w:p>
        </w:tc>
        <w:tc>
          <w:tcPr>
            <w:tcW w:w="1294" w:type="dxa"/>
            <w:tcBorders>
              <w:left w:val="nil"/>
              <w:right w:val="nil"/>
            </w:tcBorders>
          </w:tcPr>
          <w:p>
            <w:pPr>
              <w:pStyle w:val="TableParagraph"/>
              <w:spacing w:before="73"/>
              <w:ind w:left="241"/>
              <w:rPr>
                <w:sz w:val="16"/>
              </w:rPr>
            </w:pPr>
            <w:r>
              <w:rPr>
                <w:sz w:val="16"/>
              </w:rPr>
              <w:t>1996-2010</w:t>
            </w:r>
          </w:p>
        </w:tc>
        <w:tc>
          <w:tcPr>
            <w:tcW w:w="1066" w:type="dxa"/>
            <w:tcBorders>
              <w:left w:val="nil"/>
              <w:right w:val="nil"/>
            </w:tcBorders>
          </w:tcPr>
          <w:p>
            <w:pPr>
              <w:pStyle w:val="TableParagraph"/>
              <w:spacing w:before="73"/>
              <w:ind w:right="420"/>
              <w:jc w:val="right"/>
              <w:rPr>
                <w:sz w:val="16"/>
              </w:rPr>
            </w:pPr>
            <w:r>
              <w:rPr>
                <w:sz w:val="16"/>
              </w:rPr>
              <w:t>2011</w:t>
            </w:r>
          </w:p>
        </w:tc>
      </w:tr>
      <w:tr>
        <w:trPr>
          <w:trHeight w:val="209" w:hRule="exact"/>
        </w:trPr>
        <w:tc>
          <w:tcPr>
            <w:tcW w:w="2118" w:type="dxa"/>
            <w:tcBorders>
              <w:left w:val="nil"/>
              <w:bottom w:val="nil"/>
              <w:right w:val="nil"/>
            </w:tcBorders>
          </w:tcPr>
          <w:p>
            <w:pPr>
              <w:pStyle w:val="TableParagraph"/>
              <w:spacing w:line="183" w:lineRule="exact"/>
              <w:ind w:left="70"/>
              <w:rPr>
                <w:sz w:val="16"/>
              </w:rPr>
            </w:pPr>
            <w:r>
              <w:rPr>
                <w:sz w:val="16"/>
              </w:rPr>
              <w:t>Iglesia</w:t>
            </w:r>
          </w:p>
        </w:tc>
        <w:tc>
          <w:tcPr>
            <w:tcW w:w="1294" w:type="dxa"/>
            <w:tcBorders>
              <w:left w:val="nil"/>
              <w:bottom w:val="nil"/>
              <w:right w:val="nil"/>
            </w:tcBorders>
          </w:tcPr>
          <w:p>
            <w:pPr>
              <w:pStyle w:val="TableParagraph"/>
              <w:spacing w:line="183" w:lineRule="exact"/>
              <w:ind w:left="695"/>
              <w:rPr>
                <w:sz w:val="16"/>
              </w:rPr>
            </w:pPr>
            <w:r>
              <w:rPr>
                <w:sz w:val="16"/>
              </w:rPr>
              <w:t>71</w:t>
            </w:r>
          </w:p>
        </w:tc>
        <w:tc>
          <w:tcPr>
            <w:tcW w:w="1066" w:type="dxa"/>
            <w:tcBorders>
              <w:left w:val="nil"/>
              <w:bottom w:val="nil"/>
              <w:right w:val="nil"/>
            </w:tcBorders>
          </w:tcPr>
          <w:p>
            <w:pPr>
              <w:pStyle w:val="TableParagraph"/>
              <w:spacing w:line="183" w:lineRule="exact"/>
              <w:ind w:right="350"/>
              <w:jc w:val="right"/>
              <w:rPr>
                <w:sz w:val="16"/>
              </w:rPr>
            </w:pPr>
            <w:r>
              <w:rPr>
                <w:sz w:val="16"/>
              </w:rPr>
              <w:t>64</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Radio</w:t>
            </w:r>
          </w:p>
        </w:tc>
        <w:tc>
          <w:tcPr>
            <w:tcW w:w="1294" w:type="dxa"/>
            <w:tcBorders>
              <w:top w:val="nil"/>
              <w:left w:val="nil"/>
              <w:bottom w:val="nil"/>
              <w:right w:val="nil"/>
            </w:tcBorders>
          </w:tcPr>
          <w:p>
            <w:pPr>
              <w:pStyle w:val="TableParagraph"/>
              <w:spacing w:before="5"/>
              <w:ind w:left="695"/>
              <w:rPr>
                <w:sz w:val="16"/>
              </w:rPr>
            </w:pPr>
            <w:r>
              <w:rPr>
                <w:sz w:val="16"/>
              </w:rPr>
              <w:t>55</w:t>
            </w:r>
          </w:p>
        </w:tc>
        <w:tc>
          <w:tcPr>
            <w:tcW w:w="1066" w:type="dxa"/>
            <w:tcBorders>
              <w:top w:val="nil"/>
              <w:left w:val="nil"/>
              <w:bottom w:val="nil"/>
              <w:right w:val="nil"/>
            </w:tcBorders>
          </w:tcPr>
          <w:p>
            <w:pPr>
              <w:pStyle w:val="TableParagraph"/>
              <w:spacing w:before="5"/>
              <w:ind w:right="350"/>
              <w:jc w:val="right"/>
              <w:rPr>
                <w:sz w:val="16"/>
              </w:rPr>
            </w:pPr>
            <w:r>
              <w:rPr>
                <w:sz w:val="16"/>
              </w:rPr>
              <w:t>49</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Televisión</w:t>
            </w:r>
          </w:p>
        </w:tc>
        <w:tc>
          <w:tcPr>
            <w:tcW w:w="1294" w:type="dxa"/>
            <w:tcBorders>
              <w:top w:val="nil"/>
              <w:left w:val="nil"/>
              <w:bottom w:val="nil"/>
              <w:right w:val="nil"/>
            </w:tcBorders>
          </w:tcPr>
          <w:p>
            <w:pPr>
              <w:pStyle w:val="TableParagraph"/>
              <w:spacing w:before="5"/>
              <w:ind w:left="695"/>
              <w:rPr>
                <w:sz w:val="16"/>
              </w:rPr>
            </w:pPr>
            <w:r>
              <w:rPr>
                <w:sz w:val="16"/>
              </w:rPr>
              <w:t>48</w:t>
            </w:r>
          </w:p>
        </w:tc>
        <w:tc>
          <w:tcPr>
            <w:tcW w:w="1066" w:type="dxa"/>
            <w:tcBorders>
              <w:top w:val="nil"/>
              <w:left w:val="nil"/>
              <w:bottom w:val="nil"/>
              <w:right w:val="nil"/>
            </w:tcBorders>
          </w:tcPr>
          <w:p>
            <w:pPr>
              <w:pStyle w:val="TableParagraph"/>
              <w:spacing w:before="5"/>
              <w:ind w:right="350"/>
              <w:jc w:val="right"/>
              <w:rPr>
                <w:sz w:val="16"/>
              </w:rPr>
            </w:pPr>
            <w:r>
              <w:rPr>
                <w:sz w:val="16"/>
              </w:rPr>
              <w:t>48</w:t>
            </w:r>
          </w:p>
        </w:tc>
      </w:tr>
      <w:tr>
        <w:trPr>
          <w:trHeight w:val="212" w:hRule="exact"/>
        </w:trPr>
        <w:tc>
          <w:tcPr>
            <w:tcW w:w="2118" w:type="dxa"/>
            <w:tcBorders>
              <w:top w:val="nil"/>
              <w:left w:val="nil"/>
              <w:bottom w:val="nil"/>
              <w:right w:val="nil"/>
            </w:tcBorders>
          </w:tcPr>
          <w:p>
            <w:pPr>
              <w:pStyle w:val="TableParagraph"/>
              <w:spacing w:before="5"/>
              <w:ind w:left="70"/>
              <w:rPr>
                <w:sz w:val="16"/>
              </w:rPr>
            </w:pPr>
            <w:r>
              <w:rPr>
                <w:sz w:val="16"/>
              </w:rPr>
              <w:t>Diarios</w:t>
            </w:r>
          </w:p>
        </w:tc>
        <w:tc>
          <w:tcPr>
            <w:tcW w:w="1294" w:type="dxa"/>
            <w:tcBorders>
              <w:top w:val="nil"/>
              <w:left w:val="nil"/>
              <w:bottom w:val="nil"/>
              <w:right w:val="nil"/>
            </w:tcBorders>
          </w:tcPr>
          <w:p>
            <w:pPr>
              <w:pStyle w:val="TableParagraph"/>
              <w:spacing w:before="5"/>
              <w:ind w:left="695"/>
              <w:rPr>
                <w:sz w:val="16"/>
              </w:rPr>
            </w:pPr>
            <w:r>
              <w:rPr>
                <w:sz w:val="16"/>
              </w:rPr>
              <w:t>45</w:t>
            </w:r>
          </w:p>
        </w:tc>
        <w:tc>
          <w:tcPr>
            <w:tcW w:w="1066" w:type="dxa"/>
            <w:tcBorders>
              <w:top w:val="nil"/>
              <w:left w:val="nil"/>
              <w:bottom w:val="nil"/>
              <w:right w:val="nil"/>
            </w:tcBorders>
          </w:tcPr>
          <w:p>
            <w:pPr>
              <w:pStyle w:val="TableParagraph"/>
              <w:spacing w:before="5"/>
              <w:ind w:right="350"/>
              <w:jc w:val="right"/>
              <w:rPr>
                <w:sz w:val="16"/>
              </w:rPr>
            </w:pPr>
            <w:r>
              <w:rPr>
                <w:sz w:val="16"/>
              </w:rPr>
              <w:t>45</w:t>
            </w:r>
          </w:p>
        </w:tc>
      </w:tr>
      <w:tr>
        <w:trPr>
          <w:trHeight w:val="212" w:hRule="exact"/>
        </w:trPr>
        <w:tc>
          <w:tcPr>
            <w:tcW w:w="2118" w:type="dxa"/>
            <w:tcBorders>
              <w:top w:val="nil"/>
              <w:left w:val="nil"/>
              <w:bottom w:val="nil"/>
              <w:right w:val="nil"/>
            </w:tcBorders>
          </w:tcPr>
          <w:p>
            <w:pPr>
              <w:pStyle w:val="TableParagraph"/>
              <w:spacing w:before="6"/>
              <w:ind w:left="70"/>
              <w:rPr>
                <w:sz w:val="16"/>
              </w:rPr>
            </w:pPr>
            <w:r>
              <w:rPr>
                <w:sz w:val="16"/>
              </w:rPr>
              <w:t>Bancos</w:t>
            </w:r>
          </w:p>
        </w:tc>
        <w:tc>
          <w:tcPr>
            <w:tcW w:w="1294" w:type="dxa"/>
            <w:tcBorders>
              <w:top w:val="nil"/>
              <w:left w:val="nil"/>
              <w:bottom w:val="nil"/>
              <w:right w:val="nil"/>
            </w:tcBorders>
          </w:tcPr>
          <w:p>
            <w:pPr>
              <w:pStyle w:val="TableParagraph"/>
              <w:spacing w:before="6"/>
              <w:ind w:left="695"/>
              <w:rPr>
                <w:sz w:val="16"/>
              </w:rPr>
            </w:pPr>
            <w:r>
              <w:rPr>
                <w:sz w:val="16"/>
              </w:rPr>
              <w:t>39</w:t>
            </w:r>
          </w:p>
        </w:tc>
        <w:tc>
          <w:tcPr>
            <w:tcW w:w="1066" w:type="dxa"/>
            <w:tcBorders>
              <w:top w:val="nil"/>
              <w:left w:val="nil"/>
              <w:bottom w:val="nil"/>
              <w:right w:val="nil"/>
            </w:tcBorders>
          </w:tcPr>
          <w:p>
            <w:pPr>
              <w:pStyle w:val="TableParagraph"/>
              <w:spacing w:before="6"/>
              <w:ind w:right="350"/>
              <w:jc w:val="right"/>
              <w:rPr>
                <w:sz w:val="16"/>
              </w:rPr>
            </w:pPr>
            <w:r>
              <w:rPr>
                <w:sz w:val="16"/>
              </w:rPr>
              <w:t>43</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Gobierno</w:t>
            </w:r>
          </w:p>
        </w:tc>
        <w:tc>
          <w:tcPr>
            <w:tcW w:w="1294" w:type="dxa"/>
            <w:tcBorders>
              <w:top w:val="nil"/>
              <w:left w:val="nil"/>
              <w:bottom w:val="nil"/>
              <w:right w:val="nil"/>
            </w:tcBorders>
          </w:tcPr>
          <w:p>
            <w:pPr>
              <w:pStyle w:val="TableParagraph"/>
              <w:spacing w:before="5"/>
              <w:ind w:left="695"/>
              <w:rPr>
                <w:sz w:val="16"/>
              </w:rPr>
            </w:pPr>
            <w:r>
              <w:rPr>
                <w:sz w:val="16"/>
              </w:rPr>
              <w:t>37</w:t>
            </w:r>
          </w:p>
        </w:tc>
        <w:tc>
          <w:tcPr>
            <w:tcW w:w="1066" w:type="dxa"/>
            <w:tcBorders>
              <w:top w:val="nil"/>
              <w:left w:val="nil"/>
              <w:bottom w:val="nil"/>
              <w:right w:val="nil"/>
            </w:tcBorders>
          </w:tcPr>
          <w:p>
            <w:pPr>
              <w:pStyle w:val="TableParagraph"/>
              <w:spacing w:before="5"/>
              <w:ind w:right="350"/>
              <w:jc w:val="right"/>
              <w:rPr>
                <w:sz w:val="16"/>
              </w:rPr>
            </w:pPr>
            <w:r>
              <w:rPr>
                <w:sz w:val="16"/>
              </w:rPr>
              <w:t>40</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Fuerzas Armadas</w:t>
            </w:r>
          </w:p>
        </w:tc>
        <w:tc>
          <w:tcPr>
            <w:tcW w:w="1294" w:type="dxa"/>
            <w:tcBorders>
              <w:top w:val="nil"/>
              <w:left w:val="nil"/>
              <w:bottom w:val="nil"/>
              <w:right w:val="nil"/>
            </w:tcBorders>
          </w:tcPr>
          <w:p>
            <w:pPr>
              <w:pStyle w:val="TableParagraph"/>
              <w:spacing w:before="5"/>
              <w:ind w:left="695"/>
              <w:rPr>
                <w:sz w:val="16"/>
              </w:rPr>
            </w:pPr>
            <w:r>
              <w:rPr>
                <w:sz w:val="16"/>
              </w:rPr>
              <w:t>43</w:t>
            </w:r>
          </w:p>
        </w:tc>
        <w:tc>
          <w:tcPr>
            <w:tcW w:w="1066" w:type="dxa"/>
            <w:tcBorders>
              <w:top w:val="nil"/>
              <w:left w:val="nil"/>
              <w:bottom w:val="nil"/>
              <w:right w:val="nil"/>
            </w:tcBorders>
          </w:tcPr>
          <w:p>
            <w:pPr>
              <w:pStyle w:val="TableParagraph"/>
              <w:spacing w:before="5"/>
              <w:ind w:right="350"/>
              <w:jc w:val="right"/>
              <w:rPr>
                <w:sz w:val="16"/>
              </w:rPr>
            </w:pPr>
            <w:r>
              <w:rPr>
                <w:sz w:val="16"/>
              </w:rPr>
              <w:t>39</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Empresa Privada</w:t>
            </w:r>
          </w:p>
        </w:tc>
        <w:tc>
          <w:tcPr>
            <w:tcW w:w="1294" w:type="dxa"/>
            <w:tcBorders>
              <w:top w:val="nil"/>
              <w:left w:val="nil"/>
              <w:bottom w:val="nil"/>
              <w:right w:val="nil"/>
            </w:tcBorders>
          </w:tcPr>
          <w:p>
            <w:pPr>
              <w:pStyle w:val="TableParagraph"/>
              <w:spacing w:before="5"/>
              <w:ind w:left="695"/>
              <w:rPr>
                <w:sz w:val="16"/>
              </w:rPr>
            </w:pPr>
            <w:r>
              <w:rPr>
                <w:sz w:val="16"/>
              </w:rPr>
              <w:t>39</w:t>
            </w:r>
          </w:p>
        </w:tc>
        <w:tc>
          <w:tcPr>
            <w:tcW w:w="1066" w:type="dxa"/>
            <w:tcBorders>
              <w:top w:val="nil"/>
              <w:left w:val="nil"/>
              <w:bottom w:val="nil"/>
              <w:right w:val="nil"/>
            </w:tcBorders>
          </w:tcPr>
          <w:p>
            <w:pPr>
              <w:pStyle w:val="TableParagraph"/>
              <w:spacing w:before="5"/>
              <w:ind w:right="350"/>
              <w:jc w:val="right"/>
              <w:rPr>
                <w:sz w:val="16"/>
              </w:rPr>
            </w:pPr>
            <w:r>
              <w:rPr>
                <w:sz w:val="16"/>
              </w:rPr>
              <w:t>38</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El Estado</w:t>
            </w:r>
          </w:p>
        </w:tc>
        <w:tc>
          <w:tcPr>
            <w:tcW w:w="1294" w:type="dxa"/>
            <w:tcBorders>
              <w:top w:val="nil"/>
              <w:left w:val="nil"/>
              <w:bottom w:val="nil"/>
              <w:right w:val="nil"/>
            </w:tcBorders>
          </w:tcPr>
          <w:p>
            <w:pPr>
              <w:pStyle w:val="TableParagraph"/>
              <w:spacing w:before="5"/>
              <w:ind w:left="652"/>
              <w:rPr>
                <w:sz w:val="16"/>
              </w:rPr>
            </w:pPr>
            <w:r>
              <w:rPr>
                <w:sz w:val="16"/>
              </w:rPr>
              <w:t>n.d.</w:t>
            </w:r>
          </w:p>
        </w:tc>
        <w:tc>
          <w:tcPr>
            <w:tcW w:w="1066" w:type="dxa"/>
            <w:tcBorders>
              <w:top w:val="nil"/>
              <w:left w:val="nil"/>
              <w:bottom w:val="nil"/>
              <w:right w:val="nil"/>
            </w:tcBorders>
          </w:tcPr>
          <w:p>
            <w:pPr>
              <w:pStyle w:val="TableParagraph"/>
              <w:spacing w:before="5"/>
              <w:ind w:right="350"/>
              <w:jc w:val="right"/>
              <w:rPr>
                <w:sz w:val="16"/>
              </w:rPr>
            </w:pPr>
            <w:r>
              <w:rPr>
                <w:sz w:val="16"/>
              </w:rPr>
              <w:t>38</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Municipio/Gobierno Local</w:t>
            </w:r>
          </w:p>
        </w:tc>
        <w:tc>
          <w:tcPr>
            <w:tcW w:w="1294" w:type="dxa"/>
            <w:tcBorders>
              <w:top w:val="nil"/>
              <w:left w:val="nil"/>
              <w:bottom w:val="nil"/>
              <w:right w:val="nil"/>
            </w:tcBorders>
          </w:tcPr>
          <w:p>
            <w:pPr>
              <w:pStyle w:val="TableParagraph"/>
              <w:spacing w:before="5"/>
              <w:ind w:left="695"/>
              <w:rPr>
                <w:sz w:val="16"/>
              </w:rPr>
            </w:pPr>
            <w:r>
              <w:rPr>
                <w:sz w:val="16"/>
              </w:rPr>
              <w:t>36</w:t>
            </w:r>
          </w:p>
        </w:tc>
        <w:tc>
          <w:tcPr>
            <w:tcW w:w="1066" w:type="dxa"/>
            <w:tcBorders>
              <w:top w:val="nil"/>
              <w:left w:val="nil"/>
              <w:bottom w:val="nil"/>
              <w:right w:val="nil"/>
            </w:tcBorders>
          </w:tcPr>
          <w:p>
            <w:pPr>
              <w:pStyle w:val="TableParagraph"/>
              <w:spacing w:before="5"/>
              <w:ind w:right="350"/>
              <w:jc w:val="right"/>
              <w:rPr>
                <w:sz w:val="16"/>
              </w:rPr>
            </w:pPr>
            <w:r>
              <w:rPr>
                <w:sz w:val="16"/>
              </w:rPr>
              <w:t>37</w:t>
            </w:r>
          </w:p>
        </w:tc>
      </w:tr>
      <w:tr>
        <w:trPr>
          <w:trHeight w:val="212" w:hRule="exact"/>
        </w:trPr>
        <w:tc>
          <w:tcPr>
            <w:tcW w:w="2118" w:type="dxa"/>
            <w:tcBorders>
              <w:top w:val="nil"/>
              <w:left w:val="nil"/>
              <w:bottom w:val="nil"/>
              <w:right w:val="nil"/>
            </w:tcBorders>
          </w:tcPr>
          <w:p>
            <w:pPr>
              <w:pStyle w:val="TableParagraph"/>
              <w:spacing w:before="5"/>
              <w:ind w:left="70"/>
              <w:rPr>
                <w:sz w:val="16"/>
              </w:rPr>
            </w:pPr>
            <w:r>
              <w:rPr>
                <w:sz w:val="16"/>
              </w:rPr>
              <w:t>Policía</w:t>
            </w:r>
          </w:p>
        </w:tc>
        <w:tc>
          <w:tcPr>
            <w:tcW w:w="1294" w:type="dxa"/>
            <w:tcBorders>
              <w:top w:val="nil"/>
              <w:left w:val="nil"/>
              <w:bottom w:val="nil"/>
              <w:right w:val="nil"/>
            </w:tcBorders>
          </w:tcPr>
          <w:p>
            <w:pPr>
              <w:pStyle w:val="TableParagraph"/>
              <w:spacing w:before="5"/>
              <w:ind w:left="695"/>
              <w:rPr>
                <w:sz w:val="16"/>
              </w:rPr>
            </w:pPr>
            <w:r>
              <w:rPr>
                <w:sz w:val="16"/>
              </w:rPr>
              <w:t>35</w:t>
            </w:r>
          </w:p>
        </w:tc>
        <w:tc>
          <w:tcPr>
            <w:tcW w:w="1066" w:type="dxa"/>
            <w:tcBorders>
              <w:top w:val="nil"/>
              <w:left w:val="nil"/>
              <w:bottom w:val="nil"/>
              <w:right w:val="nil"/>
            </w:tcBorders>
          </w:tcPr>
          <w:p>
            <w:pPr>
              <w:pStyle w:val="TableParagraph"/>
              <w:spacing w:before="5"/>
              <w:ind w:right="350"/>
              <w:jc w:val="right"/>
              <w:rPr>
                <w:sz w:val="16"/>
              </w:rPr>
            </w:pPr>
            <w:r>
              <w:rPr>
                <w:sz w:val="16"/>
              </w:rPr>
              <w:t>33</w:t>
            </w:r>
          </w:p>
        </w:tc>
      </w:tr>
      <w:tr>
        <w:trPr>
          <w:trHeight w:val="212" w:hRule="exact"/>
        </w:trPr>
        <w:tc>
          <w:tcPr>
            <w:tcW w:w="2118" w:type="dxa"/>
            <w:tcBorders>
              <w:top w:val="nil"/>
              <w:left w:val="nil"/>
              <w:bottom w:val="nil"/>
              <w:right w:val="nil"/>
            </w:tcBorders>
          </w:tcPr>
          <w:p>
            <w:pPr>
              <w:pStyle w:val="TableParagraph"/>
              <w:spacing w:before="6"/>
              <w:ind w:left="70"/>
              <w:rPr>
                <w:sz w:val="16"/>
              </w:rPr>
            </w:pPr>
            <w:r>
              <w:rPr>
                <w:sz w:val="16"/>
              </w:rPr>
              <w:t>Congreso/Parlamento</w:t>
            </w:r>
          </w:p>
        </w:tc>
        <w:tc>
          <w:tcPr>
            <w:tcW w:w="1294" w:type="dxa"/>
            <w:tcBorders>
              <w:top w:val="nil"/>
              <w:left w:val="nil"/>
              <w:bottom w:val="nil"/>
              <w:right w:val="nil"/>
            </w:tcBorders>
          </w:tcPr>
          <w:p>
            <w:pPr>
              <w:pStyle w:val="TableParagraph"/>
              <w:spacing w:before="6"/>
              <w:ind w:left="695"/>
              <w:rPr>
                <w:sz w:val="16"/>
              </w:rPr>
            </w:pPr>
            <w:r>
              <w:rPr>
                <w:sz w:val="16"/>
              </w:rPr>
              <w:t>28</w:t>
            </w:r>
          </w:p>
        </w:tc>
        <w:tc>
          <w:tcPr>
            <w:tcW w:w="1066" w:type="dxa"/>
            <w:tcBorders>
              <w:top w:val="nil"/>
              <w:left w:val="nil"/>
              <w:bottom w:val="nil"/>
              <w:right w:val="nil"/>
            </w:tcBorders>
          </w:tcPr>
          <w:p>
            <w:pPr>
              <w:pStyle w:val="TableParagraph"/>
              <w:spacing w:before="6"/>
              <w:ind w:right="350"/>
              <w:jc w:val="right"/>
              <w:rPr>
                <w:sz w:val="16"/>
              </w:rPr>
            </w:pPr>
            <w:r>
              <w:rPr>
                <w:sz w:val="16"/>
              </w:rPr>
              <w:t>32</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Administración Pública</w:t>
            </w:r>
          </w:p>
        </w:tc>
        <w:tc>
          <w:tcPr>
            <w:tcW w:w="1294" w:type="dxa"/>
            <w:tcBorders>
              <w:top w:val="nil"/>
              <w:left w:val="nil"/>
              <w:bottom w:val="nil"/>
              <w:right w:val="nil"/>
            </w:tcBorders>
          </w:tcPr>
          <w:p>
            <w:pPr>
              <w:pStyle w:val="TableParagraph"/>
              <w:spacing w:before="5"/>
              <w:ind w:left="695"/>
              <w:rPr>
                <w:sz w:val="16"/>
              </w:rPr>
            </w:pPr>
            <w:r>
              <w:rPr>
                <w:sz w:val="16"/>
              </w:rPr>
              <w:t>31</w:t>
            </w:r>
          </w:p>
        </w:tc>
        <w:tc>
          <w:tcPr>
            <w:tcW w:w="1066" w:type="dxa"/>
            <w:tcBorders>
              <w:top w:val="nil"/>
              <w:left w:val="nil"/>
              <w:bottom w:val="nil"/>
              <w:right w:val="nil"/>
            </w:tcBorders>
          </w:tcPr>
          <w:p>
            <w:pPr>
              <w:pStyle w:val="TableParagraph"/>
              <w:spacing w:before="5"/>
              <w:ind w:right="350"/>
              <w:jc w:val="right"/>
              <w:rPr>
                <w:sz w:val="16"/>
              </w:rPr>
            </w:pPr>
            <w:r>
              <w:rPr>
                <w:sz w:val="16"/>
              </w:rPr>
              <w:t>31</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Poder Judicial</w:t>
            </w:r>
          </w:p>
        </w:tc>
        <w:tc>
          <w:tcPr>
            <w:tcW w:w="1294" w:type="dxa"/>
            <w:tcBorders>
              <w:top w:val="nil"/>
              <w:left w:val="nil"/>
              <w:bottom w:val="nil"/>
              <w:right w:val="nil"/>
            </w:tcBorders>
          </w:tcPr>
          <w:p>
            <w:pPr>
              <w:pStyle w:val="TableParagraph"/>
              <w:spacing w:before="5"/>
              <w:ind w:left="695"/>
              <w:rPr>
                <w:sz w:val="16"/>
              </w:rPr>
            </w:pPr>
            <w:r>
              <w:rPr>
                <w:sz w:val="16"/>
              </w:rPr>
              <w:t>31</w:t>
            </w:r>
          </w:p>
        </w:tc>
        <w:tc>
          <w:tcPr>
            <w:tcW w:w="1066" w:type="dxa"/>
            <w:tcBorders>
              <w:top w:val="nil"/>
              <w:left w:val="nil"/>
              <w:bottom w:val="nil"/>
              <w:right w:val="nil"/>
            </w:tcBorders>
          </w:tcPr>
          <w:p>
            <w:pPr>
              <w:pStyle w:val="TableParagraph"/>
              <w:spacing w:before="5"/>
              <w:ind w:right="350"/>
              <w:jc w:val="right"/>
              <w:rPr>
                <w:sz w:val="16"/>
              </w:rPr>
            </w:pPr>
            <w:r>
              <w:rPr>
                <w:sz w:val="16"/>
              </w:rPr>
              <w:t>29</w:t>
            </w:r>
          </w:p>
        </w:tc>
      </w:tr>
      <w:tr>
        <w:trPr>
          <w:trHeight w:val="211" w:hRule="exact"/>
        </w:trPr>
        <w:tc>
          <w:tcPr>
            <w:tcW w:w="2118" w:type="dxa"/>
            <w:tcBorders>
              <w:top w:val="nil"/>
              <w:left w:val="nil"/>
              <w:bottom w:val="nil"/>
              <w:right w:val="nil"/>
            </w:tcBorders>
          </w:tcPr>
          <w:p>
            <w:pPr>
              <w:pStyle w:val="TableParagraph"/>
              <w:spacing w:before="5"/>
              <w:ind w:left="70"/>
              <w:rPr>
                <w:sz w:val="16"/>
              </w:rPr>
            </w:pPr>
            <w:r>
              <w:rPr>
                <w:sz w:val="16"/>
              </w:rPr>
              <w:t>Sindicatos</w:t>
            </w:r>
          </w:p>
        </w:tc>
        <w:tc>
          <w:tcPr>
            <w:tcW w:w="1294" w:type="dxa"/>
            <w:tcBorders>
              <w:top w:val="nil"/>
              <w:left w:val="nil"/>
              <w:bottom w:val="nil"/>
              <w:right w:val="nil"/>
            </w:tcBorders>
          </w:tcPr>
          <w:p>
            <w:pPr>
              <w:pStyle w:val="TableParagraph"/>
              <w:spacing w:before="5"/>
              <w:ind w:left="695"/>
              <w:rPr>
                <w:sz w:val="16"/>
              </w:rPr>
            </w:pPr>
            <w:r>
              <w:rPr>
                <w:sz w:val="16"/>
              </w:rPr>
              <w:t>28</w:t>
            </w:r>
          </w:p>
        </w:tc>
        <w:tc>
          <w:tcPr>
            <w:tcW w:w="1066" w:type="dxa"/>
            <w:tcBorders>
              <w:top w:val="nil"/>
              <w:left w:val="nil"/>
              <w:bottom w:val="nil"/>
              <w:right w:val="nil"/>
            </w:tcBorders>
          </w:tcPr>
          <w:p>
            <w:pPr>
              <w:pStyle w:val="TableParagraph"/>
              <w:spacing w:before="5"/>
              <w:ind w:right="350"/>
              <w:jc w:val="right"/>
              <w:rPr>
                <w:sz w:val="16"/>
              </w:rPr>
            </w:pPr>
            <w:r>
              <w:rPr>
                <w:sz w:val="16"/>
              </w:rPr>
              <w:t>28</w:t>
            </w:r>
          </w:p>
        </w:tc>
      </w:tr>
      <w:tr>
        <w:trPr>
          <w:trHeight w:val="225" w:hRule="exact"/>
        </w:trPr>
        <w:tc>
          <w:tcPr>
            <w:tcW w:w="2118" w:type="dxa"/>
            <w:tcBorders>
              <w:top w:val="nil"/>
              <w:left w:val="nil"/>
              <w:right w:val="nil"/>
            </w:tcBorders>
          </w:tcPr>
          <w:p>
            <w:pPr>
              <w:pStyle w:val="TableParagraph"/>
              <w:spacing w:before="5"/>
              <w:ind w:left="70"/>
              <w:rPr>
                <w:sz w:val="16"/>
              </w:rPr>
            </w:pPr>
            <w:r>
              <w:rPr>
                <w:sz w:val="16"/>
              </w:rPr>
              <w:t>Partidos Políticos</w:t>
            </w:r>
          </w:p>
        </w:tc>
        <w:tc>
          <w:tcPr>
            <w:tcW w:w="1294" w:type="dxa"/>
            <w:tcBorders>
              <w:top w:val="nil"/>
              <w:left w:val="nil"/>
              <w:right w:val="nil"/>
            </w:tcBorders>
          </w:tcPr>
          <w:p>
            <w:pPr>
              <w:pStyle w:val="TableParagraph"/>
              <w:spacing w:before="5"/>
              <w:ind w:left="695"/>
              <w:rPr>
                <w:sz w:val="16"/>
              </w:rPr>
            </w:pPr>
            <w:r>
              <w:rPr>
                <w:sz w:val="16"/>
              </w:rPr>
              <w:t>20</w:t>
            </w:r>
          </w:p>
        </w:tc>
        <w:tc>
          <w:tcPr>
            <w:tcW w:w="1066" w:type="dxa"/>
            <w:tcBorders>
              <w:top w:val="nil"/>
              <w:left w:val="nil"/>
              <w:right w:val="nil"/>
            </w:tcBorders>
          </w:tcPr>
          <w:p>
            <w:pPr>
              <w:pStyle w:val="TableParagraph"/>
              <w:spacing w:before="5"/>
              <w:ind w:right="350"/>
              <w:jc w:val="right"/>
              <w:rPr>
                <w:sz w:val="16"/>
              </w:rPr>
            </w:pPr>
            <w:r>
              <w:rPr>
                <w:sz w:val="16"/>
              </w:rPr>
              <w:t>22</w:t>
            </w:r>
          </w:p>
        </w:tc>
      </w:tr>
    </w:tbl>
    <w:p>
      <w:pPr>
        <w:pStyle w:val="BodyText"/>
        <w:spacing w:before="8"/>
        <w:rPr>
          <w:sz w:val="11"/>
        </w:rPr>
      </w:pPr>
    </w:p>
    <w:p>
      <w:pPr>
        <w:spacing w:before="0"/>
        <w:ind w:left="2208" w:right="3013" w:firstLine="0"/>
        <w:jc w:val="center"/>
        <w:rPr>
          <w:sz w:val="12"/>
        </w:rPr>
      </w:pPr>
      <w:r>
        <w:rPr>
          <w:sz w:val="12"/>
        </w:rPr>
        <w:t>FUENTE:      Corporación Latino barómetro. </w:t>
      </w:r>
      <w:r>
        <w:rPr>
          <w:i/>
          <w:sz w:val="12"/>
        </w:rPr>
        <w:t>Informe 2011</w:t>
      </w:r>
      <w:r>
        <w:rPr>
          <w:sz w:val="12"/>
        </w:rPr>
        <w:t>, p. 48.</w:t>
      </w:r>
    </w:p>
    <w:p>
      <w:pPr>
        <w:spacing w:line="145" w:lineRule="exact" w:before="4"/>
        <w:ind w:left="2934" w:right="224" w:firstLine="0"/>
        <w:jc w:val="left"/>
        <w:rPr>
          <w:rFonts w:ascii="Calibri"/>
          <w:sz w:val="12"/>
        </w:rPr>
      </w:pPr>
      <w:r>
        <w:rPr>
          <w:sz w:val="12"/>
        </w:rPr>
        <w:t>Disponible en: </w:t>
      </w:r>
      <w:hyperlink r:id="rId239">
        <w:r>
          <w:rPr>
            <w:rFonts w:ascii="Calibri"/>
            <w:color w:val="0000FF"/>
            <w:sz w:val="12"/>
            <w:u w:val="single" w:color="0000FF"/>
          </w:rPr>
          <w:t>http://e-lecciones.net/archivos/loultimo/INFORME_LB2011.pd</w:t>
        </w:r>
      </w:hyperlink>
    </w:p>
    <w:p>
      <w:pPr>
        <w:spacing w:line="136" w:lineRule="exact" w:before="0"/>
        <w:ind w:left="2208" w:right="2993" w:firstLine="0"/>
        <w:jc w:val="center"/>
        <w:rPr>
          <w:sz w:val="12"/>
        </w:rPr>
      </w:pPr>
      <w:r>
        <w:rPr>
          <w:sz w:val="12"/>
        </w:rPr>
        <w:t>[Fecha de consulta: 3 de marzo, 2015]</w:t>
      </w:r>
    </w:p>
    <w:p>
      <w:pPr>
        <w:spacing w:before="39"/>
        <w:ind w:left="2934" w:right="224" w:firstLine="0"/>
        <w:jc w:val="left"/>
        <w:rPr>
          <w:sz w:val="12"/>
        </w:rPr>
      </w:pPr>
      <w:r>
        <w:rPr>
          <w:sz w:val="12"/>
        </w:rPr>
        <w:t>n.a. No aplica, n.d. No disponible, s.c. Sin cambios.</w:t>
      </w:r>
    </w:p>
    <w:p>
      <w:pPr>
        <w:pStyle w:val="BodyText"/>
        <w:rPr>
          <w:sz w:val="12"/>
        </w:rPr>
      </w:pPr>
    </w:p>
    <w:p>
      <w:pPr>
        <w:pStyle w:val="BodyText"/>
        <w:rPr>
          <w:sz w:val="12"/>
        </w:rPr>
      </w:pPr>
    </w:p>
    <w:p>
      <w:pPr>
        <w:pStyle w:val="BodyText"/>
        <w:rPr>
          <w:sz w:val="12"/>
        </w:rPr>
      </w:pPr>
    </w:p>
    <w:p>
      <w:pPr>
        <w:pStyle w:val="ListParagraph"/>
        <w:numPr>
          <w:ilvl w:val="0"/>
          <w:numId w:val="90"/>
        </w:numPr>
        <w:tabs>
          <w:tab w:pos="383" w:val="left" w:leader="none"/>
        </w:tabs>
        <w:spacing w:line="240" w:lineRule="auto" w:before="101" w:after="0"/>
        <w:ind w:left="382" w:right="0" w:hanging="280"/>
        <w:jc w:val="left"/>
        <w:rPr>
          <w:i/>
          <w:sz w:val="24"/>
        </w:rPr>
      </w:pPr>
      <w:r>
        <w:rPr>
          <w:i/>
          <w:sz w:val="24"/>
        </w:rPr>
        <w:t>Índice de Confianza en las Instituciones,</w:t>
      </w:r>
      <w:r>
        <w:rPr>
          <w:i/>
          <w:spacing w:val="-15"/>
          <w:sz w:val="24"/>
        </w:rPr>
        <w:t> </w:t>
      </w:r>
      <w:r>
        <w:rPr>
          <w:i/>
          <w:sz w:val="24"/>
        </w:rPr>
        <w:t>2012</w:t>
      </w:r>
    </w:p>
    <w:p>
      <w:pPr>
        <w:pStyle w:val="BodyText"/>
        <w:spacing w:before="4"/>
        <w:rPr>
          <w:i/>
          <w:sz w:val="29"/>
        </w:rPr>
      </w:pPr>
    </w:p>
    <w:p>
      <w:pPr>
        <w:spacing w:line="360" w:lineRule="auto" w:before="1"/>
        <w:ind w:left="102" w:right="98" w:firstLine="427"/>
        <w:jc w:val="both"/>
        <w:rPr>
          <w:i/>
          <w:sz w:val="24"/>
        </w:rPr>
      </w:pPr>
      <w:r>
        <w:rPr>
          <w:sz w:val="24"/>
        </w:rPr>
        <w:t>Consulta Mitofsky publicó en agosto de 2012 </w:t>
      </w:r>
      <w:r>
        <w:rPr>
          <w:i/>
          <w:sz w:val="24"/>
        </w:rPr>
        <w:t>México: Confianza en las </w:t>
      </w:r>
      <w:r>
        <w:rPr>
          <w:i/>
          <w:sz w:val="24"/>
        </w:rPr>
        <w:t>instituciones. Encuesta Nacional en Viviendas</w:t>
      </w:r>
      <w:r>
        <w:rPr>
          <w:sz w:val="24"/>
        </w:rPr>
        <w:t>. El estudio anual presentó los resultados de 1,000 encuestas realizadas a ciudadanos mexicanos del 17 al 19 de agosto de 2012 al 95%de confianza, dispuso del apoyo de la herramienta estadística </w:t>
      </w:r>
      <w:r>
        <w:rPr>
          <w:i/>
          <w:sz w:val="24"/>
        </w:rPr>
        <w:t>Tracking Poll Roy Campos.</w:t>
      </w:r>
    </w:p>
    <w:p>
      <w:pPr>
        <w:pStyle w:val="BodyText"/>
        <w:rPr>
          <w:i/>
        </w:rPr>
      </w:pPr>
    </w:p>
    <w:p>
      <w:pPr>
        <w:pStyle w:val="BodyText"/>
        <w:spacing w:line="360" w:lineRule="auto" w:before="144"/>
        <w:ind w:left="102" w:right="98" w:firstLine="427"/>
        <w:jc w:val="both"/>
      </w:pPr>
      <w:r>
        <w:rPr/>
        <w:t>Los</w:t>
      </w:r>
      <w:r>
        <w:rPr>
          <w:spacing w:val="-3"/>
        </w:rPr>
        <w:t> </w:t>
      </w:r>
      <w:r>
        <w:rPr/>
        <w:t>resultados</w:t>
      </w:r>
      <w:r>
        <w:rPr>
          <w:spacing w:val="-3"/>
        </w:rPr>
        <w:t> </w:t>
      </w:r>
      <w:r>
        <w:rPr/>
        <w:t>se</w:t>
      </w:r>
      <w:r>
        <w:rPr>
          <w:spacing w:val="-5"/>
        </w:rPr>
        <w:t> </w:t>
      </w:r>
      <w:r>
        <w:rPr/>
        <w:t>presentaron</w:t>
      </w:r>
      <w:r>
        <w:rPr>
          <w:spacing w:val="-3"/>
        </w:rPr>
        <w:t> </w:t>
      </w:r>
      <w:r>
        <w:rPr/>
        <w:t>en</w:t>
      </w:r>
      <w:r>
        <w:rPr>
          <w:spacing w:val="-5"/>
        </w:rPr>
        <w:t> </w:t>
      </w:r>
      <w:r>
        <w:rPr/>
        <w:t>una</w:t>
      </w:r>
      <w:r>
        <w:rPr>
          <w:spacing w:val="-5"/>
        </w:rPr>
        <w:t> </w:t>
      </w:r>
      <w:r>
        <w:rPr/>
        <w:t>escala</w:t>
      </w:r>
      <w:r>
        <w:rPr>
          <w:spacing w:val="-5"/>
        </w:rPr>
        <w:t> </w:t>
      </w:r>
      <w:r>
        <w:rPr/>
        <w:t>de</w:t>
      </w:r>
      <w:r>
        <w:rPr>
          <w:spacing w:val="-1"/>
        </w:rPr>
        <w:t> </w:t>
      </w:r>
      <w:r>
        <w:rPr/>
        <w:t>calificación</w:t>
      </w:r>
      <w:r>
        <w:rPr>
          <w:spacing w:val="-4"/>
        </w:rPr>
        <w:t> </w:t>
      </w:r>
      <w:r>
        <w:rPr/>
        <w:t>0</w:t>
      </w:r>
      <w:r>
        <w:rPr>
          <w:spacing w:val="-3"/>
        </w:rPr>
        <w:t> </w:t>
      </w:r>
      <w:r>
        <w:rPr/>
        <w:t>a</w:t>
      </w:r>
      <w:r>
        <w:rPr>
          <w:spacing w:val="-3"/>
        </w:rPr>
        <w:t> </w:t>
      </w:r>
      <w:r>
        <w:rPr/>
        <w:t>10,</w:t>
      </w:r>
      <w:r>
        <w:rPr>
          <w:spacing w:val="-5"/>
        </w:rPr>
        <w:t> </w:t>
      </w:r>
      <w:r>
        <w:rPr/>
        <w:t>donde</w:t>
      </w:r>
      <w:r>
        <w:rPr>
          <w:spacing w:val="-5"/>
        </w:rPr>
        <w:t> </w:t>
      </w:r>
      <w:r>
        <w:rPr/>
        <w:t>0 indica ausencia de confianza y 10 confianza absoluta. Las encuestas fueron aplicadas para evaluar la confianza de 15 instituciones de México, las cuales fueron clasificadas de la forma</w:t>
      </w:r>
      <w:r>
        <w:rPr>
          <w:spacing w:val="-14"/>
        </w:rPr>
        <w:t> </w:t>
      </w:r>
      <w:r>
        <w:rPr/>
        <w:t>siguiente:</w:t>
      </w:r>
    </w:p>
    <w:p>
      <w:pPr>
        <w:spacing w:after="0" w:line="360" w:lineRule="auto"/>
        <w:jc w:val="both"/>
        <w:sectPr>
          <w:pgSz w:w="11910" w:h="16840"/>
          <w:pgMar w:header="0" w:footer="1003" w:top="1340" w:bottom="1200" w:left="1600" w:right="1600"/>
        </w:sectPr>
      </w:pPr>
    </w:p>
    <w:p>
      <w:pPr>
        <w:spacing w:line="451" w:lineRule="auto" w:before="57" w:after="3"/>
        <w:ind w:left="3225" w:right="973" w:hanging="2259"/>
        <w:jc w:val="left"/>
        <w:rPr>
          <w:sz w:val="20"/>
        </w:rPr>
      </w:pPr>
      <w:r>
        <w:rPr/>
        <w:pict>
          <v:group style="position:absolute;margin-left:91.454002pt;margin-top:63.719894pt;width:412.45pt;height:.5pt;mso-position-horizontal-relative:page;mso-position-vertical-relative:paragraph;z-index:-345208" coordorigin="1829,1274" coordsize="8249,10">
            <v:line style="position:absolute" from="1834,1279" to="3452,1279" stroked="true" strokeweight=".48pt" strokecolor="#000000"/>
            <v:line style="position:absolute" from="3452,1279" to="3461,1279" stroked="true" strokeweight=".48pt" strokecolor="#000000"/>
            <v:line style="position:absolute" from="3461,1279" to="5610,1279" stroked="true" strokeweight=".48pt" strokecolor="#000000"/>
            <v:line style="position:absolute" from="5610,1279" to="5619,1279" stroked="true" strokeweight=".48pt" strokecolor="#000000"/>
            <v:line style="position:absolute" from="5619,1279" to="5795,1279" stroked="true" strokeweight=".48pt" strokecolor="#000000"/>
            <v:line style="position:absolute" from="5795,1279" to="5804,1279" stroked="true" strokeweight=".48pt" strokecolor="#000000"/>
            <v:line style="position:absolute" from="5804,1279" to="6671,1279" stroked="true" strokeweight=".48pt" strokecolor="#000000"/>
            <v:line style="position:absolute" from="6671,1279" to="6681,1279" stroked="true" strokeweight=".48pt" strokecolor="#000000"/>
            <v:line style="position:absolute" from="6681,1279" to="7521,1279" stroked="true" strokeweight=".48pt" strokecolor="#000000"/>
            <v:line style="position:absolute" from="7521,1279" to="7530,1279" stroked="true" strokeweight=".48pt" strokecolor="#000000"/>
            <v:line style="position:absolute" from="7530,1279" to="8370,1279" stroked="true" strokeweight=".48pt" strokecolor="#000000"/>
            <v:line style="position:absolute" from="8370,1279" to="8380,1279" stroked="true" strokeweight=".48pt" strokecolor="#000000"/>
            <v:line style="position:absolute" from="8380,1279" to="9223,1279" stroked="true" strokeweight=".48pt" strokecolor="#000000"/>
            <v:line style="position:absolute" from="9223,1279" to="9232,1279" stroked="true" strokeweight=".48pt" strokecolor="#000000"/>
            <v:line style="position:absolute" from="9232,1279" to="10072,1279" stroked="true" strokeweight=".48pt" strokecolor="#000000"/>
            <w10:wrap type="none"/>
          </v:group>
        </w:pict>
      </w:r>
      <w:bookmarkStart w:name="_bookmark94" w:id="125"/>
      <w:bookmarkEnd w:id="125"/>
      <w:r>
        <w:rPr/>
      </w:r>
      <w:r>
        <w:rPr>
          <w:sz w:val="20"/>
        </w:rPr>
        <w:t>Cuadro 4. 14. Índice de confianza en las instituciones de México, 2008-2012 (Calificaciones promedio)</w:t>
      </w:r>
    </w:p>
    <w:tbl>
      <w:tblPr>
        <w:tblW w:w="0" w:type="auto"/>
        <w:jc w:val="left"/>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2396"/>
        <w:gridCol w:w="912"/>
        <w:gridCol w:w="850"/>
        <w:gridCol w:w="851"/>
        <w:gridCol w:w="851"/>
        <w:gridCol w:w="761"/>
      </w:tblGrid>
      <w:tr>
        <w:trPr>
          <w:trHeight w:val="548" w:hRule="exact"/>
        </w:trPr>
        <w:tc>
          <w:tcPr>
            <w:tcW w:w="1625" w:type="dxa"/>
            <w:tcBorders>
              <w:left w:val="nil"/>
              <w:right w:val="nil"/>
            </w:tcBorders>
          </w:tcPr>
          <w:p>
            <w:pPr>
              <w:pStyle w:val="TableParagraph"/>
              <w:spacing w:before="75"/>
              <w:ind w:left="79"/>
              <w:rPr>
                <w:sz w:val="16"/>
              </w:rPr>
            </w:pPr>
            <w:r>
              <w:rPr>
                <w:sz w:val="16"/>
              </w:rPr>
              <w:t>Niveles de confianza</w:t>
            </w:r>
          </w:p>
        </w:tc>
        <w:tc>
          <w:tcPr>
            <w:tcW w:w="2396" w:type="dxa"/>
            <w:tcBorders>
              <w:left w:val="nil"/>
              <w:right w:val="nil"/>
            </w:tcBorders>
          </w:tcPr>
          <w:p>
            <w:pPr>
              <w:pStyle w:val="TableParagraph"/>
              <w:spacing w:before="75"/>
              <w:ind w:left="634"/>
              <w:rPr>
                <w:sz w:val="16"/>
              </w:rPr>
            </w:pPr>
            <w:r>
              <w:rPr>
                <w:sz w:val="16"/>
              </w:rPr>
              <w:t>Instituciones</w:t>
            </w:r>
          </w:p>
        </w:tc>
        <w:tc>
          <w:tcPr>
            <w:tcW w:w="912" w:type="dxa"/>
            <w:tcBorders>
              <w:left w:val="nil"/>
              <w:right w:val="nil"/>
            </w:tcBorders>
          </w:tcPr>
          <w:p>
            <w:pPr>
              <w:pStyle w:val="TableParagraph"/>
              <w:spacing w:before="75"/>
              <w:ind w:left="208"/>
              <w:rPr>
                <w:sz w:val="16"/>
              </w:rPr>
            </w:pPr>
            <w:r>
              <w:rPr>
                <w:sz w:val="16"/>
              </w:rPr>
              <w:t>2008</w:t>
            </w:r>
          </w:p>
        </w:tc>
        <w:tc>
          <w:tcPr>
            <w:tcW w:w="850" w:type="dxa"/>
            <w:tcBorders>
              <w:left w:val="nil"/>
              <w:right w:val="nil"/>
            </w:tcBorders>
          </w:tcPr>
          <w:p>
            <w:pPr>
              <w:pStyle w:val="TableParagraph"/>
              <w:spacing w:before="75"/>
              <w:ind w:left="158"/>
              <w:rPr>
                <w:sz w:val="16"/>
              </w:rPr>
            </w:pPr>
            <w:r>
              <w:rPr>
                <w:sz w:val="16"/>
              </w:rPr>
              <w:t>2009</w:t>
            </w:r>
          </w:p>
        </w:tc>
        <w:tc>
          <w:tcPr>
            <w:tcW w:w="851" w:type="dxa"/>
            <w:tcBorders>
              <w:left w:val="nil"/>
              <w:right w:val="nil"/>
            </w:tcBorders>
          </w:tcPr>
          <w:p>
            <w:pPr>
              <w:pStyle w:val="TableParagraph"/>
              <w:spacing w:before="75"/>
              <w:ind w:left="158"/>
              <w:rPr>
                <w:sz w:val="16"/>
              </w:rPr>
            </w:pPr>
            <w:r>
              <w:rPr>
                <w:sz w:val="16"/>
              </w:rPr>
              <w:t>2010</w:t>
            </w:r>
          </w:p>
        </w:tc>
        <w:tc>
          <w:tcPr>
            <w:tcW w:w="851" w:type="dxa"/>
            <w:tcBorders>
              <w:left w:val="nil"/>
              <w:right w:val="nil"/>
            </w:tcBorders>
          </w:tcPr>
          <w:p>
            <w:pPr>
              <w:pStyle w:val="TableParagraph"/>
              <w:spacing w:before="75"/>
              <w:ind w:left="159"/>
              <w:rPr>
                <w:sz w:val="16"/>
              </w:rPr>
            </w:pPr>
            <w:r>
              <w:rPr>
                <w:sz w:val="16"/>
              </w:rPr>
              <w:t>2011</w:t>
            </w:r>
          </w:p>
        </w:tc>
        <w:tc>
          <w:tcPr>
            <w:tcW w:w="761" w:type="dxa"/>
            <w:tcBorders>
              <w:left w:val="nil"/>
              <w:right w:val="nil"/>
            </w:tcBorders>
          </w:tcPr>
          <w:p>
            <w:pPr>
              <w:pStyle w:val="TableParagraph"/>
              <w:spacing w:before="75"/>
              <w:ind w:left="158"/>
              <w:rPr>
                <w:sz w:val="16"/>
              </w:rPr>
            </w:pPr>
            <w:r>
              <w:rPr>
                <w:sz w:val="16"/>
              </w:rPr>
              <w:t>2012</w:t>
            </w:r>
          </w:p>
        </w:tc>
      </w:tr>
      <w:tr>
        <w:trPr>
          <w:trHeight w:val="196" w:hRule="exact"/>
        </w:trPr>
        <w:tc>
          <w:tcPr>
            <w:tcW w:w="1625" w:type="dxa"/>
            <w:vMerge w:val="restart"/>
            <w:tcBorders>
              <w:left w:val="nil"/>
            </w:tcBorders>
            <w:shd w:val="clear" w:color="auto" w:fill="92D050"/>
          </w:tcPr>
          <w:p>
            <w:pPr>
              <w:pStyle w:val="TableParagraph"/>
              <w:rPr>
                <w:sz w:val="16"/>
              </w:rPr>
            </w:pPr>
          </w:p>
          <w:p>
            <w:pPr>
              <w:pStyle w:val="TableParagraph"/>
              <w:spacing w:before="2"/>
              <w:rPr>
                <w:sz w:val="17"/>
              </w:rPr>
            </w:pPr>
          </w:p>
          <w:p>
            <w:pPr>
              <w:pStyle w:val="TableParagraph"/>
              <w:ind w:left="560" w:right="562"/>
              <w:jc w:val="center"/>
              <w:rPr>
                <w:b/>
                <w:sz w:val="16"/>
              </w:rPr>
            </w:pPr>
            <w:r>
              <w:rPr>
                <w:b/>
                <w:sz w:val="16"/>
              </w:rPr>
              <w:t>Alta</w:t>
            </w:r>
          </w:p>
        </w:tc>
        <w:tc>
          <w:tcPr>
            <w:tcW w:w="2396" w:type="dxa"/>
            <w:tcBorders>
              <w:bottom w:val="nil"/>
              <w:right w:val="nil"/>
            </w:tcBorders>
            <w:shd w:val="clear" w:color="auto" w:fill="92D050"/>
          </w:tcPr>
          <w:p>
            <w:pPr>
              <w:pStyle w:val="TableParagraph"/>
              <w:spacing w:line="179" w:lineRule="exact"/>
              <w:ind w:left="64"/>
              <w:rPr>
                <w:b/>
                <w:sz w:val="16"/>
              </w:rPr>
            </w:pPr>
            <w:r>
              <w:rPr>
                <w:b/>
                <w:sz w:val="16"/>
              </w:rPr>
              <w:t>Universidades</w:t>
            </w:r>
          </w:p>
        </w:tc>
        <w:tc>
          <w:tcPr>
            <w:tcW w:w="912" w:type="dxa"/>
            <w:tcBorders>
              <w:left w:val="nil"/>
              <w:bottom w:val="nil"/>
              <w:right w:val="nil"/>
            </w:tcBorders>
            <w:shd w:val="clear" w:color="auto" w:fill="92D050"/>
          </w:tcPr>
          <w:p>
            <w:pPr>
              <w:pStyle w:val="TableParagraph"/>
              <w:spacing w:line="179" w:lineRule="exact"/>
              <w:ind w:right="156"/>
              <w:jc w:val="right"/>
              <w:rPr>
                <w:b/>
                <w:sz w:val="16"/>
              </w:rPr>
            </w:pPr>
            <w:r>
              <w:rPr>
                <w:b/>
                <w:sz w:val="16"/>
              </w:rPr>
              <w:t>7.9</w:t>
            </w:r>
          </w:p>
        </w:tc>
        <w:tc>
          <w:tcPr>
            <w:tcW w:w="850" w:type="dxa"/>
            <w:tcBorders>
              <w:left w:val="nil"/>
              <w:bottom w:val="nil"/>
              <w:right w:val="nil"/>
            </w:tcBorders>
            <w:shd w:val="clear" w:color="auto" w:fill="92D050"/>
          </w:tcPr>
          <w:p>
            <w:pPr>
              <w:pStyle w:val="TableParagraph"/>
              <w:spacing w:line="179" w:lineRule="exact"/>
              <w:ind w:right="156"/>
              <w:jc w:val="right"/>
              <w:rPr>
                <w:b/>
                <w:sz w:val="16"/>
              </w:rPr>
            </w:pPr>
            <w:r>
              <w:rPr>
                <w:b/>
                <w:sz w:val="16"/>
              </w:rPr>
              <w:t>7.8</w:t>
            </w:r>
          </w:p>
        </w:tc>
        <w:tc>
          <w:tcPr>
            <w:tcW w:w="851" w:type="dxa"/>
            <w:tcBorders>
              <w:left w:val="nil"/>
              <w:bottom w:val="nil"/>
              <w:right w:val="nil"/>
            </w:tcBorders>
            <w:shd w:val="clear" w:color="auto" w:fill="92D050"/>
          </w:tcPr>
          <w:p>
            <w:pPr>
              <w:pStyle w:val="TableParagraph"/>
              <w:spacing w:line="179" w:lineRule="exact"/>
              <w:ind w:right="157"/>
              <w:jc w:val="right"/>
              <w:rPr>
                <w:b/>
                <w:sz w:val="16"/>
              </w:rPr>
            </w:pPr>
            <w:r>
              <w:rPr>
                <w:b/>
                <w:sz w:val="16"/>
              </w:rPr>
              <w:t>7.9</w:t>
            </w:r>
          </w:p>
        </w:tc>
        <w:tc>
          <w:tcPr>
            <w:tcW w:w="851" w:type="dxa"/>
            <w:tcBorders>
              <w:left w:val="nil"/>
              <w:bottom w:val="nil"/>
              <w:right w:val="nil"/>
            </w:tcBorders>
            <w:shd w:val="clear" w:color="auto" w:fill="92D050"/>
          </w:tcPr>
          <w:p>
            <w:pPr>
              <w:pStyle w:val="TableParagraph"/>
              <w:spacing w:line="179" w:lineRule="exact"/>
              <w:ind w:right="156"/>
              <w:jc w:val="right"/>
              <w:rPr>
                <w:b/>
                <w:sz w:val="16"/>
              </w:rPr>
            </w:pPr>
            <w:r>
              <w:rPr>
                <w:b/>
                <w:sz w:val="16"/>
              </w:rPr>
              <w:t>7.8</w:t>
            </w:r>
          </w:p>
        </w:tc>
        <w:tc>
          <w:tcPr>
            <w:tcW w:w="761" w:type="dxa"/>
            <w:tcBorders>
              <w:left w:val="nil"/>
              <w:bottom w:val="nil"/>
              <w:right w:val="nil"/>
            </w:tcBorders>
            <w:shd w:val="clear" w:color="auto" w:fill="92D050"/>
          </w:tcPr>
          <w:p>
            <w:pPr>
              <w:pStyle w:val="TableParagraph"/>
              <w:spacing w:line="179" w:lineRule="exact"/>
              <w:ind w:right="67"/>
              <w:jc w:val="right"/>
              <w:rPr>
                <w:b/>
                <w:sz w:val="16"/>
              </w:rPr>
            </w:pPr>
            <w:r>
              <w:rPr>
                <w:b/>
                <w:sz w:val="16"/>
              </w:rPr>
              <w:t>7.8</w:t>
            </w:r>
          </w:p>
        </w:tc>
      </w:tr>
      <w:tr>
        <w:trPr>
          <w:trHeight w:val="193" w:hRule="exact"/>
        </w:trPr>
        <w:tc>
          <w:tcPr>
            <w:tcW w:w="1625" w:type="dxa"/>
            <w:vMerge/>
            <w:tcBorders>
              <w:left w:val="nil"/>
            </w:tcBorders>
            <w:shd w:val="clear" w:color="auto" w:fill="92D050"/>
          </w:tcPr>
          <w:p>
            <w:pPr/>
          </w:p>
        </w:tc>
        <w:tc>
          <w:tcPr>
            <w:tcW w:w="2396" w:type="dxa"/>
            <w:tcBorders>
              <w:top w:val="nil"/>
              <w:bottom w:val="nil"/>
              <w:right w:val="nil"/>
            </w:tcBorders>
            <w:shd w:val="clear" w:color="auto" w:fill="92D050"/>
          </w:tcPr>
          <w:p>
            <w:pPr>
              <w:pStyle w:val="TableParagraph"/>
              <w:spacing w:line="180" w:lineRule="exact"/>
              <w:ind w:left="64"/>
              <w:rPr>
                <w:b/>
                <w:sz w:val="16"/>
              </w:rPr>
            </w:pPr>
            <w:r>
              <w:rPr>
                <w:b/>
                <w:sz w:val="16"/>
              </w:rPr>
              <w:t>Iglesia</w:t>
            </w:r>
          </w:p>
        </w:tc>
        <w:tc>
          <w:tcPr>
            <w:tcW w:w="912" w:type="dxa"/>
            <w:tcBorders>
              <w:top w:val="nil"/>
              <w:left w:val="nil"/>
              <w:bottom w:val="nil"/>
              <w:right w:val="nil"/>
            </w:tcBorders>
            <w:shd w:val="clear" w:color="auto" w:fill="92D050"/>
          </w:tcPr>
          <w:p>
            <w:pPr>
              <w:pStyle w:val="TableParagraph"/>
              <w:spacing w:line="180" w:lineRule="exact"/>
              <w:ind w:right="156"/>
              <w:jc w:val="right"/>
              <w:rPr>
                <w:b/>
                <w:sz w:val="16"/>
              </w:rPr>
            </w:pPr>
            <w:r>
              <w:rPr>
                <w:b/>
                <w:sz w:val="16"/>
              </w:rPr>
              <w:t>8.0</w:t>
            </w:r>
          </w:p>
        </w:tc>
        <w:tc>
          <w:tcPr>
            <w:tcW w:w="850" w:type="dxa"/>
            <w:tcBorders>
              <w:top w:val="nil"/>
              <w:left w:val="nil"/>
              <w:bottom w:val="nil"/>
              <w:right w:val="nil"/>
            </w:tcBorders>
            <w:shd w:val="clear" w:color="auto" w:fill="92D050"/>
          </w:tcPr>
          <w:p>
            <w:pPr>
              <w:pStyle w:val="TableParagraph"/>
              <w:spacing w:line="180" w:lineRule="exact"/>
              <w:ind w:right="156"/>
              <w:jc w:val="right"/>
              <w:rPr>
                <w:b/>
                <w:sz w:val="16"/>
              </w:rPr>
            </w:pPr>
            <w:r>
              <w:rPr>
                <w:b/>
                <w:sz w:val="16"/>
              </w:rPr>
              <w:t>7.8</w:t>
            </w:r>
          </w:p>
        </w:tc>
        <w:tc>
          <w:tcPr>
            <w:tcW w:w="851" w:type="dxa"/>
            <w:tcBorders>
              <w:top w:val="nil"/>
              <w:left w:val="nil"/>
              <w:bottom w:val="nil"/>
              <w:right w:val="nil"/>
            </w:tcBorders>
            <w:shd w:val="clear" w:color="auto" w:fill="92D050"/>
          </w:tcPr>
          <w:p>
            <w:pPr>
              <w:pStyle w:val="TableParagraph"/>
              <w:spacing w:line="180" w:lineRule="exact"/>
              <w:ind w:right="157"/>
              <w:jc w:val="right"/>
              <w:rPr>
                <w:b/>
                <w:sz w:val="16"/>
              </w:rPr>
            </w:pPr>
            <w:r>
              <w:rPr>
                <w:b/>
                <w:sz w:val="16"/>
              </w:rPr>
              <w:t>7.7</w:t>
            </w:r>
          </w:p>
        </w:tc>
        <w:tc>
          <w:tcPr>
            <w:tcW w:w="851" w:type="dxa"/>
            <w:tcBorders>
              <w:top w:val="nil"/>
              <w:left w:val="nil"/>
              <w:bottom w:val="nil"/>
              <w:right w:val="nil"/>
            </w:tcBorders>
            <w:shd w:val="clear" w:color="auto" w:fill="92D050"/>
          </w:tcPr>
          <w:p>
            <w:pPr>
              <w:pStyle w:val="TableParagraph"/>
              <w:spacing w:line="180" w:lineRule="exact"/>
              <w:ind w:right="156"/>
              <w:jc w:val="right"/>
              <w:rPr>
                <w:b/>
                <w:sz w:val="16"/>
              </w:rPr>
            </w:pPr>
            <w:r>
              <w:rPr>
                <w:b/>
                <w:sz w:val="16"/>
              </w:rPr>
              <w:t>7.6</w:t>
            </w:r>
          </w:p>
        </w:tc>
        <w:tc>
          <w:tcPr>
            <w:tcW w:w="761" w:type="dxa"/>
            <w:tcBorders>
              <w:top w:val="nil"/>
              <w:left w:val="nil"/>
              <w:bottom w:val="nil"/>
              <w:right w:val="nil"/>
            </w:tcBorders>
            <w:shd w:val="clear" w:color="auto" w:fill="92D050"/>
          </w:tcPr>
          <w:p>
            <w:pPr>
              <w:pStyle w:val="TableParagraph"/>
              <w:spacing w:line="180" w:lineRule="exact"/>
              <w:ind w:right="67"/>
              <w:jc w:val="right"/>
              <w:rPr>
                <w:b/>
                <w:sz w:val="16"/>
              </w:rPr>
            </w:pPr>
            <w:r>
              <w:rPr>
                <w:b/>
                <w:sz w:val="16"/>
              </w:rPr>
              <w:t>7.6</w:t>
            </w:r>
          </w:p>
        </w:tc>
      </w:tr>
      <w:tr>
        <w:trPr>
          <w:trHeight w:val="194" w:hRule="exact"/>
        </w:trPr>
        <w:tc>
          <w:tcPr>
            <w:tcW w:w="1625" w:type="dxa"/>
            <w:vMerge/>
            <w:tcBorders>
              <w:left w:val="nil"/>
            </w:tcBorders>
            <w:shd w:val="clear" w:color="auto" w:fill="92D050"/>
          </w:tcPr>
          <w:p>
            <w:pPr/>
          </w:p>
        </w:tc>
        <w:tc>
          <w:tcPr>
            <w:tcW w:w="2396" w:type="dxa"/>
            <w:tcBorders>
              <w:top w:val="nil"/>
              <w:bottom w:val="nil"/>
              <w:right w:val="nil"/>
            </w:tcBorders>
            <w:shd w:val="clear" w:color="auto" w:fill="92D050"/>
          </w:tcPr>
          <w:p>
            <w:pPr>
              <w:pStyle w:val="TableParagraph"/>
              <w:spacing w:line="181" w:lineRule="exact"/>
              <w:ind w:left="64"/>
              <w:rPr>
                <w:b/>
                <w:sz w:val="16"/>
              </w:rPr>
            </w:pPr>
            <w:r>
              <w:rPr>
                <w:b/>
                <w:sz w:val="16"/>
              </w:rPr>
              <w:t>Ejército</w:t>
            </w:r>
          </w:p>
        </w:tc>
        <w:tc>
          <w:tcPr>
            <w:tcW w:w="912" w:type="dxa"/>
            <w:tcBorders>
              <w:top w:val="nil"/>
              <w:left w:val="nil"/>
              <w:bottom w:val="nil"/>
              <w:right w:val="nil"/>
            </w:tcBorders>
            <w:shd w:val="clear" w:color="auto" w:fill="92D050"/>
          </w:tcPr>
          <w:p>
            <w:pPr>
              <w:pStyle w:val="TableParagraph"/>
              <w:spacing w:line="181" w:lineRule="exact"/>
              <w:ind w:right="156"/>
              <w:jc w:val="right"/>
              <w:rPr>
                <w:b/>
                <w:sz w:val="16"/>
              </w:rPr>
            </w:pPr>
            <w:r>
              <w:rPr>
                <w:b/>
                <w:sz w:val="16"/>
              </w:rPr>
              <w:t>7.8</w:t>
            </w:r>
          </w:p>
        </w:tc>
        <w:tc>
          <w:tcPr>
            <w:tcW w:w="850" w:type="dxa"/>
            <w:tcBorders>
              <w:top w:val="nil"/>
              <w:left w:val="nil"/>
              <w:bottom w:val="nil"/>
              <w:right w:val="nil"/>
            </w:tcBorders>
            <w:shd w:val="clear" w:color="auto" w:fill="92D050"/>
          </w:tcPr>
          <w:p>
            <w:pPr>
              <w:pStyle w:val="TableParagraph"/>
              <w:spacing w:line="181" w:lineRule="exact"/>
              <w:ind w:right="156"/>
              <w:jc w:val="right"/>
              <w:rPr>
                <w:b/>
                <w:sz w:val="16"/>
              </w:rPr>
            </w:pPr>
            <w:r>
              <w:rPr>
                <w:b/>
                <w:sz w:val="16"/>
              </w:rPr>
              <w:t>7.7</w:t>
            </w:r>
          </w:p>
        </w:tc>
        <w:tc>
          <w:tcPr>
            <w:tcW w:w="851" w:type="dxa"/>
            <w:tcBorders>
              <w:top w:val="nil"/>
              <w:left w:val="nil"/>
              <w:bottom w:val="nil"/>
              <w:right w:val="nil"/>
            </w:tcBorders>
            <w:shd w:val="clear" w:color="auto" w:fill="92D050"/>
          </w:tcPr>
          <w:p>
            <w:pPr>
              <w:pStyle w:val="TableParagraph"/>
              <w:spacing w:line="181" w:lineRule="exact"/>
              <w:ind w:right="157"/>
              <w:jc w:val="right"/>
              <w:rPr>
                <w:b/>
                <w:sz w:val="16"/>
              </w:rPr>
            </w:pPr>
            <w:r>
              <w:rPr>
                <w:b/>
                <w:sz w:val="16"/>
              </w:rPr>
              <w:t>7.6</w:t>
            </w:r>
          </w:p>
        </w:tc>
        <w:tc>
          <w:tcPr>
            <w:tcW w:w="851" w:type="dxa"/>
            <w:tcBorders>
              <w:top w:val="nil"/>
              <w:left w:val="nil"/>
              <w:bottom w:val="nil"/>
              <w:right w:val="nil"/>
            </w:tcBorders>
            <w:shd w:val="clear" w:color="auto" w:fill="92D050"/>
          </w:tcPr>
          <w:p>
            <w:pPr>
              <w:pStyle w:val="TableParagraph"/>
              <w:spacing w:line="181" w:lineRule="exact"/>
              <w:ind w:right="156"/>
              <w:jc w:val="right"/>
              <w:rPr>
                <w:b/>
                <w:sz w:val="16"/>
              </w:rPr>
            </w:pPr>
            <w:r>
              <w:rPr>
                <w:b/>
                <w:sz w:val="16"/>
              </w:rPr>
              <w:t>7.5</w:t>
            </w:r>
          </w:p>
        </w:tc>
        <w:tc>
          <w:tcPr>
            <w:tcW w:w="761" w:type="dxa"/>
            <w:tcBorders>
              <w:top w:val="nil"/>
              <w:left w:val="nil"/>
              <w:bottom w:val="nil"/>
              <w:right w:val="nil"/>
            </w:tcBorders>
            <w:shd w:val="clear" w:color="auto" w:fill="92D050"/>
          </w:tcPr>
          <w:p>
            <w:pPr>
              <w:pStyle w:val="TableParagraph"/>
              <w:spacing w:line="181" w:lineRule="exact"/>
              <w:ind w:right="67"/>
              <w:jc w:val="right"/>
              <w:rPr>
                <w:b/>
                <w:sz w:val="16"/>
              </w:rPr>
            </w:pPr>
            <w:r>
              <w:rPr>
                <w:b/>
                <w:sz w:val="16"/>
              </w:rPr>
              <w:t>7.5</w:t>
            </w:r>
          </w:p>
        </w:tc>
      </w:tr>
      <w:tr>
        <w:trPr>
          <w:trHeight w:val="194" w:hRule="exact"/>
        </w:trPr>
        <w:tc>
          <w:tcPr>
            <w:tcW w:w="1625" w:type="dxa"/>
            <w:vMerge/>
            <w:tcBorders>
              <w:left w:val="nil"/>
            </w:tcBorders>
            <w:shd w:val="clear" w:color="auto" w:fill="92D050"/>
          </w:tcPr>
          <w:p>
            <w:pPr/>
          </w:p>
        </w:tc>
        <w:tc>
          <w:tcPr>
            <w:tcW w:w="2396" w:type="dxa"/>
            <w:tcBorders>
              <w:top w:val="nil"/>
              <w:bottom w:val="nil"/>
              <w:right w:val="nil"/>
            </w:tcBorders>
            <w:shd w:val="clear" w:color="auto" w:fill="92D050"/>
          </w:tcPr>
          <w:p>
            <w:pPr>
              <w:pStyle w:val="TableParagraph"/>
              <w:spacing w:line="181" w:lineRule="exact"/>
              <w:ind w:left="64"/>
              <w:rPr>
                <w:b/>
                <w:sz w:val="16"/>
              </w:rPr>
            </w:pPr>
            <w:r>
              <w:rPr>
                <w:b/>
                <w:sz w:val="16"/>
              </w:rPr>
              <w:t>CNDH</w:t>
            </w:r>
          </w:p>
        </w:tc>
        <w:tc>
          <w:tcPr>
            <w:tcW w:w="912" w:type="dxa"/>
            <w:tcBorders>
              <w:top w:val="nil"/>
              <w:left w:val="nil"/>
              <w:bottom w:val="nil"/>
              <w:right w:val="nil"/>
            </w:tcBorders>
            <w:shd w:val="clear" w:color="auto" w:fill="92D050"/>
          </w:tcPr>
          <w:p>
            <w:pPr>
              <w:pStyle w:val="TableParagraph"/>
              <w:spacing w:line="181" w:lineRule="exact"/>
              <w:ind w:right="156"/>
              <w:jc w:val="right"/>
              <w:rPr>
                <w:b/>
                <w:sz w:val="16"/>
              </w:rPr>
            </w:pPr>
            <w:r>
              <w:rPr>
                <w:b/>
                <w:sz w:val="16"/>
              </w:rPr>
              <w:t>7.5</w:t>
            </w:r>
          </w:p>
        </w:tc>
        <w:tc>
          <w:tcPr>
            <w:tcW w:w="850" w:type="dxa"/>
            <w:tcBorders>
              <w:top w:val="nil"/>
              <w:left w:val="nil"/>
              <w:bottom w:val="nil"/>
              <w:right w:val="nil"/>
            </w:tcBorders>
            <w:shd w:val="clear" w:color="auto" w:fill="92D050"/>
          </w:tcPr>
          <w:p>
            <w:pPr>
              <w:pStyle w:val="TableParagraph"/>
              <w:spacing w:line="181" w:lineRule="exact"/>
              <w:ind w:right="156"/>
              <w:jc w:val="right"/>
              <w:rPr>
                <w:b/>
                <w:sz w:val="16"/>
              </w:rPr>
            </w:pPr>
            <w:r>
              <w:rPr>
                <w:b/>
                <w:sz w:val="16"/>
              </w:rPr>
              <w:t>7.4</w:t>
            </w:r>
          </w:p>
        </w:tc>
        <w:tc>
          <w:tcPr>
            <w:tcW w:w="851" w:type="dxa"/>
            <w:tcBorders>
              <w:top w:val="nil"/>
              <w:left w:val="nil"/>
              <w:bottom w:val="nil"/>
              <w:right w:val="nil"/>
            </w:tcBorders>
            <w:shd w:val="clear" w:color="auto" w:fill="92D050"/>
          </w:tcPr>
          <w:p>
            <w:pPr>
              <w:pStyle w:val="TableParagraph"/>
              <w:spacing w:line="181" w:lineRule="exact"/>
              <w:ind w:right="157"/>
              <w:jc w:val="right"/>
              <w:rPr>
                <w:b/>
                <w:sz w:val="16"/>
              </w:rPr>
            </w:pPr>
            <w:r>
              <w:rPr>
                <w:b/>
                <w:sz w:val="16"/>
              </w:rPr>
              <w:t>7.3</w:t>
            </w:r>
          </w:p>
        </w:tc>
        <w:tc>
          <w:tcPr>
            <w:tcW w:w="851" w:type="dxa"/>
            <w:tcBorders>
              <w:top w:val="nil"/>
              <w:left w:val="nil"/>
              <w:bottom w:val="nil"/>
              <w:right w:val="nil"/>
            </w:tcBorders>
            <w:shd w:val="clear" w:color="auto" w:fill="92D050"/>
          </w:tcPr>
          <w:p>
            <w:pPr>
              <w:pStyle w:val="TableParagraph"/>
              <w:spacing w:line="181" w:lineRule="exact"/>
              <w:ind w:right="156"/>
              <w:jc w:val="right"/>
              <w:rPr>
                <w:b/>
                <w:sz w:val="16"/>
              </w:rPr>
            </w:pPr>
            <w:r>
              <w:rPr>
                <w:b/>
                <w:sz w:val="16"/>
              </w:rPr>
              <w:t>7.3</w:t>
            </w:r>
          </w:p>
        </w:tc>
        <w:tc>
          <w:tcPr>
            <w:tcW w:w="761" w:type="dxa"/>
            <w:tcBorders>
              <w:top w:val="nil"/>
              <w:left w:val="nil"/>
              <w:bottom w:val="nil"/>
              <w:right w:val="nil"/>
            </w:tcBorders>
            <w:shd w:val="clear" w:color="auto" w:fill="92D050"/>
          </w:tcPr>
          <w:p>
            <w:pPr>
              <w:pStyle w:val="TableParagraph"/>
              <w:spacing w:line="181" w:lineRule="exact"/>
              <w:ind w:right="67"/>
              <w:jc w:val="right"/>
              <w:rPr>
                <w:b/>
                <w:sz w:val="16"/>
              </w:rPr>
            </w:pPr>
            <w:r>
              <w:rPr>
                <w:b/>
                <w:sz w:val="16"/>
              </w:rPr>
              <w:t>7.5</w:t>
            </w:r>
          </w:p>
        </w:tc>
      </w:tr>
      <w:tr>
        <w:trPr>
          <w:trHeight w:val="193" w:hRule="exact"/>
        </w:trPr>
        <w:tc>
          <w:tcPr>
            <w:tcW w:w="1625" w:type="dxa"/>
            <w:vMerge/>
            <w:tcBorders>
              <w:left w:val="nil"/>
            </w:tcBorders>
            <w:shd w:val="clear" w:color="auto" w:fill="92D050"/>
          </w:tcPr>
          <w:p>
            <w:pPr/>
          </w:p>
        </w:tc>
        <w:tc>
          <w:tcPr>
            <w:tcW w:w="2396" w:type="dxa"/>
            <w:tcBorders>
              <w:top w:val="nil"/>
              <w:right w:val="nil"/>
            </w:tcBorders>
            <w:shd w:val="clear" w:color="auto" w:fill="92D050"/>
          </w:tcPr>
          <w:p>
            <w:pPr>
              <w:pStyle w:val="TableParagraph"/>
              <w:spacing w:line="181" w:lineRule="exact"/>
              <w:ind w:left="64"/>
              <w:rPr>
                <w:b/>
                <w:sz w:val="16"/>
              </w:rPr>
            </w:pPr>
            <w:r>
              <w:rPr>
                <w:b/>
                <w:sz w:val="16"/>
              </w:rPr>
              <w:t>Medios de Comunicación</w:t>
            </w:r>
          </w:p>
        </w:tc>
        <w:tc>
          <w:tcPr>
            <w:tcW w:w="912" w:type="dxa"/>
            <w:tcBorders>
              <w:top w:val="nil"/>
              <w:left w:val="nil"/>
              <w:right w:val="nil"/>
            </w:tcBorders>
            <w:shd w:val="clear" w:color="auto" w:fill="92D050"/>
          </w:tcPr>
          <w:p>
            <w:pPr>
              <w:pStyle w:val="TableParagraph"/>
              <w:spacing w:line="181" w:lineRule="exact"/>
              <w:ind w:right="156"/>
              <w:jc w:val="right"/>
              <w:rPr>
                <w:b/>
                <w:sz w:val="16"/>
              </w:rPr>
            </w:pPr>
            <w:r>
              <w:rPr>
                <w:b/>
                <w:sz w:val="16"/>
              </w:rPr>
              <w:t>7.6</w:t>
            </w:r>
          </w:p>
        </w:tc>
        <w:tc>
          <w:tcPr>
            <w:tcW w:w="850" w:type="dxa"/>
            <w:tcBorders>
              <w:top w:val="nil"/>
              <w:left w:val="nil"/>
              <w:right w:val="nil"/>
            </w:tcBorders>
            <w:shd w:val="clear" w:color="auto" w:fill="92D050"/>
          </w:tcPr>
          <w:p>
            <w:pPr>
              <w:pStyle w:val="TableParagraph"/>
              <w:spacing w:line="181" w:lineRule="exact"/>
              <w:ind w:right="156"/>
              <w:jc w:val="right"/>
              <w:rPr>
                <w:b/>
                <w:sz w:val="16"/>
              </w:rPr>
            </w:pPr>
            <w:r>
              <w:rPr>
                <w:b/>
                <w:sz w:val="16"/>
              </w:rPr>
              <w:t>7.7</w:t>
            </w:r>
          </w:p>
        </w:tc>
        <w:tc>
          <w:tcPr>
            <w:tcW w:w="851" w:type="dxa"/>
            <w:tcBorders>
              <w:top w:val="nil"/>
              <w:left w:val="nil"/>
              <w:right w:val="nil"/>
            </w:tcBorders>
            <w:shd w:val="clear" w:color="auto" w:fill="92D050"/>
          </w:tcPr>
          <w:p>
            <w:pPr>
              <w:pStyle w:val="TableParagraph"/>
              <w:spacing w:line="181" w:lineRule="exact"/>
              <w:ind w:right="157"/>
              <w:jc w:val="right"/>
              <w:rPr>
                <w:b/>
                <w:sz w:val="16"/>
              </w:rPr>
            </w:pPr>
            <w:r>
              <w:rPr>
                <w:b/>
                <w:sz w:val="16"/>
              </w:rPr>
              <w:t>7.6</w:t>
            </w:r>
          </w:p>
        </w:tc>
        <w:tc>
          <w:tcPr>
            <w:tcW w:w="851" w:type="dxa"/>
            <w:tcBorders>
              <w:top w:val="nil"/>
              <w:left w:val="nil"/>
              <w:right w:val="nil"/>
            </w:tcBorders>
            <w:shd w:val="clear" w:color="auto" w:fill="92D050"/>
          </w:tcPr>
          <w:p>
            <w:pPr>
              <w:pStyle w:val="TableParagraph"/>
              <w:spacing w:line="181" w:lineRule="exact"/>
              <w:ind w:right="156"/>
              <w:jc w:val="right"/>
              <w:rPr>
                <w:b/>
                <w:sz w:val="16"/>
              </w:rPr>
            </w:pPr>
            <w:r>
              <w:rPr>
                <w:b/>
                <w:sz w:val="16"/>
              </w:rPr>
              <w:t>7.4</w:t>
            </w:r>
          </w:p>
        </w:tc>
        <w:tc>
          <w:tcPr>
            <w:tcW w:w="761" w:type="dxa"/>
            <w:tcBorders>
              <w:top w:val="nil"/>
              <w:left w:val="nil"/>
              <w:right w:val="nil"/>
            </w:tcBorders>
            <w:shd w:val="clear" w:color="auto" w:fill="92D050"/>
          </w:tcPr>
          <w:p>
            <w:pPr>
              <w:pStyle w:val="TableParagraph"/>
              <w:spacing w:line="181" w:lineRule="exact"/>
              <w:ind w:right="67"/>
              <w:jc w:val="right"/>
              <w:rPr>
                <w:b/>
                <w:sz w:val="16"/>
              </w:rPr>
            </w:pPr>
            <w:r>
              <w:rPr>
                <w:b/>
                <w:sz w:val="16"/>
              </w:rPr>
              <w:t>7.2</w:t>
            </w:r>
          </w:p>
        </w:tc>
      </w:tr>
      <w:tr>
        <w:trPr>
          <w:trHeight w:val="196" w:hRule="exact"/>
        </w:trPr>
        <w:tc>
          <w:tcPr>
            <w:tcW w:w="1625" w:type="dxa"/>
            <w:vMerge w:val="restart"/>
            <w:tcBorders>
              <w:left w:val="nil"/>
            </w:tcBorders>
            <w:shd w:val="clear" w:color="auto" w:fill="FFFF00"/>
          </w:tcPr>
          <w:p>
            <w:pPr>
              <w:pStyle w:val="TableParagraph"/>
              <w:rPr>
                <w:sz w:val="16"/>
              </w:rPr>
            </w:pPr>
          </w:p>
          <w:p>
            <w:pPr>
              <w:pStyle w:val="TableParagraph"/>
              <w:rPr>
                <w:sz w:val="17"/>
              </w:rPr>
            </w:pPr>
          </w:p>
          <w:p>
            <w:pPr>
              <w:pStyle w:val="TableParagraph"/>
              <w:spacing w:before="1"/>
              <w:ind w:left="564" w:right="562"/>
              <w:jc w:val="center"/>
              <w:rPr>
                <w:b/>
                <w:sz w:val="16"/>
              </w:rPr>
            </w:pPr>
            <w:r>
              <w:rPr>
                <w:b/>
                <w:sz w:val="16"/>
              </w:rPr>
              <w:t>Media</w:t>
            </w:r>
          </w:p>
        </w:tc>
        <w:tc>
          <w:tcPr>
            <w:tcW w:w="2396" w:type="dxa"/>
            <w:tcBorders>
              <w:bottom w:val="nil"/>
              <w:right w:val="nil"/>
            </w:tcBorders>
            <w:shd w:val="clear" w:color="auto" w:fill="FFFF00"/>
          </w:tcPr>
          <w:p>
            <w:pPr>
              <w:pStyle w:val="TableParagraph"/>
              <w:spacing w:line="178" w:lineRule="exact"/>
              <w:ind w:left="64"/>
              <w:rPr>
                <w:b/>
                <w:sz w:val="16"/>
              </w:rPr>
            </w:pPr>
            <w:r>
              <w:rPr>
                <w:b/>
                <w:sz w:val="16"/>
              </w:rPr>
              <w:t>Suprema Corte de Justicia</w:t>
            </w:r>
          </w:p>
        </w:tc>
        <w:tc>
          <w:tcPr>
            <w:tcW w:w="912" w:type="dxa"/>
            <w:tcBorders>
              <w:left w:val="nil"/>
              <w:bottom w:val="nil"/>
              <w:right w:val="nil"/>
            </w:tcBorders>
            <w:shd w:val="clear" w:color="auto" w:fill="FFFF00"/>
          </w:tcPr>
          <w:p>
            <w:pPr>
              <w:pStyle w:val="TableParagraph"/>
              <w:spacing w:line="178" w:lineRule="exact"/>
              <w:ind w:right="156"/>
              <w:jc w:val="right"/>
              <w:rPr>
                <w:b/>
                <w:sz w:val="16"/>
              </w:rPr>
            </w:pPr>
            <w:r>
              <w:rPr>
                <w:b/>
                <w:sz w:val="16"/>
              </w:rPr>
              <w:t>7.0</w:t>
            </w:r>
          </w:p>
        </w:tc>
        <w:tc>
          <w:tcPr>
            <w:tcW w:w="850" w:type="dxa"/>
            <w:tcBorders>
              <w:left w:val="nil"/>
              <w:bottom w:val="nil"/>
              <w:right w:val="nil"/>
            </w:tcBorders>
            <w:shd w:val="clear" w:color="auto" w:fill="FFFF00"/>
          </w:tcPr>
          <w:p>
            <w:pPr>
              <w:pStyle w:val="TableParagraph"/>
              <w:spacing w:line="178" w:lineRule="exact"/>
              <w:ind w:right="156"/>
              <w:jc w:val="right"/>
              <w:rPr>
                <w:b/>
                <w:sz w:val="16"/>
              </w:rPr>
            </w:pPr>
            <w:r>
              <w:rPr>
                <w:b/>
                <w:sz w:val="16"/>
              </w:rPr>
              <w:t>7.2</w:t>
            </w:r>
          </w:p>
        </w:tc>
        <w:tc>
          <w:tcPr>
            <w:tcW w:w="851" w:type="dxa"/>
            <w:tcBorders>
              <w:left w:val="nil"/>
              <w:bottom w:val="nil"/>
              <w:right w:val="nil"/>
            </w:tcBorders>
            <w:shd w:val="clear" w:color="auto" w:fill="FFFF00"/>
          </w:tcPr>
          <w:p>
            <w:pPr>
              <w:pStyle w:val="TableParagraph"/>
              <w:spacing w:line="178" w:lineRule="exact"/>
              <w:ind w:right="157"/>
              <w:jc w:val="right"/>
              <w:rPr>
                <w:b/>
                <w:sz w:val="16"/>
              </w:rPr>
            </w:pPr>
            <w:r>
              <w:rPr>
                <w:b/>
                <w:sz w:val="16"/>
              </w:rPr>
              <w:t>7.0</w:t>
            </w:r>
          </w:p>
        </w:tc>
        <w:tc>
          <w:tcPr>
            <w:tcW w:w="851" w:type="dxa"/>
            <w:tcBorders>
              <w:left w:val="nil"/>
              <w:bottom w:val="nil"/>
              <w:right w:val="nil"/>
            </w:tcBorders>
            <w:shd w:val="clear" w:color="auto" w:fill="FFFF00"/>
          </w:tcPr>
          <w:p>
            <w:pPr>
              <w:pStyle w:val="TableParagraph"/>
              <w:spacing w:line="178" w:lineRule="exact"/>
              <w:ind w:right="156"/>
              <w:jc w:val="right"/>
              <w:rPr>
                <w:b/>
                <w:sz w:val="16"/>
              </w:rPr>
            </w:pPr>
            <w:r>
              <w:rPr>
                <w:b/>
                <w:sz w:val="16"/>
              </w:rPr>
              <w:t>6.6</w:t>
            </w:r>
          </w:p>
        </w:tc>
        <w:tc>
          <w:tcPr>
            <w:tcW w:w="761" w:type="dxa"/>
            <w:tcBorders>
              <w:left w:val="nil"/>
              <w:bottom w:val="nil"/>
              <w:right w:val="nil"/>
            </w:tcBorders>
            <w:shd w:val="clear" w:color="auto" w:fill="FFFF00"/>
          </w:tcPr>
          <w:p>
            <w:pPr>
              <w:pStyle w:val="TableParagraph"/>
              <w:spacing w:line="178" w:lineRule="exact"/>
              <w:ind w:right="67"/>
              <w:jc w:val="right"/>
              <w:rPr>
                <w:b/>
                <w:sz w:val="16"/>
              </w:rPr>
            </w:pPr>
            <w:r>
              <w:rPr>
                <w:b/>
                <w:sz w:val="16"/>
              </w:rPr>
              <w:t>6.9</w:t>
            </w:r>
          </w:p>
        </w:tc>
      </w:tr>
      <w:tr>
        <w:trPr>
          <w:trHeight w:val="193" w:hRule="exact"/>
        </w:trPr>
        <w:tc>
          <w:tcPr>
            <w:tcW w:w="1625" w:type="dxa"/>
            <w:vMerge/>
            <w:tcBorders>
              <w:left w:val="nil"/>
            </w:tcBorders>
            <w:shd w:val="clear" w:color="auto" w:fill="FFFF00"/>
          </w:tcPr>
          <w:p>
            <w:pPr/>
          </w:p>
        </w:tc>
        <w:tc>
          <w:tcPr>
            <w:tcW w:w="2396" w:type="dxa"/>
            <w:tcBorders>
              <w:top w:val="nil"/>
              <w:bottom w:val="nil"/>
              <w:right w:val="nil"/>
            </w:tcBorders>
            <w:shd w:val="clear" w:color="auto" w:fill="FFFF00"/>
          </w:tcPr>
          <w:p>
            <w:pPr>
              <w:pStyle w:val="TableParagraph"/>
              <w:spacing w:line="181" w:lineRule="exact"/>
              <w:ind w:left="64"/>
              <w:rPr>
                <w:b/>
                <w:sz w:val="16"/>
              </w:rPr>
            </w:pPr>
            <w:r>
              <w:rPr>
                <w:b/>
                <w:sz w:val="16"/>
              </w:rPr>
              <w:t>Empresarios</w:t>
            </w:r>
          </w:p>
        </w:tc>
        <w:tc>
          <w:tcPr>
            <w:tcW w:w="912" w:type="dxa"/>
            <w:tcBorders>
              <w:top w:val="nil"/>
              <w:left w:val="nil"/>
              <w:bottom w:val="nil"/>
              <w:right w:val="nil"/>
            </w:tcBorders>
            <w:shd w:val="clear" w:color="auto" w:fill="FFFF00"/>
          </w:tcPr>
          <w:p>
            <w:pPr>
              <w:pStyle w:val="TableParagraph"/>
              <w:spacing w:line="181" w:lineRule="exact"/>
              <w:ind w:right="156"/>
              <w:jc w:val="right"/>
              <w:rPr>
                <w:b/>
                <w:sz w:val="16"/>
              </w:rPr>
            </w:pPr>
            <w:r>
              <w:rPr>
                <w:b/>
                <w:sz w:val="16"/>
              </w:rPr>
              <w:t>6.8</w:t>
            </w:r>
          </w:p>
        </w:tc>
        <w:tc>
          <w:tcPr>
            <w:tcW w:w="850" w:type="dxa"/>
            <w:tcBorders>
              <w:top w:val="nil"/>
              <w:left w:val="nil"/>
              <w:bottom w:val="nil"/>
              <w:right w:val="nil"/>
            </w:tcBorders>
            <w:shd w:val="clear" w:color="auto" w:fill="FFFF00"/>
          </w:tcPr>
          <w:p>
            <w:pPr>
              <w:pStyle w:val="TableParagraph"/>
              <w:spacing w:line="181" w:lineRule="exact"/>
              <w:ind w:right="156"/>
              <w:jc w:val="right"/>
              <w:rPr>
                <w:b/>
                <w:sz w:val="16"/>
              </w:rPr>
            </w:pPr>
            <w:r>
              <w:rPr>
                <w:b/>
                <w:sz w:val="16"/>
              </w:rPr>
              <w:t>7.0</w:t>
            </w:r>
          </w:p>
        </w:tc>
        <w:tc>
          <w:tcPr>
            <w:tcW w:w="851" w:type="dxa"/>
            <w:tcBorders>
              <w:top w:val="nil"/>
              <w:left w:val="nil"/>
              <w:bottom w:val="nil"/>
              <w:right w:val="nil"/>
            </w:tcBorders>
            <w:shd w:val="clear" w:color="auto" w:fill="FFFF00"/>
          </w:tcPr>
          <w:p>
            <w:pPr>
              <w:pStyle w:val="TableParagraph"/>
              <w:spacing w:line="181" w:lineRule="exact"/>
              <w:ind w:right="157"/>
              <w:jc w:val="right"/>
              <w:rPr>
                <w:b/>
                <w:sz w:val="16"/>
              </w:rPr>
            </w:pPr>
            <w:r>
              <w:rPr>
                <w:b/>
                <w:sz w:val="16"/>
              </w:rPr>
              <w:t>7.0</w:t>
            </w:r>
          </w:p>
        </w:tc>
        <w:tc>
          <w:tcPr>
            <w:tcW w:w="851" w:type="dxa"/>
            <w:tcBorders>
              <w:top w:val="nil"/>
              <w:left w:val="nil"/>
              <w:bottom w:val="nil"/>
              <w:right w:val="nil"/>
            </w:tcBorders>
            <w:shd w:val="clear" w:color="auto" w:fill="FFFF00"/>
          </w:tcPr>
          <w:p>
            <w:pPr>
              <w:pStyle w:val="TableParagraph"/>
              <w:spacing w:line="181" w:lineRule="exact"/>
              <w:ind w:right="156"/>
              <w:jc w:val="right"/>
              <w:rPr>
                <w:b/>
                <w:sz w:val="16"/>
              </w:rPr>
            </w:pPr>
            <w:r>
              <w:rPr>
                <w:b/>
                <w:sz w:val="16"/>
              </w:rPr>
              <w:t>6.9</w:t>
            </w:r>
          </w:p>
        </w:tc>
        <w:tc>
          <w:tcPr>
            <w:tcW w:w="761" w:type="dxa"/>
            <w:tcBorders>
              <w:top w:val="nil"/>
              <w:left w:val="nil"/>
              <w:bottom w:val="nil"/>
              <w:right w:val="nil"/>
            </w:tcBorders>
            <w:shd w:val="clear" w:color="auto" w:fill="FFFF00"/>
          </w:tcPr>
          <w:p>
            <w:pPr>
              <w:pStyle w:val="TableParagraph"/>
              <w:spacing w:line="181" w:lineRule="exact"/>
              <w:ind w:right="67"/>
              <w:jc w:val="right"/>
              <w:rPr>
                <w:b/>
                <w:sz w:val="16"/>
              </w:rPr>
            </w:pPr>
            <w:r>
              <w:rPr>
                <w:b/>
                <w:sz w:val="16"/>
              </w:rPr>
              <w:t>6.8</w:t>
            </w:r>
          </w:p>
        </w:tc>
      </w:tr>
      <w:tr>
        <w:trPr>
          <w:trHeight w:val="193" w:hRule="exact"/>
        </w:trPr>
        <w:tc>
          <w:tcPr>
            <w:tcW w:w="1625" w:type="dxa"/>
            <w:vMerge/>
            <w:tcBorders>
              <w:left w:val="nil"/>
            </w:tcBorders>
            <w:shd w:val="clear" w:color="auto" w:fill="FFFF00"/>
          </w:tcPr>
          <w:p>
            <w:pPr/>
          </w:p>
        </w:tc>
        <w:tc>
          <w:tcPr>
            <w:tcW w:w="2396" w:type="dxa"/>
            <w:tcBorders>
              <w:top w:val="nil"/>
              <w:bottom w:val="nil"/>
              <w:right w:val="nil"/>
            </w:tcBorders>
            <w:shd w:val="clear" w:color="auto" w:fill="FFFF00"/>
          </w:tcPr>
          <w:p>
            <w:pPr>
              <w:pStyle w:val="TableParagraph"/>
              <w:spacing w:line="180" w:lineRule="exact"/>
              <w:ind w:left="64"/>
              <w:rPr>
                <w:b/>
                <w:sz w:val="16"/>
              </w:rPr>
            </w:pPr>
            <w:r>
              <w:rPr>
                <w:b/>
                <w:sz w:val="16"/>
              </w:rPr>
              <w:t>Instituto Federal Electoral</w:t>
            </w:r>
          </w:p>
        </w:tc>
        <w:tc>
          <w:tcPr>
            <w:tcW w:w="912" w:type="dxa"/>
            <w:tcBorders>
              <w:top w:val="nil"/>
              <w:left w:val="nil"/>
              <w:bottom w:val="nil"/>
              <w:right w:val="nil"/>
            </w:tcBorders>
            <w:shd w:val="clear" w:color="auto" w:fill="FFFF00"/>
          </w:tcPr>
          <w:p>
            <w:pPr>
              <w:pStyle w:val="TableParagraph"/>
              <w:spacing w:line="180" w:lineRule="exact"/>
              <w:ind w:right="156"/>
              <w:jc w:val="right"/>
              <w:rPr>
                <w:b/>
                <w:sz w:val="16"/>
              </w:rPr>
            </w:pPr>
            <w:r>
              <w:rPr>
                <w:b/>
                <w:sz w:val="16"/>
              </w:rPr>
              <w:t>7.0</w:t>
            </w:r>
          </w:p>
        </w:tc>
        <w:tc>
          <w:tcPr>
            <w:tcW w:w="850" w:type="dxa"/>
            <w:tcBorders>
              <w:top w:val="nil"/>
              <w:left w:val="nil"/>
              <w:bottom w:val="nil"/>
              <w:right w:val="nil"/>
            </w:tcBorders>
            <w:shd w:val="clear" w:color="auto" w:fill="FFFF00"/>
          </w:tcPr>
          <w:p>
            <w:pPr>
              <w:pStyle w:val="TableParagraph"/>
              <w:spacing w:line="180" w:lineRule="exact"/>
              <w:ind w:right="156"/>
              <w:jc w:val="right"/>
              <w:rPr>
                <w:b/>
                <w:sz w:val="16"/>
              </w:rPr>
            </w:pPr>
            <w:r>
              <w:rPr>
                <w:b/>
                <w:sz w:val="16"/>
              </w:rPr>
              <w:t>7.2</w:t>
            </w:r>
          </w:p>
        </w:tc>
        <w:tc>
          <w:tcPr>
            <w:tcW w:w="851" w:type="dxa"/>
            <w:tcBorders>
              <w:top w:val="nil"/>
              <w:left w:val="nil"/>
              <w:bottom w:val="nil"/>
              <w:right w:val="nil"/>
            </w:tcBorders>
            <w:shd w:val="clear" w:color="auto" w:fill="FFFF00"/>
          </w:tcPr>
          <w:p>
            <w:pPr>
              <w:pStyle w:val="TableParagraph"/>
              <w:spacing w:line="180" w:lineRule="exact"/>
              <w:ind w:right="157"/>
              <w:jc w:val="right"/>
              <w:rPr>
                <w:b/>
                <w:sz w:val="16"/>
              </w:rPr>
            </w:pPr>
            <w:r>
              <w:rPr>
                <w:b/>
                <w:sz w:val="16"/>
              </w:rPr>
              <w:t>7.0</w:t>
            </w:r>
          </w:p>
        </w:tc>
        <w:tc>
          <w:tcPr>
            <w:tcW w:w="851" w:type="dxa"/>
            <w:tcBorders>
              <w:top w:val="nil"/>
              <w:left w:val="nil"/>
              <w:bottom w:val="nil"/>
              <w:right w:val="nil"/>
            </w:tcBorders>
            <w:shd w:val="clear" w:color="auto" w:fill="FFFF00"/>
          </w:tcPr>
          <w:p>
            <w:pPr>
              <w:pStyle w:val="TableParagraph"/>
              <w:spacing w:line="180" w:lineRule="exact"/>
              <w:ind w:right="156"/>
              <w:jc w:val="right"/>
              <w:rPr>
                <w:b/>
                <w:sz w:val="16"/>
              </w:rPr>
            </w:pPr>
            <w:r>
              <w:rPr>
                <w:b/>
                <w:sz w:val="16"/>
              </w:rPr>
              <w:t>6.6</w:t>
            </w:r>
          </w:p>
        </w:tc>
        <w:tc>
          <w:tcPr>
            <w:tcW w:w="761" w:type="dxa"/>
            <w:tcBorders>
              <w:top w:val="nil"/>
              <w:left w:val="nil"/>
              <w:bottom w:val="nil"/>
              <w:right w:val="nil"/>
            </w:tcBorders>
            <w:shd w:val="clear" w:color="auto" w:fill="FFFF00"/>
          </w:tcPr>
          <w:p>
            <w:pPr>
              <w:pStyle w:val="TableParagraph"/>
              <w:spacing w:line="180" w:lineRule="exact"/>
              <w:ind w:right="67"/>
              <w:jc w:val="right"/>
              <w:rPr>
                <w:b/>
                <w:sz w:val="16"/>
              </w:rPr>
            </w:pPr>
            <w:r>
              <w:rPr>
                <w:b/>
                <w:sz w:val="16"/>
              </w:rPr>
              <w:t>6.7</w:t>
            </w:r>
          </w:p>
        </w:tc>
      </w:tr>
      <w:tr>
        <w:trPr>
          <w:trHeight w:val="194" w:hRule="exact"/>
        </w:trPr>
        <w:tc>
          <w:tcPr>
            <w:tcW w:w="1625" w:type="dxa"/>
            <w:vMerge/>
            <w:tcBorders>
              <w:left w:val="nil"/>
            </w:tcBorders>
            <w:shd w:val="clear" w:color="auto" w:fill="FFFF00"/>
          </w:tcPr>
          <w:p>
            <w:pPr/>
          </w:p>
        </w:tc>
        <w:tc>
          <w:tcPr>
            <w:tcW w:w="2396" w:type="dxa"/>
            <w:tcBorders>
              <w:top w:val="nil"/>
              <w:bottom w:val="nil"/>
              <w:right w:val="nil"/>
            </w:tcBorders>
            <w:shd w:val="clear" w:color="auto" w:fill="FFFF00"/>
          </w:tcPr>
          <w:p>
            <w:pPr>
              <w:pStyle w:val="TableParagraph"/>
              <w:spacing w:line="181" w:lineRule="exact"/>
              <w:ind w:left="64"/>
              <w:rPr>
                <w:b/>
                <w:sz w:val="16"/>
              </w:rPr>
            </w:pPr>
            <w:r>
              <w:rPr>
                <w:b/>
                <w:sz w:val="16"/>
              </w:rPr>
              <w:t>Bancos</w:t>
            </w:r>
          </w:p>
        </w:tc>
        <w:tc>
          <w:tcPr>
            <w:tcW w:w="912" w:type="dxa"/>
            <w:tcBorders>
              <w:top w:val="nil"/>
              <w:left w:val="nil"/>
              <w:bottom w:val="nil"/>
              <w:right w:val="nil"/>
            </w:tcBorders>
            <w:shd w:val="clear" w:color="auto" w:fill="FFFF00"/>
          </w:tcPr>
          <w:p>
            <w:pPr>
              <w:pStyle w:val="TableParagraph"/>
              <w:spacing w:line="181" w:lineRule="exact"/>
              <w:ind w:right="156"/>
              <w:jc w:val="right"/>
              <w:rPr>
                <w:b/>
                <w:sz w:val="16"/>
              </w:rPr>
            </w:pPr>
            <w:r>
              <w:rPr>
                <w:b/>
                <w:sz w:val="16"/>
              </w:rPr>
              <w:t>6.8</w:t>
            </w:r>
          </w:p>
        </w:tc>
        <w:tc>
          <w:tcPr>
            <w:tcW w:w="850" w:type="dxa"/>
            <w:tcBorders>
              <w:top w:val="nil"/>
              <w:left w:val="nil"/>
              <w:bottom w:val="nil"/>
              <w:right w:val="nil"/>
            </w:tcBorders>
            <w:shd w:val="clear" w:color="auto" w:fill="FFFF00"/>
          </w:tcPr>
          <w:p>
            <w:pPr>
              <w:pStyle w:val="TableParagraph"/>
              <w:spacing w:line="181" w:lineRule="exact"/>
              <w:ind w:right="156"/>
              <w:jc w:val="right"/>
              <w:rPr>
                <w:b/>
                <w:sz w:val="16"/>
              </w:rPr>
            </w:pPr>
            <w:r>
              <w:rPr>
                <w:b/>
                <w:sz w:val="16"/>
              </w:rPr>
              <w:t>7.0</w:t>
            </w:r>
          </w:p>
        </w:tc>
        <w:tc>
          <w:tcPr>
            <w:tcW w:w="851" w:type="dxa"/>
            <w:tcBorders>
              <w:top w:val="nil"/>
              <w:left w:val="nil"/>
              <w:bottom w:val="nil"/>
              <w:right w:val="nil"/>
            </w:tcBorders>
            <w:shd w:val="clear" w:color="auto" w:fill="FFFF00"/>
          </w:tcPr>
          <w:p>
            <w:pPr>
              <w:pStyle w:val="TableParagraph"/>
              <w:spacing w:line="181" w:lineRule="exact"/>
              <w:ind w:right="157"/>
              <w:jc w:val="right"/>
              <w:rPr>
                <w:b/>
                <w:sz w:val="16"/>
              </w:rPr>
            </w:pPr>
            <w:r>
              <w:rPr>
                <w:b/>
                <w:sz w:val="16"/>
              </w:rPr>
              <w:t>6.7</w:t>
            </w:r>
          </w:p>
        </w:tc>
        <w:tc>
          <w:tcPr>
            <w:tcW w:w="851" w:type="dxa"/>
            <w:tcBorders>
              <w:top w:val="nil"/>
              <w:left w:val="nil"/>
              <w:bottom w:val="nil"/>
              <w:right w:val="nil"/>
            </w:tcBorders>
            <w:shd w:val="clear" w:color="auto" w:fill="FFFF00"/>
          </w:tcPr>
          <w:p>
            <w:pPr>
              <w:pStyle w:val="TableParagraph"/>
              <w:spacing w:line="181" w:lineRule="exact"/>
              <w:ind w:right="156"/>
              <w:jc w:val="right"/>
              <w:rPr>
                <w:b/>
                <w:sz w:val="16"/>
              </w:rPr>
            </w:pPr>
            <w:r>
              <w:rPr>
                <w:b/>
                <w:sz w:val="16"/>
              </w:rPr>
              <w:t>6.5</w:t>
            </w:r>
          </w:p>
        </w:tc>
        <w:tc>
          <w:tcPr>
            <w:tcW w:w="761" w:type="dxa"/>
            <w:tcBorders>
              <w:top w:val="nil"/>
              <w:left w:val="nil"/>
              <w:bottom w:val="nil"/>
              <w:right w:val="nil"/>
            </w:tcBorders>
            <w:shd w:val="clear" w:color="auto" w:fill="FFFF00"/>
          </w:tcPr>
          <w:p>
            <w:pPr>
              <w:pStyle w:val="TableParagraph"/>
              <w:spacing w:line="181" w:lineRule="exact"/>
              <w:ind w:right="67"/>
              <w:jc w:val="right"/>
              <w:rPr>
                <w:b/>
                <w:sz w:val="16"/>
              </w:rPr>
            </w:pPr>
            <w:r>
              <w:rPr>
                <w:b/>
                <w:sz w:val="16"/>
              </w:rPr>
              <w:t>6.7</w:t>
            </w:r>
          </w:p>
        </w:tc>
      </w:tr>
      <w:tr>
        <w:trPr>
          <w:trHeight w:val="193" w:hRule="exact"/>
        </w:trPr>
        <w:tc>
          <w:tcPr>
            <w:tcW w:w="1625" w:type="dxa"/>
            <w:vMerge/>
            <w:tcBorders>
              <w:left w:val="nil"/>
            </w:tcBorders>
            <w:shd w:val="clear" w:color="auto" w:fill="FFFF00"/>
          </w:tcPr>
          <w:p>
            <w:pPr/>
          </w:p>
        </w:tc>
        <w:tc>
          <w:tcPr>
            <w:tcW w:w="2396" w:type="dxa"/>
            <w:tcBorders>
              <w:top w:val="nil"/>
              <w:right w:val="nil"/>
            </w:tcBorders>
            <w:shd w:val="clear" w:color="auto" w:fill="FFFF00"/>
          </w:tcPr>
          <w:p>
            <w:pPr>
              <w:pStyle w:val="TableParagraph"/>
              <w:spacing w:line="181" w:lineRule="exact"/>
              <w:ind w:left="64"/>
              <w:rPr>
                <w:b/>
                <w:sz w:val="16"/>
              </w:rPr>
            </w:pPr>
            <w:r>
              <w:rPr>
                <w:b/>
                <w:sz w:val="16"/>
              </w:rPr>
              <w:t>Presidencia de la República</w:t>
            </w:r>
          </w:p>
        </w:tc>
        <w:tc>
          <w:tcPr>
            <w:tcW w:w="912" w:type="dxa"/>
            <w:tcBorders>
              <w:top w:val="nil"/>
              <w:left w:val="nil"/>
              <w:right w:val="nil"/>
            </w:tcBorders>
            <w:shd w:val="clear" w:color="auto" w:fill="FFFF00"/>
          </w:tcPr>
          <w:p>
            <w:pPr>
              <w:pStyle w:val="TableParagraph"/>
              <w:spacing w:line="181" w:lineRule="exact"/>
              <w:ind w:right="156"/>
              <w:jc w:val="right"/>
              <w:rPr>
                <w:b/>
                <w:sz w:val="16"/>
              </w:rPr>
            </w:pPr>
            <w:r>
              <w:rPr>
                <w:b/>
                <w:sz w:val="16"/>
              </w:rPr>
              <w:t>6.9</w:t>
            </w:r>
          </w:p>
        </w:tc>
        <w:tc>
          <w:tcPr>
            <w:tcW w:w="850" w:type="dxa"/>
            <w:tcBorders>
              <w:top w:val="nil"/>
              <w:left w:val="nil"/>
              <w:right w:val="nil"/>
            </w:tcBorders>
            <w:shd w:val="clear" w:color="auto" w:fill="FFFF00"/>
          </w:tcPr>
          <w:p>
            <w:pPr>
              <w:pStyle w:val="TableParagraph"/>
              <w:spacing w:line="181" w:lineRule="exact"/>
              <w:ind w:right="156"/>
              <w:jc w:val="right"/>
              <w:rPr>
                <w:b/>
                <w:sz w:val="16"/>
              </w:rPr>
            </w:pPr>
            <w:r>
              <w:rPr>
                <w:b/>
                <w:sz w:val="16"/>
              </w:rPr>
              <w:t>7.1</w:t>
            </w:r>
          </w:p>
        </w:tc>
        <w:tc>
          <w:tcPr>
            <w:tcW w:w="851" w:type="dxa"/>
            <w:tcBorders>
              <w:top w:val="nil"/>
              <w:left w:val="nil"/>
              <w:right w:val="nil"/>
            </w:tcBorders>
            <w:shd w:val="clear" w:color="auto" w:fill="FFFF00"/>
          </w:tcPr>
          <w:p>
            <w:pPr>
              <w:pStyle w:val="TableParagraph"/>
              <w:spacing w:line="181" w:lineRule="exact"/>
              <w:ind w:right="157"/>
              <w:jc w:val="right"/>
              <w:rPr>
                <w:b/>
                <w:sz w:val="16"/>
              </w:rPr>
            </w:pPr>
            <w:r>
              <w:rPr>
                <w:b/>
                <w:sz w:val="16"/>
              </w:rPr>
              <w:t>6.7</w:t>
            </w:r>
          </w:p>
        </w:tc>
        <w:tc>
          <w:tcPr>
            <w:tcW w:w="851" w:type="dxa"/>
            <w:tcBorders>
              <w:top w:val="nil"/>
              <w:left w:val="nil"/>
              <w:right w:val="nil"/>
            </w:tcBorders>
            <w:shd w:val="clear" w:color="auto" w:fill="FFFF00"/>
          </w:tcPr>
          <w:p>
            <w:pPr>
              <w:pStyle w:val="TableParagraph"/>
              <w:spacing w:line="181" w:lineRule="exact"/>
              <w:ind w:right="156"/>
              <w:jc w:val="right"/>
              <w:rPr>
                <w:b/>
                <w:sz w:val="16"/>
              </w:rPr>
            </w:pPr>
            <w:r>
              <w:rPr>
                <w:b/>
                <w:sz w:val="16"/>
              </w:rPr>
              <w:t>6.5</w:t>
            </w:r>
          </w:p>
        </w:tc>
        <w:tc>
          <w:tcPr>
            <w:tcW w:w="761" w:type="dxa"/>
            <w:tcBorders>
              <w:top w:val="nil"/>
              <w:left w:val="nil"/>
              <w:right w:val="nil"/>
            </w:tcBorders>
            <w:shd w:val="clear" w:color="auto" w:fill="FFFF00"/>
          </w:tcPr>
          <w:p>
            <w:pPr>
              <w:pStyle w:val="TableParagraph"/>
              <w:spacing w:line="181" w:lineRule="exact"/>
              <w:ind w:right="67"/>
              <w:jc w:val="right"/>
              <w:rPr>
                <w:b/>
                <w:sz w:val="16"/>
              </w:rPr>
            </w:pPr>
            <w:r>
              <w:rPr>
                <w:b/>
                <w:sz w:val="16"/>
              </w:rPr>
              <w:t>6.6</w:t>
            </w:r>
          </w:p>
        </w:tc>
      </w:tr>
      <w:tr>
        <w:trPr>
          <w:trHeight w:val="196" w:hRule="exact"/>
        </w:trPr>
        <w:tc>
          <w:tcPr>
            <w:tcW w:w="1625" w:type="dxa"/>
            <w:vMerge w:val="restart"/>
            <w:tcBorders>
              <w:left w:val="nil"/>
            </w:tcBorders>
            <w:shd w:val="clear" w:color="auto" w:fill="FF0000"/>
          </w:tcPr>
          <w:p>
            <w:pPr>
              <w:pStyle w:val="TableParagraph"/>
              <w:rPr>
                <w:sz w:val="16"/>
              </w:rPr>
            </w:pPr>
          </w:p>
          <w:p>
            <w:pPr>
              <w:pStyle w:val="TableParagraph"/>
              <w:spacing w:before="3"/>
              <w:rPr>
                <w:sz w:val="17"/>
              </w:rPr>
            </w:pPr>
          </w:p>
          <w:p>
            <w:pPr>
              <w:pStyle w:val="TableParagraph"/>
              <w:ind w:left="561" w:right="562"/>
              <w:jc w:val="center"/>
              <w:rPr>
                <w:b/>
                <w:sz w:val="16"/>
              </w:rPr>
            </w:pPr>
            <w:r>
              <w:rPr>
                <w:b/>
                <w:color w:val="FFFFFF"/>
                <w:sz w:val="16"/>
              </w:rPr>
              <w:t>Baja</w:t>
            </w:r>
          </w:p>
        </w:tc>
        <w:tc>
          <w:tcPr>
            <w:tcW w:w="2396" w:type="dxa"/>
            <w:tcBorders>
              <w:bottom w:val="nil"/>
              <w:right w:val="nil"/>
            </w:tcBorders>
            <w:shd w:val="clear" w:color="auto" w:fill="FF0000"/>
          </w:tcPr>
          <w:p>
            <w:pPr>
              <w:pStyle w:val="TableParagraph"/>
              <w:spacing w:line="178" w:lineRule="exact"/>
              <w:ind w:left="64"/>
              <w:rPr>
                <w:b/>
                <w:sz w:val="16"/>
              </w:rPr>
            </w:pPr>
            <w:r>
              <w:rPr>
                <w:b/>
                <w:color w:val="FFFFFF"/>
                <w:sz w:val="16"/>
              </w:rPr>
              <w:t>Sindicatos</w:t>
            </w:r>
          </w:p>
        </w:tc>
        <w:tc>
          <w:tcPr>
            <w:tcW w:w="912" w:type="dxa"/>
            <w:tcBorders>
              <w:left w:val="nil"/>
              <w:bottom w:val="nil"/>
              <w:right w:val="nil"/>
            </w:tcBorders>
            <w:shd w:val="clear" w:color="auto" w:fill="FF0000"/>
          </w:tcPr>
          <w:p>
            <w:pPr>
              <w:pStyle w:val="TableParagraph"/>
              <w:spacing w:line="178" w:lineRule="exact"/>
              <w:ind w:right="156"/>
              <w:jc w:val="right"/>
              <w:rPr>
                <w:b/>
                <w:sz w:val="16"/>
              </w:rPr>
            </w:pPr>
            <w:r>
              <w:rPr>
                <w:b/>
                <w:color w:val="FFFFFF"/>
                <w:sz w:val="16"/>
              </w:rPr>
              <w:t>6.0</w:t>
            </w:r>
          </w:p>
        </w:tc>
        <w:tc>
          <w:tcPr>
            <w:tcW w:w="850" w:type="dxa"/>
            <w:tcBorders>
              <w:left w:val="nil"/>
              <w:bottom w:val="nil"/>
              <w:right w:val="nil"/>
            </w:tcBorders>
            <w:shd w:val="clear" w:color="auto" w:fill="FF0000"/>
          </w:tcPr>
          <w:p>
            <w:pPr>
              <w:pStyle w:val="TableParagraph"/>
              <w:spacing w:line="178" w:lineRule="exact"/>
              <w:ind w:right="156"/>
              <w:jc w:val="right"/>
              <w:rPr>
                <w:b/>
                <w:sz w:val="16"/>
              </w:rPr>
            </w:pPr>
            <w:r>
              <w:rPr>
                <w:b/>
                <w:color w:val="FFFFFF"/>
                <w:sz w:val="16"/>
              </w:rPr>
              <w:t>6.3</w:t>
            </w:r>
          </w:p>
        </w:tc>
        <w:tc>
          <w:tcPr>
            <w:tcW w:w="851" w:type="dxa"/>
            <w:tcBorders>
              <w:left w:val="nil"/>
              <w:bottom w:val="nil"/>
              <w:right w:val="nil"/>
            </w:tcBorders>
            <w:shd w:val="clear" w:color="auto" w:fill="FF0000"/>
          </w:tcPr>
          <w:p>
            <w:pPr>
              <w:pStyle w:val="TableParagraph"/>
              <w:spacing w:line="178" w:lineRule="exact"/>
              <w:ind w:right="157"/>
              <w:jc w:val="right"/>
              <w:rPr>
                <w:b/>
                <w:sz w:val="16"/>
              </w:rPr>
            </w:pPr>
            <w:r>
              <w:rPr>
                <w:b/>
                <w:color w:val="FFFFFF"/>
                <w:sz w:val="16"/>
              </w:rPr>
              <w:t>5.9</w:t>
            </w:r>
          </w:p>
        </w:tc>
        <w:tc>
          <w:tcPr>
            <w:tcW w:w="851" w:type="dxa"/>
            <w:tcBorders>
              <w:left w:val="nil"/>
              <w:bottom w:val="nil"/>
              <w:right w:val="nil"/>
            </w:tcBorders>
            <w:shd w:val="clear" w:color="auto" w:fill="FF0000"/>
          </w:tcPr>
          <w:p>
            <w:pPr>
              <w:pStyle w:val="TableParagraph"/>
              <w:spacing w:line="178" w:lineRule="exact"/>
              <w:ind w:right="156"/>
              <w:jc w:val="right"/>
              <w:rPr>
                <w:b/>
                <w:sz w:val="16"/>
              </w:rPr>
            </w:pPr>
            <w:r>
              <w:rPr>
                <w:b/>
                <w:color w:val="FFFFFF"/>
                <w:sz w:val="16"/>
              </w:rPr>
              <w:t>5.7</w:t>
            </w:r>
          </w:p>
        </w:tc>
        <w:tc>
          <w:tcPr>
            <w:tcW w:w="761" w:type="dxa"/>
            <w:tcBorders>
              <w:left w:val="nil"/>
              <w:bottom w:val="nil"/>
              <w:right w:val="nil"/>
            </w:tcBorders>
            <w:shd w:val="clear" w:color="auto" w:fill="FF0000"/>
          </w:tcPr>
          <w:p>
            <w:pPr>
              <w:pStyle w:val="TableParagraph"/>
              <w:spacing w:line="178" w:lineRule="exact"/>
              <w:ind w:right="67"/>
              <w:jc w:val="right"/>
              <w:rPr>
                <w:b/>
                <w:sz w:val="16"/>
              </w:rPr>
            </w:pPr>
            <w:r>
              <w:rPr>
                <w:b/>
                <w:color w:val="FFFFFF"/>
                <w:sz w:val="16"/>
              </w:rPr>
              <w:t>6.0</w:t>
            </w:r>
          </w:p>
        </w:tc>
      </w:tr>
      <w:tr>
        <w:trPr>
          <w:trHeight w:val="194" w:hRule="exact"/>
        </w:trPr>
        <w:tc>
          <w:tcPr>
            <w:tcW w:w="1625" w:type="dxa"/>
            <w:vMerge/>
            <w:tcBorders>
              <w:left w:val="nil"/>
            </w:tcBorders>
            <w:shd w:val="clear" w:color="auto" w:fill="FF0000"/>
          </w:tcPr>
          <w:p>
            <w:pPr/>
          </w:p>
        </w:tc>
        <w:tc>
          <w:tcPr>
            <w:tcW w:w="2396" w:type="dxa"/>
            <w:tcBorders>
              <w:top w:val="nil"/>
              <w:bottom w:val="nil"/>
              <w:right w:val="nil"/>
            </w:tcBorders>
            <w:shd w:val="clear" w:color="auto" w:fill="FF0000"/>
          </w:tcPr>
          <w:p>
            <w:pPr>
              <w:pStyle w:val="TableParagraph"/>
              <w:spacing w:line="181" w:lineRule="exact"/>
              <w:ind w:left="64"/>
              <w:rPr>
                <w:b/>
                <w:sz w:val="16"/>
              </w:rPr>
            </w:pPr>
            <w:r>
              <w:rPr>
                <w:b/>
                <w:color w:val="FFFFFF"/>
                <w:sz w:val="16"/>
              </w:rPr>
              <w:t>Senadores</w:t>
            </w:r>
          </w:p>
        </w:tc>
        <w:tc>
          <w:tcPr>
            <w:tcW w:w="912" w:type="dxa"/>
            <w:tcBorders>
              <w:top w:val="nil"/>
              <w:left w:val="nil"/>
              <w:bottom w:val="nil"/>
              <w:right w:val="nil"/>
            </w:tcBorders>
            <w:shd w:val="clear" w:color="auto" w:fill="FF0000"/>
          </w:tcPr>
          <w:p>
            <w:pPr>
              <w:pStyle w:val="TableParagraph"/>
              <w:spacing w:line="181" w:lineRule="exact"/>
              <w:ind w:right="156"/>
              <w:jc w:val="right"/>
              <w:rPr>
                <w:b/>
                <w:sz w:val="16"/>
              </w:rPr>
            </w:pPr>
            <w:r>
              <w:rPr>
                <w:b/>
                <w:color w:val="FFFFFF"/>
                <w:sz w:val="16"/>
              </w:rPr>
              <w:t>6.1</w:t>
            </w:r>
          </w:p>
        </w:tc>
        <w:tc>
          <w:tcPr>
            <w:tcW w:w="850" w:type="dxa"/>
            <w:tcBorders>
              <w:top w:val="nil"/>
              <w:left w:val="nil"/>
              <w:bottom w:val="nil"/>
              <w:right w:val="nil"/>
            </w:tcBorders>
            <w:shd w:val="clear" w:color="auto" w:fill="FF0000"/>
          </w:tcPr>
          <w:p>
            <w:pPr>
              <w:pStyle w:val="TableParagraph"/>
              <w:spacing w:line="181" w:lineRule="exact"/>
              <w:ind w:right="156"/>
              <w:jc w:val="right"/>
              <w:rPr>
                <w:b/>
                <w:sz w:val="16"/>
              </w:rPr>
            </w:pPr>
            <w:r>
              <w:rPr>
                <w:b/>
                <w:color w:val="FFFFFF"/>
                <w:sz w:val="16"/>
              </w:rPr>
              <w:t>6.8</w:t>
            </w:r>
          </w:p>
        </w:tc>
        <w:tc>
          <w:tcPr>
            <w:tcW w:w="851" w:type="dxa"/>
            <w:tcBorders>
              <w:top w:val="nil"/>
              <w:left w:val="nil"/>
              <w:bottom w:val="nil"/>
              <w:right w:val="nil"/>
            </w:tcBorders>
            <w:shd w:val="clear" w:color="auto" w:fill="FF0000"/>
          </w:tcPr>
          <w:p>
            <w:pPr>
              <w:pStyle w:val="TableParagraph"/>
              <w:spacing w:line="181" w:lineRule="exact"/>
              <w:ind w:right="157"/>
              <w:jc w:val="right"/>
              <w:rPr>
                <w:b/>
                <w:sz w:val="16"/>
              </w:rPr>
            </w:pPr>
            <w:r>
              <w:rPr>
                <w:b/>
                <w:color w:val="FFFFFF"/>
                <w:sz w:val="16"/>
              </w:rPr>
              <w:t>6.0</w:t>
            </w:r>
          </w:p>
        </w:tc>
        <w:tc>
          <w:tcPr>
            <w:tcW w:w="851" w:type="dxa"/>
            <w:tcBorders>
              <w:top w:val="nil"/>
              <w:left w:val="nil"/>
              <w:bottom w:val="nil"/>
              <w:right w:val="nil"/>
            </w:tcBorders>
            <w:shd w:val="clear" w:color="auto" w:fill="FF0000"/>
          </w:tcPr>
          <w:p>
            <w:pPr>
              <w:pStyle w:val="TableParagraph"/>
              <w:spacing w:line="181" w:lineRule="exact"/>
              <w:ind w:right="156"/>
              <w:jc w:val="right"/>
              <w:rPr>
                <w:b/>
                <w:sz w:val="16"/>
              </w:rPr>
            </w:pPr>
            <w:r>
              <w:rPr>
                <w:b/>
                <w:color w:val="FFFFFF"/>
                <w:sz w:val="16"/>
              </w:rPr>
              <w:t>5.9</w:t>
            </w:r>
          </w:p>
        </w:tc>
        <w:tc>
          <w:tcPr>
            <w:tcW w:w="761" w:type="dxa"/>
            <w:tcBorders>
              <w:top w:val="nil"/>
              <w:left w:val="nil"/>
              <w:bottom w:val="nil"/>
              <w:right w:val="nil"/>
            </w:tcBorders>
            <w:shd w:val="clear" w:color="auto" w:fill="FF0000"/>
          </w:tcPr>
          <w:p>
            <w:pPr>
              <w:pStyle w:val="TableParagraph"/>
              <w:spacing w:line="181" w:lineRule="exact"/>
              <w:ind w:right="67"/>
              <w:jc w:val="right"/>
              <w:rPr>
                <w:b/>
                <w:sz w:val="16"/>
              </w:rPr>
            </w:pPr>
            <w:r>
              <w:rPr>
                <w:b/>
                <w:color w:val="FFFFFF"/>
                <w:sz w:val="16"/>
              </w:rPr>
              <w:t>6.0</w:t>
            </w:r>
          </w:p>
        </w:tc>
      </w:tr>
      <w:tr>
        <w:trPr>
          <w:trHeight w:val="193" w:hRule="exact"/>
        </w:trPr>
        <w:tc>
          <w:tcPr>
            <w:tcW w:w="1625" w:type="dxa"/>
            <w:vMerge/>
            <w:tcBorders>
              <w:left w:val="nil"/>
            </w:tcBorders>
            <w:shd w:val="clear" w:color="auto" w:fill="FF0000"/>
          </w:tcPr>
          <w:p>
            <w:pPr/>
          </w:p>
        </w:tc>
        <w:tc>
          <w:tcPr>
            <w:tcW w:w="2396" w:type="dxa"/>
            <w:tcBorders>
              <w:top w:val="nil"/>
              <w:bottom w:val="nil"/>
              <w:right w:val="nil"/>
            </w:tcBorders>
            <w:shd w:val="clear" w:color="auto" w:fill="FF0000"/>
          </w:tcPr>
          <w:p>
            <w:pPr>
              <w:pStyle w:val="TableParagraph"/>
              <w:spacing w:line="181" w:lineRule="exact"/>
              <w:ind w:left="64"/>
              <w:rPr>
                <w:b/>
                <w:sz w:val="16"/>
              </w:rPr>
            </w:pPr>
            <w:r>
              <w:rPr>
                <w:b/>
                <w:color w:val="FFFFFF"/>
                <w:sz w:val="16"/>
              </w:rPr>
              <w:t>Partidos Políticos</w:t>
            </w:r>
          </w:p>
        </w:tc>
        <w:tc>
          <w:tcPr>
            <w:tcW w:w="912" w:type="dxa"/>
            <w:tcBorders>
              <w:top w:val="nil"/>
              <w:left w:val="nil"/>
              <w:bottom w:val="nil"/>
              <w:right w:val="nil"/>
            </w:tcBorders>
            <w:shd w:val="clear" w:color="auto" w:fill="FF0000"/>
          </w:tcPr>
          <w:p>
            <w:pPr>
              <w:pStyle w:val="TableParagraph"/>
              <w:spacing w:line="181" w:lineRule="exact"/>
              <w:ind w:right="156"/>
              <w:jc w:val="right"/>
              <w:rPr>
                <w:b/>
                <w:sz w:val="16"/>
              </w:rPr>
            </w:pPr>
            <w:r>
              <w:rPr>
                <w:b/>
                <w:color w:val="FFFFFF"/>
                <w:sz w:val="16"/>
              </w:rPr>
              <w:t>5.7</w:t>
            </w:r>
          </w:p>
        </w:tc>
        <w:tc>
          <w:tcPr>
            <w:tcW w:w="850" w:type="dxa"/>
            <w:tcBorders>
              <w:top w:val="nil"/>
              <w:left w:val="nil"/>
              <w:bottom w:val="nil"/>
              <w:right w:val="nil"/>
            </w:tcBorders>
            <w:shd w:val="clear" w:color="auto" w:fill="FF0000"/>
          </w:tcPr>
          <w:p>
            <w:pPr>
              <w:pStyle w:val="TableParagraph"/>
              <w:spacing w:line="181" w:lineRule="exact"/>
              <w:ind w:right="156"/>
              <w:jc w:val="right"/>
              <w:rPr>
                <w:b/>
                <w:sz w:val="16"/>
              </w:rPr>
            </w:pPr>
            <w:r>
              <w:rPr>
                <w:b/>
                <w:color w:val="FFFFFF"/>
                <w:sz w:val="16"/>
              </w:rPr>
              <w:t>6.0</w:t>
            </w:r>
          </w:p>
        </w:tc>
        <w:tc>
          <w:tcPr>
            <w:tcW w:w="851" w:type="dxa"/>
            <w:tcBorders>
              <w:top w:val="nil"/>
              <w:left w:val="nil"/>
              <w:bottom w:val="nil"/>
              <w:right w:val="nil"/>
            </w:tcBorders>
            <w:shd w:val="clear" w:color="auto" w:fill="FF0000"/>
          </w:tcPr>
          <w:p>
            <w:pPr>
              <w:pStyle w:val="TableParagraph"/>
              <w:spacing w:line="181" w:lineRule="exact"/>
              <w:ind w:right="157"/>
              <w:jc w:val="right"/>
              <w:rPr>
                <w:b/>
                <w:sz w:val="16"/>
              </w:rPr>
            </w:pPr>
            <w:r>
              <w:rPr>
                <w:b/>
                <w:color w:val="FFFFFF"/>
                <w:sz w:val="16"/>
              </w:rPr>
              <w:t>5.7</w:t>
            </w:r>
          </w:p>
        </w:tc>
        <w:tc>
          <w:tcPr>
            <w:tcW w:w="851" w:type="dxa"/>
            <w:tcBorders>
              <w:top w:val="nil"/>
              <w:left w:val="nil"/>
              <w:bottom w:val="nil"/>
              <w:right w:val="nil"/>
            </w:tcBorders>
            <w:shd w:val="clear" w:color="auto" w:fill="FF0000"/>
          </w:tcPr>
          <w:p>
            <w:pPr>
              <w:pStyle w:val="TableParagraph"/>
              <w:spacing w:line="181" w:lineRule="exact"/>
              <w:ind w:right="156"/>
              <w:jc w:val="right"/>
              <w:rPr>
                <w:b/>
                <w:sz w:val="16"/>
              </w:rPr>
            </w:pPr>
            <w:r>
              <w:rPr>
                <w:b/>
                <w:color w:val="FFFFFF"/>
                <w:sz w:val="16"/>
              </w:rPr>
              <w:t>5.7</w:t>
            </w:r>
          </w:p>
        </w:tc>
        <w:tc>
          <w:tcPr>
            <w:tcW w:w="761" w:type="dxa"/>
            <w:tcBorders>
              <w:top w:val="nil"/>
              <w:left w:val="nil"/>
              <w:bottom w:val="nil"/>
              <w:right w:val="nil"/>
            </w:tcBorders>
            <w:shd w:val="clear" w:color="auto" w:fill="FF0000"/>
          </w:tcPr>
          <w:p>
            <w:pPr>
              <w:pStyle w:val="TableParagraph"/>
              <w:spacing w:line="181" w:lineRule="exact"/>
              <w:ind w:right="67"/>
              <w:jc w:val="right"/>
              <w:rPr>
                <w:b/>
                <w:sz w:val="16"/>
              </w:rPr>
            </w:pPr>
            <w:r>
              <w:rPr>
                <w:b/>
                <w:color w:val="FFFFFF"/>
                <w:sz w:val="16"/>
              </w:rPr>
              <w:t>6.0</w:t>
            </w:r>
          </w:p>
        </w:tc>
      </w:tr>
      <w:tr>
        <w:trPr>
          <w:trHeight w:val="194" w:hRule="exact"/>
        </w:trPr>
        <w:tc>
          <w:tcPr>
            <w:tcW w:w="1625" w:type="dxa"/>
            <w:vMerge/>
            <w:tcBorders>
              <w:left w:val="nil"/>
            </w:tcBorders>
            <w:shd w:val="clear" w:color="auto" w:fill="FF0000"/>
          </w:tcPr>
          <w:p>
            <w:pPr/>
          </w:p>
        </w:tc>
        <w:tc>
          <w:tcPr>
            <w:tcW w:w="2396" w:type="dxa"/>
            <w:tcBorders>
              <w:top w:val="nil"/>
              <w:bottom w:val="nil"/>
              <w:right w:val="nil"/>
            </w:tcBorders>
            <w:shd w:val="clear" w:color="auto" w:fill="FF0000"/>
          </w:tcPr>
          <w:p>
            <w:pPr>
              <w:pStyle w:val="TableParagraph"/>
              <w:spacing w:line="180" w:lineRule="exact"/>
              <w:ind w:left="64"/>
              <w:rPr>
                <w:b/>
                <w:sz w:val="16"/>
              </w:rPr>
            </w:pPr>
            <w:r>
              <w:rPr>
                <w:b/>
                <w:color w:val="FFFFFF"/>
                <w:sz w:val="16"/>
              </w:rPr>
              <w:t>Policía</w:t>
            </w:r>
          </w:p>
        </w:tc>
        <w:tc>
          <w:tcPr>
            <w:tcW w:w="912" w:type="dxa"/>
            <w:tcBorders>
              <w:top w:val="nil"/>
              <w:left w:val="nil"/>
              <w:bottom w:val="nil"/>
              <w:right w:val="nil"/>
            </w:tcBorders>
            <w:shd w:val="clear" w:color="auto" w:fill="FF0000"/>
          </w:tcPr>
          <w:p>
            <w:pPr>
              <w:pStyle w:val="TableParagraph"/>
              <w:spacing w:line="180" w:lineRule="exact"/>
              <w:ind w:right="156"/>
              <w:jc w:val="right"/>
              <w:rPr>
                <w:b/>
                <w:sz w:val="16"/>
              </w:rPr>
            </w:pPr>
            <w:r>
              <w:rPr>
                <w:b/>
                <w:color w:val="FFFFFF"/>
                <w:sz w:val="16"/>
              </w:rPr>
              <w:t>6.1</w:t>
            </w:r>
          </w:p>
        </w:tc>
        <w:tc>
          <w:tcPr>
            <w:tcW w:w="850" w:type="dxa"/>
            <w:tcBorders>
              <w:top w:val="nil"/>
              <w:left w:val="nil"/>
              <w:bottom w:val="nil"/>
              <w:right w:val="nil"/>
            </w:tcBorders>
            <w:shd w:val="clear" w:color="auto" w:fill="FF0000"/>
          </w:tcPr>
          <w:p>
            <w:pPr>
              <w:pStyle w:val="TableParagraph"/>
              <w:spacing w:line="180" w:lineRule="exact"/>
              <w:ind w:right="156"/>
              <w:jc w:val="right"/>
              <w:rPr>
                <w:b/>
                <w:sz w:val="16"/>
              </w:rPr>
            </w:pPr>
            <w:r>
              <w:rPr>
                <w:b/>
                <w:color w:val="FFFFFF"/>
                <w:sz w:val="16"/>
              </w:rPr>
              <w:t>6.0</w:t>
            </w:r>
          </w:p>
        </w:tc>
        <w:tc>
          <w:tcPr>
            <w:tcW w:w="851" w:type="dxa"/>
            <w:tcBorders>
              <w:top w:val="nil"/>
              <w:left w:val="nil"/>
              <w:bottom w:val="nil"/>
              <w:right w:val="nil"/>
            </w:tcBorders>
            <w:shd w:val="clear" w:color="auto" w:fill="FF0000"/>
          </w:tcPr>
          <w:p>
            <w:pPr>
              <w:pStyle w:val="TableParagraph"/>
              <w:spacing w:line="180" w:lineRule="exact"/>
              <w:ind w:right="157"/>
              <w:jc w:val="right"/>
              <w:rPr>
                <w:b/>
                <w:sz w:val="16"/>
              </w:rPr>
            </w:pPr>
            <w:r>
              <w:rPr>
                <w:b/>
                <w:color w:val="FFFFFF"/>
                <w:sz w:val="16"/>
              </w:rPr>
              <w:t>5.8</w:t>
            </w:r>
          </w:p>
        </w:tc>
        <w:tc>
          <w:tcPr>
            <w:tcW w:w="851" w:type="dxa"/>
            <w:tcBorders>
              <w:top w:val="nil"/>
              <w:left w:val="nil"/>
              <w:bottom w:val="nil"/>
              <w:right w:val="nil"/>
            </w:tcBorders>
            <w:shd w:val="clear" w:color="auto" w:fill="FF0000"/>
          </w:tcPr>
          <w:p>
            <w:pPr>
              <w:pStyle w:val="TableParagraph"/>
              <w:spacing w:line="180" w:lineRule="exact"/>
              <w:ind w:right="156"/>
              <w:jc w:val="right"/>
              <w:rPr>
                <w:b/>
                <w:sz w:val="16"/>
              </w:rPr>
            </w:pPr>
            <w:r>
              <w:rPr>
                <w:b/>
                <w:color w:val="FFFFFF"/>
                <w:sz w:val="16"/>
              </w:rPr>
              <w:t>5.6</w:t>
            </w:r>
          </w:p>
        </w:tc>
        <w:tc>
          <w:tcPr>
            <w:tcW w:w="761" w:type="dxa"/>
            <w:tcBorders>
              <w:top w:val="nil"/>
              <w:left w:val="nil"/>
              <w:bottom w:val="nil"/>
              <w:right w:val="nil"/>
            </w:tcBorders>
            <w:shd w:val="clear" w:color="auto" w:fill="FF0000"/>
          </w:tcPr>
          <w:p>
            <w:pPr>
              <w:pStyle w:val="TableParagraph"/>
              <w:spacing w:line="180" w:lineRule="exact"/>
              <w:ind w:right="67"/>
              <w:jc w:val="right"/>
              <w:rPr>
                <w:b/>
                <w:sz w:val="16"/>
              </w:rPr>
            </w:pPr>
            <w:r>
              <w:rPr>
                <w:b/>
                <w:color w:val="FFFFFF"/>
                <w:sz w:val="16"/>
              </w:rPr>
              <w:t>5.9</w:t>
            </w:r>
          </w:p>
        </w:tc>
      </w:tr>
      <w:tr>
        <w:trPr>
          <w:trHeight w:val="193" w:hRule="exact"/>
        </w:trPr>
        <w:tc>
          <w:tcPr>
            <w:tcW w:w="1625" w:type="dxa"/>
            <w:vMerge/>
            <w:tcBorders>
              <w:left w:val="nil"/>
            </w:tcBorders>
            <w:shd w:val="clear" w:color="auto" w:fill="FF0000"/>
          </w:tcPr>
          <w:p>
            <w:pPr/>
          </w:p>
        </w:tc>
        <w:tc>
          <w:tcPr>
            <w:tcW w:w="2396" w:type="dxa"/>
            <w:tcBorders>
              <w:top w:val="nil"/>
              <w:right w:val="nil"/>
            </w:tcBorders>
            <w:shd w:val="clear" w:color="auto" w:fill="FF0000"/>
          </w:tcPr>
          <w:p>
            <w:pPr>
              <w:pStyle w:val="TableParagraph"/>
              <w:spacing w:line="181" w:lineRule="exact"/>
              <w:ind w:left="64"/>
              <w:rPr>
                <w:b/>
                <w:sz w:val="16"/>
              </w:rPr>
            </w:pPr>
            <w:r>
              <w:rPr>
                <w:b/>
                <w:color w:val="FFFFFF"/>
                <w:sz w:val="16"/>
              </w:rPr>
              <w:t>Diputados</w:t>
            </w:r>
          </w:p>
        </w:tc>
        <w:tc>
          <w:tcPr>
            <w:tcW w:w="912" w:type="dxa"/>
            <w:tcBorders>
              <w:top w:val="nil"/>
              <w:left w:val="nil"/>
              <w:right w:val="nil"/>
            </w:tcBorders>
            <w:shd w:val="clear" w:color="auto" w:fill="FF0000"/>
          </w:tcPr>
          <w:p>
            <w:pPr>
              <w:pStyle w:val="TableParagraph"/>
              <w:spacing w:line="181" w:lineRule="exact"/>
              <w:ind w:right="156"/>
              <w:jc w:val="right"/>
              <w:rPr>
                <w:b/>
                <w:sz w:val="16"/>
              </w:rPr>
            </w:pPr>
            <w:r>
              <w:rPr>
                <w:b/>
                <w:color w:val="FFFFFF"/>
                <w:sz w:val="16"/>
              </w:rPr>
              <w:t>5.7</w:t>
            </w:r>
          </w:p>
        </w:tc>
        <w:tc>
          <w:tcPr>
            <w:tcW w:w="850" w:type="dxa"/>
            <w:tcBorders>
              <w:top w:val="nil"/>
              <w:left w:val="nil"/>
              <w:right w:val="nil"/>
            </w:tcBorders>
            <w:shd w:val="clear" w:color="auto" w:fill="FF0000"/>
          </w:tcPr>
          <w:p>
            <w:pPr>
              <w:pStyle w:val="TableParagraph"/>
              <w:spacing w:line="181" w:lineRule="exact"/>
              <w:ind w:right="156"/>
              <w:jc w:val="right"/>
              <w:rPr>
                <w:b/>
                <w:sz w:val="16"/>
              </w:rPr>
            </w:pPr>
            <w:r>
              <w:rPr>
                <w:b/>
                <w:color w:val="FFFFFF"/>
                <w:sz w:val="16"/>
              </w:rPr>
              <w:t>6.0</w:t>
            </w:r>
          </w:p>
        </w:tc>
        <w:tc>
          <w:tcPr>
            <w:tcW w:w="851" w:type="dxa"/>
            <w:tcBorders>
              <w:top w:val="nil"/>
              <w:left w:val="nil"/>
              <w:right w:val="nil"/>
            </w:tcBorders>
            <w:shd w:val="clear" w:color="auto" w:fill="FF0000"/>
          </w:tcPr>
          <w:p>
            <w:pPr>
              <w:pStyle w:val="TableParagraph"/>
              <w:spacing w:line="181" w:lineRule="exact"/>
              <w:ind w:right="157"/>
              <w:jc w:val="right"/>
              <w:rPr>
                <w:b/>
                <w:sz w:val="16"/>
              </w:rPr>
            </w:pPr>
            <w:r>
              <w:rPr>
                <w:b/>
                <w:color w:val="FFFFFF"/>
                <w:sz w:val="16"/>
              </w:rPr>
              <w:t>5.7</w:t>
            </w:r>
          </w:p>
        </w:tc>
        <w:tc>
          <w:tcPr>
            <w:tcW w:w="851" w:type="dxa"/>
            <w:tcBorders>
              <w:top w:val="nil"/>
              <w:left w:val="nil"/>
              <w:right w:val="nil"/>
            </w:tcBorders>
            <w:shd w:val="clear" w:color="auto" w:fill="FF0000"/>
          </w:tcPr>
          <w:p>
            <w:pPr>
              <w:pStyle w:val="TableParagraph"/>
              <w:spacing w:line="181" w:lineRule="exact"/>
              <w:ind w:right="156"/>
              <w:jc w:val="right"/>
              <w:rPr>
                <w:b/>
                <w:sz w:val="16"/>
              </w:rPr>
            </w:pPr>
            <w:r>
              <w:rPr>
                <w:b/>
                <w:color w:val="FFFFFF"/>
                <w:sz w:val="16"/>
              </w:rPr>
              <w:t>5.6</w:t>
            </w:r>
          </w:p>
        </w:tc>
        <w:tc>
          <w:tcPr>
            <w:tcW w:w="761" w:type="dxa"/>
            <w:tcBorders>
              <w:top w:val="nil"/>
              <w:left w:val="nil"/>
              <w:right w:val="nil"/>
            </w:tcBorders>
            <w:shd w:val="clear" w:color="auto" w:fill="FF0000"/>
          </w:tcPr>
          <w:p>
            <w:pPr>
              <w:pStyle w:val="TableParagraph"/>
              <w:spacing w:line="181" w:lineRule="exact"/>
              <w:ind w:right="67"/>
              <w:jc w:val="right"/>
              <w:rPr>
                <w:b/>
                <w:sz w:val="16"/>
              </w:rPr>
            </w:pPr>
            <w:r>
              <w:rPr>
                <w:b/>
                <w:color w:val="FFFFFF"/>
                <w:sz w:val="16"/>
              </w:rPr>
              <w:t>5.9</w:t>
            </w:r>
          </w:p>
        </w:tc>
      </w:tr>
      <w:tr>
        <w:trPr>
          <w:trHeight w:val="194" w:hRule="exact"/>
        </w:trPr>
        <w:tc>
          <w:tcPr>
            <w:tcW w:w="8246" w:type="dxa"/>
            <w:gridSpan w:val="7"/>
            <w:tcBorders>
              <w:left w:val="nil"/>
              <w:right w:val="nil"/>
            </w:tcBorders>
          </w:tcPr>
          <w:p>
            <w:pPr/>
          </w:p>
        </w:tc>
      </w:tr>
    </w:tbl>
    <w:p>
      <w:pPr>
        <w:pStyle w:val="BodyText"/>
        <w:spacing w:before="4"/>
        <w:rPr>
          <w:sz w:val="15"/>
        </w:rPr>
      </w:pPr>
    </w:p>
    <w:p>
      <w:pPr>
        <w:spacing w:before="85"/>
        <w:ind w:left="810" w:right="66" w:firstLine="0"/>
        <w:jc w:val="left"/>
        <w:rPr>
          <w:sz w:val="12"/>
        </w:rPr>
      </w:pPr>
      <w:r>
        <w:rPr>
          <w:sz w:val="12"/>
        </w:rPr>
        <w:t>FUENTE:     Consulta Mitofsky, </w:t>
      </w:r>
      <w:r>
        <w:rPr>
          <w:i/>
          <w:sz w:val="12"/>
        </w:rPr>
        <w:t>Confianza en las Instituciones, Baja Generalizada, Encuesta Nacional de Viviendas</w:t>
      </w:r>
      <w:r>
        <w:rPr>
          <w:sz w:val="12"/>
        </w:rPr>
        <w:t>, p. 12.</w:t>
      </w:r>
    </w:p>
    <w:p>
      <w:pPr>
        <w:spacing w:line="276" w:lineRule="auto" w:before="20"/>
        <w:ind w:left="1518" w:right="3660" w:firstLine="0"/>
        <w:jc w:val="left"/>
        <w:rPr>
          <w:sz w:val="12"/>
        </w:rPr>
      </w:pPr>
      <w:r>
        <w:rPr>
          <w:sz w:val="12"/>
        </w:rPr>
        <w:t>Disponible en: </w:t>
      </w:r>
      <w:hyperlink r:id="rId240">
        <w:r>
          <w:rPr>
            <w:sz w:val="12"/>
          </w:rPr>
          <w:t>http://www.consulta.mx/Estudios.aspx?Categoria=1</w:t>
        </w:r>
      </w:hyperlink>
      <w:r>
        <w:rPr>
          <w:sz w:val="12"/>
        </w:rPr>
        <w:t> [Fecha de consulta: 3 de marzo, 2015]</w:t>
      </w:r>
    </w:p>
    <w:p>
      <w:pPr>
        <w:pStyle w:val="BodyText"/>
        <w:rPr>
          <w:sz w:val="12"/>
        </w:rPr>
      </w:pPr>
    </w:p>
    <w:p>
      <w:pPr>
        <w:pStyle w:val="BodyText"/>
        <w:spacing w:before="8"/>
        <w:rPr>
          <w:sz w:val="9"/>
        </w:rPr>
      </w:pPr>
    </w:p>
    <w:p>
      <w:pPr>
        <w:pStyle w:val="ListParagraph"/>
        <w:numPr>
          <w:ilvl w:val="1"/>
          <w:numId w:val="90"/>
        </w:numPr>
        <w:tabs>
          <w:tab w:pos="822" w:val="left" w:leader="none"/>
        </w:tabs>
        <w:spacing w:line="360" w:lineRule="auto" w:before="0" w:after="0"/>
        <w:ind w:left="822" w:right="123" w:hanging="360"/>
        <w:jc w:val="both"/>
        <w:rPr>
          <w:sz w:val="24"/>
        </w:rPr>
      </w:pPr>
      <w:r>
        <w:rPr>
          <w:sz w:val="24"/>
        </w:rPr>
        <w:t>Confianza alta, con calificación de 7.1 a 10.0: Universidades, Iglesia, Ejército, Comisión Nacional de Derechos Humanos y Medios de Comunicación.</w:t>
      </w:r>
    </w:p>
    <w:p>
      <w:pPr>
        <w:pStyle w:val="BodyText"/>
      </w:pPr>
    </w:p>
    <w:p>
      <w:pPr>
        <w:pStyle w:val="ListParagraph"/>
        <w:numPr>
          <w:ilvl w:val="1"/>
          <w:numId w:val="90"/>
        </w:numPr>
        <w:tabs>
          <w:tab w:pos="890" w:val="left" w:leader="none"/>
        </w:tabs>
        <w:spacing w:line="360" w:lineRule="auto" w:before="142" w:after="0"/>
        <w:ind w:left="822" w:right="118" w:hanging="360"/>
        <w:jc w:val="both"/>
        <w:rPr>
          <w:sz w:val="24"/>
        </w:rPr>
      </w:pPr>
      <w:r>
        <w:rPr>
          <w:sz w:val="24"/>
        </w:rPr>
        <w:t>Confianza media, con calificación entre 6.1 y 7.0: Suprema Corte de Justicia, Empresarios, Instituto Federal Electoral, Bancos y Presidencia de la</w:t>
      </w:r>
      <w:r>
        <w:rPr>
          <w:spacing w:val="-7"/>
          <w:sz w:val="24"/>
        </w:rPr>
        <w:t> </w:t>
      </w:r>
      <w:r>
        <w:rPr>
          <w:sz w:val="24"/>
        </w:rPr>
        <w:t>República.</w:t>
      </w:r>
    </w:p>
    <w:p>
      <w:pPr>
        <w:pStyle w:val="BodyText"/>
      </w:pPr>
    </w:p>
    <w:p>
      <w:pPr>
        <w:pStyle w:val="BodyText"/>
      </w:pPr>
    </w:p>
    <w:p>
      <w:pPr>
        <w:pStyle w:val="ListParagraph"/>
        <w:numPr>
          <w:ilvl w:val="1"/>
          <w:numId w:val="90"/>
        </w:numPr>
        <w:tabs>
          <w:tab w:pos="810" w:val="left" w:leader="none"/>
        </w:tabs>
        <w:spacing w:line="360" w:lineRule="auto" w:before="142" w:after="0"/>
        <w:ind w:left="810" w:right="122" w:hanging="425"/>
        <w:jc w:val="both"/>
        <w:rPr>
          <w:sz w:val="24"/>
        </w:rPr>
      </w:pPr>
      <w:r>
        <w:rPr>
          <w:sz w:val="24"/>
        </w:rPr>
        <w:t>Confianza</w:t>
      </w:r>
      <w:r>
        <w:rPr>
          <w:spacing w:val="-12"/>
          <w:sz w:val="24"/>
        </w:rPr>
        <w:t> </w:t>
      </w:r>
      <w:r>
        <w:rPr>
          <w:sz w:val="24"/>
        </w:rPr>
        <w:t>baja,</w:t>
      </w:r>
      <w:r>
        <w:rPr>
          <w:spacing w:val="-12"/>
          <w:sz w:val="24"/>
        </w:rPr>
        <w:t> </w:t>
      </w:r>
      <w:r>
        <w:rPr>
          <w:sz w:val="24"/>
        </w:rPr>
        <w:t>calificación</w:t>
      </w:r>
      <w:r>
        <w:rPr>
          <w:spacing w:val="-9"/>
          <w:sz w:val="24"/>
        </w:rPr>
        <w:t> </w:t>
      </w:r>
      <w:r>
        <w:rPr>
          <w:sz w:val="24"/>
        </w:rPr>
        <w:t>inferior</w:t>
      </w:r>
      <w:r>
        <w:rPr>
          <w:spacing w:val="-11"/>
          <w:sz w:val="24"/>
        </w:rPr>
        <w:t> </w:t>
      </w:r>
      <w:r>
        <w:rPr>
          <w:sz w:val="24"/>
        </w:rPr>
        <w:t>a</w:t>
      </w:r>
      <w:r>
        <w:rPr>
          <w:spacing w:val="-12"/>
          <w:sz w:val="24"/>
        </w:rPr>
        <w:t> </w:t>
      </w:r>
      <w:r>
        <w:rPr>
          <w:sz w:val="24"/>
        </w:rPr>
        <w:t>6.1:</w:t>
      </w:r>
      <w:r>
        <w:rPr>
          <w:spacing w:val="-12"/>
          <w:sz w:val="24"/>
        </w:rPr>
        <w:t> </w:t>
      </w:r>
      <w:r>
        <w:rPr>
          <w:sz w:val="24"/>
        </w:rPr>
        <w:t>Sindicatos,</w:t>
      </w:r>
      <w:r>
        <w:rPr>
          <w:spacing w:val="-12"/>
          <w:sz w:val="24"/>
        </w:rPr>
        <w:t> </w:t>
      </w:r>
      <w:r>
        <w:rPr>
          <w:sz w:val="24"/>
        </w:rPr>
        <w:t>Senadores,</w:t>
      </w:r>
      <w:r>
        <w:rPr>
          <w:spacing w:val="-12"/>
          <w:sz w:val="24"/>
        </w:rPr>
        <w:t> </w:t>
      </w:r>
      <w:r>
        <w:rPr>
          <w:sz w:val="24"/>
        </w:rPr>
        <w:t>Partidos Políticos, Policía y</w:t>
      </w:r>
      <w:r>
        <w:rPr>
          <w:spacing w:val="-9"/>
          <w:sz w:val="24"/>
        </w:rPr>
        <w:t> </w:t>
      </w:r>
      <w:r>
        <w:rPr>
          <w:sz w:val="24"/>
        </w:rPr>
        <w:t>Diputados.</w:t>
      </w:r>
    </w:p>
    <w:p>
      <w:pPr>
        <w:pStyle w:val="BodyText"/>
      </w:pPr>
    </w:p>
    <w:p>
      <w:pPr>
        <w:pStyle w:val="BodyText"/>
        <w:spacing w:line="360" w:lineRule="auto" w:before="142"/>
        <w:ind w:left="102" w:right="121" w:firstLine="427"/>
        <w:jc w:val="both"/>
      </w:pPr>
      <w:r>
        <w:rPr/>
        <w:t>Los principales resultados del Índice de Confianza en las Instituciones de México indicaron una baja en los índices de confianza en 2011 con respecto a 2008. Los ciudadanos disminuyeron su nivel de confianza en las universidades (7.9 a 7.8), en la iglesia (8.0 a 7.6), en el ejército (3 décimas), la Suprema Corte de Justicia y el Instituto Federal Electoral (4 décimas) y en la Presidencia de la República (6.9 a 6.5).</w:t>
      </w:r>
    </w:p>
    <w:p>
      <w:pPr>
        <w:pStyle w:val="BodyText"/>
        <w:spacing w:line="360" w:lineRule="auto" w:before="5"/>
        <w:ind w:left="102" w:right="125" w:firstLine="427"/>
        <w:jc w:val="both"/>
      </w:pPr>
      <w:r>
        <w:rPr/>
        <w:t>La escasa confianza en la Policía y en los Diputados, los sitúa en los dos últimos escalones, la Policía mostró el retroceso más grande (5 décimas).</w:t>
      </w:r>
    </w:p>
    <w:p>
      <w:pPr>
        <w:spacing w:after="0" w:line="360" w:lineRule="auto"/>
        <w:jc w:val="both"/>
        <w:sectPr>
          <w:pgSz w:w="11910" w:h="16840"/>
          <w:pgMar w:header="0" w:footer="1003" w:top="1340" w:bottom="1200" w:left="1600" w:right="1580"/>
        </w:sectPr>
      </w:pPr>
    </w:p>
    <w:p>
      <w:pPr>
        <w:pStyle w:val="Heading1"/>
        <w:spacing w:before="54"/>
        <w:ind w:left="367" w:right="385"/>
      </w:pPr>
      <w:bookmarkStart w:name="_bookmark95" w:id="126"/>
      <w:bookmarkEnd w:id="126"/>
      <w:r>
        <w:rPr>
          <w:b w:val="0"/>
        </w:rPr>
      </w:r>
      <w:r>
        <w:rPr/>
        <w:t>CONCLUSIONES</w:t>
      </w:r>
    </w:p>
    <w:p>
      <w:pPr>
        <w:pStyle w:val="BodyText"/>
        <w:spacing w:before="6"/>
        <w:rPr>
          <w:b/>
          <w:sz w:val="38"/>
        </w:rPr>
      </w:pPr>
    </w:p>
    <w:p>
      <w:pPr>
        <w:pStyle w:val="BodyText"/>
        <w:ind w:left="102" w:right="66"/>
      </w:pPr>
      <w:r>
        <w:rPr/>
        <w:t>Las principales implicaciones de esta investigación se resumen como sigue:</w:t>
      </w:r>
    </w:p>
    <w:p>
      <w:pPr>
        <w:pStyle w:val="BodyText"/>
        <w:spacing w:line="360" w:lineRule="auto" w:before="139"/>
        <w:ind w:left="102" w:right="118" w:firstLine="707"/>
        <w:jc w:val="both"/>
      </w:pPr>
      <w:r>
        <w:rPr/>
        <w:t>Similitud de problemas: Este trabajo concluye que los países avanzados y emergentes suelen compartir similares problemas de corrupción, aunque en distinta magnitud. En México la clase política monopoliza el poder con una marcada ausencia de un Estado de Derecho y de gobernabilidad, por los vicios históricos</w:t>
      </w:r>
      <w:r>
        <w:rPr>
          <w:spacing w:val="-10"/>
        </w:rPr>
        <w:t> </w:t>
      </w:r>
      <w:r>
        <w:rPr/>
        <w:t>y</w:t>
      </w:r>
      <w:r>
        <w:rPr>
          <w:spacing w:val="-13"/>
        </w:rPr>
        <w:t> </w:t>
      </w:r>
      <w:r>
        <w:rPr/>
        <w:t>actuales.</w:t>
      </w:r>
      <w:r>
        <w:rPr>
          <w:spacing w:val="-12"/>
        </w:rPr>
        <w:t> </w:t>
      </w:r>
      <w:r>
        <w:rPr/>
        <w:t>Este</w:t>
      </w:r>
      <w:r>
        <w:rPr>
          <w:spacing w:val="-11"/>
        </w:rPr>
        <w:t> </w:t>
      </w:r>
      <w:r>
        <w:rPr/>
        <w:t>trabajo</w:t>
      </w:r>
      <w:r>
        <w:rPr>
          <w:spacing w:val="-9"/>
        </w:rPr>
        <w:t> </w:t>
      </w:r>
      <w:r>
        <w:rPr/>
        <w:t>concluye</w:t>
      </w:r>
      <w:r>
        <w:rPr>
          <w:spacing w:val="-9"/>
        </w:rPr>
        <w:t> </w:t>
      </w:r>
      <w:r>
        <w:rPr/>
        <w:t>que</w:t>
      </w:r>
      <w:r>
        <w:rPr>
          <w:spacing w:val="-5"/>
        </w:rPr>
        <w:t> </w:t>
      </w:r>
      <w:r>
        <w:rPr/>
        <w:t>las</w:t>
      </w:r>
      <w:r>
        <w:rPr>
          <w:spacing w:val="-12"/>
        </w:rPr>
        <w:t> </w:t>
      </w:r>
      <w:r>
        <w:rPr/>
        <w:t>soluciones</w:t>
      </w:r>
      <w:r>
        <w:rPr>
          <w:spacing w:val="-15"/>
        </w:rPr>
        <w:t> </w:t>
      </w:r>
      <w:r>
        <w:rPr/>
        <w:t>a</w:t>
      </w:r>
      <w:r>
        <w:rPr>
          <w:spacing w:val="-9"/>
        </w:rPr>
        <w:t> </w:t>
      </w:r>
      <w:r>
        <w:rPr/>
        <w:t>la</w:t>
      </w:r>
      <w:r>
        <w:rPr>
          <w:spacing w:val="-12"/>
        </w:rPr>
        <w:t> </w:t>
      </w:r>
      <w:r>
        <w:rPr/>
        <w:t>corrupción</w:t>
      </w:r>
      <w:r>
        <w:rPr>
          <w:spacing w:val="-11"/>
        </w:rPr>
        <w:t> </w:t>
      </w:r>
      <w:r>
        <w:rPr/>
        <w:t>no deben asumirse</w:t>
      </w:r>
      <w:r>
        <w:rPr>
          <w:spacing w:val="-10"/>
        </w:rPr>
        <w:t> </w:t>
      </w:r>
      <w:r>
        <w:rPr/>
        <w:t>universales.</w:t>
      </w:r>
    </w:p>
    <w:p>
      <w:pPr>
        <w:pStyle w:val="BodyText"/>
        <w:spacing w:line="360" w:lineRule="auto" w:before="5"/>
        <w:ind w:left="102" w:right="119" w:firstLine="707"/>
        <w:jc w:val="both"/>
      </w:pPr>
      <w:r>
        <w:rPr/>
        <w:t>Freno al abuso de poder: El documento concluye argumentando que algunos</w:t>
      </w:r>
      <w:r>
        <w:rPr>
          <w:spacing w:val="-14"/>
        </w:rPr>
        <w:t> </w:t>
      </w:r>
      <w:r>
        <w:rPr/>
        <w:t>políticos</w:t>
      </w:r>
      <w:r>
        <w:rPr>
          <w:spacing w:val="-12"/>
        </w:rPr>
        <w:t> </w:t>
      </w:r>
      <w:r>
        <w:rPr/>
        <w:t>son</w:t>
      </w:r>
      <w:r>
        <w:rPr>
          <w:spacing w:val="-14"/>
        </w:rPr>
        <w:t> </w:t>
      </w:r>
      <w:r>
        <w:rPr/>
        <w:t>proclives</w:t>
      </w:r>
      <w:r>
        <w:rPr>
          <w:spacing w:val="-13"/>
        </w:rPr>
        <w:t> </w:t>
      </w:r>
      <w:r>
        <w:rPr/>
        <w:t>a</w:t>
      </w:r>
      <w:r>
        <w:rPr>
          <w:spacing w:val="-12"/>
        </w:rPr>
        <w:t> </w:t>
      </w:r>
      <w:r>
        <w:rPr/>
        <w:t>la</w:t>
      </w:r>
      <w:r>
        <w:rPr>
          <w:spacing w:val="41"/>
        </w:rPr>
        <w:t> </w:t>
      </w:r>
      <w:r>
        <w:rPr/>
        <w:t>corrupción,</w:t>
      </w:r>
      <w:r>
        <w:rPr>
          <w:spacing w:val="-14"/>
        </w:rPr>
        <w:t> </w:t>
      </w:r>
      <w:r>
        <w:rPr/>
        <w:t>usan</w:t>
      </w:r>
      <w:r>
        <w:rPr>
          <w:spacing w:val="-14"/>
        </w:rPr>
        <w:t> </w:t>
      </w:r>
      <w:r>
        <w:rPr/>
        <w:t>el</w:t>
      </w:r>
      <w:r>
        <w:rPr>
          <w:spacing w:val="-15"/>
        </w:rPr>
        <w:t> </w:t>
      </w:r>
      <w:r>
        <w:rPr/>
        <w:t>presupuesto</w:t>
      </w:r>
      <w:r>
        <w:rPr>
          <w:spacing w:val="-16"/>
        </w:rPr>
        <w:t> </w:t>
      </w:r>
      <w:r>
        <w:rPr/>
        <w:t>público</w:t>
      </w:r>
      <w:r>
        <w:rPr>
          <w:spacing w:val="-14"/>
        </w:rPr>
        <w:t> </w:t>
      </w:r>
      <w:r>
        <w:rPr/>
        <w:t>para su propio provecho. Este trabajo detectó que debe contarse con un diseño institucional sólido (marco legal y normativo) que limite la alta discrecionalidad de las decisiones de la clase política mediante la ética</w:t>
      </w:r>
      <w:r>
        <w:rPr>
          <w:spacing w:val="-21"/>
        </w:rPr>
        <w:t> </w:t>
      </w:r>
      <w:r>
        <w:rPr/>
        <w:t>pública.</w:t>
      </w:r>
    </w:p>
    <w:p>
      <w:pPr>
        <w:pStyle w:val="BodyText"/>
        <w:spacing w:line="360" w:lineRule="auto" w:before="2"/>
        <w:ind w:left="102" w:right="121" w:firstLine="707"/>
        <w:jc w:val="both"/>
      </w:pPr>
      <w:r>
        <w:rPr/>
        <w:t>Las conclusiones amplias de esta tesis son que la ética sí puede garantizar que el colectivo de individuos (gobernantes y gobernados) alcance el máximo beneficio social al menor costo posible. La contribución clave de este trabajo asegura que la conducta del grupo político debe ser moldeada por la institución representada; y que, a cambio, la sociedad debe ser altamente participativa y exigir que esa conducta se traduzca en beneficios sociales, mediante evaluación del desempeño del Estado vía rendición de cuentas.</w:t>
      </w:r>
    </w:p>
    <w:p>
      <w:pPr>
        <w:pStyle w:val="BodyText"/>
        <w:spacing w:line="360" w:lineRule="auto" w:before="5"/>
        <w:ind w:left="102" w:right="115" w:firstLine="707"/>
        <w:jc w:val="both"/>
      </w:pPr>
      <w:r>
        <w:rPr/>
        <w:t>Adopción de modelos políticos internacionales: La tesis afirma que, aunque los países avanzados analizados cuentan con instituciones evolucionadas y sistemas políticos sólidos de gobernabilidad y gobernanza; las mejores instituciones para México son las que reflejan la naturalidad política, y no modelos institucionales copiados u adoptados.</w:t>
      </w:r>
    </w:p>
    <w:p>
      <w:pPr>
        <w:pStyle w:val="BodyText"/>
        <w:spacing w:line="360" w:lineRule="auto" w:before="5"/>
        <w:ind w:left="102" w:right="118" w:firstLine="707"/>
        <w:jc w:val="both"/>
      </w:pPr>
      <w:r>
        <w:rPr/>
        <w:t>Autorregulación de poderes: Otra conclusión obtenida por este trabajo es que la baja credibilidad en las instituciones en México, radica en que son políticamente débiles, lo que genera corrupción. Para subsanar este problema se detectó que se requiere que el mismo Estado logre que los poderes de la Unión se regulen a sí mismos y se equilibren.</w:t>
      </w:r>
    </w:p>
    <w:p>
      <w:pPr>
        <w:pStyle w:val="BodyText"/>
        <w:spacing w:line="360" w:lineRule="auto" w:before="2"/>
        <w:ind w:left="102" w:right="114" w:firstLine="707"/>
        <w:jc w:val="both"/>
      </w:pPr>
      <w:r>
        <w:rPr/>
        <w:t>El trabajo probó que el equilibrio de poderes sólo puede lograrse cuando existe la voluntad política de respetar la división de los poderes. La tesis fundamental del trabajo abona al supuesto de la gobernanza, ésta supone  que</w:t>
      </w:r>
    </w:p>
    <w:p>
      <w:pPr>
        <w:spacing w:after="0" w:line="360" w:lineRule="auto"/>
        <w:jc w:val="both"/>
        <w:sectPr>
          <w:pgSz w:w="11910" w:h="16840"/>
          <w:pgMar w:header="0" w:footer="1003" w:top="1340" w:bottom="1200" w:left="1600" w:right="1580"/>
        </w:sectPr>
      </w:pPr>
    </w:p>
    <w:p>
      <w:pPr>
        <w:pStyle w:val="BodyText"/>
        <w:spacing w:line="360" w:lineRule="auto" w:before="55"/>
        <w:ind w:left="102" w:right="115"/>
        <w:jc w:val="both"/>
      </w:pPr>
      <w:r>
        <w:rPr/>
        <w:t>el Estado no gobierna solo, sino que requiere de la inclusión de los sectores público, social y privado, en la elaboración de políticas públicas. La gobernanza permite la colectividad, pero a la vez hace prevalecer el poder estatal.</w:t>
      </w:r>
    </w:p>
    <w:p>
      <w:pPr>
        <w:pStyle w:val="BodyText"/>
        <w:spacing w:line="360" w:lineRule="auto" w:before="5"/>
        <w:ind w:left="102" w:right="124" w:firstLine="707"/>
        <w:jc w:val="both"/>
      </w:pPr>
      <w:r>
        <w:rPr/>
        <w:t>Intervención y regulación del Estado: Esta tesis también concluye que en México se requiere que el Estado que decida de forma inteligente por antonomasia, su grado de incidencia en la economía y, por ende, el nivel de desarrollo humano de la población de México.</w:t>
      </w:r>
    </w:p>
    <w:p>
      <w:pPr>
        <w:pStyle w:val="BodyText"/>
        <w:spacing w:line="360" w:lineRule="auto" w:before="5"/>
        <w:ind w:left="102" w:right="116" w:firstLine="707"/>
        <w:jc w:val="both"/>
      </w:pPr>
      <w:r>
        <w:rPr/>
        <w:t>Idealización</w:t>
      </w:r>
      <w:r>
        <w:rPr>
          <w:spacing w:val="-4"/>
        </w:rPr>
        <w:t> </w:t>
      </w:r>
      <w:r>
        <w:rPr/>
        <w:t>del</w:t>
      </w:r>
      <w:r>
        <w:rPr>
          <w:spacing w:val="-6"/>
        </w:rPr>
        <w:t> </w:t>
      </w:r>
      <w:r>
        <w:rPr/>
        <w:t>Estado</w:t>
      </w:r>
      <w:r>
        <w:rPr>
          <w:spacing w:val="-5"/>
        </w:rPr>
        <w:t> </w:t>
      </w:r>
      <w:r>
        <w:rPr/>
        <w:t>mexicano:</w:t>
      </w:r>
      <w:r>
        <w:rPr>
          <w:spacing w:val="-4"/>
        </w:rPr>
        <w:t> </w:t>
      </w:r>
      <w:r>
        <w:rPr/>
        <w:t>Tanto</w:t>
      </w:r>
      <w:r>
        <w:rPr>
          <w:spacing w:val="-4"/>
        </w:rPr>
        <w:t> </w:t>
      </w:r>
      <w:r>
        <w:rPr/>
        <w:t>la</w:t>
      </w:r>
      <w:r>
        <w:rPr>
          <w:spacing w:val="-7"/>
        </w:rPr>
        <w:t> </w:t>
      </w:r>
      <w:r>
        <w:rPr/>
        <w:t>teoría</w:t>
      </w:r>
      <w:r>
        <w:rPr>
          <w:spacing w:val="-5"/>
        </w:rPr>
        <w:t> </w:t>
      </w:r>
      <w:r>
        <w:rPr/>
        <w:t>de</w:t>
      </w:r>
      <w:r>
        <w:rPr>
          <w:spacing w:val="-5"/>
        </w:rPr>
        <w:t> </w:t>
      </w:r>
      <w:r>
        <w:rPr/>
        <w:t>la</w:t>
      </w:r>
      <w:r>
        <w:rPr>
          <w:spacing w:val="-5"/>
        </w:rPr>
        <w:t> </w:t>
      </w:r>
      <w:r>
        <w:rPr/>
        <w:t>gobernanza</w:t>
      </w:r>
      <w:r>
        <w:rPr>
          <w:spacing w:val="-5"/>
        </w:rPr>
        <w:t> </w:t>
      </w:r>
      <w:r>
        <w:rPr/>
        <w:t>como los resultados de los indicadores del desempeño del Estado convergen en que éste debe ser más</w:t>
      </w:r>
      <w:r>
        <w:rPr>
          <w:spacing w:val="-7"/>
        </w:rPr>
        <w:t> </w:t>
      </w:r>
      <w:r>
        <w:rPr/>
        <w:t>racional.</w:t>
      </w:r>
    </w:p>
    <w:p>
      <w:pPr>
        <w:pStyle w:val="BodyText"/>
        <w:spacing w:line="360" w:lineRule="auto" w:before="2"/>
        <w:ind w:left="102" w:right="115" w:firstLine="707"/>
        <w:jc w:val="both"/>
      </w:pPr>
      <w:r>
        <w:rPr/>
        <w:t>Una conclusión fuerte es que se deben alcanzar esfuerzos coordinados para subsanar la fragmentación de las políticas públicas, sobre todo aquellas relacionadas con áreas susceptibles de corromperse. Uno de los mecanismos es el Sistema Nacional de Fiscalización, que implica la coordinación de los tres órdenes de gobierno, las instituciones públicas y privadas y la academia.</w:t>
      </w:r>
    </w:p>
    <w:p>
      <w:pPr>
        <w:spacing w:after="0" w:line="360" w:lineRule="auto"/>
        <w:jc w:val="both"/>
        <w:sectPr>
          <w:pgSz w:w="11910" w:h="16840"/>
          <w:pgMar w:header="0" w:footer="1003" w:top="1340" w:bottom="1200" w:left="1600" w:right="1580"/>
        </w:sectPr>
      </w:pPr>
    </w:p>
    <w:p>
      <w:pPr>
        <w:pStyle w:val="BodyText"/>
        <w:spacing w:before="4"/>
        <w:rPr>
          <w:rFonts w:ascii="Times New Roman"/>
          <w:sz w:val="17"/>
        </w:rPr>
      </w:pPr>
      <w:bookmarkStart w:name="_bookmark96" w:id="127"/>
      <w:bookmarkEnd w:id="127"/>
      <w:r>
        <w:rPr/>
      </w:r>
      <w:r>
        <w:rPr>
          <w:rFonts w:ascii="Times New Roman"/>
          <w:sz w:val="17"/>
        </w:rPr>
      </w:r>
    </w:p>
    <w:p>
      <w:pPr>
        <w:spacing w:after="0"/>
        <w:rPr>
          <w:rFonts w:ascii="Times New Roman"/>
          <w:sz w:val="17"/>
        </w:rPr>
        <w:sectPr>
          <w:pgSz w:w="11910" w:h="16840"/>
          <w:pgMar w:header="0" w:footer="1003" w:top="1580" w:bottom="1140" w:left="1600" w:right="1680"/>
        </w:sectPr>
      </w:pPr>
    </w:p>
    <w:p>
      <w:pPr>
        <w:pStyle w:val="Heading1"/>
        <w:spacing w:before="54"/>
        <w:ind w:left="367" w:right="382"/>
      </w:pPr>
      <w:r>
        <w:rPr/>
        <w:t>PROPUESTA</w:t>
      </w:r>
    </w:p>
    <w:p>
      <w:pPr>
        <w:pStyle w:val="BodyText"/>
        <w:spacing w:before="6"/>
        <w:rPr>
          <w:b/>
          <w:sz w:val="38"/>
        </w:rPr>
      </w:pPr>
    </w:p>
    <w:p>
      <w:pPr>
        <w:pStyle w:val="BodyText"/>
        <w:spacing w:line="360" w:lineRule="auto"/>
        <w:ind w:left="102" w:right="119"/>
        <w:jc w:val="both"/>
      </w:pPr>
      <w:r>
        <w:rPr/>
        <w:t>El análisis del desempeño del Estado mexicano sugiere que hay defectos fundamentales en el sistema político, lo que incide directamente en las condiciones de vida de la población </w:t>
      </w:r>
      <w:r>
        <w:rPr>
          <w:rFonts w:ascii="Cambria" w:hAnsi="Cambria"/>
        </w:rPr>
        <w:t>y en la confianza de ésta en las instituciones públicas. </w:t>
      </w:r>
      <w:r>
        <w:rPr/>
        <w:t>Se requiere una visión de aprendizaje de los errores (históricos y actuales) para evitar mayor pobreza, inestabilidad política y corrupción.</w:t>
      </w:r>
    </w:p>
    <w:p>
      <w:pPr>
        <w:pStyle w:val="BodyText"/>
        <w:spacing w:line="360" w:lineRule="auto" w:before="2"/>
        <w:ind w:left="102" w:right="66" w:firstLine="707"/>
      </w:pPr>
      <w:r>
        <w:rPr/>
        <w:t>Las propuestas más relevantes que pueden coadyuvar en un mejor desempeño del Estado son las siguientes:</w:t>
      </w:r>
    </w:p>
    <w:p>
      <w:pPr>
        <w:pStyle w:val="BodyText"/>
      </w:pPr>
    </w:p>
    <w:p>
      <w:pPr>
        <w:pStyle w:val="ListParagraph"/>
        <w:numPr>
          <w:ilvl w:val="2"/>
          <w:numId w:val="90"/>
        </w:numPr>
        <w:tabs>
          <w:tab w:pos="822" w:val="left" w:leader="none"/>
        </w:tabs>
        <w:spacing w:line="360" w:lineRule="auto" w:before="142" w:after="0"/>
        <w:ind w:left="822" w:right="115" w:hanging="360"/>
        <w:jc w:val="both"/>
        <w:rPr>
          <w:sz w:val="24"/>
        </w:rPr>
      </w:pPr>
      <w:r>
        <w:rPr>
          <w:sz w:val="24"/>
        </w:rPr>
        <w:t>Diseño,</w:t>
      </w:r>
      <w:r>
        <w:rPr>
          <w:spacing w:val="-14"/>
          <w:sz w:val="24"/>
        </w:rPr>
        <w:t> </w:t>
      </w:r>
      <w:r>
        <w:rPr>
          <w:sz w:val="24"/>
        </w:rPr>
        <w:t>implementación,</w:t>
      </w:r>
      <w:r>
        <w:rPr>
          <w:spacing w:val="-14"/>
          <w:sz w:val="24"/>
        </w:rPr>
        <w:t> </w:t>
      </w:r>
      <w:r>
        <w:rPr>
          <w:sz w:val="24"/>
        </w:rPr>
        <w:t>resultados</w:t>
      </w:r>
      <w:r>
        <w:rPr>
          <w:spacing w:val="-14"/>
          <w:sz w:val="24"/>
        </w:rPr>
        <w:t> </w:t>
      </w:r>
      <w:r>
        <w:rPr>
          <w:sz w:val="24"/>
        </w:rPr>
        <w:t>y</w:t>
      </w:r>
      <w:r>
        <w:rPr>
          <w:spacing w:val="-16"/>
          <w:sz w:val="24"/>
        </w:rPr>
        <w:t> </w:t>
      </w:r>
      <w:r>
        <w:rPr>
          <w:sz w:val="24"/>
        </w:rPr>
        <w:t>evaluación</w:t>
      </w:r>
      <w:r>
        <w:rPr>
          <w:spacing w:val="-14"/>
          <w:sz w:val="24"/>
        </w:rPr>
        <w:t> </w:t>
      </w:r>
      <w:r>
        <w:rPr>
          <w:sz w:val="24"/>
        </w:rPr>
        <w:t>de</w:t>
      </w:r>
      <w:r>
        <w:rPr>
          <w:spacing w:val="-14"/>
          <w:sz w:val="24"/>
        </w:rPr>
        <w:t> </w:t>
      </w:r>
      <w:r>
        <w:rPr>
          <w:sz w:val="24"/>
        </w:rPr>
        <w:t>las</w:t>
      </w:r>
      <w:r>
        <w:rPr>
          <w:spacing w:val="-14"/>
          <w:sz w:val="24"/>
        </w:rPr>
        <w:t> </w:t>
      </w:r>
      <w:r>
        <w:rPr>
          <w:sz w:val="24"/>
        </w:rPr>
        <w:t>políticas</w:t>
      </w:r>
      <w:r>
        <w:rPr>
          <w:spacing w:val="-14"/>
          <w:sz w:val="24"/>
        </w:rPr>
        <w:t> </w:t>
      </w:r>
      <w:r>
        <w:rPr>
          <w:sz w:val="24"/>
        </w:rPr>
        <w:t>públicas: Si bien las instituciones deben ejecutar las políticas para atender las necesidades de la población, muchas de ellas omiten precisar la población</w:t>
      </w:r>
      <w:r>
        <w:rPr>
          <w:spacing w:val="-7"/>
          <w:sz w:val="24"/>
        </w:rPr>
        <w:t> </w:t>
      </w:r>
      <w:r>
        <w:rPr>
          <w:sz w:val="24"/>
        </w:rPr>
        <w:t>potencialmente</w:t>
      </w:r>
      <w:r>
        <w:rPr>
          <w:spacing w:val="-7"/>
          <w:sz w:val="24"/>
        </w:rPr>
        <w:t> </w:t>
      </w:r>
      <w:r>
        <w:rPr>
          <w:sz w:val="24"/>
        </w:rPr>
        <w:t>beneficiaria,</w:t>
      </w:r>
      <w:r>
        <w:rPr>
          <w:spacing w:val="-7"/>
          <w:sz w:val="24"/>
        </w:rPr>
        <w:t> </w:t>
      </w:r>
      <w:r>
        <w:rPr>
          <w:sz w:val="24"/>
        </w:rPr>
        <w:t>y</w:t>
      </w:r>
      <w:r>
        <w:rPr>
          <w:spacing w:val="-8"/>
          <w:sz w:val="24"/>
        </w:rPr>
        <w:t> </w:t>
      </w:r>
      <w:r>
        <w:rPr>
          <w:sz w:val="24"/>
        </w:rPr>
        <w:t>en</w:t>
      </w:r>
      <w:r>
        <w:rPr>
          <w:spacing w:val="-5"/>
          <w:sz w:val="24"/>
        </w:rPr>
        <w:t> </w:t>
      </w:r>
      <w:r>
        <w:rPr>
          <w:sz w:val="24"/>
        </w:rPr>
        <w:t>los</w:t>
      </w:r>
      <w:r>
        <w:rPr>
          <w:spacing w:val="-5"/>
          <w:sz w:val="24"/>
        </w:rPr>
        <w:t> </w:t>
      </w:r>
      <w:r>
        <w:rPr>
          <w:sz w:val="24"/>
        </w:rPr>
        <w:t>casos</w:t>
      </w:r>
      <w:r>
        <w:rPr>
          <w:spacing w:val="-5"/>
          <w:sz w:val="24"/>
        </w:rPr>
        <w:t> </w:t>
      </w:r>
      <w:r>
        <w:rPr>
          <w:sz w:val="24"/>
        </w:rPr>
        <w:t>en</w:t>
      </w:r>
      <w:r>
        <w:rPr>
          <w:spacing w:val="-5"/>
          <w:sz w:val="24"/>
        </w:rPr>
        <w:t> </w:t>
      </w:r>
      <w:r>
        <w:rPr>
          <w:sz w:val="24"/>
        </w:rPr>
        <w:t>los</w:t>
      </w:r>
      <w:r>
        <w:rPr>
          <w:spacing w:val="-7"/>
          <w:sz w:val="24"/>
        </w:rPr>
        <w:t> </w:t>
      </w:r>
      <w:r>
        <w:rPr>
          <w:sz w:val="24"/>
        </w:rPr>
        <w:t>que</w:t>
      </w:r>
      <w:r>
        <w:rPr>
          <w:spacing w:val="-5"/>
          <w:sz w:val="24"/>
        </w:rPr>
        <w:t> </w:t>
      </w:r>
      <w:r>
        <w:rPr>
          <w:sz w:val="24"/>
        </w:rPr>
        <w:t>sí</w:t>
      </w:r>
      <w:r>
        <w:rPr>
          <w:spacing w:val="-2"/>
          <w:sz w:val="24"/>
        </w:rPr>
        <w:t> </w:t>
      </w:r>
      <w:r>
        <w:rPr>
          <w:sz w:val="24"/>
        </w:rPr>
        <w:t>lo</w:t>
      </w:r>
      <w:r>
        <w:rPr>
          <w:spacing w:val="-5"/>
          <w:sz w:val="24"/>
        </w:rPr>
        <w:t> </w:t>
      </w:r>
      <w:r>
        <w:rPr>
          <w:sz w:val="24"/>
        </w:rPr>
        <w:t>han hecho, no siempre existe un compromiso social para asegurar que la población</w:t>
      </w:r>
      <w:r>
        <w:rPr>
          <w:spacing w:val="-5"/>
          <w:sz w:val="24"/>
        </w:rPr>
        <w:t> </w:t>
      </w:r>
      <w:r>
        <w:rPr>
          <w:sz w:val="24"/>
        </w:rPr>
        <w:t>haya</w:t>
      </w:r>
      <w:r>
        <w:rPr>
          <w:spacing w:val="-3"/>
          <w:sz w:val="24"/>
        </w:rPr>
        <w:t> </w:t>
      </w:r>
      <w:r>
        <w:rPr>
          <w:sz w:val="24"/>
        </w:rPr>
        <w:t>sido</w:t>
      </w:r>
      <w:r>
        <w:rPr>
          <w:spacing w:val="-4"/>
          <w:sz w:val="24"/>
        </w:rPr>
        <w:t> </w:t>
      </w:r>
      <w:r>
        <w:rPr>
          <w:sz w:val="24"/>
        </w:rPr>
        <w:t>atendida.</w:t>
      </w:r>
      <w:r>
        <w:rPr>
          <w:spacing w:val="-5"/>
          <w:sz w:val="24"/>
        </w:rPr>
        <w:t> </w:t>
      </w:r>
      <w:r>
        <w:rPr>
          <w:sz w:val="24"/>
        </w:rPr>
        <w:t>Se</w:t>
      </w:r>
      <w:r>
        <w:rPr>
          <w:spacing w:val="-5"/>
          <w:sz w:val="24"/>
        </w:rPr>
        <w:t> </w:t>
      </w:r>
      <w:r>
        <w:rPr>
          <w:sz w:val="24"/>
        </w:rPr>
        <w:t>sugiere</w:t>
      </w:r>
      <w:r>
        <w:rPr>
          <w:spacing w:val="-5"/>
          <w:sz w:val="24"/>
        </w:rPr>
        <w:t> </w:t>
      </w:r>
      <w:r>
        <w:rPr>
          <w:sz w:val="24"/>
        </w:rPr>
        <w:t>que,</w:t>
      </w:r>
      <w:r>
        <w:rPr>
          <w:spacing w:val="-5"/>
          <w:sz w:val="24"/>
        </w:rPr>
        <w:t> </w:t>
      </w:r>
      <w:r>
        <w:rPr>
          <w:sz w:val="24"/>
        </w:rPr>
        <w:t>al</w:t>
      </w:r>
      <w:r>
        <w:rPr>
          <w:spacing w:val="-6"/>
          <w:sz w:val="24"/>
        </w:rPr>
        <w:t> </w:t>
      </w:r>
      <w:r>
        <w:rPr>
          <w:sz w:val="24"/>
        </w:rPr>
        <w:t>momento</w:t>
      </w:r>
      <w:r>
        <w:rPr>
          <w:spacing w:val="-4"/>
          <w:sz w:val="24"/>
        </w:rPr>
        <w:t> </w:t>
      </w:r>
      <w:r>
        <w:rPr>
          <w:sz w:val="24"/>
        </w:rPr>
        <w:t>de</w:t>
      </w:r>
      <w:r>
        <w:rPr>
          <w:spacing w:val="-5"/>
          <w:sz w:val="24"/>
        </w:rPr>
        <w:t> </w:t>
      </w:r>
      <w:r>
        <w:rPr>
          <w:sz w:val="24"/>
        </w:rPr>
        <w:t>diseñar</w:t>
      </w:r>
      <w:r>
        <w:rPr>
          <w:spacing w:val="-6"/>
          <w:sz w:val="24"/>
        </w:rPr>
        <w:t> </w:t>
      </w:r>
      <w:r>
        <w:rPr>
          <w:sz w:val="24"/>
        </w:rPr>
        <w:t>las políticas públicas, los intereses de todos los involucrados sean ponderados, sobre todo los de la población más</w:t>
      </w:r>
      <w:r>
        <w:rPr>
          <w:spacing w:val="-22"/>
          <w:sz w:val="24"/>
        </w:rPr>
        <w:t> </w:t>
      </w:r>
      <w:r>
        <w:rPr>
          <w:sz w:val="24"/>
        </w:rPr>
        <w:t>vulnerable.</w:t>
      </w:r>
    </w:p>
    <w:p>
      <w:pPr>
        <w:pStyle w:val="BodyText"/>
        <w:spacing w:line="360" w:lineRule="auto" w:before="5"/>
        <w:ind w:left="821" w:right="116"/>
        <w:jc w:val="both"/>
      </w:pPr>
      <w:r>
        <w:rPr/>
        <w:t>La corrupción causa pobreza y un deterioro de los índices de desarrollo humano en el corto y largo plazos; por ello se sugiere realizar esfuerzos coordinados de instituciones, clase política y sociedad, basados en valores de ética y de política para subsanar la fragmentación de las políticas.</w:t>
      </w:r>
    </w:p>
    <w:p>
      <w:pPr>
        <w:pStyle w:val="BodyText"/>
        <w:spacing w:line="360" w:lineRule="auto" w:before="2"/>
        <w:ind w:left="810" w:right="118"/>
        <w:jc w:val="both"/>
      </w:pPr>
      <w:r>
        <w:rPr/>
        <w:t>Debido a que los problemas que causa la corrupción están interrelacionados, se requieren políticas colectivas (transversales) en los tres</w:t>
      </w:r>
      <w:r>
        <w:rPr>
          <w:spacing w:val="-12"/>
        </w:rPr>
        <w:t> </w:t>
      </w:r>
      <w:r>
        <w:rPr/>
        <w:t>órdenes</w:t>
      </w:r>
      <w:r>
        <w:rPr>
          <w:spacing w:val="-12"/>
        </w:rPr>
        <w:t> </w:t>
      </w:r>
      <w:r>
        <w:rPr/>
        <w:t>de</w:t>
      </w:r>
      <w:r>
        <w:rPr>
          <w:spacing w:val="-11"/>
        </w:rPr>
        <w:t> </w:t>
      </w:r>
      <w:r>
        <w:rPr/>
        <w:t>gobierno</w:t>
      </w:r>
      <w:r>
        <w:rPr>
          <w:spacing w:val="-11"/>
        </w:rPr>
        <w:t> </w:t>
      </w:r>
      <w:r>
        <w:rPr/>
        <w:t>y</w:t>
      </w:r>
      <w:r>
        <w:rPr>
          <w:spacing w:val="-14"/>
        </w:rPr>
        <w:t> </w:t>
      </w:r>
      <w:r>
        <w:rPr/>
        <w:t>los</w:t>
      </w:r>
      <w:r>
        <w:rPr>
          <w:spacing w:val="-11"/>
        </w:rPr>
        <w:t> </w:t>
      </w:r>
      <w:r>
        <w:rPr/>
        <w:t>tres</w:t>
      </w:r>
      <w:r>
        <w:rPr>
          <w:spacing w:val="-12"/>
        </w:rPr>
        <w:t> </w:t>
      </w:r>
      <w:r>
        <w:rPr/>
        <w:t>poderes</w:t>
      </w:r>
      <w:r>
        <w:rPr>
          <w:spacing w:val="-14"/>
        </w:rPr>
        <w:t> </w:t>
      </w:r>
      <w:r>
        <w:rPr/>
        <w:t>de</w:t>
      </w:r>
      <w:r>
        <w:rPr>
          <w:spacing w:val="-11"/>
        </w:rPr>
        <w:t> </w:t>
      </w:r>
      <w:r>
        <w:rPr/>
        <w:t>la</w:t>
      </w:r>
      <w:r>
        <w:rPr>
          <w:spacing w:val="-11"/>
        </w:rPr>
        <w:t> </w:t>
      </w:r>
      <w:r>
        <w:rPr/>
        <w:t>Unión.</w:t>
      </w:r>
      <w:r>
        <w:rPr>
          <w:spacing w:val="-11"/>
        </w:rPr>
        <w:t> </w:t>
      </w:r>
      <w:r>
        <w:rPr/>
        <w:t>Este</w:t>
      </w:r>
      <w:r>
        <w:rPr>
          <w:spacing w:val="-10"/>
        </w:rPr>
        <w:t> </w:t>
      </w:r>
      <w:r>
        <w:rPr/>
        <w:t>trabajo</w:t>
      </w:r>
      <w:r>
        <w:rPr>
          <w:spacing w:val="-11"/>
        </w:rPr>
        <w:t> </w:t>
      </w:r>
      <w:r>
        <w:rPr/>
        <w:t>hace la recomendación de diseñar e implementar medidas de política coordinada.</w:t>
      </w:r>
    </w:p>
    <w:p>
      <w:pPr>
        <w:pStyle w:val="BodyText"/>
        <w:spacing w:line="360" w:lineRule="auto" w:before="5"/>
        <w:ind w:left="810" w:right="114"/>
        <w:jc w:val="both"/>
      </w:pPr>
      <w:r>
        <w:rPr/>
        <w:t>El desarrollo de México consiste en crear, implementar y evaluar los resultados de las políticas públicas con base en principios científico- políticos, para lograr un Estado más equitativo y democrático.</w:t>
      </w:r>
    </w:p>
    <w:p>
      <w:pPr>
        <w:spacing w:after="0" w:line="360" w:lineRule="auto"/>
        <w:jc w:val="both"/>
        <w:sectPr>
          <w:pgSz w:w="11910" w:h="16840"/>
          <w:pgMar w:header="0" w:footer="1003" w:top="1340" w:bottom="1200" w:left="1600" w:right="1580"/>
        </w:sectPr>
      </w:pPr>
    </w:p>
    <w:p>
      <w:pPr>
        <w:pStyle w:val="BodyText"/>
        <w:spacing w:line="360" w:lineRule="auto" w:before="55"/>
        <w:ind w:left="810" w:right="116"/>
        <w:jc w:val="both"/>
      </w:pPr>
      <w:r>
        <w:rPr/>
        <w:t>Se sugiere orientar esfuerzos hacia “educar en ética y en política” desde la infancia, ya que esto tiene un impacto decisivo en su carácter futuro, por ser los próximos representantes de la clase política.</w:t>
      </w:r>
    </w:p>
    <w:p>
      <w:pPr>
        <w:pStyle w:val="BodyText"/>
      </w:pPr>
    </w:p>
    <w:p>
      <w:pPr>
        <w:pStyle w:val="ListParagraph"/>
        <w:numPr>
          <w:ilvl w:val="2"/>
          <w:numId w:val="90"/>
        </w:numPr>
        <w:tabs>
          <w:tab w:pos="822" w:val="left" w:leader="none"/>
        </w:tabs>
        <w:spacing w:line="360" w:lineRule="auto" w:before="142" w:after="0"/>
        <w:ind w:left="810" w:right="117" w:hanging="348"/>
        <w:jc w:val="left"/>
        <w:rPr>
          <w:sz w:val="24"/>
        </w:rPr>
      </w:pPr>
      <w:r>
        <w:rPr>
          <w:sz w:val="24"/>
        </w:rPr>
        <w:t>Intervención del Estado: Estado mexicano interviene y regula el mercado por antonomasia y, por ende, incide en </w:t>
      </w:r>
      <w:r>
        <w:rPr>
          <w:spacing w:val="3"/>
          <w:sz w:val="24"/>
        </w:rPr>
        <w:t>el </w:t>
      </w:r>
      <w:r>
        <w:rPr>
          <w:sz w:val="24"/>
        </w:rPr>
        <w:t>nivel de desarrollo humano de la</w:t>
      </w:r>
      <w:r>
        <w:rPr>
          <w:spacing w:val="-11"/>
          <w:sz w:val="24"/>
        </w:rPr>
        <w:t> </w:t>
      </w:r>
      <w:r>
        <w:rPr>
          <w:sz w:val="24"/>
        </w:rPr>
        <w:t>población.</w:t>
      </w:r>
      <w:r>
        <w:rPr>
          <w:spacing w:val="-13"/>
          <w:sz w:val="24"/>
        </w:rPr>
        <w:t> </w:t>
      </w:r>
      <w:r>
        <w:rPr>
          <w:sz w:val="24"/>
        </w:rPr>
        <w:t>Las</w:t>
      </w:r>
      <w:r>
        <w:rPr>
          <w:spacing w:val="-12"/>
          <w:sz w:val="24"/>
        </w:rPr>
        <w:t> </w:t>
      </w:r>
      <w:r>
        <w:rPr>
          <w:sz w:val="24"/>
        </w:rPr>
        <w:t>políticas</w:t>
      </w:r>
      <w:r>
        <w:rPr>
          <w:spacing w:val="-12"/>
          <w:sz w:val="24"/>
        </w:rPr>
        <w:t> </w:t>
      </w:r>
      <w:r>
        <w:rPr>
          <w:sz w:val="24"/>
        </w:rPr>
        <w:t>afectan</w:t>
      </w:r>
      <w:r>
        <w:rPr>
          <w:spacing w:val="-13"/>
          <w:sz w:val="24"/>
        </w:rPr>
        <w:t> </w:t>
      </w:r>
      <w:r>
        <w:rPr>
          <w:sz w:val="24"/>
        </w:rPr>
        <w:t>de</w:t>
      </w:r>
      <w:r>
        <w:rPr>
          <w:spacing w:val="-13"/>
          <w:sz w:val="24"/>
        </w:rPr>
        <w:t> </w:t>
      </w:r>
      <w:r>
        <w:rPr>
          <w:sz w:val="24"/>
        </w:rPr>
        <w:t>modo</w:t>
      </w:r>
      <w:r>
        <w:rPr>
          <w:spacing w:val="-11"/>
          <w:sz w:val="24"/>
        </w:rPr>
        <w:t> </w:t>
      </w:r>
      <w:r>
        <w:rPr>
          <w:sz w:val="24"/>
        </w:rPr>
        <w:t>desigual</w:t>
      </w:r>
      <w:r>
        <w:rPr>
          <w:spacing w:val="-12"/>
          <w:sz w:val="24"/>
        </w:rPr>
        <w:t> </w:t>
      </w:r>
      <w:r>
        <w:rPr>
          <w:sz w:val="24"/>
        </w:rPr>
        <w:t>a</w:t>
      </w:r>
      <w:r>
        <w:rPr>
          <w:spacing w:val="-11"/>
          <w:sz w:val="24"/>
        </w:rPr>
        <w:t> </w:t>
      </w:r>
      <w:r>
        <w:rPr>
          <w:sz w:val="24"/>
        </w:rPr>
        <w:t>los</w:t>
      </w:r>
      <w:r>
        <w:rPr>
          <w:spacing w:val="-11"/>
          <w:sz w:val="24"/>
        </w:rPr>
        <w:t> </w:t>
      </w:r>
      <w:r>
        <w:rPr>
          <w:sz w:val="24"/>
        </w:rPr>
        <w:t>distintos</w:t>
      </w:r>
      <w:r>
        <w:rPr>
          <w:spacing w:val="-12"/>
          <w:sz w:val="24"/>
        </w:rPr>
        <w:t> </w:t>
      </w:r>
      <w:r>
        <w:rPr>
          <w:sz w:val="24"/>
        </w:rPr>
        <w:t>grupos sociales. El papel del Estado es subsanar estas desigualdades y generar equidad, justicia y estabilidad social. Debe cuidar que no tener una sobrerregulación o escasa intervención, pues esto ha sido un factor importante de corrupción. El Estado debe actuar con más humanidad.  Se</w:t>
      </w:r>
      <w:r>
        <w:rPr>
          <w:spacing w:val="-18"/>
          <w:sz w:val="24"/>
        </w:rPr>
        <w:t> </w:t>
      </w:r>
      <w:r>
        <w:rPr>
          <w:sz w:val="24"/>
        </w:rPr>
        <w:t>propone</w:t>
      </w:r>
      <w:r>
        <w:rPr>
          <w:spacing w:val="-17"/>
          <w:sz w:val="24"/>
        </w:rPr>
        <w:t> </w:t>
      </w:r>
      <w:r>
        <w:rPr>
          <w:sz w:val="24"/>
        </w:rPr>
        <w:t>adoptar</w:t>
      </w:r>
      <w:r>
        <w:rPr>
          <w:spacing w:val="-19"/>
          <w:sz w:val="24"/>
        </w:rPr>
        <w:t> </w:t>
      </w:r>
      <w:r>
        <w:rPr>
          <w:sz w:val="24"/>
        </w:rPr>
        <w:t>una</w:t>
      </w:r>
      <w:r>
        <w:rPr>
          <w:spacing w:val="-15"/>
          <w:sz w:val="24"/>
        </w:rPr>
        <w:t> </w:t>
      </w:r>
      <w:r>
        <w:rPr>
          <w:sz w:val="24"/>
        </w:rPr>
        <w:t>visión</w:t>
      </w:r>
      <w:r>
        <w:rPr>
          <w:spacing w:val="-15"/>
          <w:sz w:val="24"/>
        </w:rPr>
        <w:t> </w:t>
      </w:r>
      <w:r>
        <w:rPr>
          <w:sz w:val="24"/>
        </w:rPr>
        <w:t>científica</w:t>
      </w:r>
      <w:r>
        <w:rPr>
          <w:spacing w:val="-18"/>
          <w:sz w:val="24"/>
        </w:rPr>
        <w:t> </w:t>
      </w:r>
      <w:r>
        <w:rPr>
          <w:sz w:val="24"/>
        </w:rPr>
        <w:t>para</w:t>
      </w:r>
      <w:r>
        <w:rPr>
          <w:spacing w:val="-15"/>
          <w:sz w:val="24"/>
        </w:rPr>
        <w:t> </w:t>
      </w:r>
      <w:r>
        <w:rPr>
          <w:sz w:val="24"/>
        </w:rPr>
        <w:t>identificar</w:t>
      </w:r>
      <w:r>
        <w:rPr>
          <w:spacing w:val="-17"/>
          <w:sz w:val="24"/>
        </w:rPr>
        <w:t> </w:t>
      </w:r>
      <w:r>
        <w:rPr>
          <w:sz w:val="24"/>
        </w:rPr>
        <w:t>aquellas</w:t>
      </w:r>
      <w:r>
        <w:rPr>
          <w:spacing w:val="-18"/>
          <w:sz w:val="24"/>
        </w:rPr>
        <w:t> </w:t>
      </w:r>
      <w:r>
        <w:rPr>
          <w:sz w:val="24"/>
        </w:rPr>
        <w:t>variables que más afectan los resultados. El Estado debe imponerse mediante juicios políticos, no en ideologías, lo cual otorga una visión más equilibrada sobre sus alcances y</w:t>
      </w:r>
      <w:r>
        <w:rPr>
          <w:spacing w:val="-14"/>
          <w:sz w:val="24"/>
        </w:rPr>
        <w:t> </w:t>
      </w:r>
      <w:r>
        <w:rPr>
          <w:sz w:val="24"/>
        </w:rPr>
        <w:t>límites.</w:t>
      </w:r>
    </w:p>
    <w:p>
      <w:pPr>
        <w:pStyle w:val="BodyText"/>
      </w:pPr>
    </w:p>
    <w:p>
      <w:pPr>
        <w:pStyle w:val="ListParagraph"/>
        <w:numPr>
          <w:ilvl w:val="2"/>
          <w:numId w:val="90"/>
        </w:numPr>
        <w:tabs>
          <w:tab w:pos="822" w:val="left" w:leader="none"/>
        </w:tabs>
        <w:spacing w:line="360" w:lineRule="auto" w:before="142" w:after="0"/>
        <w:ind w:left="822" w:right="117" w:hanging="360"/>
        <w:jc w:val="both"/>
        <w:rPr>
          <w:sz w:val="24"/>
        </w:rPr>
      </w:pPr>
      <w:r>
        <w:rPr>
          <w:sz w:val="24"/>
        </w:rPr>
        <w:t>Rendición de cuentas: La sociedad requiere que el Congreso realice con mayor profundidad su tarea de revisión de cuentas. Se requiere que los representantes de la sociedad sean más sensibles a los problemas de la población, ya que, aunque son elegidos por consenso, no se percibe que asuman una responsabilidad directa con la</w:t>
      </w:r>
      <w:r>
        <w:rPr>
          <w:spacing w:val="-19"/>
          <w:sz w:val="24"/>
        </w:rPr>
        <w:t> </w:t>
      </w:r>
      <w:r>
        <w:rPr>
          <w:sz w:val="24"/>
        </w:rPr>
        <w:t>sociedad.</w:t>
      </w:r>
    </w:p>
    <w:p>
      <w:pPr>
        <w:pStyle w:val="BodyText"/>
        <w:spacing w:line="360" w:lineRule="auto" w:before="5"/>
        <w:ind w:left="810" w:right="119"/>
        <w:jc w:val="both"/>
      </w:pPr>
      <w:r>
        <w:rPr/>
        <w:t>En la medida el Congreso actúe de forma transparente y que el trabajo legislativo tenga efectos positivos en la población, aumentarán las contribuciones que dan sustento a las políticas públicas y, por tanto, puede lograrse un mayor desarrollo humano. La transparencia y la rendición de cuentas pueden coadyuvar a que la sociedad cambie su precepción sobre su gobierno.</w:t>
      </w:r>
    </w:p>
    <w:p>
      <w:pPr>
        <w:pStyle w:val="BodyText"/>
        <w:spacing w:line="360" w:lineRule="auto" w:before="5"/>
        <w:ind w:left="821" w:right="115"/>
        <w:jc w:val="both"/>
      </w:pPr>
      <w:r>
        <w:rPr/>
        <w:t>Se</w:t>
      </w:r>
      <w:r>
        <w:rPr>
          <w:spacing w:val="-13"/>
        </w:rPr>
        <w:t> </w:t>
      </w:r>
      <w:r>
        <w:rPr/>
        <w:t>requiere</w:t>
      </w:r>
      <w:r>
        <w:rPr>
          <w:spacing w:val="-16"/>
        </w:rPr>
        <w:t> </w:t>
      </w:r>
      <w:r>
        <w:rPr/>
        <w:t>un</w:t>
      </w:r>
      <w:r>
        <w:rPr>
          <w:spacing w:val="-16"/>
        </w:rPr>
        <w:t> </w:t>
      </w:r>
      <w:r>
        <w:rPr/>
        <w:t>mayor</w:t>
      </w:r>
      <w:r>
        <w:rPr>
          <w:spacing w:val="-15"/>
        </w:rPr>
        <w:t> </w:t>
      </w:r>
      <w:r>
        <w:rPr/>
        <w:t>interés</w:t>
      </w:r>
      <w:r>
        <w:rPr>
          <w:spacing w:val="-16"/>
        </w:rPr>
        <w:t> </w:t>
      </w:r>
      <w:r>
        <w:rPr/>
        <w:t>y</w:t>
      </w:r>
      <w:r>
        <w:rPr>
          <w:spacing w:val="-16"/>
        </w:rPr>
        <w:t> </w:t>
      </w:r>
      <w:r>
        <w:rPr/>
        <w:t>participación</w:t>
      </w:r>
      <w:r>
        <w:rPr>
          <w:spacing w:val="-16"/>
        </w:rPr>
        <w:t> </w:t>
      </w:r>
      <w:r>
        <w:rPr/>
        <w:t>de</w:t>
      </w:r>
      <w:r>
        <w:rPr>
          <w:spacing w:val="-13"/>
        </w:rPr>
        <w:t> </w:t>
      </w:r>
      <w:r>
        <w:rPr/>
        <w:t>la</w:t>
      </w:r>
      <w:r>
        <w:rPr>
          <w:spacing w:val="-16"/>
        </w:rPr>
        <w:t> </w:t>
      </w:r>
      <w:r>
        <w:rPr/>
        <w:t>ciudadanía</w:t>
      </w:r>
      <w:r>
        <w:rPr>
          <w:spacing w:val="-13"/>
        </w:rPr>
        <w:t> </w:t>
      </w:r>
      <w:r>
        <w:rPr/>
        <w:t>para</w:t>
      </w:r>
      <w:r>
        <w:rPr>
          <w:spacing w:val="-16"/>
        </w:rPr>
        <w:t> </w:t>
      </w:r>
      <w:r>
        <w:rPr/>
        <w:t>evaluar al Estado. Esto no sólo se trata de eficientar a las instituciones, sino cambiar esquemas mentales hacia formas científicas de pensar. Es necesario fortalecer las instituciones, ya que su debilidad causa impunidad, lo que subsidia la</w:t>
      </w:r>
      <w:r>
        <w:rPr>
          <w:spacing w:val="-13"/>
        </w:rPr>
        <w:t> </w:t>
      </w:r>
      <w:r>
        <w:rPr/>
        <w:t>corrupción.</w:t>
      </w:r>
    </w:p>
    <w:p>
      <w:pPr>
        <w:spacing w:after="0" w:line="360" w:lineRule="auto"/>
        <w:jc w:val="both"/>
        <w:sectPr>
          <w:footerReference w:type="even" r:id="rId241"/>
          <w:footerReference w:type="default" r:id="rId242"/>
          <w:pgSz w:w="11910" w:h="16840"/>
          <w:pgMar w:footer="943" w:header="0" w:top="1340" w:bottom="1140" w:left="1600" w:right="1580"/>
          <w:pgNumType w:start="170"/>
        </w:sectPr>
      </w:pPr>
    </w:p>
    <w:p>
      <w:pPr>
        <w:pStyle w:val="BodyText"/>
        <w:spacing w:line="360" w:lineRule="auto" w:before="55"/>
        <w:ind w:left="821" w:right="117"/>
        <w:jc w:val="both"/>
      </w:pPr>
      <w:r>
        <w:rPr/>
        <w:t>La sociedad debe hacerse cargo de su propio destino, por lo que es responsabilidad individual y colectiva buscar los mecanismos que permitan mejorar la rendición de cuentas. La participación de la sociedad en exigir cuentas es esencial para un cambio político.</w:t>
      </w:r>
    </w:p>
    <w:p>
      <w:pPr>
        <w:pStyle w:val="BodyText"/>
      </w:pPr>
    </w:p>
    <w:p>
      <w:pPr>
        <w:pStyle w:val="BodyText"/>
        <w:spacing w:line="360" w:lineRule="auto" w:before="142"/>
        <w:ind w:left="102" w:right="116" w:firstLine="707"/>
        <w:jc w:val="both"/>
      </w:pPr>
      <w:r>
        <w:rPr/>
        <w:t>Es probable que la gobernanza permita la colectividad y a la vez pueda hacer prevalecer el poder estatal y eliminar la fragmentación de las políticas públicas. Aunque se analizó que la gobernanza no necesariamente refleja políticas eficientes, es posible subsanar la fragmentación de las políticas públicas cuando se cuenta con la voluntad de regirse por los principios </w:t>
      </w:r>
      <w:r>
        <w:rPr>
          <w:spacing w:val="5"/>
        </w:rPr>
        <w:t>de </w:t>
      </w:r>
      <w:r>
        <w:rPr/>
        <w:t>la ciencia política y la participación de la sociedad, lo que genera un compromiso personal</w:t>
      </w:r>
      <w:r>
        <w:rPr>
          <w:spacing w:val="-14"/>
        </w:rPr>
        <w:t> </w:t>
      </w:r>
      <w:r>
        <w:rPr/>
        <w:t>y</w:t>
      </w:r>
      <w:r>
        <w:rPr>
          <w:spacing w:val="-16"/>
        </w:rPr>
        <w:t> </w:t>
      </w:r>
      <w:r>
        <w:rPr/>
        <w:t>social.</w:t>
      </w:r>
      <w:r>
        <w:rPr>
          <w:spacing w:val="-13"/>
        </w:rPr>
        <w:t> </w:t>
      </w:r>
      <w:r>
        <w:rPr/>
        <w:t>Orientarse</w:t>
      </w:r>
      <w:r>
        <w:rPr>
          <w:spacing w:val="-16"/>
        </w:rPr>
        <w:t> </w:t>
      </w:r>
      <w:r>
        <w:rPr/>
        <w:t>hacia</w:t>
      </w:r>
      <w:r>
        <w:rPr>
          <w:spacing w:val="-16"/>
        </w:rPr>
        <w:t> </w:t>
      </w:r>
      <w:r>
        <w:rPr/>
        <w:t>el</w:t>
      </w:r>
      <w:r>
        <w:rPr>
          <w:spacing w:val="-14"/>
        </w:rPr>
        <w:t> </w:t>
      </w:r>
      <w:r>
        <w:rPr/>
        <w:t>buen</w:t>
      </w:r>
      <w:r>
        <w:rPr>
          <w:spacing w:val="-13"/>
        </w:rPr>
        <w:t> </w:t>
      </w:r>
      <w:r>
        <w:rPr/>
        <w:t>gobierno</w:t>
      </w:r>
      <w:r>
        <w:rPr>
          <w:spacing w:val="-13"/>
        </w:rPr>
        <w:t> </w:t>
      </w:r>
      <w:r>
        <w:rPr/>
        <w:t>debe</w:t>
      </w:r>
      <w:r>
        <w:rPr>
          <w:spacing w:val="-13"/>
        </w:rPr>
        <w:t> </w:t>
      </w:r>
      <w:r>
        <w:rPr/>
        <w:t>ser</w:t>
      </w:r>
      <w:r>
        <w:rPr>
          <w:spacing w:val="-15"/>
        </w:rPr>
        <w:t> </w:t>
      </w:r>
      <w:r>
        <w:rPr/>
        <w:t>el</w:t>
      </w:r>
      <w:r>
        <w:rPr>
          <w:spacing w:val="-17"/>
        </w:rPr>
        <w:t> </w:t>
      </w:r>
      <w:r>
        <w:rPr/>
        <w:t>objetivo</w:t>
      </w:r>
      <w:r>
        <w:rPr>
          <w:spacing w:val="-13"/>
        </w:rPr>
        <w:t> </w:t>
      </w:r>
      <w:r>
        <w:rPr/>
        <w:t>principal de</w:t>
      </w:r>
      <w:r>
        <w:rPr>
          <w:spacing w:val="-6"/>
        </w:rPr>
        <w:t> </w:t>
      </w:r>
      <w:r>
        <w:rPr/>
        <w:t>todos.</w:t>
      </w:r>
    </w:p>
    <w:p>
      <w:pPr>
        <w:spacing w:after="0" w:line="360" w:lineRule="auto"/>
        <w:jc w:val="both"/>
        <w:sectPr>
          <w:pgSz w:w="11910" w:h="16840"/>
          <w:pgMar w:header="0" w:footer="1003" w:top="1340" w:bottom="1200" w:left="1600" w:right="1580"/>
        </w:sectPr>
      </w:pPr>
    </w:p>
    <w:p>
      <w:pPr>
        <w:pStyle w:val="Heading1"/>
        <w:spacing w:before="54"/>
        <w:ind w:left="3543" w:right="3639"/>
      </w:pPr>
      <w:bookmarkStart w:name="_bookmark97" w:id="128"/>
      <w:bookmarkEnd w:id="128"/>
      <w:r>
        <w:rPr>
          <w:b w:val="0"/>
        </w:rPr>
      </w:r>
      <w:r>
        <w:rPr/>
        <w:t>Referencias</w:t>
      </w:r>
    </w:p>
    <w:p>
      <w:pPr>
        <w:pStyle w:val="BodyText"/>
        <w:rPr>
          <w:b/>
          <w:sz w:val="28"/>
        </w:rPr>
      </w:pPr>
    </w:p>
    <w:p>
      <w:pPr>
        <w:pStyle w:val="BodyText"/>
        <w:spacing w:before="1"/>
        <w:rPr>
          <w:b/>
          <w:sz w:val="38"/>
        </w:rPr>
      </w:pPr>
    </w:p>
    <w:p>
      <w:pPr>
        <w:spacing w:line="360" w:lineRule="auto" w:before="0"/>
        <w:ind w:left="385" w:right="198" w:hanging="284"/>
        <w:jc w:val="both"/>
        <w:rPr>
          <w:sz w:val="24"/>
        </w:rPr>
      </w:pPr>
      <w:r>
        <w:rPr>
          <w:sz w:val="24"/>
        </w:rPr>
        <w:t>Ackerman, M. John. (2006). </w:t>
      </w:r>
      <w:r>
        <w:rPr>
          <w:i/>
          <w:sz w:val="24"/>
        </w:rPr>
        <w:t>La estructura institucional para la rendición de </w:t>
      </w:r>
      <w:r>
        <w:rPr>
          <w:i/>
          <w:sz w:val="24"/>
        </w:rPr>
        <w:t>cuentas: lecciones internacionales y reformas futuras. </w:t>
      </w:r>
      <w:r>
        <w:rPr>
          <w:sz w:val="24"/>
        </w:rPr>
        <w:t>Cámara de Diputados, LX Legislatura. Auditoria Superior de la Federación. Serie: Cultura de la rendición de cuentas. México.</w:t>
      </w:r>
    </w:p>
    <w:p>
      <w:pPr>
        <w:pStyle w:val="BodyText"/>
      </w:pPr>
    </w:p>
    <w:p>
      <w:pPr>
        <w:spacing w:line="360" w:lineRule="auto" w:before="139"/>
        <w:ind w:left="385" w:right="197" w:hanging="284"/>
        <w:jc w:val="both"/>
        <w:rPr>
          <w:sz w:val="24"/>
        </w:rPr>
      </w:pPr>
      <w:r>
        <w:rPr>
          <w:sz w:val="24"/>
        </w:rPr>
        <w:t>Ayala Espino, José. (2000). </w:t>
      </w:r>
      <w:r>
        <w:rPr>
          <w:i/>
          <w:sz w:val="24"/>
        </w:rPr>
        <w:t>Diccionario Moderno de la Economía del Sector </w:t>
      </w:r>
      <w:r>
        <w:rPr>
          <w:i/>
          <w:sz w:val="24"/>
        </w:rPr>
        <w:t>Público</w:t>
      </w:r>
      <w:r>
        <w:rPr>
          <w:sz w:val="24"/>
        </w:rPr>
        <w:t>. Editorial Diana. Primera edición. México.</w:t>
      </w:r>
    </w:p>
    <w:p>
      <w:pPr>
        <w:pStyle w:val="BodyText"/>
      </w:pPr>
    </w:p>
    <w:p>
      <w:pPr>
        <w:spacing w:line="360" w:lineRule="auto" w:before="142"/>
        <w:ind w:left="385" w:right="203" w:hanging="284"/>
        <w:jc w:val="both"/>
        <w:rPr>
          <w:sz w:val="24"/>
        </w:rPr>
      </w:pPr>
      <w:r>
        <w:rPr>
          <w:sz w:val="24"/>
        </w:rPr>
        <w:t>ASF. (2004). </w:t>
      </w:r>
      <w:r>
        <w:rPr>
          <w:i/>
          <w:sz w:val="24"/>
        </w:rPr>
        <w:t>1824-2004, 180 años de rendición de cuentas y fiscalización en </w:t>
      </w:r>
      <w:r>
        <w:rPr>
          <w:i/>
          <w:sz w:val="24"/>
        </w:rPr>
        <w:t>México</w:t>
      </w:r>
      <w:r>
        <w:rPr>
          <w:sz w:val="24"/>
        </w:rPr>
        <w:t>. México.</w:t>
      </w:r>
    </w:p>
    <w:p>
      <w:pPr>
        <w:pStyle w:val="BodyText"/>
      </w:pPr>
    </w:p>
    <w:p>
      <w:pPr>
        <w:spacing w:line="360" w:lineRule="auto" w:before="142"/>
        <w:ind w:left="385" w:right="107" w:hanging="284"/>
        <w:jc w:val="both"/>
        <w:rPr>
          <w:sz w:val="24"/>
        </w:rPr>
      </w:pPr>
      <w:r>
        <w:rPr>
          <w:sz w:val="24"/>
        </w:rPr>
        <w:t>ASF.</w:t>
      </w:r>
      <w:r>
        <w:rPr>
          <w:spacing w:val="-5"/>
          <w:sz w:val="24"/>
        </w:rPr>
        <w:t> </w:t>
      </w:r>
      <w:r>
        <w:rPr>
          <w:sz w:val="24"/>
        </w:rPr>
        <w:t>(2005).</w:t>
      </w:r>
      <w:r>
        <w:rPr>
          <w:spacing w:val="-7"/>
          <w:sz w:val="24"/>
        </w:rPr>
        <w:t> </w:t>
      </w:r>
      <w:r>
        <w:rPr>
          <w:i/>
          <w:sz w:val="24"/>
        </w:rPr>
        <w:t>Acervo</w:t>
      </w:r>
      <w:r>
        <w:rPr>
          <w:i/>
          <w:spacing w:val="-5"/>
          <w:sz w:val="24"/>
        </w:rPr>
        <w:t> </w:t>
      </w:r>
      <w:r>
        <w:rPr>
          <w:i/>
          <w:sz w:val="24"/>
        </w:rPr>
        <w:t>jurídico</w:t>
      </w:r>
      <w:r>
        <w:rPr>
          <w:i/>
          <w:spacing w:val="-5"/>
          <w:sz w:val="24"/>
        </w:rPr>
        <w:t> </w:t>
      </w:r>
      <w:r>
        <w:rPr>
          <w:i/>
          <w:sz w:val="24"/>
        </w:rPr>
        <w:t>de</w:t>
      </w:r>
      <w:r>
        <w:rPr>
          <w:i/>
          <w:spacing w:val="-5"/>
          <w:sz w:val="24"/>
        </w:rPr>
        <w:t> </w:t>
      </w:r>
      <w:r>
        <w:rPr>
          <w:i/>
          <w:sz w:val="24"/>
        </w:rPr>
        <w:t>la</w:t>
      </w:r>
      <w:r>
        <w:rPr>
          <w:i/>
          <w:spacing w:val="-7"/>
          <w:sz w:val="24"/>
        </w:rPr>
        <w:t> </w:t>
      </w:r>
      <w:r>
        <w:rPr>
          <w:i/>
          <w:sz w:val="24"/>
        </w:rPr>
        <w:t>Rendición</w:t>
      </w:r>
      <w:r>
        <w:rPr>
          <w:i/>
          <w:spacing w:val="-9"/>
          <w:sz w:val="24"/>
        </w:rPr>
        <w:t> </w:t>
      </w:r>
      <w:r>
        <w:rPr>
          <w:i/>
          <w:sz w:val="24"/>
        </w:rPr>
        <w:t>de</w:t>
      </w:r>
      <w:r>
        <w:rPr>
          <w:i/>
          <w:spacing w:val="-5"/>
          <w:sz w:val="24"/>
        </w:rPr>
        <w:t> </w:t>
      </w:r>
      <w:r>
        <w:rPr>
          <w:i/>
          <w:sz w:val="24"/>
        </w:rPr>
        <w:t>Cuentas</w:t>
      </w:r>
      <w:r>
        <w:rPr>
          <w:i/>
          <w:spacing w:val="-5"/>
          <w:sz w:val="24"/>
        </w:rPr>
        <w:t> </w:t>
      </w:r>
      <w:r>
        <w:rPr>
          <w:i/>
          <w:sz w:val="24"/>
        </w:rPr>
        <w:t>y</w:t>
      </w:r>
      <w:r>
        <w:rPr>
          <w:i/>
          <w:spacing w:val="-8"/>
          <w:sz w:val="24"/>
        </w:rPr>
        <w:t> </w:t>
      </w:r>
      <w:r>
        <w:rPr>
          <w:i/>
          <w:sz w:val="24"/>
        </w:rPr>
        <w:t>Fiscalización</w:t>
      </w:r>
      <w:r>
        <w:rPr>
          <w:i/>
          <w:spacing w:val="-4"/>
          <w:sz w:val="24"/>
        </w:rPr>
        <w:t> </w:t>
      </w:r>
      <w:r>
        <w:rPr>
          <w:i/>
          <w:sz w:val="24"/>
        </w:rPr>
        <w:t>Superior </w:t>
      </w:r>
      <w:r>
        <w:rPr>
          <w:i/>
          <w:sz w:val="24"/>
        </w:rPr>
        <w:t>en México. O</w:t>
      </w:r>
      <w:r>
        <w:rPr>
          <w:sz w:val="24"/>
        </w:rPr>
        <w:t>ctubre 1824-abril 2005.</w:t>
      </w:r>
      <w:r>
        <w:rPr>
          <w:spacing w:val="-14"/>
          <w:sz w:val="24"/>
        </w:rPr>
        <w:t> </w:t>
      </w:r>
      <w:r>
        <w:rPr>
          <w:sz w:val="24"/>
        </w:rPr>
        <w:t>México</w:t>
      </w:r>
    </w:p>
    <w:p>
      <w:pPr>
        <w:pStyle w:val="BodyText"/>
      </w:pPr>
    </w:p>
    <w:p>
      <w:pPr>
        <w:spacing w:line="362" w:lineRule="auto" w:before="142"/>
        <w:ind w:left="385" w:right="198" w:hanging="284"/>
        <w:jc w:val="both"/>
        <w:rPr>
          <w:sz w:val="24"/>
        </w:rPr>
      </w:pPr>
      <w:r>
        <w:rPr>
          <w:sz w:val="24"/>
        </w:rPr>
        <w:t>ASF. (2009). </w:t>
      </w:r>
      <w:r>
        <w:rPr>
          <w:i/>
          <w:sz w:val="24"/>
        </w:rPr>
        <w:t>Fiscalización superior en México</w:t>
      </w:r>
      <w:r>
        <w:rPr>
          <w:sz w:val="24"/>
        </w:rPr>
        <w:t>. </w:t>
      </w:r>
      <w:r>
        <w:rPr>
          <w:i/>
          <w:sz w:val="24"/>
        </w:rPr>
        <w:t>Reformas a la Constitución </w:t>
      </w:r>
      <w:r>
        <w:rPr>
          <w:i/>
          <w:sz w:val="24"/>
        </w:rPr>
        <w:t>Política de los Estados Unidos Mexicanos y a la ley reglamentaria</w:t>
      </w:r>
      <w:r>
        <w:rPr>
          <w:sz w:val="24"/>
        </w:rPr>
        <w:t>. México</w:t>
      </w:r>
    </w:p>
    <w:p>
      <w:pPr>
        <w:pStyle w:val="BodyText"/>
      </w:pPr>
    </w:p>
    <w:p>
      <w:pPr>
        <w:spacing w:line="360" w:lineRule="auto" w:before="139"/>
        <w:ind w:left="385" w:right="202" w:hanging="284"/>
        <w:jc w:val="both"/>
        <w:rPr>
          <w:sz w:val="24"/>
        </w:rPr>
      </w:pPr>
      <w:r>
        <w:rPr>
          <w:sz w:val="24"/>
        </w:rPr>
        <w:t>ASF. (2009). </w:t>
      </w:r>
      <w:r>
        <w:rPr>
          <w:i/>
          <w:sz w:val="24"/>
        </w:rPr>
        <w:t>Fiscalización superior en México. Reformas a la Constitución </w:t>
      </w:r>
      <w:r>
        <w:rPr>
          <w:i/>
          <w:sz w:val="24"/>
        </w:rPr>
        <w:t>Política de los Estados Unidos Mexicanos y a la ley reglamentaria</w:t>
      </w:r>
      <w:r>
        <w:rPr>
          <w:sz w:val="24"/>
        </w:rPr>
        <w:t>. México.</w:t>
      </w:r>
    </w:p>
    <w:p>
      <w:pPr>
        <w:pStyle w:val="BodyText"/>
      </w:pPr>
    </w:p>
    <w:p>
      <w:pPr>
        <w:pStyle w:val="BodyText"/>
        <w:spacing w:before="144"/>
        <w:ind w:left="102" w:right="69"/>
      </w:pPr>
      <w:r>
        <w:rPr/>
        <w:t>Auditoría Superior de la Federación. Auditoría Especial de Desempeño  (2009).</w:t>
      </w:r>
    </w:p>
    <w:p>
      <w:pPr>
        <w:spacing w:before="137"/>
        <w:ind w:left="102" w:right="255" w:firstLine="0"/>
        <w:jc w:val="left"/>
        <w:rPr>
          <w:sz w:val="24"/>
        </w:rPr>
      </w:pPr>
      <w:r>
        <w:rPr>
          <w:i/>
          <w:sz w:val="24"/>
        </w:rPr>
        <w:t>Elaboración de las políticas públicas</w:t>
      </w:r>
      <w:r>
        <w:rPr>
          <w:sz w:val="24"/>
        </w:rPr>
        <w:t>, lecturas para auditores. México.</w:t>
      </w:r>
    </w:p>
    <w:p>
      <w:pPr>
        <w:pStyle w:val="BodyText"/>
      </w:pPr>
    </w:p>
    <w:p>
      <w:pPr>
        <w:pStyle w:val="BodyText"/>
      </w:pPr>
    </w:p>
    <w:p>
      <w:pPr>
        <w:spacing w:before="0"/>
        <w:ind w:left="102" w:right="255" w:firstLine="0"/>
        <w:jc w:val="left"/>
        <w:rPr>
          <w:sz w:val="24"/>
        </w:rPr>
      </w:pPr>
      <w:r>
        <w:rPr>
          <w:sz w:val="24"/>
        </w:rPr>
        <w:t>ASF/AED. </w:t>
      </w:r>
      <w:r>
        <w:rPr>
          <w:i/>
          <w:sz w:val="24"/>
        </w:rPr>
        <w:t>Indicadores de Desempeño </w:t>
      </w:r>
      <w:r>
        <w:rPr>
          <w:sz w:val="24"/>
        </w:rPr>
        <w:t>(2009). Serie: Lecturas para auditores.</w:t>
      </w:r>
    </w:p>
    <w:p>
      <w:pPr>
        <w:pStyle w:val="BodyText"/>
        <w:spacing w:before="140"/>
        <w:ind w:left="385" w:right="255"/>
      </w:pPr>
      <w:r>
        <w:rPr/>
        <w:t>México.</w:t>
      </w:r>
    </w:p>
    <w:p>
      <w:pPr>
        <w:pStyle w:val="BodyText"/>
      </w:pPr>
    </w:p>
    <w:p>
      <w:pPr>
        <w:pStyle w:val="BodyText"/>
        <w:spacing w:before="9"/>
        <w:rPr>
          <w:sz w:val="23"/>
        </w:rPr>
      </w:pPr>
    </w:p>
    <w:p>
      <w:pPr>
        <w:spacing w:line="720" w:lineRule="auto" w:before="0"/>
        <w:ind w:left="102" w:right="69" w:firstLine="0"/>
        <w:jc w:val="left"/>
        <w:rPr>
          <w:sz w:val="24"/>
        </w:rPr>
      </w:pPr>
      <w:r>
        <w:rPr>
          <w:sz w:val="24"/>
        </w:rPr>
        <w:t>ASF/AED. </w:t>
      </w:r>
      <w:r>
        <w:rPr>
          <w:i/>
          <w:sz w:val="24"/>
        </w:rPr>
        <w:t>Marco operativo </w:t>
      </w:r>
      <w:r>
        <w:rPr>
          <w:sz w:val="24"/>
        </w:rPr>
        <w:t>(2009). Serie: Lecturas para auditores. México. ASF/AED/Merino Mauricio. </w:t>
      </w:r>
      <w:r>
        <w:rPr>
          <w:i/>
          <w:sz w:val="24"/>
        </w:rPr>
        <w:t>Sobre la evaluación de las políticas públicas</w:t>
      </w:r>
      <w:r>
        <w:rPr>
          <w:sz w:val="24"/>
        </w:rPr>
        <w:t>. (2009).</w:t>
      </w:r>
    </w:p>
    <w:p>
      <w:pPr>
        <w:spacing w:after="0" w:line="720" w:lineRule="auto"/>
        <w:jc w:val="left"/>
        <w:rPr>
          <w:sz w:val="24"/>
        </w:rPr>
        <w:sectPr>
          <w:pgSz w:w="11910" w:h="16840"/>
          <w:pgMar w:header="0" w:footer="943" w:top="1340" w:bottom="1200" w:left="1600" w:right="1500"/>
        </w:sectPr>
      </w:pPr>
    </w:p>
    <w:p>
      <w:pPr>
        <w:spacing w:line="362" w:lineRule="auto" w:before="53"/>
        <w:ind w:left="102" w:right="42" w:firstLine="0"/>
        <w:jc w:val="left"/>
        <w:rPr>
          <w:sz w:val="24"/>
        </w:rPr>
      </w:pPr>
      <w:r>
        <w:rPr>
          <w:sz w:val="24"/>
        </w:rPr>
        <w:t>Bahena Paz, Guillermina. (2006). </w:t>
      </w:r>
      <w:r>
        <w:rPr>
          <w:i/>
          <w:sz w:val="24"/>
        </w:rPr>
        <w:t>Metodología de la investigación</w:t>
      </w:r>
      <w:r>
        <w:rPr>
          <w:sz w:val="24"/>
        </w:rPr>
        <w:t>, publicaciones culturales. México.</w:t>
      </w:r>
    </w:p>
    <w:p>
      <w:pPr>
        <w:spacing w:line="360" w:lineRule="auto" w:before="199"/>
        <w:ind w:left="385" w:right="115" w:hanging="284"/>
        <w:jc w:val="both"/>
        <w:rPr>
          <w:sz w:val="24"/>
        </w:rPr>
      </w:pPr>
      <w:r>
        <w:rPr>
          <w:sz w:val="24"/>
        </w:rPr>
        <w:t>Bobbio Norberto y Matteucci Nicola. (1981). </w:t>
      </w:r>
      <w:r>
        <w:rPr>
          <w:i/>
          <w:sz w:val="24"/>
        </w:rPr>
        <w:t>Diccionario de Política</w:t>
      </w:r>
      <w:r>
        <w:rPr>
          <w:sz w:val="24"/>
        </w:rPr>
        <w:t>. Editorial Siglo XXI. México. Primera edición.</w:t>
      </w:r>
    </w:p>
    <w:p>
      <w:pPr>
        <w:spacing w:line="360" w:lineRule="auto" w:before="202"/>
        <w:ind w:left="385" w:right="116" w:hanging="284"/>
        <w:jc w:val="both"/>
        <w:rPr>
          <w:sz w:val="24"/>
        </w:rPr>
      </w:pPr>
      <w:r>
        <w:rPr>
          <w:sz w:val="24"/>
        </w:rPr>
        <w:t>Buchanan, James y Tullock Gordon. (1980). </w:t>
      </w:r>
      <w:r>
        <w:rPr>
          <w:i/>
          <w:sz w:val="24"/>
        </w:rPr>
        <w:t>El cálculo del consenso, </w:t>
      </w:r>
      <w:r>
        <w:rPr>
          <w:i/>
          <w:sz w:val="24"/>
        </w:rPr>
        <w:t>fundamentos lógicos de la democracia constitucional</w:t>
      </w:r>
      <w:r>
        <w:rPr>
          <w:sz w:val="24"/>
        </w:rPr>
        <w:t>, Espasa-Calpe, S.A. Madrid.</w:t>
      </w:r>
    </w:p>
    <w:p>
      <w:pPr>
        <w:spacing w:line="362" w:lineRule="auto" w:before="202"/>
        <w:ind w:left="102" w:right="66" w:firstLine="0"/>
        <w:jc w:val="left"/>
        <w:rPr>
          <w:sz w:val="24"/>
        </w:rPr>
      </w:pPr>
      <w:r>
        <w:rPr>
          <w:sz w:val="24"/>
        </w:rPr>
        <w:t>Caminal Badia Miquel Ed. (1999). </w:t>
      </w:r>
      <w:r>
        <w:rPr>
          <w:i/>
          <w:sz w:val="24"/>
        </w:rPr>
        <w:t>Manual de Ciencia Política</w:t>
      </w:r>
      <w:r>
        <w:rPr>
          <w:sz w:val="24"/>
        </w:rPr>
        <w:t>. Tecnos. Segunda edición. España.</w:t>
      </w:r>
    </w:p>
    <w:p>
      <w:pPr>
        <w:spacing w:before="199"/>
        <w:ind w:left="102" w:right="66" w:firstLine="0"/>
        <w:jc w:val="left"/>
        <w:rPr>
          <w:sz w:val="24"/>
        </w:rPr>
      </w:pPr>
      <w:r>
        <w:rPr>
          <w:sz w:val="24"/>
        </w:rPr>
        <w:t>CMH. (1997). </w:t>
      </w:r>
      <w:r>
        <w:rPr>
          <w:i/>
          <w:sz w:val="24"/>
        </w:rPr>
        <w:t>Las entidades fiscalizadoras superiores. </w:t>
      </w:r>
      <w:r>
        <w:rPr>
          <w:sz w:val="24"/>
        </w:rPr>
        <w:t>México.</w:t>
      </w:r>
    </w:p>
    <w:p>
      <w:pPr>
        <w:pStyle w:val="BodyText"/>
        <w:spacing w:before="4"/>
        <w:rPr>
          <w:sz w:val="29"/>
        </w:rPr>
      </w:pPr>
    </w:p>
    <w:p>
      <w:pPr>
        <w:spacing w:line="360" w:lineRule="auto" w:before="1"/>
        <w:ind w:left="385" w:right="119" w:hanging="284"/>
        <w:jc w:val="both"/>
        <w:rPr>
          <w:sz w:val="24"/>
        </w:rPr>
      </w:pPr>
      <w:r>
        <w:rPr>
          <w:sz w:val="24"/>
        </w:rPr>
        <w:t>CMH. (1998). </w:t>
      </w:r>
      <w:r>
        <w:rPr>
          <w:i/>
          <w:sz w:val="24"/>
        </w:rPr>
        <w:t>Época actual, origen y evolución de la Contaduría Mayor de </w:t>
      </w:r>
      <w:r>
        <w:rPr>
          <w:i/>
          <w:sz w:val="24"/>
        </w:rPr>
        <w:t>Hacienda</w:t>
      </w:r>
      <w:r>
        <w:rPr>
          <w:sz w:val="24"/>
        </w:rPr>
        <w:t>. México.</w:t>
      </w:r>
    </w:p>
    <w:p>
      <w:pPr>
        <w:pStyle w:val="BodyText"/>
      </w:pPr>
    </w:p>
    <w:p>
      <w:pPr>
        <w:spacing w:before="142"/>
        <w:ind w:left="102" w:right="66" w:firstLine="0"/>
        <w:jc w:val="left"/>
        <w:rPr>
          <w:sz w:val="24"/>
        </w:rPr>
      </w:pPr>
      <w:r>
        <w:rPr>
          <w:sz w:val="24"/>
        </w:rPr>
        <w:t>CMH. (2000). </w:t>
      </w:r>
      <w:r>
        <w:rPr>
          <w:i/>
          <w:sz w:val="24"/>
        </w:rPr>
        <w:t>La Contaduría Mayor de Hacienda de México</w:t>
      </w:r>
      <w:r>
        <w:rPr>
          <w:sz w:val="24"/>
        </w:rPr>
        <w:t>. México.</w:t>
      </w:r>
    </w:p>
    <w:p>
      <w:pPr>
        <w:pStyle w:val="BodyText"/>
      </w:pPr>
    </w:p>
    <w:p>
      <w:pPr>
        <w:pStyle w:val="BodyText"/>
      </w:pPr>
    </w:p>
    <w:p>
      <w:pPr>
        <w:spacing w:line="360" w:lineRule="auto" w:before="0"/>
        <w:ind w:left="385" w:right="117" w:hanging="284"/>
        <w:jc w:val="both"/>
        <w:rPr>
          <w:sz w:val="24"/>
        </w:rPr>
      </w:pPr>
      <w:r>
        <w:rPr>
          <w:sz w:val="24"/>
        </w:rPr>
        <w:t>CVASF/UEC. (2005). </w:t>
      </w:r>
      <w:r>
        <w:rPr>
          <w:i/>
          <w:sz w:val="24"/>
        </w:rPr>
        <w:t>Fiscalización superior comparada. Una aproximación al </w:t>
      </w:r>
      <w:r>
        <w:rPr>
          <w:i/>
          <w:sz w:val="24"/>
        </w:rPr>
        <w:t>estudio de los modelos de fiscalización superior en el mundo</w:t>
      </w:r>
      <w:r>
        <w:rPr>
          <w:sz w:val="24"/>
        </w:rPr>
        <w:t>. Biblioteca de Fiscalización Superior I. LIV Legislatura de la Cámara de Diputados del H. H. Congreso de la Unión. México.</w:t>
      </w:r>
    </w:p>
    <w:p>
      <w:pPr>
        <w:pStyle w:val="BodyText"/>
      </w:pPr>
    </w:p>
    <w:p>
      <w:pPr>
        <w:pStyle w:val="BodyText"/>
        <w:spacing w:line="360" w:lineRule="auto" w:before="142"/>
        <w:ind w:left="385" w:right="118" w:hanging="284"/>
        <w:jc w:val="both"/>
      </w:pPr>
      <w:r>
        <w:rPr/>
        <w:t>Crespo, José Antonio. (2001). “Fundamentos políticos de la rendición de cuentas”, en </w:t>
      </w:r>
      <w:r>
        <w:rPr>
          <w:i/>
        </w:rPr>
        <w:t>Auditoría Superior de la Federación</w:t>
      </w:r>
      <w:r>
        <w:rPr/>
        <w:t>. Serie Cultura de la Rendición de Cuentas Número 1. México.</w:t>
      </w:r>
    </w:p>
    <w:p>
      <w:pPr>
        <w:pStyle w:val="BodyText"/>
      </w:pPr>
    </w:p>
    <w:p>
      <w:pPr>
        <w:spacing w:line="360" w:lineRule="auto" w:before="140"/>
        <w:ind w:left="385" w:right="115" w:hanging="284"/>
        <w:jc w:val="both"/>
        <w:rPr>
          <w:sz w:val="24"/>
        </w:rPr>
      </w:pPr>
      <w:r>
        <w:rPr>
          <w:sz w:val="24"/>
        </w:rPr>
        <w:t>Córdova Arnaldo. (1972). </w:t>
      </w:r>
      <w:r>
        <w:rPr>
          <w:i/>
          <w:sz w:val="24"/>
        </w:rPr>
        <w:t>La formación del poder político en México</w:t>
      </w:r>
      <w:r>
        <w:rPr>
          <w:sz w:val="24"/>
        </w:rPr>
        <w:t>. Editorial Bolsillo Era. México.</w:t>
      </w:r>
    </w:p>
    <w:p>
      <w:pPr>
        <w:pStyle w:val="BodyText"/>
      </w:pPr>
    </w:p>
    <w:p>
      <w:pPr>
        <w:spacing w:before="139"/>
        <w:ind w:left="102" w:right="66" w:firstLine="0"/>
        <w:jc w:val="left"/>
        <w:rPr>
          <w:sz w:val="24"/>
        </w:rPr>
      </w:pPr>
      <w:r>
        <w:rPr>
          <w:sz w:val="24"/>
        </w:rPr>
        <w:t>De Tocqueville Alexis. (1831).  </w:t>
      </w:r>
      <w:r>
        <w:rPr>
          <w:i/>
          <w:sz w:val="24"/>
        </w:rPr>
        <w:t>La democracia en América</w:t>
      </w:r>
      <w:r>
        <w:rPr>
          <w:sz w:val="24"/>
        </w:rPr>
        <w:t>. FCE.</w:t>
      </w:r>
    </w:p>
    <w:p>
      <w:pPr>
        <w:pStyle w:val="BodyText"/>
      </w:pPr>
    </w:p>
    <w:p>
      <w:pPr>
        <w:pStyle w:val="BodyText"/>
      </w:pPr>
    </w:p>
    <w:p>
      <w:pPr>
        <w:spacing w:line="362" w:lineRule="auto" w:before="0"/>
        <w:ind w:left="102" w:right="66" w:firstLine="0"/>
        <w:jc w:val="left"/>
        <w:rPr>
          <w:sz w:val="24"/>
        </w:rPr>
      </w:pPr>
      <w:r>
        <w:rPr>
          <w:sz w:val="24"/>
        </w:rPr>
        <w:t>García Rivas, Heriberto. (1990). </w:t>
      </w:r>
      <w:r>
        <w:rPr>
          <w:i/>
          <w:sz w:val="24"/>
        </w:rPr>
        <w:t>150 biografías de mexicanos ilustres</w:t>
      </w:r>
      <w:r>
        <w:rPr>
          <w:sz w:val="24"/>
        </w:rPr>
        <w:t>. Editorial Universo. México.</w:t>
      </w:r>
    </w:p>
    <w:p>
      <w:pPr>
        <w:spacing w:after="0" w:line="362" w:lineRule="auto"/>
        <w:jc w:val="left"/>
        <w:rPr>
          <w:sz w:val="24"/>
        </w:rPr>
        <w:sectPr>
          <w:pgSz w:w="11910" w:h="16840"/>
          <w:pgMar w:header="0" w:footer="1003" w:top="1340" w:bottom="1200" w:left="1600" w:right="1580"/>
        </w:sectPr>
      </w:pPr>
    </w:p>
    <w:p>
      <w:pPr>
        <w:pStyle w:val="BodyText"/>
        <w:spacing w:before="10"/>
        <w:rPr>
          <w:sz w:val="13"/>
        </w:rPr>
      </w:pPr>
    </w:p>
    <w:p>
      <w:pPr>
        <w:spacing w:line="360" w:lineRule="auto" w:before="69"/>
        <w:ind w:left="385" w:right="66" w:hanging="284"/>
        <w:jc w:val="left"/>
        <w:rPr>
          <w:sz w:val="24"/>
        </w:rPr>
      </w:pPr>
      <w:r>
        <w:rPr>
          <w:sz w:val="24"/>
        </w:rPr>
        <w:t>Gómez de Silva. (1992). </w:t>
      </w:r>
      <w:r>
        <w:rPr>
          <w:i/>
          <w:sz w:val="24"/>
        </w:rPr>
        <w:t>Breve diccionario etimológico de la lengua española</w:t>
      </w:r>
      <w:r>
        <w:rPr>
          <w:sz w:val="24"/>
        </w:rPr>
        <w:t>, Fondo de Cultura Económica.</w:t>
      </w:r>
    </w:p>
    <w:p>
      <w:pPr>
        <w:pStyle w:val="BodyText"/>
      </w:pPr>
    </w:p>
    <w:p>
      <w:pPr>
        <w:spacing w:line="362" w:lineRule="auto" w:before="139"/>
        <w:ind w:left="102" w:right="66" w:firstLine="0"/>
        <w:jc w:val="left"/>
        <w:rPr>
          <w:sz w:val="24"/>
        </w:rPr>
      </w:pPr>
      <w:r>
        <w:rPr>
          <w:sz w:val="24"/>
        </w:rPr>
        <w:t>Easton David. (1999). </w:t>
      </w:r>
      <w:r>
        <w:rPr>
          <w:i/>
          <w:sz w:val="24"/>
        </w:rPr>
        <w:t>Esquema para el sistema político</w:t>
      </w:r>
      <w:r>
        <w:rPr>
          <w:sz w:val="24"/>
        </w:rPr>
        <w:t>. Amorrortu editores. Argentina.</w:t>
      </w:r>
    </w:p>
    <w:p>
      <w:pPr>
        <w:pStyle w:val="BodyText"/>
        <w:spacing w:before="10"/>
        <w:rPr>
          <w:sz w:val="35"/>
        </w:rPr>
      </w:pPr>
    </w:p>
    <w:p>
      <w:pPr>
        <w:spacing w:line="360" w:lineRule="auto" w:before="0"/>
        <w:ind w:left="385" w:right="66" w:hanging="284"/>
        <w:jc w:val="left"/>
        <w:rPr>
          <w:sz w:val="24"/>
        </w:rPr>
      </w:pPr>
      <w:r>
        <w:rPr>
          <w:sz w:val="24"/>
        </w:rPr>
        <w:t>Eigen Peter. (2003). </w:t>
      </w:r>
      <w:r>
        <w:rPr>
          <w:i/>
          <w:sz w:val="24"/>
        </w:rPr>
        <w:t>Las redes de la corrupción, la sociedad civil contra los </w:t>
      </w:r>
      <w:r>
        <w:rPr>
          <w:i/>
          <w:sz w:val="24"/>
        </w:rPr>
        <w:t>abusos del poder</w:t>
      </w:r>
      <w:r>
        <w:rPr>
          <w:sz w:val="24"/>
        </w:rPr>
        <w:t>. Planeta colombiana. Bogotá.</w:t>
      </w:r>
    </w:p>
    <w:p>
      <w:pPr>
        <w:pStyle w:val="BodyText"/>
      </w:pPr>
    </w:p>
    <w:p>
      <w:pPr>
        <w:spacing w:before="142"/>
        <w:ind w:left="102" w:right="66" w:firstLine="0"/>
        <w:jc w:val="left"/>
        <w:rPr>
          <w:sz w:val="24"/>
        </w:rPr>
      </w:pPr>
      <w:r>
        <w:rPr>
          <w:sz w:val="24"/>
        </w:rPr>
        <w:t>Fraga Gabino. (1996).  </w:t>
      </w:r>
      <w:r>
        <w:rPr>
          <w:i/>
          <w:sz w:val="24"/>
        </w:rPr>
        <w:t>Derecho administrativo</w:t>
      </w:r>
      <w:r>
        <w:rPr>
          <w:sz w:val="24"/>
        </w:rPr>
        <w:t>. Editorial Porrúa. S.A.</w:t>
      </w:r>
    </w:p>
    <w:p>
      <w:pPr>
        <w:pStyle w:val="BodyText"/>
      </w:pPr>
    </w:p>
    <w:p>
      <w:pPr>
        <w:pStyle w:val="BodyText"/>
      </w:pPr>
    </w:p>
    <w:p>
      <w:pPr>
        <w:spacing w:line="360" w:lineRule="auto" w:before="0"/>
        <w:ind w:left="385" w:right="66" w:hanging="284"/>
        <w:jc w:val="left"/>
        <w:rPr>
          <w:sz w:val="24"/>
        </w:rPr>
      </w:pPr>
      <w:r>
        <w:rPr>
          <w:sz w:val="24"/>
        </w:rPr>
        <w:t>H. Cámara de Diputados. ASF. (2004). </w:t>
      </w:r>
      <w:r>
        <w:rPr>
          <w:i/>
          <w:sz w:val="24"/>
        </w:rPr>
        <w:t>1824-2004. 180 años de rendición de </w:t>
      </w:r>
      <w:r>
        <w:rPr>
          <w:i/>
          <w:sz w:val="24"/>
        </w:rPr>
        <w:t>cuentas y fiscalización superior en México</w:t>
      </w:r>
      <w:r>
        <w:rPr>
          <w:sz w:val="24"/>
        </w:rPr>
        <w:t>. México.</w:t>
      </w:r>
    </w:p>
    <w:p>
      <w:pPr>
        <w:pStyle w:val="BodyText"/>
      </w:pPr>
    </w:p>
    <w:p>
      <w:pPr>
        <w:spacing w:line="360" w:lineRule="auto" w:before="142"/>
        <w:ind w:left="385" w:right="42" w:hanging="284"/>
        <w:jc w:val="left"/>
        <w:rPr>
          <w:sz w:val="24"/>
        </w:rPr>
      </w:pPr>
      <w:r>
        <w:rPr>
          <w:sz w:val="24"/>
        </w:rPr>
        <w:t>Hobbes Thomas. (1651). </w:t>
      </w:r>
      <w:r>
        <w:rPr>
          <w:i/>
          <w:sz w:val="24"/>
        </w:rPr>
        <w:t>Leviatán o la Materia Forma y Poder de una República </w:t>
      </w:r>
      <w:r>
        <w:rPr>
          <w:i/>
          <w:sz w:val="24"/>
        </w:rPr>
        <w:t>Eclesiástica y Civil</w:t>
      </w:r>
      <w:r>
        <w:rPr>
          <w:sz w:val="24"/>
        </w:rPr>
        <w:t>. Fondo de Cultura Económica. México.</w:t>
      </w:r>
    </w:p>
    <w:p>
      <w:pPr>
        <w:pStyle w:val="BodyText"/>
      </w:pPr>
    </w:p>
    <w:p>
      <w:pPr>
        <w:tabs>
          <w:tab w:pos="1147" w:val="left" w:leader="none"/>
          <w:tab w:pos="1619" w:val="left" w:leader="none"/>
          <w:tab w:pos="3481" w:val="left" w:leader="none"/>
          <w:tab w:pos="4711" w:val="left" w:leader="none"/>
          <w:tab w:pos="5236" w:val="left" w:leader="none"/>
          <w:tab w:pos="6203" w:val="left" w:leader="none"/>
          <w:tab w:pos="7769" w:val="left" w:leader="none"/>
        </w:tabs>
        <w:spacing w:line="360" w:lineRule="auto" w:before="142"/>
        <w:ind w:left="385" w:right="118" w:hanging="284"/>
        <w:jc w:val="left"/>
        <w:rPr>
          <w:sz w:val="24"/>
        </w:rPr>
      </w:pPr>
      <w:r>
        <w:rPr>
          <w:sz w:val="24"/>
        </w:rPr>
        <w:t>Instituto</w:t>
        <w:tab/>
        <w:t>de</w:t>
        <w:tab/>
        <w:t>Investigaciones</w:t>
        <w:tab/>
        <w:t>Jurídicas,</w:t>
        <w:tab/>
        <w:t>IIJ.</w:t>
        <w:tab/>
        <w:t>(2002).</w:t>
        <w:tab/>
      </w:r>
      <w:r>
        <w:rPr>
          <w:i/>
          <w:sz w:val="24"/>
        </w:rPr>
        <w:t>Enciclopedia</w:t>
        <w:tab/>
      </w:r>
      <w:r>
        <w:rPr>
          <w:i/>
          <w:spacing w:val="-1"/>
          <w:sz w:val="24"/>
        </w:rPr>
        <w:t>Jurídica </w:t>
      </w:r>
      <w:r>
        <w:rPr>
          <w:i/>
          <w:sz w:val="24"/>
        </w:rPr>
        <w:t>Mexicana</w:t>
      </w:r>
      <w:r>
        <w:rPr>
          <w:sz w:val="24"/>
        </w:rPr>
        <w:t>. Tomos IV y VI. Editorial Porrúa y UNAM.</w:t>
      </w:r>
      <w:r>
        <w:rPr>
          <w:spacing w:val="-20"/>
          <w:sz w:val="24"/>
        </w:rPr>
        <w:t> </w:t>
      </w:r>
      <w:r>
        <w:rPr>
          <w:sz w:val="24"/>
        </w:rPr>
        <w:t>México.</w:t>
      </w:r>
    </w:p>
    <w:p>
      <w:pPr>
        <w:pStyle w:val="BodyText"/>
      </w:pPr>
    </w:p>
    <w:p>
      <w:pPr>
        <w:spacing w:line="360" w:lineRule="auto" w:before="142"/>
        <w:ind w:left="385" w:right="66" w:hanging="284"/>
        <w:jc w:val="left"/>
        <w:rPr>
          <w:sz w:val="24"/>
        </w:rPr>
      </w:pPr>
      <w:r>
        <w:rPr>
          <w:sz w:val="24"/>
        </w:rPr>
        <w:t>Kelsen, Hans. (1980). </w:t>
      </w:r>
      <w:r>
        <w:rPr>
          <w:i/>
          <w:sz w:val="24"/>
        </w:rPr>
        <w:t>Compendio de Teoría General de Estado</w:t>
      </w:r>
      <w:r>
        <w:rPr>
          <w:sz w:val="24"/>
        </w:rPr>
        <w:t>. Editorial Nacional, S.A. México</w:t>
      </w:r>
    </w:p>
    <w:p>
      <w:pPr>
        <w:pStyle w:val="BodyText"/>
      </w:pPr>
    </w:p>
    <w:p>
      <w:pPr>
        <w:spacing w:before="139"/>
        <w:ind w:left="102" w:right="66" w:firstLine="0"/>
        <w:jc w:val="left"/>
        <w:rPr>
          <w:i/>
          <w:sz w:val="24"/>
        </w:rPr>
      </w:pPr>
      <w:r>
        <w:rPr>
          <w:sz w:val="24"/>
        </w:rPr>
        <w:t>Konetzke, Richard. (1986). </w:t>
      </w:r>
      <w:r>
        <w:rPr>
          <w:i/>
          <w:sz w:val="24"/>
        </w:rPr>
        <w:t>La encomienda, lecturas de la historia de México.</w:t>
      </w:r>
    </w:p>
    <w:p>
      <w:pPr>
        <w:pStyle w:val="BodyText"/>
        <w:spacing w:before="141"/>
        <w:ind w:left="367" w:right="1520"/>
        <w:jc w:val="center"/>
      </w:pPr>
      <w:r>
        <w:rPr/>
        <w:t>Tomo I. Editorial Pueblo Nuevo. Decimotercera edición. México.</w:t>
      </w:r>
    </w:p>
    <w:p>
      <w:pPr>
        <w:pStyle w:val="BodyText"/>
      </w:pPr>
    </w:p>
    <w:p>
      <w:pPr>
        <w:pStyle w:val="BodyText"/>
        <w:spacing w:before="9"/>
        <w:rPr>
          <w:sz w:val="23"/>
        </w:rPr>
      </w:pPr>
    </w:p>
    <w:p>
      <w:pPr>
        <w:spacing w:line="360" w:lineRule="auto" w:before="0"/>
        <w:ind w:left="385" w:right="66" w:hanging="284"/>
        <w:jc w:val="left"/>
        <w:rPr>
          <w:sz w:val="24"/>
        </w:rPr>
      </w:pPr>
      <w:r>
        <w:rPr>
          <w:sz w:val="24"/>
        </w:rPr>
        <w:t>Lewis, W. Arthur (1974). </w:t>
      </w:r>
      <w:r>
        <w:rPr>
          <w:i/>
          <w:sz w:val="24"/>
        </w:rPr>
        <w:t>Teoría del desarrollo económico</w:t>
      </w:r>
      <w:r>
        <w:rPr>
          <w:sz w:val="24"/>
        </w:rPr>
        <w:t>. Fondo de Cultura Económica.</w:t>
      </w:r>
    </w:p>
    <w:p>
      <w:pPr>
        <w:pStyle w:val="BodyText"/>
      </w:pPr>
    </w:p>
    <w:p>
      <w:pPr>
        <w:spacing w:line="360" w:lineRule="auto" w:before="139"/>
        <w:ind w:left="385" w:right="44" w:hanging="284"/>
        <w:jc w:val="left"/>
        <w:rPr>
          <w:sz w:val="24"/>
        </w:rPr>
      </w:pPr>
      <w:r>
        <w:rPr>
          <w:sz w:val="24"/>
        </w:rPr>
        <w:t>León-Portilla, Miguel. (1976). </w:t>
      </w:r>
      <w:r>
        <w:rPr>
          <w:i/>
          <w:sz w:val="24"/>
        </w:rPr>
        <w:t>Los antiguos mexicanos a través de sus crónicas y </w:t>
      </w:r>
      <w:r>
        <w:rPr>
          <w:i/>
          <w:sz w:val="24"/>
        </w:rPr>
        <w:t>cantares</w:t>
      </w:r>
      <w:r>
        <w:rPr>
          <w:sz w:val="24"/>
        </w:rPr>
        <w:t>. Fondo de Cultura Económica. México.</w:t>
      </w:r>
    </w:p>
    <w:p>
      <w:pPr>
        <w:spacing w:after="0" w:line="360" w:lineRule="auto"/>
        <w:jc w:val="left"/>
        <w:rPr>
          <w:sz w:val="24"/>
        </w:rPr>
        <w:sectPr>
          <w:pgSz w:w="11910" w:h="16840"/>
          <w:pgMar w:header="0" w:footer="943" w:top="1580" w:bottom="1200" w:left="1600" w:right="1580"/>
        </w:sectPr>
      </w:pPr>
    </w:p>
    <w:p>
      <w:pPr>
        <w:spacing w:line="362" w:lineRule="auto" w:before="53"/>
        <w:ind w:left="102" w:right="69" w:firstLine="0"/>
        <w:jc w:val="left"/>
        <w:rPr>
          <w:sz w:val="24"/>
        </w:rPr>
      </w:pPr>
      <w:r>
        <w:rPr>
          <w:sz w:val="24"/>
        </w:rPr>
        <w:t>Lesswell, Harold. (1971). </w:t>
      </w:r>
      <w:r>
        <w:rPr>
          <w:i/>
          <w:sz w:val="24"/>
        </w:rPr>
        <w:t>Thee merging conception of the policy sciences, policy </w:t>
      </w:r>
      <w:r>
        <w:rPr>
          <w:i/>
          <w:sz w:val="24"/>
        </w:rPr>
        <w:t>sciences</w:t>
      </w:r>
      <w:r>
        <w:rPr>
          <w:sz w:val="24"/>
        </w:rPr>
        <w:t>.</w:t>
      </w:r>
    </w:p>
    <w:p>
      <w:pPr>
        <w:pStyle w:val="BodyText"/>
      </w:pPr>
    </w:p>
    <w:p>
      <w:pPr>
        <w:spacing w:line="360" w:lineRule="auto" w:before="139"/>
        <w:ind w:left="385" w:right="199" w:hanging="284"/>
        <w:jc w:val="both"/>
        <w:rPr>
          <w:sz w:val="24"/>
        </w:rPr>
      </w:pPr>
      <w:r>
        <w:rPr>
          <w:sz w:val="24"/>
        </w:rPr>
        <w:t>Manjarrez Rivera, Jorge. (2002). </w:t>
      </w:r>
      <w:r>
        <w:rPr>
          <w:i/>
          <w:sz w:val="24"/>
        </w:rPr>
        <w:t>La construcción institucional de la fiscalización </w:t>
      </w:r>
      <w:r>
        <w:rPr>
          <w:i/>
          <w:sz w:val="24"/>
        </w:rPr>
        <w:t>y la rendición de cuentas en México: 1997-2001</w:t>
      </w:r>
      <w:r>
        <w:rPr>
          <w:sz w:val="24"/>
        </w:rPr>
        <w:t>. Tesis de Doctorado en Ciencias Políticas. No publicada. UNAM, México.</w:t>
      </w:r>
    </w:p>
    <w:p>
      <w:pPr>
        <w:pStyle w:val="BodyText"/>
      </w:pPr>
    </w:p>
    <w:p>
      <w:pPr>
        <w:spacing w:line="362" w:lineRule="auto" w:before="139"/>
        <w:ind w:left="385" w:right="195" w:hanging="284"/>
        <w:jc w:val="both"/>
        <w:rPr>
          <w:sz w:val="24"/>
        </w:rPr>
      </w:pPr>
      <w:r>
        <w:rPr>
          <w:sz w:val="24"/>
        </w:rPr>
        <w:t>Manjarrez</w:t>
      </w:r>
      <w:r>
        <w:rPr>
          <w:spacing w:val="-9"/>
          <w:sz w:val="24"/>
        </w:rPr>
        <w:t> </w:t>
      </w:r>
      <w:r>
        <w:rPr>
          <w:sz w:val="24"/>
        </w:rPr>
        <w:t>Rivera,</w:t>
      </w:r>
      <w:r>
        <w:rPr>
          <w:spacing w:val="-6"/>
          <w:sz w:val="24"/>
        </w:rPr>
        <w:t> </w:t>
      </w:r>
      <w:r>
        <w:rPr>
          <w:sz w:val="24"/>
        </w:rPr>
        <w:t>Jorge.</w:t>
      </w:r>
      <w:r>
        <w:rPr>
          <w:spacing w:val="-6"/>
          <w:sz w:val="24"/>
        </w:rPr>
        <w:t> </w:t>
      </w:r>
      <w:r>
        <w:rPr>
          <w:sz w:val="24"/>
        </w:rPr>
        <w:t>(2003).</w:t>
      </w:r>
      <w:r>
        <w:rPr>
          <w:spacing w:val="-6"/>
          <w:sz w:val="24"/>
        </w:rPr>
        <w:t> </w:t>
      </w:r>
      <w:r>
        <w:rPr>
          <w:i/>
          <w:sz w:val="24"/>
        </w:rPr>
        <w:t>La</w:t>
      </w:r>
      <w:r>
        <w:rPr>
          <w:i/>
          <w:spacing w:val="-6"/>
          <w:sz w:val="24"/>
        </w:rPr>
        <w:t> </w:t>
      </w:r>
      <w:r>
        <w:rPr>
          <w:i/>
          <w:sz w:val="24"/>
        </w:rPr>
        <w:t>construcción</w:t>
      </w:r>
      <w:r>
        <w:rPr>
          <w:i/>
          <w:spacing w:val="-8"/>
          <w:sz w:val="24"/>
        </w:rPr>
        <w:t> </w:t>
      </w:r>
      <w:r>
        <w:rPr>
          <w:i/>
          <w:sz w:val="24"/>
        </w:rPr>
        <w:t>democrática</w:t>
      </w:r>
      <w:r>
        <w:rPr>
          <w:i/>
          <w:spacing w:val="-6"/>
          <w:sz w:val="24"/>
        </w:rPr>
        <w:t> </w:t>
      </w:r>
      <w:r>
        <w:rPr>
          <w:i/>
          <w:sz w:val="24"/>
        </w:rPr>
        <w:t>de</w:t>
      </w:r>
      <w:r>
        <w:rPr>
          <w:i/>
          <w:spacing w:val="-6"/>
          <w:sz w:val="24"/>
        </w:rPr>
        <w:t> </w:t>
      </w:r>
      <w:r>
        <w:rPr>
          <w:i/>
          <w:sz w:val="24"/>
        </w:rPr>
        <w:t>la</w:t>
      </w:r>
      <w:r>
        <w:rPr>
          <w:i/>
          <w:spacing w:val="-6"/>
          <w:sz w:val="24"/>
        </w:rPr>
        <w:t> </w:t>
      </w:r>
      <w:r>
        <w:rPr>
          <w:i/>
          <w:sz w:val="24"/>
        </w:rPr>
        <w:t>rendición</w:t>
      </w:r>
      <w:r>
        <w:rPr>
          <w:i/>
          <w:spacing w:val="-10"/>
          <w:sz w:val="24"/>
        </w:rPr>
        <w:t> </w:t>
      </w:r>
      <w:r>
        <w:rPr>
          <w:i/>
          <w:sz w:val="24"/>
        </w:rPr>
        <w:t>de </w:t>
      </w:r>
      <w:r>
        <w:rPr>
          <w:i/>
          <w:sz w:val="24"/>
        </w:rPr>
        <w:t>cuentas y la fiscalización en la administración pública de México: 1997-2001</w:t>
      </w:r>
      <w:r>
        <w:rPr>
          <w:sz w:val="24"/>
        </w:rPr>
        <w:t>. INAP.</w:t>
      </w:r>
      <w:r>
        <w:rPr>
          <w:spacing w:val="-4"/>
          <w:sz w:val="24"/>
        </w:rPr>
        <w:t> </w:t>
      </w:r>
      <w:r>
        <w:rPr>
          <w:sz w:val="24"/>
        </w:rPr>
        <w:t>México.</w:t>
      </w:r>
    </w:p>
    <w:p>
      <w:pPr>
        <w:pStyle w:val="BodyText"/>
        <w:spacing w:before="10"/>
        <w:rPr>
          <w:sz w:val="35"/>
        </w:rPr>
      </w:pPr>
    </w:p>
    <w:p>
      <w:pPr>
        <w:spacing w:before="0"/>
        <w:ind w:left="102" w:right="0" w:firstLine="0"/>
        <w:jc w:val="left"/>
        <w:rPr>
          <w:sz w:val="24"/>
        </w:rPr>
      </w:pPr>
      <w:r>
        <w:rPr>
          <w:sz w:val="24"/>
        </w:rPr>
        <w:t>Merino, Mauricio (2007). </w:t>
      </w:r>
      <w:r>
        <w:rPr>
          <w:i/>
          <w:sz w:val="24"/>
        </w:rPr>
        <w:t>El régimen municipal de los Estados Unidos Mexicanos</w:t>
      </w:r>
      <w:r>
        <w:rPr>
          <w:sz w:val="24"/>
        </w:rPr>
        <w:t>.</w:t>
      </w:r>
    </w:p>
    <w:p>
      <w:pPr>
        <w:pStyle w:val="BodyText"/>
        <w:spacing w:before="139"/>
        <w:ind w:left="385" w:right="255"/>
      </w:pPr>
      <w:r>
        <w:rPr/>
        <w:t>Serie Para entender. Nostra Ediciones</w:t>
      </w:r>
    </w:p>
    <w:p>
      <w:pPr>
        <w:pStyle w:val="BodyText"/>
      </w:pPr>
    </w:p>
    <w:p>
      <w:pPr>
        <w:pStyle w:val="BodyText"/>
        <w:spacing w:before="9"/>
        <w:rPr>
          <w:sz w:val="23"/>
        </w:rPr>
      </w:pPr>
    </w:p>
    <w:p>
      <w:pPr>
        <w:spacing w:line="360" w:lineRule="auto" w:before="0"/>
        <w:ind w:left="385" w:right="107" w:hanging="284"/>
        <w:jc w:val="both"/>
        <w:rPr>
          <w:sz w:val="24"/>
        </w:rPr>
      </w:pPr>
      <w:r>
        <w:rPr>
          <w:sz w:val="24"/>
        </w:rPr>
        <w:t>Michel Padilla, Roberto. (2009). </w:t>
      </w:r>
      <w:r>
        <w:rPr>
          <w:i/>
          <w:sz w:val="24"/>
        </w:rPr>
        <w:t>Transición y modernización de la fiscalización </w:t>
      </w:r>
      <w:r>
        <w:rPr>
          <w:i/>
          <w:sz w:val="24"/>
        </w:rPr>
        <w:t>superior en México. Hacia un nuevo modelo que asegure la calidad del gasto público e impulse el desarrollo económico con calidad</w:t>
      </w:r>
      <w:r>
        <w:rPr>
          <w:sz w:val="24"/>
        </w:rPr>
        <w:t>. México.</w:t>
      </w:r>
    </w:p>
    <w:p>
      <w:pPr>
        <w:pStyle w:val="BodyText"/>
      </w:pPr>
    </w:p>
    <w:p>
      <w:pPr>
        <w:spacing w:line="360" w:lineRule="auto" w:before="142"/>
        <w:ind w:left="385" w:right="201" w:hanging="284"/>
        <w:jc w:val="both"/>
        <w:rPr>
          <w:sz w:val="24"/>
        </w:rPr>
      </w:pPr>
      <w:r>
        <w:rPr>
          <w:sz w:val="24"/>
        </w:rPr>
        <w:t>North Douglass Cecil. (1995). </w:t>
      </w:r>
      <w:r>
        <w:rPr>
          <w:i/>
          <w:sz w:val="24"/>
        </w:rPr>
        <w:t>Instituciones, cambio institucional y desempeño </w:t>
      </w:r>
      <w:r>
        <w:rPr>
          <w:i/>
          <w:sz w:val="24"/>
        </w:rPr>
        <w:t>económico</w:t>
      </w:r>
      <w:r>
        <w:rPr>
          <w:sz w:val="24"/>
        </w:rPr>
        <w:t>. Colección economía contemporánea. FCE. México.</w:t>
      </w:r>
    </w:p>
    <w:p>
      <w:pPr>
        <w:pStyle w:val="BodyText"/>
      </w:pPr>
    </w:p>
    <w:p>
      <w:pPr>
        <w:spacing w:line="360" w:lineRule="auto" w:before="142"/>
        <w:ind w:left="385" w:right="195" w:hanging="284"/>
        <w:jc w:val="both"/>
        <w:rPr>
          <w:sz w:val="24"/>
        </w:rPr>
      </w:pPr>
      <w:r>
        <w:rPr>
          <w:sz w:val="24"/>
        </w:rPr>
        <w:t>O´Donnell, Guillermo and Scmitter, Phillipe (1979). </w:t>
      </w:r>
      <w:r>
        <w:rPr>
          <w:i/>
          <w:sz w:val="24"/>
        </w:rPr>
        <w:t>Prospects for democracy: </w:t>
      </w:r>
      <w:r>
        <w:rPr>
          <w:i/>
          <w:sz w:val="24"/>
        </w:rPr>
        <w:t>transition from Authorirarian rule, a proposal for a series of discussion</w:t>
      </w:r>
      <w:r>
        <w:rPr>
          <w:sz w:val="24"/>
        </w:rPr>
        <w:t>, en: Woodrow Wilson, International Center for Scholars.</w:t>
      </w:r>
    </w:p>
    <w:p>
      <w:pPr>
        <w:pStyle w:val="BodyText"/>
      </w:pPr>
    </w:p>
    <w:p>
      <w:pPr>
        <w:pStyle w:val="BodyText"/>
        <w:spacing w:before="142"/>
        <w:ind w:left="102" w:right="69"/>
      </w:pPr>
      <w:r>
        <w:rPr/>
        <w:t>Oficina del Alto Comisionado para los Derechos Humanos en México.    (2003).</w:t>
      </w:r>
    </w:p>
    <w:p>
      <w:pPr>
        <w:spacing w:before="134"/>
        <w:ind w:left="385" w:right="255" w:firstLine="0"/>
        <w:jc w:val="left"/>
        <w:rPr>
          <w:sz w:val="24"/>
        </w:rPr>
      </w:pPr>
      <w:hyperlink r:id="rId243">
        <w:r>
          <w:rPr>
            <w:i/>
            <w:sz w:val="24"/>
          </w:rPr>
          <w:t>Diagnóstico</w:t>
        </w:r>
      </w:hyperlink>
      <w:r>
        <w:rPr>
          <w:i/>
          <w:sz w:val="24"/>
        </w:rPr>
        <w:t> de los derechos humanos en México</w:t>
      </w:r>
      <w:r>
        <w:rPr>
          <w:sz w:val="24"/>
        </w:rPr>
        <w:t>. México.</w:t>
      </w:r>
    </w:p>
    <w:p>
      <w:pPr>
        <w:pStyle w:val="BodyText"/>
      </w:pPr>
    </w:p>
    <w:p>
      <w:pPr>
        <w:pStyle w:val="BodyText"/>
      </w:pPr>
    </w:p>
    <w:p>
      <w:pPr>
        <w:spacing w:before="0"/>
        <w:ind w:left="102" w:right="69" w:firstLine="0"/>
        <w:jc w:val="left"/>
        <w:rPr>
          <w:i/>
          <w:sz w:val="24"/>
        </w:rPr>
      </w:pPr>
      <w:r>
        <w:rPr>
          <w:sz w:val="24"/>
        </w:rPr>
        <w:t>Olivares, Enrique. (2011). </w:t>
      </w:r>
      <w:r>
        <w:rPr>
          <w:i/>
          <w:sz w:val="24"/>
        </w:rPr>
        <w:t>El presidencialismo mexicano y Enrique Peña </w:t>
      </w:r>
      <w:r>
        <w:rPr>
          <w:i/>
          <w:spacing w:val="51"/>
          <w:sz w:val="24"/>
        </w:rPr>
        <w:t> </w:t>
      </w:r>
      <w:r>
        <w:rPr>
          <w:i/>
          <w:sz w:val="24"/>
        </w:rPr>
        <w:t>Nieto.</w:t>
      </w:r>
    </w:p>
    <w:p>
      <w:pPr>
        <w:pStyle w:val="BodyText"/>
        <w:spacing w:before="139"/>
        <w:ind w:left="385" w:right="255"/>
      </w:pPr>
      <w:r>
        <w:rPr/>
        <w:t>Plaza y Valores Editores. México.</w:t>
      </w:r>
    </w:p>
    <w:p>
      <w:pPr>
        <w:pStyle w:val="BodyText"/>
      </w:pPr>
    </w:p>
    <w:p>
      <w:pPr>
        <w:pStyle w:val="BodyText"/>
        <w:spacing w:before="9"/>
        <w:rPr>
          <w:sz w:val="23"/>
        </w:rPr>
      </w:pPr>
    </w:p>
    <w:p>
      <w:pPr>
        <w:spacing w:line="360" w:lineRule="auto" w:before="0"/>
        <w:ind w:left="385" w:right="198" w:hanging="284"/>
        <w:jc w:val="both"/>
        <w:rPr>
          <w:sz w:val="24"/>
        </w:rPr>
      </w:pPr>
      <w:r>
        <w:rPr>
          <w:sz w:val="24"/>
        </w:rPr>
        <w:t>Peters, B. Guy. (1994). </w:t>
      </w:r>
      <w:r>
        <w:rPr>
          <w:i/>
          <w:sz w:val="24"/>
        </w:rPr>
        <w:t>Cambios en la naturaleza de la administración pública: </w:t>
      </w:r>
      <w:r>
        <w:rPr>
          <w:i/>
          <w:sz w:val="24"/>
        </w:rPr>
        <w:t>de</w:t>
      </w:r>
      <w:r>
        <w:rPr>
          <w:i/>
          <w:spacing w:val="-16"/>
          <w:sz w:val="24"/>
        </w:rPr>
        <w:t> </w:t>
      </w:r>
      <w:r>
        <w:rPr>
          <w:i/>
          <w:sz w:val="24"/>
        </w:rPr>
        <w:t>las</w:t>
      </w:r>
      <w:r>
        <w:rPr>
          <w:i/>
          <w:spacing w:val="-18"/>
          <w:sz w:val="24"/>
        </w:rPr>
        <w:t> </w:t>
      </w:r>
      <w:r>
        <w:rPr>
          <w:i/>
          <w:sz w:val="24"/>
        </w:rPr>
        <w:t>preguntas</w:t>
      </w:r>
      <w:r>
        <w:rPr>
          <w:i/>
          <w:spacing w:val="-19"/>
          <w:sz w:val="24"/>
        </w:rPr>
        <w:t> </w:t>
      </w:r>
      <w:r>
        <w:rPr>
          <w:i/>
          <w:sz w:val="24"/>
        </w:rPr>
        <w:t>sencillas</w:t>
      </w:r>
      <w:r>
        <w:rPr>
          <w:i/>
          <w:spacing w:val="-16"/>
          <w:sz w:val="24"/>
        </w:rPr>
        <w:t> </w:t>
      </w:r>
      <w:r>
        <w:rPr>
          <w:i/>
          <w:sz w:val="24"/>
        </w:rPr>
        <w:t>a</w:t>
      </w:r>
      <w:r>
        <w:rPr>
          <w:i/>
          <w:spacing w:val="-16"/>
          <w:sz w:val="24"/>
        </w:rPr>
        <w:t> </w:t>
      </w:r>
      <w:r>
        <w:rPr>
          <w:i/>
          <w:sz w:val="24"/>
        </w:rPr>
        <w:t>las</w:t>
      </w:r>
      <w:r>
        <w:rPr>
          <w:i/>
          <w:spacing w:val="-16"/>
          <w:sz w:val="24"/>
        </w:rPr>
        <w:t> </w:t>
      </w:r>
      <w:r>
        <w:rPr>
          <w:i/>
          <w:sz w:val="24"/>
        </w:rPr>
        <w:t>respuestas</w:t>
      </w:r>
      <w:r>
        <w:rPr>
          <w:i/>
          <w:spacing w:val="-16"/>
          <w:sz w:val="24"/>
        </w:rPr>
        <w:t> </w:t>
      </w:r>
      <w:r>
        <w:rPr>
          <w:i/>
          <w:sz w:val="24"/>
        </w:rPr>
        <w:t>difíciles</w:t>
      </w:r>
      <w:r>
        <w:rPr>
          <w:sz w:val="24"/>
        </w:rPr>
        <w:t>,</w:t>
      </w:r>
      <w:r>
        <w:rPr>
          <w:spacing w:val="-16"/>
          <w:sz w:val="24"/>
        </w:rPr>
        <w:t> </w:t>
      </w:r>
      <w:r>
        <w:rPr>
          <w:sz w:val="24"/>
        </w:rPr>
        <w:t>en</w:t>
      </w:r>
      <w:r>
        <w:rPr>
          <w:spacing w:val="-18"/>
          <w:sz w:val="24"/>
        </w:rPr>
        <w:t> </w:t>
      </w:r>
      <w:r>
        <w:rPr>
          <w:sz w:val="24"/>
        </w:rPr>
        <w:t>Pardo,</w:t>
      </w:r>
      <w:r>
        <w:rPr>
          <w:spacing w:val="-16"/>
          <w:sz w:val="24"/>
        </w:rPr>
        <w:t> </w:t>
      </w:r>
      <w:r>
        <w:rPr>
          <w:sz w:val="24"/>
        </w:rPr>
        <w:t>Ma.</w:t>
      </w:r>
      <w:r>
        <w:rPr>
          <w:spacing w:val="-18"/>
          <w:sz w:val="24"/>
        </w:rPr>
        <w:t> </w:t>
      </w:r>
      <w:r>
        <w:rPr>
          <w:sz w:val="24"/>
        </w:rPr>
        <w:t>del</w:t>
      </w:r>
      <w:r>
        <w:rPr>
          <w:spacing w:val="-19"/>
          <w:sz w:val="24"/>
        </w:rPr>
        <w:t> </w:t>
      </w:r>
      <w:r>
        <w:rPr>
          <w:sz w:val="24"/>
        </w:rPr>
        <w:t>Carmen</w:t>
      </w:r>
    </w:p>
    <w:p>
      <w:pPr>
        <w:spacing w:after="0" w:line="360" w:lineRule="auto"/>
        <w:jc w:val="both"/>
        <w:rPr>
          <w:sz w:val="24"/>
        </w:rPr>
        <w:sectPr>
          <w:pgSz w:w="11910" w:h="16840"/>
          <w:pgMar w:header="0" w:footer="1003" w:top="1340" w:bottom="1200" w:left="1600" w:right="1500"/>
        </w:sectPr>
      </w:pPr>
    </w:p>
    <w:p>
      <w:pPr>
        <w:spacing w:line="362" w:lineRule="auto" w:before="53"/>
        <w:ind w:left="385" w:right="69" w:firstLine="0"/>
        <w:jc w:val="left"/>
        <w:rPr>
          <w:sz w:val="24"/>
        </w:rPr>
      </w:pPr>
      <w:r>
        <w:rPr>
          <w:sz w:val="24"/>
        </w:rPr>
        <w:t>(Comp.) </w:t>
      </w:r>
      <w:r>
        <w:rPr>
          <w:i/>
          <w:sz w:val="24"/>
        </w:rPr>
        <w:t>De la administración pública a la gobernanza</w:t>
      </w:r>
      <w:r>
        <w:rPr>
          <w:sz w:val="24"/>
        </w:rPr>
        <w:t>. El Colegio de México. Primera Edición. México.</w:t>
      </w:r>
    </w:p>
    <w:p>
      <w:pPr>
        <w:pStyle w:val="BodyText"/>
        <w:spacing w:before="10"/>
        <w:rPr>
          <w:sz w:val="35"/>
        </w:rPr>
      </w:pPr>
    </w:p>
    <w:p>
      <w:pPr>
        <w:spacing w:line="360" w:lineRule="auto" w:before="0"/>
        <w:ind w:left="385" w:right="111" w:hanging="284"/>
        <w:jc w:val="left"/>
        <w:rPr>
          <w:sz w:val="24"/>
        </w:rPr>
      </w:pPr>
      <w:r>
        <w:rPr>
          <w:sz w:val="24"/>
        </w:rPr>
        <w:t>Peters, B. Guy. (2003). </w:t>
      </w:r>
      <w:r>
        <w:rPr>
          <w:i/>
          <w:sz w:val="24"/>
        </w:rPr>
        <w:t>El nuevo institucionalismo, Teoría institucional en ciencia </w:t>
      </w:r>
      <w:r>
        <w:rPr>
          <w:i/>
          <w:sz w:val="24"/>
        </w:rPr>
        <w:t>política</w:t>
      </w:r>
      <w:r>
        <w:rPr>
          <w:sz w:val="24"/>
        </w:rPr>
        <w:t>. Gedisa Editorial, Primera edición. Barcelona.</w:t>
      </w:r>
    </w:p>
    <w:p>
      <w:pPr>
        <w:pStyle w:val="BodyText"/>
      </w:pPr>
    </w:p>
    <w:p>
      <w:pPr>
        <w:spacing w:line="362" w:lineRule="auto" w:before="142"/>
        <w:ind w:left="385" w:right="69" w:hanging="284"/>
        <w:jc w:val="left"/>
        <w:rPr>
          <w:sz w:val="24"/>
        </w:rPr>
      </w:pPr>
      <w:r>
        <w:rPr>
          <w:sz w:val="24"/>
        </w:rPr>
        <w:t>Peters B. Guy. (1999). </w:t>
      </w:r>
      <w:r>
        <w:rPr>
          <w:i/>
          <w:sz w:val="24"/>
        </w:rPr>
        <w:t>La política de la burocracia</w:t>
      </w:r>
      <w:r>
        <w:rPr>
          <w:sz w:val="24"/>
        </w:rPr>
        <w:t>, Nuevas lecturas de política y gobierno. FCE. México.</w:t>
      </w:r>
    </w:p>
    <w:p>
      <w:pPr>
        <w:pStyle w:val="BodyText"/>
        <w:spacing w:before="11"/>
        <w:rPr>
          <w:sz w:val="35"/>
        </w:rPr>
      </w:pPr>
    </w:p>
    <w:p>
      <w:pPr>
        <w:spacing w:before="0"/>
        <w:ind w:left="102" w:right="69" w:firstLine="0"/>
        <w:jc w:val="left"/>
        <w:rPr>
          <w:sz w:val="24"/>
        </w:rPr>
      </w:pPr>
      <w:r>
        <w:rPr>
          <w:sz w:val="24"/>
        </w:rPr>
        <w:t>Pimentel Álvarez, Julio. (2004). </w:t>
      </w:r>
      <w:r>
        <w:rPr>
          <w:i/>
          <w:sz w:val="24"/>
        </w:rPr>
        <w:t>Diccionario Latín-Español-Latín</w:t>
      </w:r>
      <w:r>
        <w:rPr>
          <w:sz w:val="24"/>
        </w:rPr>
        <w:t>. Editorial Porrúa.</w:t>
      </w:r>
    </w:p>
    <w:p>
      <w:pPr>
        <w:pStyle w:val="BodyText"/>
        <w:spacing w:before="139"/>
        <w:ind w:left="385" w:right="255"/>
      </w:pPr>
      <w:r>
        <w:rPr/>
        <w:t>Sexta edición. México.</w:t>
      </w:r>
    </w:p>
    <w:p>
      <w:pPr>
        <w:pStyle w:val="BodyText"/>
      </w:pPr>
    </w:p>
    <w:p>
      <w:pPr>
        <w:pStyle w:val="BodyText"/>
        <w:spacing w:before="9"/>
        <w:rPr>
          <w:sz w:val="23"/>
        </w:rPr>
      </w:pPr>
    </w:p>
    <w:p>
      <w:pPr>
        <w:spacing w:line="360" w:lineRule="auto" w:before="0"/>
        <w:ind w:left="668" w:right="255" w:hanging="567"/>
        <w:jc w:val="left"/>
        <w:rPr>
          <w:sz w:val="24"/>
        </w:rPr>
      </w:pPr>
      <w:r>
        <w:rPr>
          <w:sz w:val="24"/>
        </w:rPr>
        <w:t>Prats i Catalá Joans. (2001). </w:t>
      </w:r>
      <w:r>
        <w:rPr>
          <w:i/>
          <w:sz w:val="24"/>
        </w:rPr>
        <w:t>Gobernabilidad democrática para el desarrollo </w:t>
      </w:r>
      <w:r>
        <w:rPr>
          <w:i/>
          <w:sz w:val="24"/>
        </w:rPr>
        <w:t>humano. Marco conceptual y analítico</w:t>
      </w:r>
      <w:r>
        <w:rPr>
          <w:sz w:val="24"/>
        </w:rPr>
        <w:t>. México.</w:t>
      </w:r>
    </w:p>
    <w:p>
      <w:pPr>
        <w:pStyle w:val="BodyText"/>
      </w:pPr>
    </w:p>
    <w:p>
      <w:pPr>
        <w:spacing w:before="142"/>
        <w:ind w:left="102" w:right="0" w:firstLine="0"/>
        <w:jc w:val="left"/>
        <w:rPr>
          <w:sz w:val="24"/>
        </w:rPr>
      </w:pPr>
      <w:r>
        <w:rPr>
          <w:sz w:val="24"/>
        </w:rPr>
        <w:t>Salazar Medina, Julián (2008) </w:t>
      </w:r>
      <w:r>
        <w:rPr>
          <w:i/>
          <w:sz w:val="24"/>
        </w:rPr>
        <w:t>Elementos básicos de la administración municipal</w:t>
      </w:r>
      <w:r>
        <w:rPr>
          <w:sz w:val="24"/>
        </w:rPr>
        <w:t>.</w:t>
      </w:r>
    </w:p>
    <w:p>
      <w:pPr>
        <w:pStyle w:val="BodyText"/>
        <w:spacing w:before="139"/>
        <w:ind w:left="385" w:right="255"/>
      </w:pPr>
      <w:r>
        <w:rPr/>
        <w:t>IAPEM.</w:t>
      </w:r>
    </w:p>
    <w:p>
      <w:pPr>
        <w:pStyle w:val="BodyText"/>
      </w:pPr>
    </w:p>
    <w:p>
      <w:pPr>
        <w:pStyle w:val="BodyText"/>
      </w:pPr>
    </w:p>
    <w:p>
      <w:pPr>
        <w:pStyle w:val="BodyText"/>
        <w:ind w:left="102" w:right="255"/>
      </w:pPr>
      <w:r>
        <w:rPr/>
        <w:t>Sabine, George. (1994). Historia de la teoría política, FCE. México.</w:t>
      </w:r>
    </w:p>
    <w:p>
      <w:pPr>
        <w:pStyle w:val="BodyText"/>
      </w:pPr>
    </w:p>
    <w:p>
      <w:pPr>
        <w:pStyle w:val="BodyText"/>
        <w:spacing w:before="9"/>
        <w:rPr>
          <w:sz w:val="23"/>
        </w:rPr>
      </w:pPr>
    </w:p>
    <w:p>
      <w:pPr>
        <w:spacing w:line="360" w:lineRule="auto" w:before="0"/>
        <w:ind w:left="385" w:right="255" w:hanging="284"/>
        <w:jc w:val="left"/>
        <w:rPr>
          <w:sz w:val="24"/>
        </w:rPr>
      </w:pPr>
      <w:r>
        <w:rPr>
          <w:sz w:val="24"/>
        </w:rPr>
        <w:t>Salinas de Gortari, Carlos. (2011). </w:t>
      </w:r>
      <w:r>
        <w:rPr>
          <w:i/>
          <w:sz w:val="24"/>
        </w:rPr>
        <w:t>Democracia Republicana, Ni Estado ni </w:t>
      </w:r>
      <w:r>
        <w:rPr>
          <w:i/>
          <w:sz w:val="24"/>
        </w:rPr>
        <w:t>mercado: una alternativa ciudadana</w:t>
      </w:r>
      <w:r>
        <w:rPr>
          <w:sz w:val="24"/>
        </w:rPr>
        <w:t>.  Debate. México.</w:t>
      </w:r>
    </w:p>
    <w:p>
      <w:pPr>
        <w:pStyle w:val="BodyText"/>
      </w:pPr>
    </w:p>
    <w:p>
      <w:pPr>
        <w:spacing w:line="360" w:lineRule="auto" w:before="142"/>
        <w:ind w:left="385" w:right="255" w:hanging="284"/>
        <w:jc w:val="left"/>
        <w:rPr>
          <w:sz w:val="24"/>
        </w:rPr>
      </w:pPr>
      <w:r>
        <w:rPr>
          <w:sz w:val="24"/>
        </w:rPr>
        <w:t>Sánchez Daza, Alfredo. (1993). </w:t>
      </w:r>
      <w:r>
        <w:rPr>
          <w:i/>
          <w:sz w:val="24"/>
        </w:rPr>
        <w:t>México: Estrategia antiinflacionaria</w:t>
      </w:r>
      <w:r>
        <w:rPr>
          <w:sz w:val="24"/>
        </w:rPr>
        <w:t>, UAM-A. Departamento de Economía, México.</w:t>
      </w:r>
    </w:p>
    <w:p>
      <w:pPr>
        <w:pStyle w:val="BodyText"/>
      </w:pPr>
    </w:p>
    <w:p>
      <w:pPr>
        <w:spacing w:before="139"/>
        <w:ind w:left="102" w:right="255" w:firstLine="0"/>
        <w:jc w:val="left"/>
        <w:rPr>
          <w:sz w:val="24"/>
        </w:rPr>
      </w:pPr>
      <w:r>
        <w:rPr>
          <w:sz w:val="24"/>
        </w:rPr>
        <w:t>Sartori, Giovanni. (1994). </w:t>
      </w:r>
      <w:r>
        <w:rPr>
          <w:i/>
          <w:sz w:val="24"/>
        </w:rPr>
        <w:t>Ingeniería constitucional comparada. </w:t>
      </w:r>
      <w:r>
        <w:rPr>
          <w:sz w:val="24"/>
        </w:rPr>
        <w:t>FCE, México.</w:t>
      </w:r>
    </w:p>
    <w:p>
      <w:pPr>
        <w:pStyle w:val="BodyText"/>
      </w:pPr>
    </w:p>
    <w:p>
      <w:pPr>
        <w:pStyle w:val="BodyText"/>
      </w:pPr>
    </w:p>
    <w:p>
      <w:pPr>
        <w:spacing w:line="360" w:lineRule="auto" w:before="0"/>
        <w:ind w:left="385" w:right="255" w:hanging="284"/>
        <w:jc w:val="left"/>
        <w:rPr>
          <w:sz w:val="24"/>
        </w:rPr>
      </w:pPr>
      <w:r>
        <w:rPr>
          <w:sz w:val="24"/>
        </w:rPr>
        <w:t>Sartori Giovanni (2002). </w:t>
      </w:r>
      <w:r>
        <w:rPr>
          <w:i/>
          <w:sz w:val="24"/>
        </w:rPr>
        <w:t>La política, lógica y método en las ciencias sociales</w:t>
      </w:r>
      <w:r>
        <w:rPr>
          <w:sz w:val="24"/>
        </w:rPr>
        <w:t>, FCE. Tercera Edición. México.</w:t>
      </w:r>
    </w:p>
    <w:p>
      <w:pPr>
        <w:pStyle w:val="BodyText"/>
      </w:pPr>
    </w:p>
    <w:p>
      <w:pPr>
        <w:spacing w:line="360" w:lineRule="auto" w:before="139"/>
        <w:ind w:left="385" w:right="255" w:hanging="284"/>
        <w:jc w:val="left"/>
        <w:rPr>
          <w:sz w:val="24"/>
        </w:rPr>
      </w:pPr>
      <w:r>
        <w:rPr>
          <w:sz w:val="24"/>
        </w:rPr>
        <w:t>Schedler, Andreas. (2004). </w:t>
      </w:r>
      <w:r>
        <w:rPr>
          <w:i/>
          <w:sz w:val="24"/>
        </w:rPr>
        <w:t>¿Qué es la rendición de cuentas?, Cuadernos de </w:t>
      </w:r>
      <w:r>
        <w:rPr>
          <w:i/>
          <w:sz w:val="24"/>
        </w:rPr>
        <w:t>transparencia</w:t>
      </w:r>
      <w:r>
        <w:rPr>
          <w:sz w:val="24"/>
        </w:rPr>
        <w:t>, No. 3, IFAI. México.</w:t>
      </w:r>
    </w:p>
    <w:p>
      <w:pPr>
        <w:spacing w:after="0" w:line="360" w:lineRule="auto"/>
        <w:jc w:val="left"/>
        <w:rPr>
          <w:sz w:val="24"/>
        </w:rPr>
        <w:sectPr>
          <w:pgSz w:w="11910" w:h="16840"/>
          <w:pgMar w:header="0" w:footer="943" w:top="1340" w:bottom="1200" w:left="1600" w:right="1500"/>
        </w:sectPr>
      </w:pPr>
    </w:p>
    <w:p>
      <w:pPr>
        <w:spacing w:line="362" w:lineRule="auto" w:before="53"/>
        <w:ind w:left="385" w:right="117" w:hanging="284"/>
        <w:jc w:val="both"/>
        <w:rPr>
          <w:sz w:val="24"/>
        </w:rPr>
      </w:pPr>
      <w:r>
        <w:rPr>
          <w:sz w:val="24"/>
        </w:rPr>
        <w:t>Stiglitz Joseph (2002). </w:t>
      </w:r>
      <w:r>
        <w:rPr>
          <w:i/>
          <w:sz w:val="24"/>
        </w:rPr>
        <w:t>El malestar en la globalización</w:t>
      </w:r>
      <w:r>
        <w:rPr>
          <w:sz w:val="24"/>
        </w:rPr>
        <w:t>, Punto de lectura, primera edición, México.</w:t>
      </w:r>
    </w:p>
    <w:p>
      <w:pPr>
        <w:pStyle w:val="BodyText"/>
        <w:spacing w:before="10"/>
        <w:rPr>
          <w:sz w:val="35"/>
        </w:rPr>
      </w:pPr>
    </w:p>
    <w:p>
      <w:pPr>
        <w:spacing w:line="360" w:lineRule="auto" w:before="0"/>
        <w:ind w:left="385" w:right="123" w:hanging="284"/>
        <w:jc w:val="both"/>
        <w:rPr>
          <w:sz w:val="24"/>
        </w:rPr>
      </w:pPr>
      <w:r>
        <w:rPr>
          <w:sz w:val="24"/>
        </w:rPr>
        <w:t>SFP. (2008). </w:t>
      </w:r>
      <w:r>
        <w:rPr>
          <w:i/>
          <w:sz w:val="24"/>
        </w:rPr>
        <w:t>Comisión Intersecretarial para la Transparencia y Combate a la </w:t>
      </w:r>
      <w:r>
        <w:rPr>
          <w:i/>
          <w:sz w:val="24"/>
        </w:rPr>
        <w:t>Corrupción. Participación ciudadana ¿Para qué?, hacia una política de participación ciudadana en el gobierno federal</w:t>
      </w:r>
      <w:r>
        <w:rPr>
          <w:sz w:val="24"/>
        </w:rPr>
        <w:t>. México.</w:t>
      </w:r>
    </w:p>
    <w:p>
      <w:pPr>
        <w:pStyle w:val="BodyText"/>
      </w:pPr>
    </w:p>
    <w:p>
      <w:pPr>
        <w:spacing w:before="142"/>
        <w:ind w:left="102" w:right="0" w:firstLine="0"/>
        <w:jc w:val="left"/>
        <w:rPr>
          <w:sz w:val="24"/>
        </w:rPr>
      </w:pPr>
      <w:r>
        <w:rPr>
          <w:sz w:val="24"/>
        </w:rPr>
        <w:t>SHCP/UNAM. (2012). </w:t>
      </w:r>
      <w:r>
        <w:rPr>
          <w:i/>
          <w:sz w:val="24"/>
        </w:rPr>
        <w:t>Diplomado de presupuesto basado en resultados</w:t>
      </w:r>
      <w:r>
        <w:rPr>
          <w:sz w:val="24"/>
        </w:rPr>
        <w:t>, Módulo</w:t>
      </w:r>
    </w:p>
    <w:p>
      <w:pPr>
        <w:pStyle w:val="BodyText"/>
        <w:spacing w:before="139"/>
        <w:ind w:left="102" w:right="66"/>
      </w:pPr>
      <w:r>
        <w:rPr/>
        <w:t>2. México.</w:t>
      </w:r>
    </w:p>
    <w:p>
      <w:pPr>
        <w:pStyle w:val="BodyText"/>
      </w:pPr>
    </w:p>
    <w:p>
      <w:pPr>
        <w:pStyle w:val="BodyText"/>
        <w:spacing w:before="9"/>
        <w:rPr>
          <w:sz w:val="23"/>
        </w:rPr>
      </w:pPr>
    </w:p>
    <w:p>
      <w:pPr>
        <w:spacing w:line="362" w:lineRule="auto" w:before="0"/>
        <w:ind w:left="385" w:right="118" w:hanging="284"/>
        <w:jc w:val="both"/>
        <w:rPr>
          <w:sz w:val="24"/>
        </w:rPr>
      </w:pPr>
      <w:r>
        <w:rPr>
          <w:sz w:val="24"/>
        </w:rPr>
        <w:t>Sierra Rojas, Andrés. (2001). </w:t>
      </w:r>
      <w:r>
        <w:rPr>
          <w:i/>
          <w:sz w:val="24"/>
        </w:rPr>
        <w:t>Diccionario de Ciencia Política. </w:t>
      </w:r>
      <w:r>
        <w:rPr>
          <w:sz w:val="24"/>
        </w:rPr>
        <w:t>Tomo I. Facultad de Derecho de la UNAM y Fondo de Cultura Económica. México.</w:t>
      </w:r>
    </w:p>
    <w:p>
      <w:pPr>
        <w:pStyle w:val="BodyText"/>
        <w:spacing w:before="10"/>
        <w:rPr>
          <w:sz w:val="35"/>
        </w:rPr>
      </w:pPr>
    </w:p>
    <w:p>
      <w:pPr>
        <w:spacing w:line="360" w:lineRule="auto" w:before="0"/>
        <w:ind w:left="385" w:right="119" w:hanging="284"/>
        <w:jc w:val="both"/>
        <w:rPr>
          <w:sz w:val="24"/>
        </w:rPr>
      </w:pPr>
      <w:r>
        <w:rPr>
          <w:sz w:val="24"/>
        </w:rPr>
        <w:t>Solares Mendiola, Manuel. (2004). </w:t>
      </w:r>
      <w:r>
        <w:rPr>
          <w:i/>
          <w:sz w:val="24"/>
        </w:rPr>
        <w:t>La Auditoría Superior de la Federación: </w:t>
      </w:r>
      <w:r>
        <w:rPr>
          <w:i/>
          <w:sz w:val="24"/>
        </w:rPr>
        <w:t>antecedentes y perspectiva jurídica</w:t>
      </w:r>
      <w:r>
        <w:rPr>
          <w:sz w:val="24"/>
        </w:rPr>
        <w:t>. UNAM. México.</w:t>
      </w:r>
    </w:p>
    <w:p>
      <w:pPr>
        <w:pStyle w:val="BodyText"/>
      </w:pPr>
    </w:p>
    <w:p>
      <w:pPr>
        <w:spacing w:before="142"/>
        <w:ind w:left="102" w:right="66" w:firstLine="0"/>
        <w:jc w:val="left"/>
        <w:rPr>
          <w:sz w:val="24"/>
        </w:rPr>
      </w:pPr>
      <w:r>
        <w:rPr>
          <w:sz w:val="24"/>
        </w:rPr>
        <w:t>Tamayo  y Tamayo, Mario.  (2003).  </w:t>
      </w:r>
      <w:r>
        <w:rPr>
          <w:i/>
          <w:sz w:val="24"/>
        </w:rPr>
        <w:t>El  proceso de la  investigación    científi</w:t>
      </w:r>
      <w:r>
        <w:rPr>
          <w:sz w:val="24"/>
        </w:rPr>
        <w:t>ca.</w:t>
      </w:r>
    </w:p>
    <w:p>
      <w:pPr>
        <w:pStyle w:val="BodyText"/>
        <w:spacing w:before="141"/>
        <w:ind w:left="385" w:right="66"/>
      </w:pPr>
      <w:r>
        <w:rPr/>
        <w:t>Limusa. Cuarta edición. México.</w:t>
      </w:r>
    </w:p>
    <w:p>
      <w:pPr>
        <w:pStyle w:val="BodyText"/>
      </w:pPr>
    </w:p>
    <w:p>
      <w:pPr>
        <w:pStyle w:val="BodyText"/>
        <w:spacing w:before="9"/>
        <w:rPr>
          <w:sz w:val="23"/>
        </w:rPr>
      </w:pPr>
    </w:p>
    <w:p>
      <w:pPr>
        <w:spacing w:line="360" w:lineRule="auto" w:before="0"/>
        <w:ind w:left="385" w:right="117" w:hanging="284"/>
        <w:jc w:val="both"/>
        <w:rPr>
          <w:sz w:val="24"/>
        </w:rPr>
      </w:pPr>
      <w:r>
        <w:rPr>
          <w:sz w:val="24"/>
        </w:rPr>
        <w:t>Ugalde Ramírez, Luis Carlos. (2002). </w:t>
      </w:r>
      <w:r>
        <w:rPr>
          <w:i/>
          <w:sz w:val="24"/>
        </w:rPr>
        <w:t>La rendición de cuentas en los gobiernos </w:t>
      </w:r>
      <w:r>
        <w:rPr>
          <w:i/>
          <w:sz w:val="24"/>
        </w:rPr>
        <w:t>estatales</w:t>
      </w:r>
      <w:r>
        <w:rPr>
          <w:i/>
          <w:spacing w:val="-5"/>
          <w:sz w:val="24"/>
        </w:rPr>
        <w:t> </w:t>
      </w:r>
      <w:r>
        <w:rPr>
          <w:i/>
          <w:sz w:val="24"/>
        </w:rPr>
        <w:t>y</w:t>
      </w:r>
      <w:r>
        <w:rPr>
          <w:i/>
          <w:spacing w:val="-8"/>
          <w:sz w:val="24"/>
        </w:rPr>
        <w:t> </w:t>
      </w:r>
      <w:r>
        <w:rPr>
          <w:i/>
          <w:sz w:val="24"/>
        </w:rPr>
        <w:t>municipales</w:t>
      </w:r>
      <w:r>
        <w:rPr>
          <w:sz w:val="24"/>
        </w:rPr>
        <w:t>,</w:t>
      </w:r>
      <w:r>
        <w:rPr>
          <w:spacing w:val="-5"/>
          <w:sz w:val="24"/>
        </w:rPr>
        <w:t> </w:t>
      </w:r>
      <w:r>
        <w:rPr>
          <w:sz w:val="24"/>
        </w:rPr>
        <w:t>En</w:t>
      </w:r>
      <w:r>
        <w:rPr>
          <w:spacing w:val="-5"/>
          <w:sz w:val="24"/>
        </w:rPr>
        <w:t> </w:t>
      </w:r>
      <w:r>
        <w:rPr>
          <w:sz w:val="24"/>
        </w:rPr>
        <w:t>Auditoría</w:t>
      </w:r>
      <w:r>
        <w:rPr>
          <w:spacing w:val="-5"/>
          <w:sz w:val="24"/>
        </w:rPr>
        <w:t> </w:t>
      </w:r>
      <w:r>
        <w:rPr>
          <w:sz w:val="24"/>
        </w:rPr>
        <w:t>Superior</w:t>
      </w:r>
      <w:r>
        <w:rPr>
          <w:spacing w:val="-6"/>
          <w:sz w:val="24"/>
        </w:rPr>
        <w:t> </w:t>
      </w:r>
      <w:r>
        <w:rPr>
          <w:sz w:val="24"/>
        </w:rPr>
        <w:t>de</w:t>
      </w:r>
      <w:r>
        <w:rPr>
          <w:spacing w:val="-7"/>
          <w:sz w:val="24"/>
        </w:rPr>
        <w:t> </w:t>
      </w:r>
      <w:r>
        <w:rPr>
          <w:sz w:val="24"/>
        </w:rPr>
        <w:t>la</w:t>
      </w:r>
      <w:r>
        <w:rPr>
          <w:spacing w:val="-7"/>
          <w:sz w:val="24"/>
        </w:rPr>
        <w:t> </w:t>
      </w:r>
      <w:r>
        <w:rPr>
          <w:sz w:val="24"/>
        </w:rPr>
        <w:t>Federación.</w:t>
      </w:r>
      <w:r>
        <w:rPr>
          <w:spacing w:val="-5"/>
          <w:sz w:val="24"/>
        </w:rPr>
        <w:t> </w:t>
      </w:r>
      <w:r>
        <w:rPr>
          <w:sz w:val="24"/>
        </w:rPr>
        <w:t>Cultura</w:t>
      </w:r>
      <w:r>
        <w:rPr>
          <w:spacing w:val="-8"/>
          <w:sz w:val="24"/>
        </w:rPr>
        <w:t> </w:t>
      </w:r>
      <w:r>
        <w:rPr>
          <w:sz w:val="24"/>
        </w:rPr>
        <w:t>de</w:t>
      </w:r>
      <w:r>
        <w:rPr>
          <w:spacing w:val="-7"/>
          <w:sz w:val="24"/>
        </w:rPr>
        <w:t> </w:t>
      </w:r>
      <w:r>
        <w:rPr>
          <w:sz w:val="24"/>
        </w:rPr>
        <w:t>la rendición de cuentas. No. 4.</w:t>
      </w:r>
      <w:r>
        <w:rPr>
          <w:spacing w:val="-14"/>
          <w:sz w:val="24"/>
        </w:rPr>
        <w:t> </w:t>
      </w:r>
      <w:r>
        <w:rPr>
          <w:sz w:val="24"/>
        </w:rPr>
        <w:t>México.</w:t>
      </w:r>
    </w:p>
    <w:p>
      <w:pPr>
        <w:pStyle w:val="BodyText"/>
      </w:pPr>
    </w:p>
    <w:p>
      <w:pPr>
        <w:spacing w:line="360" w:lineRule="auto" w:before="139"/>
        <w:ind w:left="385" w:right="121" w:hanging="284"/>
        <w:jc w:val="both"/>
        <w:rPr>
          <w:sz w:val="24"/>
        </w:rPr>
      </w:pPr>
      <w:r>
        <w:rPr>
          <w:sz w:val="24"/>
        </w:rPr>
        <w:t>Ugalde Ramírez, Luis Carlos. (2002b). </w:t>
      </w:r>
      <w:r>
        <w:rPr>
          <w:i/>
          <w:sz w:val="24"/>
        </w:rPr>
        <w:t>Rendición de Cuentas y Democracia. El </w:t>
      </w:r>
      <w:r>
        <w:rPr>
          <w:i/>
          <w:sz w:val="24"/>
        </w:rPr>
        <w:t>caso de México</w:t>
      </w:r>
      <w:r>
        <w:rPr>
          <w:sz w:val="24"/>
        </w:rPr>
        <w:t>. Instituto Federal Electoral, primera edición. México.</w:t>
      </w:r>
    </w:p>
    <w:p>
      <w:pPr>
        <w:pStyle w:val="BodyText"/>
      </w:pPr>
    </w:p>
    <w:p>
      <w:pPr>
        <w:spacing w:line="364" w:lineRule="auto" w:before="142"/>
        <w:ind w:left="102" w:right="119" w:firstLine="0"/>
        <w:jc w:val="both"/>
        <w:rPr>
          <w:sz w:val="24"/>
        </w:rPr>
      </w:pPr>
      <w:r>
        <w:rPr>
          <w:sz w:val="24"/>
        </w:rPr>
        <w:t>Weber, Max. (1964) </w:t>
      </w:r>
      <w:r>
        <w:rPr>
          <w:i/>
          <w:sz w:val="24"/>
        </w:rPr>
        <w:t>Economía y Sociedad</w:t>
      </w:r>
      <w:r>
        <w:rPr>
          <w:sz w:val="24"/>
        </w:rPr>
        <w:t>, Fondo de Cultura Económica. México.</w:t>
      </w:r>
    </w:p>
    <w:p>
      <w:pPr>
        <w:pStyle w:val="BodyText"/>
      </w:pPr>
    </w:p>
    <w:p>
      <w:pPr>
        <w:pStyle w:val="BodyText"/>
      </w:pPr>
    </w:p>
    <w:p>
      <w:pPr>
        <w:pStyle w:val="BodyText"/>
        <w:spacing w:before="6"/>
        <w:rPr>
          <w:sz w:val="23"/>
        </w:rPr>
      </w:pPr>
    </w:p>
    <w:p>
      <w:pPr>
        <w:spacing w:line="360" w:lineRule="auto" w:before="0"/>
        <w:ind w:left="102" w:right="118" w:firstLine="0"/>
        <w:jc w:val="both"/>
        <w:rPr>
          <w:sz w:val="24"/>
        </w:rPr>
      </w:pPr>
      <w:r>
        <w:rPr>
          <w:sz w:val="24"/>
        </w:rPr>
        <w:t>World Bank (2008). Bank Information Center, </w:t>
      </w:r>
      <w:r>
        <w:rPr>
          <w:i/>
          <w:sz w:val="24"/>
        </w:rPr>
        <w:t>Rendición de cuentas y </w:t>
      </w:r>
      <w:r>
        <w:rPr>
          <w:i/>
          <w:sz w:val="24"/>
        </w:rPr>
        <w:t>participación en el diseño de proyectos del Banco Mundial y del Banco Interamericano de Desarrollo: De la retórica a las acciones</w:t>
      </w:r>
      <w:r>
        <w:rPr>
          <w:sz w:val="24"/>
        </w:rPr>
        <w:t>, 2008, Washington D.C.</w:t>
      </w:r>
    </w:p>
    <w:p>
      <w:pPr>
        <w:spacing w:after="0" w:line="360" w:lineRule="auto"/>
        <w:jc w:val="both"/>
        <w:rPr>
          <w:sz w:val="24"/>
        </w:rPr>
        <w:sectPr>
          <w:pgSz w:w="11910" w:h="16840"/>
          <w:pgMar w:header="0" w:footer="1003" w:top="1340" w:bottom="1200" w:left="1600" w:right="1580"/>
        </w:sectPr>
      </w:pPr>
    </w:p>
    <w:p>
      <w:pPr>
        <w:pStyle w:val="Heading2"/>
        <w:spacing w:before="56"/>
        <w:ind w:left="102" w:right="66" w:firstLine="0"/>
        <w:jc w:val="left"/>
      </w:pPr>
      <w:bookmarkStart w:name="_bookmark98" w:id="129"/>
      <w:bookmarkEnd w:id="129"/>
      <w:r>
        <w:rPr>
          <w:b w:val="0"/>
        </w:rPr>
      </w:r>
      <w:r>
        <w:rPr/>
        <w:t>Consultas en línea</w:t>
      </w:r>
    </w:p>
    <w:p>
      <w:pPr>
        <w:pStyle w:val="BodyText"/>
        <w:spacing w:before="6"/>
        <w:rPr>
          <w:b/>
          <w:sz w:val="30"/>
        </w:rPr>
      </w:pPr>
    </w:p>
    <w:p>
      <w:pPr>
        <w:pStyle w:val="BodyText"/>
        <w:tabs>
          <w:tab w:pos="1545" w:val="left" w:leader="none"/>
          <w:tab w:pos="2200" w:val="left" w:leader="none"/>
        </w:tabs>
        <w:spacing w:line="360" w:lineRule="auto"/>
        <w:ind w:left="102" w:right="127"/>
      </w:pPr>
      <w:r>
        <w:rPr/>
        <w:t>Disponible</w:t>
        <w:tab/>
        <w:t>en:</w:t>
        <w:tab/>
      </w:r>
      <w:hyperlink r:id="rId244">
        <w:r>
          <w:rPr>
            <w:spacing w:val="-1"/>
          </w:rPr>
          <w:t>http://unesdoc.unesco.org/images/0015/001502/150259f.pdf</w:t>
        </w:r>
      </w:hyperlink>
      <w:r>
        <w:rPr>
          <w:spacing w:val="-1"/>
        </w:rPr>
        <w:t> </w:t>
      </w:r>
      <w:r>
        <w:rPr/>
        <w:t>[Fecha de consulta: 20 de abril,</w:t>
      </w:r>
      <w:r>
        <w:rPr>
          <w:spacing w:val="-11"/>
        </w:rPr>
        <w:t> </w:t>
      </w:r>
      <w:r>
        <w:rPr/>
        <w:t>2015]</w:t>
      </w:r>
    </w:p>
    <w:p>
      <w:pPr>
        <w:pStyle w:val="BodyText"/>
      </w:pPr>
    </w:p>
    <w:p>
      <w:pPr>
        <w:pStyle w:val="BodyText"/>
        <w:spacing w:before="5"/>
        <w:rPr>
          <w:sz w:val="20"/>
        </w:rPr>
      </w:pPr>
    </w:p>
    <w:p>
      <w:pPr>
        <w:spacing w:line="360" w:lineRule="auto" w:before="0"/>
        <w:ind w:left="102" w:right="1275" w:firstLine="0"/>
        <w:jc w:val="left"/>
        <w:rPr>
          <w:sz w:val="24"/>
        </w:rPr>
      </w:pPr>
      <w:r>
        <w:rPr>
          <w:sz w:val="24"/>
        </w:rPr>
        <w:t>Aguilar F. Luis. (2010). </w:t>
      </w:r>
      <w:r>
        <w:rPr>
          <w:i/>
          <w:sz w:val="24"/>
        </w:rPr>
        <w:t>Gobernanza: El nuevo proceso de gobernar </w:t>
      </w:r>
      <w:r>
        <w:rPr>
          <w:sz w:val="24"/>
        </w:rPr>
        <w:t>Disponible en: </w:t>
      </w:r>
      <w:hyperlink r:id="rId245">
        <w:r>
          <w:rPr>
            <w:color w:val="0000FF"/>
            <w:sz w:val="24"/>
            <w:u w:val="single" w:color="0000FF"/>
          </w:rPr>
          <w:t>www.facebook.com/note.php?note_id=385499133141</w:t>
        </w:r>
      </w:hyperlink>
      <w:r>
        <w:rPr>
          <w:color w:val="0000FF"/>
          <w:sz w:val="24"/>
          <w:u w:val="single" w:color="0000FF"/>
        </w:rPr>
        <w:t> </w:t>
      </w:r>
      <w:r>
        <w:rPr>
          <w:sz w:val="24"/>
        </w:rPr>
        <w:t>[Fecha de consulta: 30 de diciembre, 2015]</w:t>
      </w:r>
    </w:p>
    <w:p>
      <w:pPr>
        <w:pStyle w:val="BodyText"/>
      </w:pPr>
    </w:p>
    <w:p>
      <w:pPr>
        <w:spacing w:line="362" w:lineRule="auto" w:before="139"/>
        <w:ind w:left="102" w:right="115" w:firstLine="0"/>
        <w:jc w:val="both"/>
        <w:rPr>
          <w:sz w:val="24"/>
        </w:rPr>
      </w:pPr>
      <w:r>
        <w:rPr>
          <w:sz w:val="24"/>
        </w:rPr>
        <w:t>Aguirre Botello, Manuel. (Consulta en línea). </w:t>
      </w:r>
      <w:r>
        <w:rPr>
          <w:i/>
          <w:sz w:val="24"/>
        </w:rPr>
        <w:t>La historia de un voto, seis años </w:t>
      </w:r>
      <w:r>
        <w:rPr>
          <w:i/>
          <w:sz w:val="24"/>
        </w:rPr>
        <w:t>después. El gobierno del Presidente Vicente Fox Quesada, 2000-2006</w:t>
      </w:r>
      <w:r>
        <w:rPr>
          <w:sz w:val="24"/>
        </w:rPr>
        <w:t>, cuarta parte.</w:t>
      </w:r>
    </w:p>
    <w:p>
      <w:pPr>
        <w:pStyle w:val="BodyText"/>
        <w:spacing w:line="360" w:lineRule="auto"/>
        <w:ind w:left="102" w:right="2431"/>
      </w:pPr>
      <w:r>
        <w:rPr/>
        <w:t>Disponible en: </w:t>
      </w:r>
      <w:hyperlink r:id="rId246">
        <w:r>
          <w:rPr>
            <w:color w:val="0000FF"/>
            <w:u w:val="single" w:color="0000FF"/>
          </w:rPr>
          <w:t>http://mexicomagico.org/Voto/4A/fox4a.htm</w:t>
        </w:r>
      </w:hyperlink>
      <w:r>
        <w:rPr>
          <w:color w:val="0000FF"/>
          <w:u w:val="single" w:color="0000FF"/>
        </w:rPr>
        <w:t> </w:t>
      </w:r>
      <w:r>
        <w:rPr/>
        <w:t>[Fecha de consulta: 30 de diciembre, 2015]</w:t>
      </w:r>
    </w:p>
    <w:p>
      <w:pPr>
        <w:pStyle w:val="BodyText"/>
      </w:pPr>
    </w:p>
    <w:p>
      <w:pPr>
        <w:pStyle w:val="BodyText"/>
        <w:spacing w:before="142"/>
        <w:ind w:left="102" w:right="66"/>
      </w:pPr>
      <w:r>
        <w:rPr/>
        <w:t>Antecedentes Históricos de la SHCP.</w:t>
      </w:r>
    </w:p>
    <w:p>
      <w:pPr>
        <w:pStyle w:val="BodyText"/>
        <w:spacing w:line="360" w:lineRule="auto" w:before="139"/>
        <w:ind w:left="102" w:right="66"/>
      </w:pPr>
      <w:r>
        <w:rPr/>
        <w:t>Disponible en: </w:t>
      </w:r>
      <w:hyperlink r:id="rId110">
        <w:r>
          <w:rPr>
            <w:color w:val="0000FF"/>
            <w:u w:val="single" w:color="0000FF"/>
          </w:rPr>
          <w:t>http://www.shcp.gob.mx/LASHCP/Documents/antecedentes.pdf</w:t>
        </w:r>
      </w:hyperlink>
      <w:r>
        <w:rPr>
          <w:color w:val="0000FF"/>
          <w:u w:val="single" w:color="0000FF"/>
        </w:rPr>
        <w:t> </w:t>
      </w:r>
      <w:r>
        <w:rPr/>
        <w:t>[Fecha de consulta: 15 de mayo, 2015]</w:t>
      </w:r>
    </w:p>
    <w:p>
      <w:pPr>
        <w:pStyle w:val="BodyText"/>
      </w:pPr>
    </w:p>
    <w:p>
      <w:pPr>
        <w:spacing w:before="140"/>
        <w:ind w:left="102" w:right="66" w:firstLine="0"/>
        <w:jc w:val="left"/>
        <w:rPr>
          <w:sz w:val="24"/>
        </w:rPr>
      </w:pPr>
      <w:r>
        <w:rPr>
          <w:sz w:val="24"/>
        </w:rPr>
        <w:t>Aristóteles, (s.f.). </w:t>
      </w:r>
      <w:r>
        <w:rPr>
          <w:i/>
          <w:sz w:val="24"/>
        </w:rPr>
        <w:t>La política</w:t>
      </w:r>
      <w:r>
        <w:rPr>
          <w:sz w:val="24"/>
        </w:rPr>
        <w:t>.</w:t>
      </w:r>
    </w:p>
    <w:p>
      <w:pPr>
        <w:pStyle w:val="BodyText"/>
        <w:spacing w:line="360" w:lineRule="auto" w:before="141"/>
        <w:ind w:left="102" w:right="2617"/>
      </w:pPr>
      <w:r>
        <w:rPr/>
        <w:t>Disponible en: </w:t>
      </w:r>
      <w:hyperlink r:id="rId247">
        <w:r>
          <w:rPr/>
          <w:t>http://www.filosofia.org/ave/001/a240.htm</w:t>
        </w:r>
      </w:hyperlink>
      <w:r>
        <w:rPr/>
        <w:t> [Fecha de consulta: 30 de diciembre, 2015]</w:t>
      </w:r>
    </w:p>
    <w:p>
      <w:pPr>
        <w:pStyle w:val="BodyText"/>
      </w:pPr>
    </w:p>
    <w:p>
      <w:pPr>
        <w:spacing w:line="360" w:lineRule="auto" w:before="139"/>
        <w:ind w:left="102" w:right="66" w:firstLine="0"/>
        <w:jc w:val="left"/>
        <w:rPr>
          <w:sz w:val="24"/>
        </w:rPr>
      </w:pPr>
      <w:r>
        <w:rPr>
          <w:sz w:val="24"/>
        </w:rPr>
        <w:t>Cerrillo i Martínez, Agustí. Coord. (2005). </w:t>
      </w:r>
      <w:r>
        <w:rPr>
          <w:i/>
          <w:sz w:val="24"/>
        </w:rPr>
        <w:t>Gobernanza hoy: 10 textos de </w:t>
      </w:r>
      <w:r>
        <w:rPr>
          <w:i/>
          <w:sz w:val="24"/>
        </w:rPr>
        <w:t>referencia</w:t>
      </w:r>
      <w:r>
        <w:rPr>
          <w:sz w:val="24"/>
        </w:rPr>
        <w:t>, IIG/INAP. Madrid.</w:t>
      </w:r>
    </w:p>
    <w:p>
      <w:pPr>
        <w:pStyle w:val="BodyText"/>
        <w:spacing w:line="360" w:lineRule="auto" w:before="5"/>
        <w:ind w:left="102" w:right="403"/>
      </w:pPr>
      <w:r>
        <w:rPr/>
        <w:t>Disponible en: </w:t>
      </w:r>
      <w:hyperlink r:id="rId248">
        <w:r>
          <w:rPr/>
          <w:t>http://www.inap.org.mx/portal/images/RAP/la%20gobernanza%20hoy.pdf</w:t>
        </w:r>
      </w:hyperlink>
      <w:r>
        <w:rPr/>
        <w:t> [Fecha de consulta: 30 de diciembre, 2015]</w:t>
      </w:r>
    </w:p>
    <w:p>
      <w:pPr>
        <w:spacing w:line="360" w:lineRule="auto" w:before="2"/>
        <w:ind w:left="102" w:right="66" w:firstLine="0"/>
        <w:jc w:val="left"/>
        <w:rPr>
          <w:sz w:val="24"/>
        </w:rPr>
      </w:pPr>
      <w:r>
        <w:rPr>
          <w:sz w:val="24"/>
        </w:rPr>
        <w:t>Astudillo Moya Marcela. (2002). </w:t>
      </w:r>
      <w:r>
        <w:rPr>
          <w:i/>
          <w:sz w:val="24"/>
        </w:rPr>
        <w:t>Algunas consideraciones sobre la nueva </w:t>
      </w:r>
      <w:r>
        <w:rPr>
          <w:i/>
          <w:sz w:val="24"/>
        </w:rPr>
        <w:t>hacienda pública ¿Distributiva?, </w:t>
      </w:r>
      <w:r>
        <w:rPr>
          <w:sz w:val="24"/>
        </w:rPr>
        <w:t>Momento Económico</w:t>
      </w:r>
    </w:p>
    <w:p>
      <w:pPr>
        <w:pStyle w:val="BodyText"/>
        <w:spacing w:line="360" w:lineRule="auto" w:before="7"/>
        <w:ind w:left="102" w:right="977"/>
      </w:pPr>
      <w:r>
        <w:rPr/>
        <w:t>Disponible en: </w:t>
      </w:r>
      <w:hyperlink r:id="rId249">
        <w:r>
          <w:rPr>
            <w:color w:val="0000FF"/>
            <w:u w:val="single" w:color="0000FF"/>
          </w:rPr>
          <w:t>http://www.ejournal.unam.mx/moe/no119/MOE11903.pdf</w:t>
        </w:r>
      </w:hyperlink>
      <w:r>
        <w:rPr>
          <w:color w:val="0000FF"/>
          <w:u w:val="single" w:color="0000FF"/>
        </w:rPr>
        <w:t> </w:t>
      </w:r>
      <w:r>
        <w:rPr/>
        <w:t>[Fecha de consulta: 30 de diciembre, 2015]</w:t>
      </w:r>
    </w:p>
    <w:p>
      <w:pPr>
        <w:spacing w:after="0" w:line="360" w:lineRule="auto"/>
        <w:sectPr>
          <w:pgSz w:w="11910" w:h="16840"/>
          <w:pgMar w:header="0" w:footer="943" w:top="1340" w:bottom="1200" w:left="1600" w:right="1580"/>
        </w:sectPr>
      </w:pPr>
    </w:p>
    <w:p>
      <w:pPr>
        <w:spacing w:line="362" w:lineRule="auto" w:before="53"/>
        <w:ind w:left="102" w:right="42" w:firstLine="0"/>
        <w:jc w:val="left"/>
        <w:rPr>
          <w:sz w:val="24"/>
        </w:rPr>
      </w:pPr>
      <w:r>
        <w:rPr>
          <w:sz w:val="24"/>
        </w:rPr>
        <w:t>ASF. (2002). </w:t>
      </w:r>
      <w:r>
        <w:rPr>
          <w:i/>
          <w:sz w:val="24"/>
        </w:rPr>
        <w:t>Informe del Resultado de la Revisión y Fiscalización Superior de la </w:t>
      </w:r>
      <w:r>
        <w:rPr>
          <w:i/>
          <w:sz w:val="24"/>
        </w:rPr>
        <w:t>Cuenta Pública 2000</w:t>
      </w:r>
      <w:r>
        <w:rPr>
          <w:sz w:val="24"/>
        </w:rPr>
        <w:t>, Tomo III.</w:t>
      </w:r>
    </w:p>
    <w:p>
      <w:pPr>
        <w:pStyle w:val="BodyText"/>
        <w:spacing w:line="360" w:lineRule="auto" w:before="2"/>
        <w:ind w:left="102" w:right="924"/>
      </w:pPr>
      <w:r>
        <w:rPr/>
        <w:t>Disponible en: </w:t>
      </w:r>
      <w:hyperlink r:id="rId250">
        <w:r>
          <w:rPr/>
          <w:t>http://www.asf.gob.mx/Trans/Informes/IR2000i/indice.htm</w:t>
        </w:r>
      </w:hyperlink>
      <w:r>
        <w:rPr/>
        <w:t> [Fecha de consulta: 30 de diciembre, 2015]</w:t>
      </w:r>
    </w:p>
    <w:p>
      <w:pPr>
        <w:pStyle w:val="BodyText"/>
      </w:pPr>
    </w:p>
    <w:p>
      <w:pPr>
        <w:spacing w:line="360" w:lineRule="auto" w:before="139"/>
        <w:ind w:left="102" w:right="42" w:firstLine="0"/>
        <w:jc w:val="left"/>
        <w:rPr>
          <w:sz w:val="24"/>
        </w:rPr>
      </w:pPr>
      <w:r>
        <w:rPr>
          <w:sz w:val="24"/>
        </w:rPr>
        <w:t>ASF. (2003). </w:t>
      </w:r>
      <w:r>
        <w:rPr>
          <w:i/>
          <w:sz w:val="24"/>
        </w:rPr>
        <w:t>Informe del Resultado de la Revisión y Fiscalización Superior de la </w:t>
      </w:r>
      <w:r>
        <w:rPr>
          <w:i/>
          <w:sz w:val="24"/>
        </w:rPr>
        <w:t>Cuenta Pública 2001</w:t>
      </w:r>
      <w:r>
        <w:rPr>
          <w:sz w:val="24"/>
        </w:rPr>
        <w:t>, Tomo X Parte 2</w:t>
      </w:r>
    </w:p>
    <w:p>
      <w:pPr>
        <w:pStyle w:val="BodyText"/>
        <w:tabs>
          <w:tab w:pos="8272" w:val="left" w:leader="none"/>
        </w:tabs>
        <w:spacing w:before="7"/>
        <w:ind w:left="102" w:right="66"/>
      </w:pPr>
      <w:r>
        <w:rPr/>
        <w:t>Disponible</w:t>
        <w:tab/>
        <w:t>en:</w:t>
      </w:r>
    </w:p>
    <w:p>
      <w:pPr>
        <w:pStyle w:val="BodyText"/>
        <w:spacing w:line="362" w:lineRule="auto" w:before="137"/>
        <w:ind w:left="102" w:right="1471"/>
      </w:pPr>
      <w:hyperlink r:id="rId251">
        <w:r>
          <w:rPr/>
          <w:t>http://www.asf.gob.mx/Trans/Informes/IR2001i/indice/Ejecutivo.htm</w:t>
        </w:r>
      </w:hyperlink>
      <w:r>
        <w:rPr/>
        <w:t> [Fecha de consulta: 30 de diciembre, 2015]</w:t>
      </w:r>
    </w:p>
    <w:p>
      <w:pPr>
        <w:pStyle w:val="BodyText"/>
        <w:spacing w:before="10"/>
        <w:rPr>
          <w:sz w:val="35"/>
        </w:rPr>
      </w:pPr>
    </w:p>
    <w:p>
      <w:pPr>
        <w:spacing w:line="360" w:lineRule="auto" w:before="0"/>
        <w:ind w:left="102" w:right="42" w:firstLine="0"/>
        <w:jc w:val="left"/>
        <w:rPr>
          <w:sz w:val="24"/>
        </w:rPr>
      </w:pPr>
      <w:r>
        <w:rPr>
          <w:sz w:val="24"/>
        </w:rPr>
        <w:t>ASF. (2004</w:t>
      </w:r>
      <w:r>
        <w:rPr>
          <w:i/>
          <w:sz w:val="24"/>
        </w:rPr>
        <w:t>). Informe del Resultado de la Revisión y Fiscalización Superior de la </w:t>
      </w:r>
      <w:r>
        <w:rPr>
          <w:i/>
          <w:sz w:val="24"/>
        </w:rPr>
        <w:t>Cuenta Pública 2002</w:t>
      </w:r>
      <w:r>
        <w:rPr>
          <w:sz w:val="24"/>
        </w:rPr>
        <w:t>, Ramo General 33 Tomo X parte 2</w:t>
      </w:r>
    </w:p>
    <w:p>
      <w:pPr>
        <w:pStyle w:val="BodyText"/>
        <w:spacing w:line="360" w:lineRule="auto" w:before="7"/>
        <w:ind w:left="102" w:right="924"/>
      </w:pPr>
      <w:r>
        <w:rPr/>
        <w:t>Disponible en: </w:t>
      </w:r>
      <w:hyperlink r:id="rId252">
        <w:r>
          <w:rPr/>
          <w:t>http://www.asf.gob.mx/Trans/Informes/IR2002i/indice.htm</w:t>
        </w:r>
      </w:hyperlink>
      <w:r>
        <w:rPr/>
        <w:t> [Fecha de consulta: 30 de diciembre, 2015]</w:t>
      </w:r>
    </w:p>
    <w:p>
      <w:pPr>
        <w:pStyle w:val="BodyText"/>
      </w:pPr>
    </w:p>
    <w:p>
      <w:pPr>
        <w:pStyle w:val="BodyText"/>
      </w:pPr>
    </w:p>
    <w:p>
      <w:pPr>
        <w:pStyle w:val="BodyText"/>
        <w:spacing w:before="2"/>
      </w:pPr>
    </w:p>
    <w:p>
      <w:pPr>
        <w:spacing w:line="360" w:lineRule="auto" w:before="1"/>
        <w:ind w:left="102" w:right="42" w:firstLine="0"/>
        <w:jc w:val="left"/>
        <w:rPr>
          <w:sz w:val="24"/>
        </w:rPr>
      </w:pPr>
      <w:r>
        <w:rPr>
          <w:sz w:val="24"/>
        </w:rPr>
        <w:t>ASF. (2005). </w:t>
      </w:r>
      <w:r>
        <w:rPr>
          <w:i/>
          <w:sz w:val="24"/>
        </w:rPr>
        <w:t>Informe del Resultado de la Revisión y Fiscalización Superior de la </w:t>
      </w:r>
      <w:r>
        <w:rPr>
          <w:i/>
          <w:sz w:val="24"/>
        </w:rPr>
        <w:t>Cuenta Pública 2003</w:t>
      </w:r>
      <w:r>
        <w:rPr>
          <w:sz w:val="24"/>
        </w:rPr>
        <w:t>, Tomo Ejecutivo.</w:t>
      </w:r>
    </w:p>
    <w:p>
      <w:pPr>
        <w:pStyle w:val="BodyText"/>
        <w:tabs>
          <w:tab w:pos="8272" w:val="left" w:leader="none"/>
        </w:tabs>
        <w:spacing w:before="7"/>
        <w:ind w:left="102" w:right="66"/>
      </w:pPr>
      <w:r>
        <w:rPr/>
        <w:t>Disponible</w:t>
        <w:tab/>
        <w:t>en:</w:t>
      </w:r>
    </w:p>
    <w:p>
      <w:pPr>
        <w:pStyle w:val="BodyText"/>
        <w:spacing w:line="360" w:lineRule="auto" w:before="137"/>
        <w:ind w:left="102" w:right="1458"/>
      </w:pPr>
      <w:hyperlink r:id="rId214">
        <w:r>
          <w:rPr/>
          <w:t>http://www.asf.gob.mx/Trans/Informes/IR2003i/Indice/Ejecutivo.htm</w:t>
        </w:r>
      </w:hyperlink>
      <w:r>
        <w:rPr/>
        <w:t> [Fecha de consulta: 30 de diciembre, 2015]</w:t>
      </w:r>
    </w:p>
    <w:p>
      <w:pPr>
        <w:pStyle w:val="BodyText"/>
      </w:pPr>
    </w:p>
    <w:p>
      <w:pPr>
        <w:spacing w:line="360" w:lineRule="auto" w:before="139"/>
        <w:ind w:left="102" w:right="42" w:firstLine="0"/>
        <w:jc w:val="left"/>
        <w:rPr>
          <w:sz w:val="24"/>
        </w:rPr>
      </w:pPr>
      <w:r>
        <w:rPr>
          <w:sz w:val="24"/>
        </w:rPr>
        <w:t>ASF. (2005). </w:t>
      </w:r>
      <w:r>
        <w:rPr>
          <w:i/>
          <w:sz w:val="24"/>
        </w:rPr>
        <w:t>Informe del Resultado de la Revisión y Fiscalización Superior de la </w:t>
      </w:r>
      <w:r>
        <w:rPr>
          <w:i/>
          <w:sz w:val="24"/>
        </w:rPr>
        <w:t>Cuenta Pública 2003</w:t>
      </w:r>
      <w:r>
        <w:rPr>
          <w:sz w:val="24"/>
        </w:rPr>
        <w:t>, Tomo III</w:t>
      </w:r>
    </w:p>
    <w:p>
      <w:pPr>
        <w:pStyle w:val="BodyText"/>
        <w:tabs>
          <w:tab w:pos="8272" w:val="left" w:leader="none"/>
        </w:tabs>
        <w:spacing w:before="7"/>
        <w:ind w:left="102" w:right="66"/>
      </w:pPr>
      <w:r>
        <w:rPr/>
        <w:t>Disponible</w:t>
        <w:tab/>
        <w:t>en:</w:t>
      </w:r>
    </w:p>
    <w:p>
      <w:pPr>
        <w:pStyle w:val="BodyText"/>
        <w:spacing w:line="362" w:lineRule="auto" w:before="137"/>
        <w:ind w:left="102" w:right="1458"/>
      </w:pPr>
      <w:hyperlink r:id="rId214">
        <w:r>
          <w:rPr/>
          <w:t>http://www.asf.gob.mx/Trans/Informes/IR2003i/Indice/Ejecutivo.htm</w:t>
        </w:r>
      </w:hyperlink>
      <w:r>
        <w:rPr/>
        <w:t> [Fecha de consulta: 30 de diciembre, 2015]</w:t>
      </w:r>
    </w:p>
    <w:p>
      <w:pPr>
        <w:pStyle w:val="BodyText"/>
        <w:spacing w:before="8"/>
        <w:rPr>
          <w:sz w:val="35"/>
        </w:rPr>
      </w:pPr>
    </w:p>
    <w:p>
      <w:pPr>
        <w:spacing w:line="360" w:lineRule="auto" w:before="0"/>
        <w:ind w:left="102" w:right="66" w:firstLine="0"/>
        <w:jc w:val="left"/>
        <w:rPr>
          <w:sz w:val="24"/>
        </w:rPr>
      </w:pPr>
      <w:r>
        <w:rPr>
          <w:sz w:val="24"/>
        </w:rPr>
        <w:t>ASF. (2005). </w:t>
      </w:r>
      <w:r>
        <w:rPr>
          <w:i/>
          <w:sz w:val="24"/>
        </w:rPr>
        <w:t>Memoria del Foro Internacional sobre la Fiscalización Superior en </w:t>
      </w:r>
      <w:r>
        <w:rPr>
          <w:i/>
          <w:sz w:val="24"/>
        </w:rPr>
        <w:t>México y el Mundo </w:t>
      </w:r>
      <w:r>
        <w:rPr>
          <w:sz w:val="24"/>
        </w:rPr>
        <w:t>www3.diputados.gob.mx/camara/content/.../memoria_foro05.pdf</w:t>
      </w:r>
    </w:p>
    <w:p>
      <w:pPr>
        <w:pStyle w:val="BodyText"/>
        <w:spacing w:before="5"/>
        <w:ind w:left="102" w:right="66"/>
      </w:pPr>
      <w:r>
        <w:rPr/>
        <w:t>[Fecha de consulta: 30 de diciembre, 2015]</w:t>
      </w:r>
    </w:p>
    <w:p>
      <w:pPr>
        <w:spacing w:after="0"/>
        <w:sectPr>
          <w:pgSz w:w="11910" w:h="16840"/>
          <w:pgMar w:header="0" w:footer="1003" w:top="1340" w:bottom="1200" w:left="1600" w:right="1580"/>
        </w:sectPr>
      </w:pPr>
    </w:p>
    <w:p>
      <w:pPr>
        <w:spacing w:line="362" w:lineRule="auto" w:before="53"/>
        <w:ind w:left="102" w:right="118" w:firstLine="0"/>
        <w:jc w:val="both"/>
        <w:rPr>
          <w:sz w:val="24"/>
        </w:rPr>
      </w:pPr>
      <w:r>
        <w:rPr>
          <w:sz w:val="24"/>
        </w:rPr>
        <w:t>ASF.</w:t>
      </w:r>
      <w:r>
        <w:rPr>
          <w:spacing w:val="-5"/>
          <w:sz w:val="24"/>
        </w:rPr>
        <w:t> </w:t>
      </w:r>
      <w:r>
        <w:rPr>
          <w:sz w:val="24"/>
        </w:rPr>
        <w:t>(2006).</w:t>
      </w:r>
      <w:r>
        <w:rPr>
          <w:spacing w:val="-7"/>
          <w:sz w:val="24"/>
        </w:rPr>
        <w:t> </w:t>
      </w:r>
      <w:r>
        <w:rPr>
          <w:i/>
          <w:sz w:val="24"/>
        </w:rPr>
        <w:t>Informe</w:t>
      </w:r>
      <w:r>
        <w:rPr>
          <w:i/>
          <w:spacing w:val="-5"/>
          <w:sz w:val="24"/>
        </w:rPr>
        <w:t> </w:t>
      </w:r>
      <w:r>
        <w:rPr>
          <w:i/>
          <w:sz w:val="24"/>
        </w:rPr>
        <w:t>del</w:t>
      </w:r>
      <w:r>
        <w:rPr>
          <w:i/>
          <w:spacing w:val="-6"/>
          <w:sz w:val="24"/>
        </w:rPr>
        <w:t> </w:t>
      </w:r>
      <w:r>
        <w:rPr>
          <w:i/>
          <w:sz w:val="24"/>
        </w:rPr>
        <w:t>Resultado</w:t>
      </w:r>
      <w:r>
        <w:rPr>
          <w:i/>
          <w:spacing w:val="-7"/>
          <w:sz w:val="24"/>
        </w:rPr>
        <w:t> </w:t>
      </w:r>
      <w:r>
        <w:rPr>
          <w:i/>
          <w:sz w:val="24"/>
        </w:rPr>
        <w:t>de</w:t>
      </w:r>
      <w:r>
        <w:rPr>
          <w:i/>
          <w:spacing w:val="-7"/>
          <w:sz w:val="24"/>
        </w:rPr>
        <w:t> </w:t>
      </w:r>
      <w:r>
        <w:rPr>
          <w:i/>
          <w:sz w:val="24"/>
        </w:rPr>
        <w:t>la</w:t>
      </w:r>
      <w:r>
        <w:rPr>
          <w:i/>
          <w:spacing w:val="-5"/>
          <w:sz w:val="24"/>
        </w:rPr>
        <w:t> </w:t>
      </w:r>
      <w:r>
        <w:rPr>
          <w:i/>
          <w:sz w:val="24"/>
        </w:rPr>
        <w:t>Revisión</w:t>
      </w:r>
      <w:r>
        <w:rPr>
          <w:i/>
          <w:spacing w:val="-5"/>
          <w:sz w:val="24"/>
        </w:rPr>
        <w:t> </w:t>
      </w:r>
      <w:r>
        <w:rPr>
          <w:i/>
          <w:sz w:val="24"/>
        </w:rPr>
        <w:t>y</w:t>
      </w:r>
      <w:r>
        <w:rPr>
          <w:i/>
          <w:spacing w:val="-5"/>
          <w:sz w:val="24"/>
        </w:rPr>
        <w:t> </w:t>
      </w:r>
      <w:r>
        <w:rPr>
          <w:i/>
          <w:sz w:val="24"/>
        </w:rPr>
        <w:t>Fiscalización</w:t>
      </w:r>
      <w:r>
        <w:rPr>
          <w:i/>
          <w:spacing w:val="-4"/>
          <w:sz w:val="24"/>
        </w:rPr>
        <w:t> </w:t>
      </w:r>
      <w:r>
        <w:rPr>
          <w:i/>
          <w:sz w:val="24"/>
        </w:rPr>
        <w:t>Superior</w:t>
      </w:r>
      <w:r>
        <w:rPr>
          <w:i/>
          <w:spacing w:val="-6"/>
          <w:sz w:val="24"/>
        </w:rPr>
        <w:t> </w:t>
      </w:r>
      <w:r>
        <w:rPr>
          <w:i/>
          <w:sz w:val="24"/>
        </w:rPr>
        <w:t>de</w:t>
      </w:r>
      <w:r>
        <w:rPr>
          <w:i/>
          <w:spacing w:val="-7"/>
          <w:sz w:val="24"/>
        </w:rPr>
        <w:t> </w:t>
      </w:r>
      <w:r>
        <w:rPr>
          <w:i/>
          <w:sz w:val="24"/>
        </w:rPr>
        <w:t>la </w:t>
      </w:r>
      <w:r>
        <w:rPr>
          <w:i/>
          <w:sz w:val="24"/>
        </w:rPr>
        <w:t>Cuenta</w:t>
      </w:r>
      <w:r>
        <w:rPr>
          <w:i/>
          <w:spacing w:val="-6"/>
          <w:sz w:val="24"/>
        </w:rPr>
        <w:t> </w:t>
      </w:r>
      <w:r>
        <w:rPr>
          <w:i/>
          <w:sz w:val="24"/>
        </w:rPr>
        <w:t>Pública</w:t>
      </w:r>
      <w:r>
        <w:rPr>
          <w:i/>
          <w:spacing w:val="-8"/>
          <w:sz w:val="24"/>
        </w:rPr>
        <w:t> </w:t>
      </w:r>
      <w:r>
        <w:rPr>
          <w:i/>
          <w:sz w:val="24"/>
        </w:rPr>
        <w:t>2004</w:t>
      </w:r>
      <w:r>
        <w:rPr>
          <w:sz w:val="24"/>
        </w:rPr>
        <w:t>,</w:t>
      </w:r>
      <w:r>
        <w:rPr>
          <w:spacing w:val="-9"/>
          <w:sz w:val="24"/>
        </w:rPr>
        <w:t> </w:t>
      </w:r>
      <w:r>
        <w:rPr>
          <w:sz w:val="24"/>
        </w:rPr>
        <w:t>Tomo</w:t>
      </w:r>
      <w:r>
        <w:rPr>
          <w:spacing w:val="-8"/>
          <w:sz w:val="24"/>
        </w:rPr>
        <w:t> </w:t>
      </w:r>
      <w:r>
        <w:rPr>
          <w:sz w:val="24"/>
        </w:rPr>
        <w:t>de</w:t>
      </w:r>
      <w:r>
        <w:rPr>
          <w:spacing w:val="-8"/>
          <w:sz w:val="24"/>
        </w:rPr>
        <w:t> </w:t>
      </w:r>
      <w:r>
        <w:rPr>
          <w:sz w:val="24"/>
        </w:rPr>
        <w:t>Resultados</w:t>
      </w:r>
      <w:r>
        <w:rPr>
          <w:spacing w:val="-9"/>
          <w:sz w:val="24"/>
        </w:rPr>
        <w:t> </w:t>
      </w:r>
      <w:r>
        <w:rPr>
          <w:sz w:val="24"/>
        </w:rPr>
        <w:t>Generales</w:t>
      </w:r>
      <w:r>
        <w:rPr>
          <w:spacing w:val="-9"/>
          <w:sz w:val="24"/>
        </w:rPr>
        <w:t> </w:t>
      </w:r>
      <w:r>
        <w:rPr>
          <w:sz w:val="24"/>
        </w:rPr>
        <w:t>y</w:t>
      </w:r>
      <w:r>
        <w:rPr>
          <w:spacing w:val="-9"/>
          <w:sz w:val="24"/>
        </w:rPr>
        <w:t> </w:t>
      </w:r>
      <w:r>
        <w:rPr>
          <w:sz w:val="24"/>
        </w:rPr>
        <w:t>Tomo</w:t>
      </w:r>
      <w:r>
        <w:rPr>
          <w:spacing w:val="-8"/>
          <w:sz w:val="24"/>
        </w:rPr>
        <w:t> </w:t>
      </w:r>
      <w:r>
        <w:rPr>
          <w:sz w:val="24"/>
        </w:rPr>
        <w:t>III,</w:t>
      </w:r>
      <w:r>
        <w:rPr>
          <w:spacing w:val="-6"/>
          <w:sz w:val="24"/>
        </w:rPr>
        <w:t> </w:t>
      </w:r>
      <w:r>
        <w:rPr>
          <w:sz w:val="24"/>
        </w:rPr>
        <w:t>volúmenes</w:t>
      </w:r>
      <w:r>
        <w:rPr>
          <w:spacing w:val="-9"/>
          <w:sz w:val="24"/>
        </w:rPr>
        <w:t> </w:t>
      </w:r>
      <w:r>
        <w:rPr>
          <w:sz w:val="24"/>
        </w:rPr>
        <w:t>3</w:t>
      </w:r>
      <w:r>
        <w:rPr>
          <w:spacing w:val="-6"/>
          <w:sz w:val="24"/>
        </w:rPr>
        <w:t> </w:t>
      </w:r>
      <w:r>
        <w:rPr>
          <w:sz w:val="24"/>
        </w:rPr>
        <w:t>y 4</w:t>
      </w:r>
    </w:p>
    <w:p>
      <w:pPr>
        <w:pStyle w:val="BodyText"/>
        <w:spacing w:line="360" w:lineRule="auto" w:before="2"/>
        <w:ind w:left="102" w:right="1565"/>
      </w:pPr>
      <w:r>
        <w:rPr/>
        <w:t>Disponible en: </w:t>
      </w:r>
      <w:hyperlink r:id="rId255">
        <w:r>
          <w:rPr/>
          <w:t>http://www.asf.gob.mx/Trans/Informes/ir2004i/Indice/Ejecutivo.htm</w:t>
        </w:r>
      </w:hyperlink>
      <w:r>
        <w:rPr/>
        <w:t> [Fecha de consulta: 30 de diciembre, 2015]</w:t>
      </w:r>
    </w:p>
    <w:p>
      <w:pPr>
        <w:pStyle w:val="BodyText"/>
      </w:pPr>
    </w:p>
    <w:p>
      <w:pPr>
        <w:pStyle w:val="BodyText"/>
        <w:spacing w:line="360" w:lineRule="auto" w:before="142"/>
        <w:ind w:left="102" w:right="42"/>
      </w:pPr>
      <w:r>
        <w:rPr/>
        <w:t>ASF. (2007). Informe del Resultado de la Revisión y Fiscalización Superior de la Cuenta Pública 2005, Tomo X Volumen 3 </w:t>
      </w:r>
      <w:hyperlink r:id="rId256">
        <w:r>
          <w:rPr/>
          <w:t>http://www.asf.gob.mx/Trans/Informes/ir2005i/Indice/Ejecutivo.htm</w:t>
        </w:r>
      </w:hyperlink>
    </w:p>
    <w:p>
      <w:pPr>
        <w:pStyle w:val="BodyText"/>
        <w:spacing w:before="2"/>
        <w:ind w:left="102" w:right="66"/>
      </w:pPr>
      <w:r>
        <w:rPr/>
        <w:t>[Fecha de consulta: 18 de mayo, 2015]</w:t>
      </w:r>
    </w:p>
    <w:p>
      <w:pPr>
        <w:pStyle w:val="BodyText"/>
      </w:pPr>
    </w:p>
    <w:p>
      <w:pPr>
        <w:pStyle w:val="BodyText"/>
      </w:pPr>
    </w:p>
    <w:p>
      <w:pPr>
        <w:spacing w:line="360" w:lineRule="auto" w:before="0"/>
        <w:ind w:left="102" w:right="115" w:firstLine="0"/>
        <w:jc w:val="both"/>
        <w:rPr>
          <w:sz w:val="24"/>
        </w:rPr>
      </w:pPr>
      <w:r>
        <w:rPr>
          <w:sz w:val="24"/>
        </w:rPr>
        <w:t>ASF. (2007). Mensaje del C.C.P. Arturo González de Aragón, Auditor Superior de la Federación. Seminario: “</w:t>
      </w:r>
      <w:r>
        <w:rPr>
          <w:i/>
          <w:sz w:val="24"/>
        </w:rPr>
        <w:t>Control y Fiscalización Municipal 2006- 2009</w:t>
      </w:r>
      <w:r>
        <w:rPr>
          <w:sz w:val="24"/>
        </w:rPr>
        <w:t>”. México.</w:t>
      </w:r>
    </w:p>
    <w:p>
      <w:pPr>
        <w:pStyle w:val="BodyText"/>
        <w:spacing w:before="5"/>
        <w:ind w:left="102" w:right="66"/>
      </w:pPr>
      <w:r>
        <w:rPr/>
        <w:t>Disponible en: </w:t>
      </w:r>
      <w:hyperlink r:id="rId173">
        <w:r>
          <w:rPr>
            <w:color w:val="0000FF"/>
            <w:u w:val="single" w:color="0000FF"/>
          </w:rPr>
          <w:t>www.asf.gob.mx </w:t>
        </w:r>
      </w:hyperlink>
      <w:r>
        <w:rPr/>
        <w:t>[Fecha de consulta: 4 de abril, 2015]</w:t>
      </w:r>
    </w:p>
    <w:p>
      <w:pPr>
        <w:pStyle w:val="BodyText"/>
        <w:rPr>
          <w:sz w:val="20"/>
        </w:rPr>
      </w:pPr>
    </w:p>
    <w:p>
      <w:pPr>
        <w:pStyle w:val="BodyText"/>
        <w:spacing w:before="11"/>
        <w:rPr>
          <w:sz w:val="21"/>
        </w:rPr>
      </w:pPr>
    </w:p>
    <w:p>
      <w:pPr>
        <w:pStyle w:val="BodyText"/>
        <w:spacing w:line="360" w:lineRule="auto" w:before="69"/>
        <w:ind w:left="102" w:right="42"/>
      </w:pPr>
      <w:r>
        <w:rPr/>
        <w:t>ASF. (2008). Informe del Resultado de la Revisión y Fiscalización Superior de la Cuenta Pública 2006, Tomo de Resultados Generales.</w:t>
      </w:r>
    </w:p>
    <w:p>
      <w:pPr>
        <w:pStyle w:val="BodyText"/>
        <w:tabs>
          <w:tab w:pos="8272" w:val="left" w:leader="none"/>
        </w:tabs>
        <w:spacing w:before="5"/>
        <w:ind w:left="102" w:right="66"/>
      </w:pPr>
      <w:r>
        <w:rPr/>
        <w:t>Disponible</w:t>
        <w:tab/>
        <w:t>en:</w:t>
      </w:r>
    </w:p>
    <w:p>
      <w:pPr>
        <w:pStyle w:val="BodyText"/>
        <w:spacing w:line="360" w:lineRule="auto" w:before="137"/>
        <w:ind w:left="102" w:right="1565"/>
      </w:pPr>
      <w:hyperlink r:id="rId215">
        <w:r>
          <w:rPr/>
          <w:t>http://www.asf.gob.mx/Trans/Informes/ir2006i/Indice/Ejecutivo.htm</w:t>
        </w:r>
      </w:hyperlink>
      <w:r>
        <w:rPr/>
        <w:t> [Fecha de consulta: 21 de mayo, 2015]</w:t>
      </w:r>
    </w:p>
    <w:p>
      <w:pPr>
        <w:pStyle w:val="BodyText"/>
      </w:pPr>
    </w:p>
    <w:p>
      <w:pPr>
        <w:spacing w:line="360" w:lineRule="auto" w:before="139"/>
        <w:ind w:left="102" w:right="4125" w:firstLine="0"/>
        <w:jc w:val="left"/>
        <w:rPr>
          <w:sz w:val="24"/>
        </w:rPr>
      </w:pPr>
      <w:r>
        <w:rPr>
          <w:sz w:val="24"/>
        </w:rPr>
        <w:t>ASF. (2011). </w:t>
      </w:r>
      <w:r>
        <w:rPr>
          <w:i/>
          <w:sz w:val="24"/>
        </w:rPr>
        <w:t>Autonomía e independencia</w:t>
      </w:r>
      <w:r>
        <w:rPr>
          <w:sz w:val="24"/>
        </w:rPr>
        <w:t>. Disponible en:</w:t>
      </w:r>
    </w:p>
    <w:p>
      <w:pPr>
        <w:pStyle w:val="BodyText"/>
        <w:spacing w:line="360" w:lineRule="auto" w:before="5"/>
        <w:ind w:left="102" w:right="66" w:firstLine="67"/>
      </w:pPr>
      <w:hyperlink r:id="rId182">
        <w:r>
          <w:rPr/>
          <w:t>http://www.asf.gob.mx/uploads/61_Publicaciones_tecnicas/Autonomia_web.pdf</w:t>
        </w:r>
      </w:hyperlink>
      <w:r>
        <w:rPr/>
        <w:t> [Fecha de consulta: 15 de abril, 2015]</w:t>
      </w:r>
    </w:p>
    <w:p>
      <w:pPr>
        <w:pStyle w:val="BodyText"/>
        <w:spacing w:line="360" w:lineRule="auto" w:before="205"/>
        <w:ind w:left="102" w:right="66"/>
      </w:pPr>
      <w:r>
        <w:rPr/>
        <w:t>ASF. (2011). Segunda Reunión del Sistema Nacional de Fiscalización, 5 de diciembre, 2011</w:t>
      </w:r>
    </w:p>
    <w:p>
      <w:pPr>
        <w:pStyle w:val="BodyText"/>
        <w:spacing w:line="360" w:lineRule="auto" w:before="5"/>
        <w:ind w:left="102" w:right="189"/>
      </w:pPr>
      <w:r>
        <w:rPr/>
        <w:t>Disponible en: </w:t>
      </w:r>
      <w:hyperlink r:id="rId257">
        <w:r>
          <w:rPr/>
          <w:t>http://www.asf.gob.mx/uploads/74_Mensajes_del_Titular/02_Mensaje_Auditor_</w:t>
        </w:r>
      </w:hyperlink>
      <w:r>
        <w:rPr/>
        <w:t> </w:t>
      </w:r>
      <w:hyperlink r:id="rId257">
        <w:r>
          <w:rPr/>
          <w:t>Superior.pdf</w:t>
        </w:r>
      </w:hyperlink>
    </w:p>
    <w:p>
      <w:pPr>
        <w:pStyle w:val="BodyText"/>
        <w:spacing w:before="2"/>
        <w:ind w:left="102" w:right="66"/>
      </w:pPr>
      <w:r>
        <w:rPr/>
        <w:t>[Fecha de consulta: 3 de junio, 2015]</w:t>
      </w:r>
    </w:p>
    <w:p>
      <w:pPr>
        <w:spacing w:after="0"/>
        <w:sectPr>
          <w:footerReference w:type="even" r:id="rId253"/>
          <w:footerReference w:type="default" r:id="rId254"/>
          <w:pgSz w:w="11910" w:h="16840"/>
          <w:pgMar w:footer="1003" w:header="0" w:top="1340" w:bottom="1200" w:left="1600" w:right="1580"/>
          <w:pgNumType w:start="180"/>
        </w:sectPr>
      </w:pPr>
    </w:p>
    <w:p>
      <w:pPr>
        <w:pStyle w:val="BodyText"/>
        <w:spacing w:line="362" w:lineRule="auto" w:before="55"/>
        <w:ind w:left="102" w:right="66"/>
      </w:pPr>
      <w:r>
        <w:rPr/>
        <w:t>ASF. (2012). Informe del Resultado de la Fiscalización Superior de la Cuenta Pública 2010</w:t>
      </w:r>
    </w:p>
    <w:p>
      <w:pPr>
        <w:pStyle w:val="BodyText"/>
        <w:tabs>
          <w:tab w:pos="8272" w:val="left" w:leader="none"/>
        </w:tabs>
        <w:ind w:left="102" w:right="66"/>
      </w:pPr>
      <w:r>
        <w:rPr/>
        <w:t>Disponible</w:t>
        <w:tab/>
        <w:t>en:</w:t>
      </w:r>
    </w:p>
    <w:p>
      <w:pPr>
        <w:pStyle w:val="BodyText"/>
        <w:spacing w:line="360" w:lineRule="auto" w:before="139"/>
        <w:ind w:left="102" w:right="1458"/>
      </w:pPr>
      <w:hyperlink r:id="rId258">
        <w:r>
          <w:rPr/>
          <w:t>http://www.asf.gob.mx/Trans/Informes/IR2010i/Indice/Ejecutivo.htm</w:t>
        </w:r>
      </w:hyperlink>
      <w:r>
        <w:rPr/>
        <w:t> [Fecha de consulta: 21 de mayo, 2015]</w:t>
      </w:r>
    </w:p>
    <w:p>
      <w:pPr>
        <w:pStyle w:val="BodyText"/>
      </w:pPr>
    </w:p>
    <w:p>
      <w:pPr>
        <w:pStyle w:val="BodyText"/>
        <w:spacing w:line="360" w:lineRule="auto" w:before="142"/>
        <w:ind w:left="102" w:right="42"/>
      </w:pPr>
      <w:r>
        <w:rPr/>
        <w:t>ASF. (2013). Informe del Resultado de la Revisión y Fiscalización Superior de la Cuenta Pública 2011, Tomo de Resultados Generales.</w:t>
      </w:r>
    </w:p>
    <w:p>
      <w:pPr>
        <w:pStyle w:val="BodyText"/>
        <w:tabs>
          <w:tab w:pos="8272" w:val="left" w:leader="none"/>
        </w:tabs>
        <w:spacing w:before="2"/>
        <w:ind w:left="102" w:right="66"/>
      </w:pPr>
      <w:r>
        <w:rPr/>
        <w:t>Disponible</w:t>
        <w:tab/>
        <w:t>en:</w:t>
      </w:r>
    </w:p>
    <w:p>
      <w:pPr>
        <w:pStyle w:val="BodyText"/>
        <w:spacing w:before="140"/>
        <w:ind w:left="102" w:right="66"/>
      </w:pPr>
      <w:hyperlink r:id="rId259">
        <w:r>
          <w:rPr/>
          <w:t>http://www.asf.gob.mx/Trans/Informes/IR2011i/Indice/iGeneral.htm</w:t>
        </w:r>
      </w:hyperlink>
    </w:p>
    <w:p>
      <w:pPr>
        <w:pStyle w:val="BodyText"/>
      </w:pPr>
    </w:p>
    <w:p>
      <w:pPr>
        <w:pStyle w:val="BodyText"/>
      </w:pPr>
    </w:p>
    <w:p>
      <w:pPr>
        <w:pStyle w:val="BodyText"/>
        <w:spacing w:line="360" w:lineRule="auto"/>
        <w:ind w:left="102" w:right="66"/>
      </w:pPr>
      <w:r>
        <w:rPr/>
        <w:t>Cancela Outeda Celso. (s.f.). Constitución Europea, déficit democrático y parlamentos Nacionales</w:t>
      </w:r>
    </w:p>
    <w:p>
      <w:pPr>
        <w:pStyle w:val="BodyText"/>
        <w:spacing w:line="360" w:lineRule="auto" w:before="5"/>
        <w:ind w:left="102" w:right="208"/>
      </w:pPr>
      <w:r>
        <w:rPr/>
        <w:t>Disponible en: </w:t>
      </w:r>
      <w:hyperlink r:id="rId260">
        <w:r>
          <w:rPr/>
          <w:t>http://www.aecpa.es/uploads/files/congresos/congreso_07/area05/GT20/CANC</w:t>
        </w:r>
      </w:hyperlink>
      <w:r>
        <w:rPr/>
        <w:t> </w:t>
      </w:r>
      <w:hyperlink r:id="rId260">
        <w:r>
          <w:rPr/>
          <w:t>ELA-OUTEDA-Celso(UVI).pdf</w:t>
        </w:r>
      </w:hyperlink>
    </w:p>
    <w:p>
      <w:pPr>
        <w:pStyle w:val="BodyText"/>
        <w:spacing w:before="2"/>
        <w:ind w:left="102" w:right="66"/>
      </w:pPr>
      <w:r>
        <w:rPr/>
        <w:t>[Fecha de consulta: 28 de mayo, 2015]</w:t>
      </w:r>
    </w:p>
    <w:p>
      <w:pPr>
        <w:pStyle w:val="BodyText"/>
      </w:pPr>
    </w:p>
    <w:p>
      <w:pPr>
        <w:pStyle w:val="BodyText"/>
        <w:spacing w:before="9"/>
        <w:rPr>
          <w:sz w:val="23"/>
        </w:rPr>
      </w:pPr>
    </w:p>
    <w:p>
      <w:pPr>
        <w:spacing w:line="362" w:lineRule="auto" w:before="0"/>
        <w:ind w:left="102" w:right="2498" w:firstLine="0"/>
        <w:jc w:val="left"/>
        <w:rPr>
          <w:sz w:val="24"/>
        </w:rPr>
      </w:pPr>
      <w:r>
        <w:rPr>
          <w:sz w:val="24"/>
        </w:rPr>
        <w:t>CIDE/COMAIP. (2011). </w:t>
      </w:r>
      <w:r>
        <w:rPr>
          <w:i/>
          <w:sz w:val="24"/>
        </w:rPr>
        <w:t>Métrica de la transparencia 2010</w:t>
      </w:r>
      <w:r>
        <w:rPr>
          <w:sz w:val="24"/>
        </w:rPr>
        <w:t>. Disponible en:</w:t>
      </w:r>
    </w:p>
    <w:p>
      <w:pPr>
        <w:pStyle w:val="BodyText"/>
        <w:spacing w:line="360" w:lineRule="auto"/>
        <w:ind w:left="102" w:right="190"/>
      </w:pPr>
      <w:hyperlink r:id="rId261">
        <w:r>
          <w:rPr>
            <w:color w:val="0000FF"/>
            <w:u w:val="single" w:color="0000FF"/>
          </w:rPr>
          <w:t>http://www.funcionpublica.gob.mx/images/doctos/transparencia/focalizada/indic</w:t>
        </w:r>
      </w:hyperlink>
      <w:r>
        <w:rPr>
          <w:color w:val="0000FF"/>
          <w:u w:val="single" w:color="0000FF"/>
        </w:rPr>
        <w:t> </w:t>
      </w:r>
      <w:hyperlink r:id="rId261">
        <w:r>
          <w:rPr>
            <w:color w:val="0000FF"/>
            <w:u w:val="single" w:color="0000FF"/>
          </w:rPr>
          <w:t>es/metrica_de_la_transparencia/metrica_de_la_transparencia_2010_cide.pdf</w:t>
        </w:r>
      </w:hyperlink>
      <w:r>
        <w:rPr>
          <w:color w:val="0000FF"/>
          <w:u w:val="single" w:color="0000FF"/>
        </w:rPr>
        <w:t> </w:t>
      </w:r>
      <w:r>
        <w:rPr/>
        <w:t>[Fecha de consulta: 18 de mayo, 2015]</w:t>
      </w:r>
    </w:p>
    <w:p>
      <w:pPr>
        <w:pStyle w:val="BodyText"/>
      </w:pPr>
    </w:p>
    <w:p>
      <w:pPr>
        <w:pStyle w:val="BodyText"/>
        <w:spacing w:line="360" w:lineRule="auto" w:before="142"/>
        <w:ind w:left="102" w:right="2671"/>
      </w:pPr>
      <w:r>
        <w:rPr>
          <w:color w:val="0000FF"/>
          <w:u w:val="single" w:color="0000FF"/>
        </w:rPr>
        <w:t>CLAD, Una Nueva Gestión Pública para América Latina Disponible en:</w:t>
      </w:r>
    </w:p>
    <w:p>
      <w:pPr>
        <w:pStyle w:val="BodyText"/>
        <w:spacing w:line="362" w:lineRule="auto" w:before="2"/>
        <w:ind w:left="102" w:right="337"/>
      </w:pPr>
      <w:r>
        <w:rPr>
          <w:color w:val="0000FF"/>
          <w:w w:val="100"/>
          <w:u w:val="single" w:color="0000FF"/>
        </w:rPr>
        <w:t> </w:t>
      </w:r>
      <w:hyperlink r:id="rId262">
        <w:r>
          <w:rPr>
            <w:color w:val="0000FF"/>
            <w:u w:val="single" w:color="0000FF"/>
          </w:rPr>
          <w:t>http://bresserpereira.org.br/Documents%5CMARE%5CCLAD%5Cngpesp.pdf</w:t>
        </w:r>
      </w:hyperlink>
      <w:r>
        <w:rPr>
          <w:color w:val="0000FF"/>
          <w:u w:val="single" w:color="0000FF"/>
        </w:rPr>
        <w:t> [Fecha de Consulta: 15 de marzo, 2015]</w:t>
      </w:r>
    </w:p>
    <w:p>
      <w:pPr>
        <w:pStyle w:val="BodyText"/>
        <w:spacing w:before="7"/>
        <w:rPr>
          <w:sz w:val="29"/>
        </w:rPr>
      </w:pPr>
    </w:p>
    <w:p>
      <w:pPr>
        <w:spacing w:before="70"/>
        <w:ind w:left="102" w:right="66" w:firstLine="0"/>
        <w:jc w:val="left"/>
        <w:rPr>
          <w:i/>
          <w:sz w:val="24"/>
        </w:rPr>
      </w:pPr>
      <w:r>
        <w:rPr>
          <w:color w:val="0000FF"/>
          <w:sz w:val="24"/>
          <w:u w:val="single" w:color="0000FF"/>
        </w:rPr>
        <w:t>Closa Montero, Carlos. (2003). </w:t>
      </w:r>
      <w:r>
        <w:rPr>
          <w:i/>
          <w:color w:val="0000FF"/>
          <w:sz w:val="24"/>
          <w:u w:val="single" w:color="0000FF"/>
        </w:rPr>
        <w:t>El libro blanco sobre la gobernanza</w:t>
      </w:r>
    </w:p>
    <w:p>
      <w:pPr>
        <w:pStyle w:val="BodyText"/>
        <w:spacing w:line="360" w:lineRule="auto" w:before="141"/>
        <w:ind w:left="102" w:right="66"/>
      </w:pPr>
      <w:r>
        <w:rPr>
          <w:color w:val="0000FF"/>
          <w:u w:val="single" w:color="0000FF"/>
        </w:rPr>
        <w:t>Disponible en: </w:t>
      </w:r>
      <w:hyperlink r:id="rId263">
        <w:r>
          <w:rPr>
            <w:color w:val="0000FF"/>
            <w:u w:val="single" w:color="0000FF"/>
          </w:rPr>
          <w:t>http://www.google.com/search?q=Closa Montero, Carlos, El libro</w:t>
        </w:r>
      </w:hyperlink>
      <w:r>
        <w:rPr>
          <w:color w:val="0000FF"/>
          <w:u w:val="single" w:color="0000FF"/>
        </w:rPr>
        <w:t> blanco sobre la gobernanza</w:t>
      </w:r>
    </w:p>
    <w:p>
      <w:pPr>
        <w:pStyle w:val="BodyText"/>
        <w:spacing w:before="5"/>
        <w:ind w:left="102" w:right="66"/>
      </w:pPr>
      <w:r>
        <w:rPr>
          <w:color w:val="0000FF"/>
          <w:u w:val="single" w:color="0000FF"/>
        </w:rPr>
        <w:t>[Fecha de consulta: 5 de marzo, 2015]</w:t>
      </w:r>
    </w:p>
    <w:p>
      <w:pPr>
        <w:spacing w:after="0"/>
        <w:sectPr>
          <w:pgSz w:w="11910" w:h="16840"/>
          <w:pgMar w:header="0" w:footer="1003" w:top="1340" w:bottom="1200" w:left="1600" w:right="1580"/>
        </w:sectPr>
      </w:pPr>
    </w:p>
    <w:p>
      <w:pPr>
        <w:pStyle w:val="BodyText"/>
        <w:spacing w:line="360" w:lineRule="auto" w:before="55"/>
        <w:ind w:left="102" w:right="2018"/>
      </w:pPr>
      <w:r>
        <w:rPr/>
        <w:t>Controversias constitucionales </w:t>
      </w:r>
      <w:hyperlink r:id="rId264">
        <w:r>
          <w:rPr/>
          <w:t>http://www.diputados.gob.mx/LeyesBiblio/compila/controv.htm</w:t>
        </w:r>
      </w:hyperlink>
      <w:r>
        <w:rPr/>
        <w:t> [Fecha de consulta: 14 de mayo, 2015]</w:t>
      </w:r>
    </w:p>
    <w:p>
      <w:pPr>
        <w:pStyle w:val="BodyText"/>
      </w:pPr>
    </w:p>
    <w:p>
      <w:pPr>
        <w:spacing w:before="139"/>
        <w:ind w:left="102" w:right="66" w:firstLine="0"/>
        <w:jc w:val="left"/>
        <w:rPr>
          <w:i/>
          <w:sz w:val="24"/>
        </w:rPr>
      </w:pPr>
      <w:r>
        <w:rPr>
          <w:sz w:val="24"/>
        </w:rPr>
        <w:t>Dahl A. Robert. (1992). </w:t>
      </w:r>
      <w:r>
        <w:rPr>
          <w:i/>
          <w:sz w:val="24"/>
        </w:rPr>
        <w:t>La poliarquía</w:t>
      </w:r>
    </w:p>
    <w:p>
      <w:pPr>
        <w:pStyle w:val="BodyText"/>
        <w:spacing w:line="360" w:lineRule="auto" w:before="141"/>
        <w:ind w:left="102" w:right="150"/>
      </w:pPr>
      <w:r>
        <w:rPr/>
        <w:t>Disponible en: </w:t>
      </w:r>
      <w:hyperlink r:id="rId265">
        <w:r>
          <w:rPr>
            <w:color w:val="0000FF"/>
            <w:u w:val="single" w:color="0000FF"/>
          </w:rPr>
          <w:t>http://www.ucm.es/info/cpuno/asoc/profesores/lecturas/dahl2.pdf</w:t>
        </w:r>
      </w:hyperlink>
      <w:r>
        <w:rPr>
          <w:color w:val="0000FF"/>
          <w:u w:val="single" w:color="0000FF"/>
        </w:rPr>
        <w:t> </w:t>
      </w:r>
      <w:r>
        <w:rPr/>
        <w:t>[Fecha de consulta: 23 de marzo, 2015]</w:t>
      </w:r>
    </w:p>
    <w:p>
      <w:pPr>
        <w:pStyle w:val="BodyText"/>
      </w:pPr>
    </w:p>
    <w:p>
      <w:pPr>
        <w:pStyle w:val="BodyText"/>
        <w:spacing w:line="362" w:lineRule="auto" w:before="139"/>
        <w:ind w:left="102" w:right="2191"/>
      </w:pPr>
      <w:r>
        <w:rPr/>
        <w:t>Delgado Carrillo, Fortino. (s.f.). </w:t>
      </w:r>
      <w:r>
        <w:rPr>
          <w:i/>
        </w:rPr>
        <w:t>Equilibrio de poderes</w:t>
      </w:r>
      <w:r>
        <w:rPr/>
        <w:t>. Disponible en: </w:t>
      </w:r>
      <w:hyperlink r:id="rId266">
        <w:r>
          <w:rPr>
            <w:color w:val="0000FF"/>
            <w:u w:val="single" w:color="0000FF"/>
          </w:rPr>
          <w:t>http://www.bibliojuridica.org/libros/1/93/10.pdf</w:t>
        </w:r>
      </w:hyperlink>
      <w:r>
        <w:rPr>
          <w:color w:val="0000FF"/>
          <w:u w:val="single" w:color="0000FF"/>
        </w:rPr>
        <w:t> </w:t>
      </w:r>
      <w:r>
        <w:rPr/>
        <w:t>[Fecha de consulta: 6 de abril, 2015]</w:t>
      </w:r>
    </w:p>
    <w:p>
      <w:pPr>
        <w:spacing w:line="362" w:lineRule="auto" w:before="199"/>
        <w:ind w:left="102" w:right="66" w:firstLine="0"/>
        <w:jc w:val="left"/>
        <w:rPr>
          <w:sz w:val="24"/>
        </w:rPr>
      </w:pPr>
      <w:r>
        <w:rPr>
          <w:sz w:val="24"/>
        </w:rPr>
        <w:t>Easton David. (1999). </w:t>
      </w:r>
      <w:r>
        <w:rPr>
          <w:i/>
          <w:sz w:val="24"/>
        </w:rPr>
        <w:t>Esquema para el sistema político</w:t>
      </w:r>
      <w:r>
        <w:rPr>
          <w:sz w:val="24"/>
        </w:rPr>
        <w:t>, Amorrortu editores. Argentina.</w:t>
      </w:r>
    </w:p>
    <w:p>
      <w:pPr>
        <w:pStyle w:val="BodyText"/>
        <w:ind w:left="102" w:right="66"/>
      </w:pPr>
      <w:r>
        <w:rPr/>
        <w:t>Disponible en:</w:t>
      </w:r>
    </w:p>
    <w:p>
      <w:pPr>
        <w:pStyle w:val="BodyText"/>
        <w:spacing w:line="360" w:lineRule="auto" w:before="139"/>
        <w:ind w:left="102" w:right="1302"/>
      </w:pPr>
      <w:r>
        <w:rPr>
          <w:color w:val="0000FF"/>
          <w:u w:val="single" w:color="0000FF"/>
        </w:rPr>
        <w:t>http://10.0.1.2:15871/cgi-bin/blockpage.cgi?ws-session=1427478891 </w:t>
      </w:r>
      <w:r>
        <w:rPr/>
        <w:t>Fecha de consulta: 14 de marzo, 2015]</w:t>
      </w:r>
    </w:p>
    <w:p>
      <w:pPr>
        <w:spacing w:line="360" w:lineRule="auto" w:before="2"/>
        <w:ind w:left="102" w:right="120" w:firstLine="0"/>
        <w:jc w:val="both"/>
        <w:rPr>
          <w:sz w:val="24"/>
        </w:rPr>
      </w:pPr>
      <w:r>
        <w:rPr>
          <w:sz w:val="24"/>
        </w:rPr>
        <w:t>Espinoza Toledo, Ricardo. (s.f.). </w:t>
      </w:r>
      <w:r>
        <w:rPr>
          <w:i/>
          <w:sz w:val="24"/>
        </w:rPr>
        <w:t>Sistemas parlamentarios, presidencial y semi </w:t>
      </w:r>
      <w:r>
        <w:rPr>
          <w:i/>
          <w:sz w:val="24"/>
        </w:rPr>
        <w:t>presidencial</w:t>
      </w:r>
      <w:r>
        <w:rPr>
          <w:sz w:val="24"/>
        </w:rPr>
        <w:t>, Cuadernos de divulgación de la cultura democrática No. 20, Instituto Federal Electoral.</w:t>
      </w:r>
    </w:p>
    <w:p>
      <w:pPr>
        <w:pStyle w:val="BodyText"/>
        <w:spacing w:line="360" w:lineRule="auto" w:before="5"/>
        <w:ind w:left="102" w:right="66"/>
      </w:pPr>
      <w:r>
        <w:rPr/>
        <w:t>Disponible en: </w:t>
      </w:r>
      <w:hyperlink r:id="rId267">
        <w:r>
          <w:rPr/>
          <w:t>http://www.ife.org.mx/documentos/DECEYEC/sistemas_parlamentario.htm</w:t>
        </w:r>
      </w:hyperlink>
      <w:r>
        <w:rPr/>
        <w:t> [Fecha de consulta: 4 de abril, 2015]</w:t>
      </w:r>
    </w:p>
    <w:p>
      <w:pPr>
        <w:spacing w:line="360" w:lineRule="auto" w:before="202"/>
        <w:ind w:left="102" w:right="115" w:firstLine="0"/>
        <w:jc w:val="both"/>
        <w:rPr>
          <w:sz w:val="24"/>
        </w:rPr>
      </w:pPr>
      <w:r>
        <w:rPr>
          <w:sz w:val="24"/>
        </w:rPr>
        <w:t>European Commission. (2004). </w:t>
      </w:r>
      <w:r>
        <w:rPr>
          <w:i/>
          <w:sz w:val="24"/>
        </w:rPr>
        <w:t>EU reseach on social sciencesand humanities, </w:t>
      </w:r>
      <w:r>
        <w:rPr>
          <w:i/>
          <w:sz w:val="24"/>
        </w:rPr>
        <w:t>analysing public accountability proceditures in temporary European context</w:t>
      </w:r>
      <w:r>
        <w:rPr>
          <w:sz w:val="24"/>
        </w:rPr>
        <w:t>, PubAcc</w:t>
      </w:r>
    </w:p>
    <w:p>
      <w:pPr>
        <w:pStyle w:val="BodyText"/>
        <w:spacing w:line="360" w:lineRule="auto" w:before="2"/>
        <w:ind w:left="102" w:right="403"/>
      </w:pPr>
      <w:r>
        <w:rPr/>
        <w:t>Disponible en: </w:t>
      </w:r>
      <w:hyperlink r:id="rId167">
        <w:r>
          <w:rPr/>
          <w:t>http://cordis.europa.eu/documents/documentlibrary/100123971EN6.pdf</w:t>
        </w:r>
      </w:hyperlink>
      <w:r>
        <w:rPr/>
        <w:t> [Fecha de consulta: 16 de abril, 2015]</w:t>
      </w:r>
    </w:p>
    <w:p>
      <w:pPr>
        <w:pStyle w:val="BodyText"/>
      </w:pPr>
    </w:p>
    <w:p>
      <w:pPr>
        <w:spacing w:line="360" w:lineRule="auto" w:before="139"/>
        <w:ind w:left="102" w:right="2031" w:firstLine="0"/>
        <w:jc w:val="left"/>
        <w:rPr>
          <w:sz w:val="24"/>
        </w:rPr>
      </w:pPr>
      <w:r>
        <w:rPr>
          <w:i/>
          <w:sz w:val="24"/>
        </w:rPr>
        <w:t>Features and functions of supreme audit institutions </w:t>
      </w:r>
      <w:r>
        <w:rPr>
          <w:sz w:val="24"/>
        </w:rPr>
        <w:t>Disponible en: </w:t>
      </w:r>
      <w:hyperlink r:id="rId48">
        <w:r>
          <w:rPr>
            <w:sz w:val="24"/>
          </w:rPr>
          <w:t>http://www1.worldbank.org/prem/PREMNotes/premnote59.pdf</w:t>
        </w:r>
      </w:hyperlink>
      <w:r>
        <w:rPr>
          <w:sz w:val="24"/>
        </w:rPr>
        <w:t> [Fecha de consulta: 27 de mayo, 2015].</w:t>
      </w:r>
    </w:p>
    <w:p>
      <w:pPr>
        <w:spacing w:after="0" w:line="360" w:lineRule="auto"/>
        <w:jc w:val="left"/>
        <w:rPr>
          <w:sz w:val="24"/>
        </w:rPr>
        <w:sectPr>
          <w:pgSz w:w="11910" w:h="16840"/>
          <w:pgMar w:header="0" w:footer="1003" w:top="1340" w:bottom="1200" w:left="1600" w:right="1580"/>
        </w:sectPr>
      </w:pPr>
    </w:p>
    <w:p>
      <w:pPr>
        <w:pStyle w:val="BodyText"/>
        <w:spacing w:line="362" w:lineRule="auto" w:before="55"/>
        <w:ind w:left="102" w:right="66"/>
      </w:pPr>
      <w:r>
        <w:rPr/>
        <w:t>Figueroa Neri, Aimé. (2007). La Auditoría Superior de la Federación en el horizonte internacional de la fiscalización superior.</w:t>
      </w:r>
    </w:p>
    <w:p>
      <w:pPr>
        <w:pStyle w:val="BodyText"/>
        <w:spacing w:line="360" w:lineRule="auto"/>
        <w:ind w:left="102" w:right="123"/>
      </w:pPr>
      <w:r>
        <w:rPr/>
        <w:t>Disponible en: </w:t>
      </w:r>
      <w:hyperlink r:id="rId268">
        <w:r>
          <w:rPr>
            <w:color w:val="0000FF"/>
            <w:u w:val="single" w:color="0000FF"/>
          </w:rPr>
          <w:t>http://www.asf.gob.mx/uploads/47_Estudios_especializados/Aimee_doctocomp.</w:t>
        </w:r>
      </w:hyperlink>
      <w:r>
        <w:rPr>
          <w:color w:val="0000FF"/>
          <w:u w:val="single" w:color="0000FF"/>
        </w:rPr>
        <w:t> </w:t>
      </w:r>
      <w:hyperlink r:id="rId268">
        <w:r>
          <w:rPr>
            <w:color w:val="0000FF"/>
            <w:u w:val="single" w:color="0000FF"/>
          </w:rPr>
          <w:t>pdf </w:t>
        </w:r>
      </w:hyperlink>
      <w:r>
        <w:rPr/>
        <w:t>[Fecha de consulta: 6 de abril, 2015]</w:t>
      </w:r>
    </w:p>
    <w:p>
      <w:pPr>
        <w:pStyle w:val="BodyText"/>
        <w:rPr>
          <w:sz w:val="20"/>
        </w:rPr>
      </w:pPr>
    </w:p>
    <w:p>
      <w:pPr>
        <w:spacing w:line="360" w:lineRule="auto" w:before="185"/>
        <w:ind w:left="102" w:right="118" w:firstLine="0"/>
        <w:jc w:val="both"/>
        <w:rPr>
          <w:sz w:val="24"/>
        </w:rPr>
      </w:pPr>
      <w:r>
        <w:rPr>
          <w:sz w:val="24"/>
        </w:rPr>
        <w:t>Figueroa Nery, Aimé. (2009). </w:t>
      </w:r>
      <w:r>
        <w:rPr>
          <w:i/>
          <w:sz w:val="24"/>
        </w:rPr>
        <w:t>Cuenta Pública en México. Evaluación de la </w:t>
      </w:r>
      <w:r>
        <w:rPr>
          <w:i/>
          <w:sz w:val="24"/>
        </w:rPr>
        <w:t>Legislación en Materia de Fiscalización Superior en México</w:t>
      </w:r>
      <w:r>
        <w:rPr>
          <w:sz w:val="24"/>
        </w:rPr>
        <w:t>. Universidad de Guadalajara y Consultora Orienta Agenda Pública.</w:t>
      </w:r>
    </w:p>
    <w:p>
      <w:pPr>
        <w:pStyle w:val="BodyText"/>
        <w:tabs>
          <w:tab w:pos="8272" w:val="left" w:leader="none"/>
        </w:tabs>
        <w:spacing w:before="5"/>
        <w:ind w:left="102" w:right="66"/>
      </w:pPr>
      <w:r>
        <w:rPr/>
        <w:t>Disponible</w:t>
        <w:tab/>
        <w:t>en:</w:t>
      </w:r>
    </w:p>
    <w:p>
      <w:pPr>
        <w:pStyle w:val="BodyText"/>
        <w:spacing w:line="360" w:lineRule="auto" w:before="137"/>
        <w:ind w:left="102" w:right="1498"/>
      </w:pPr>
      <w:hyperlink r:id="rId238">
        <w:r>
          <w:rPr/>
          <w:t>http://www.asf.gob.mx/pags/OTROS/CPMEX/Eval2009_abril09.pdf</w:t>
        </w:r>
      </w:hyperlink>
      <w:r>
        <w:rPr/>
        <w:t> [Fecha de consulta: 11 de junio, 2015]</w:t>
      </w:r>
    </w:p>
    <w:p>
      <w:pPr>
        <w:pStyle w:val="BodyText"/>
      </w:pPr>
    </w:p>
    <w:p>
      <w:pPr>
        <w:spacing w:line="360" w:lineRule="auto" w:before="139"/>
        <w:ind w:left="102" w:right="66" w:firstLine="0"/>
        <w:jc w:val="left"/>
        <w:rPr>
          <w:i/>
          <w:sz w:val="24"/>
        </w:rPr>
      </w:pPr>
      <w:r>
        <w:rPr>
          <w:sz w:val="24"/>
        </w:rPr>
        <w:t>International Monetary Fund, </w:t>
      </w:r>
      <w:r>
        <w:rPr>
          <w:i/>
          <w:sz w:val="24"/>
        </w:rPr>
        <w:t>World Economic Outlook Database, September </w:t>
      </w:r>
      <w:r>
        <w:rPr>
          <w:i/>
          <w:sz w:val="24"/>
        </w:rPr>
        <w:t>2011.</w:t>
      </w:r>
    </w:p>
    <w:p>
      <w:pPr>
        <w:pStyle w:val="BodyText"/>
        <w:spacing w:line="360" w:lineRule="auto" w:before="7"/>
        <w:ind w:left="102" w:right="1350"/>
      </w:pPr>
      <w:r>
        <w:rPr/>
        <w:t>Disponible en: </w:t>
      </w:r>
      <w:hyperlink r:id="rId269">
        <w:r>
          <w:rPr/>
          <w:t>http://www.imf.org/external/pubs/ft/weo/2011/02/weodata/index.aspx</w:t>
        </w:r>
      </w:hyperlink>
      <w:r>
        <w:rPr/>
        <w:t> [Fecha de consulta: 3 de abril, 2015].</w:t>
      </w:r>
    </w:p>
    <w:p>
      <w:pPr>
        <w:pStyle w:val="BodyText"/>
      </w:pPr>
    </w:p>
    <w:p>
      <w:pPr>
        <w:pStyle w:val="BodyText"/>
        <w:spacing w:before="8"/>
        <w:rPr>
          <w:sz w:val="29"/>
        </w:rPr>
      </w:pPr>
    </w:p>
    <w:p>
      <w:pPr>
        <w:pStyle w:val="BodyText"/>
        <w:spacing w:line="360" w:lineRule="auto"/>
        <w:ind w:left="102" w:right="1110"/>
      </w:pPr>
      <w:r>
        <w:rPr/>
        <w:t>International Organization of Supreme Audit Institutions (INTOSAI) Disponible en: </w:t>
      </w:r>
      <w:hyperlink r:id="rId270">
        <w:r>
          <w:rPr/>
          <w:t>http://www.intosai.org/es/documentos/intosai/documentos-</w:t>
        </w:r>
      </w:hyperlink>
      <w:r>
        <w:rPr/>
        <w:t> </w:t>
      </w:r>
      <w:r>
        <w:rPr>
          <w:w w:val="95"/>
        </w:rPr>
        <w:t>basicos/declaraciones-de-lima-y-mexico/declaracion-de-mexico-sobre-</w:t>
      </w:r>
    </w:p>
    <w:p>
      <w:pPr>
        <w:pStyle w:val="BodyText"/>
        <w:spacing w:line="360" w:lineRule="auto" w:before="5"/>
        <w:ind w:left="102" w:right="403"/>
      </w:pPr>
      <w:r>
        <w:rPr/>
        <w:t>independencia-de-la-efs.html </w:t>
      </w:r>
      <w:hyperlink r:id="rId180">
        <w:r>
          <w:rPr>
            <w:color w:val="0000FF"/>
            <w:u w:val="single" w:color="0000FF"/>
          </w:rPr>
          <w:t>http://www.incosai2007.org.mx/infogral.html</w:t>
        </w:r>
      </w:hyperlink>
      <w:r>
        <w:rPr>
          <w:color w:val="0000FF"/>
          <w:u w:val="single" w:color="0000FF"/>
        </w:rPr>
        <w:t> </w:t>
      </w:r>
      <w:r>
        <w:rPr/>
        <w:t>[Fecha de consulta: 13 de abril, 2015]</w:t>
      </w:r>
    </w:p>
    <w:p>
      <w:pPr>
        <w:pStyle w:val="BodyText"/>
      </w:pPr>
    </w:p>
    <w:p>
      <w:pPr>
        <w:spacing w:line="360" w:lineRule="auto" w:before="142"/>
        <w:ind w:left="102" w:right="66" w:firstLine="0"/>
        <w:jc w:val="left"/>
        <w:rPr>
          <w:i/>
          <w:sz w:val="24"/>
        </w:rPr>
      </w:pPr>
      <w:r>
        <w:rPr>
          <w:sz w:val="24"/>
        </w:rPr>
        <w:t>International</w:t>
      </w:r>
      <w:r>
        <w:rPr>
          <w:spacing w:val="-16"/>
          <w:sz w:val="24"/>
        </w:rPr>
        <w:t> </w:t>
      </w:r>
      <w:r>
        <w:rPr>
          <w:sz w:val="24"/>
        </w:rPr>
        <w:t>Organization</w:t>
      </w:r>
      <w:r>
        <w:rPr>
          <w:spacing w:val="-15"/>
          <w:sz w:val="24"/>
        </w:rPr>
        <w:t> </w:t>
      </w:r>
      <w:r>
        <w:rPr>
          <w:sz w:val="24"/>
        </w:rPr>
        <w:t>of</w:t>
      </w:r>
      <w:r>
        <w:rPr>
          <w:spacing w:val="-15"/>
          <w:sz w:val="24"/>
        </w:rPr>
        <w:t> </w:t>
      </w:r>
      <w:r>
        <w:rPr>
          <w:sz w:val="24"/>
        </w:rPr>
        <w:t>Supreme</w:t>
      </w:r>
      <w:r>
        <w:rPr>
          <w:spacing w:val="-17"/>
          <w:sz w:val="24"/>
        </w:rPr>
        <w:t> </w:t>
      </w:r>
      <w:r>
        <w:rPr>
          <w:sz w:val="24"/>
        </w:rPr>
        <w:t>Audit</w:t>
      </w:r>
      <w:r>
        <w:rPr>
          <w:spacing w:val="-16"/>
          <w:sz w:val="24"/>
        </w:rPr>
        <w:t> </w:t>
      </w:r>
      <w:r>
        <w:rPr>
          <w:sz w:val="24"/>
        </w:rPr>
        <w:t>Institutions</w:t>
      </w:r>
      <w:r>
        <w:rPr>
          <w:spacing w:val="-16"/>
          <w:sz w:val="24"/>
        </w:rPr>
        <w:t> </w:t>
      </w:r>
      <w:r>
        <w:rPr>
          <w:sz w:val="24"/>
        </w:rPr>
        <w:t>(INTOSAI),</w:t>
      </w:r>
      <w:r>
        <w:rPr>
          <w:spacing w:val="-16"/>
          <w:sz w:val="24"/>
        </w:rPr>
        <w:t> </w:t>
      </w:r>
      <w:r>
        <w:rPr>
          <w:sz w:val="24"/>
        </w:rPr>
        <w:t>IX</w:t>
      </w:r>
      <w:r>
        <w:rPr>
          <w:spacing w:val="-18"/>
          <w:sz w:val="24"/>
        </w:rPr>
        <w:t> </w:t>
      </w:r>
      <w:r>
        <w:rPr>
          <w:sz w:val="24"/>
        </w:rPr>
        <w:t>Congreso. (1977). </w:t>
      </w:r>
      <w:r>
        <w:rPr>
          <w:i/>
          <w:sz w:val="24"/>
        </w:rPr>
        <w:t>Declaración de Lima sobre las Líneas Básicas de la</w:t>
      </w:r>
      <w:r>
        <w:rPr>
          <w:i/>
          <w:spacing w:val="-20"/>
          <w:sz w:val="24"/>
        </w:rPr>
        <w:t> </w:t>
      </w:r>
      <w:r>
        <w:rPr>
          <w:i/>
          <w:sz w:val="24"/>
        </w:rPr>
        <w:t>Fiscalización.</w:t>
      </w:r>
    </w:p>
    <w:p>
      <w:pPr>
        <w:pStyle w:val="BodyText"/>
        <w:spacing w:line="360" w:lineRule="auto" w:before="5"/>
        <w:ind w:left="102" w:right="1684"/>
      </w:pPr>
      <w:r>
        <w:rPr/>
        <w:t>Disponible en: </w:t>
      </w:r>
      <w:hyperlink r:id="rId170">
        <w:r>
          <w:rPr>
            <w:color w:val="0000FF"/>
            <w:u w:val="single" w:color="0000FF"/>
          </w:rPr>
          <w:t>http://biblio.juridicas.unam.mx/libros/4/1611/15.pdf</w:t>
        </w:r>
      </w:hyperlink>
      <w:r>
        <w:rPr>
          <w:color w:val="0000FF"/>
          <w:u w:val="single" w:color="0000FF"/>
        </w:rPr>
        <w:t> </w:t>
      </w:r>
      <w:r>
        <w:rPr/>
        <w:t>[Fecha de consulta: 13 de abril, 2015]</w:t>
      </w:r>
    </w:p>
    <w:p>
      <w:pPr>
        <w:pStyle w:val="BodyText"/>
      </w:pPr>
    </w:p>
    <w:p>
      <w:pPr>
        <w:pStyle w:val="BodyText"/>
        <w:tabs>
          <w:tab w:pos="1250" w:val="left" w:leader="none"/>
          <w:tab w:pos="2371" w:val="left" w:leader="none"/>
          <w:tab w:pos="3681" w:val="left" w:leader="none"/>
          <w:tab w:pos="4535" w:val="left" w:leader="none"/>
          <w:tab w:pos="5827" w:val="left" w:leader="none"/>
          <w:tab w:pos="7014" w:val="left" w:leader="none"/>
          <w:tab w:pos="7441" w:val="left" w:leader="none"/>
        </w:tabs>
        <w:spacing w:line="360" w:lineRule="auto" w:before="142"/>
        <w:ind w:left="102" w:right="121"/>
      </w:pPr>
      <w:r>
        <w:rPr/>
        <w:t>Instituto</w:t>
        <w:tab/>
        <w:t>Federal</w:t>
        <w:tab/>
        <w:t>Electoral.</w:t>
        <w:tab/>
        <w:t>(s.f.).</w:t>
        <w:tab/>
        <w:t>Sistemas</w:t>
        <w:tab/>
        <w:t>políticos</w:t>
        <w:tab/>
        <w:t>y</w:t>
        <w:tab/>
        <w:t>electorales contemporáneos</w:t>
      </w:r>
    </w:p>
    <w:p>
      <w:pPr>
        <w:spacing w:after="0" w:line="360" w:lineRule="auto"/>
        <w:sectPr>
          <w:pgSz w:w="11910" w:h="16840"/>
          <w:pgMar w:header="0" w:footer="1003" w:top="1340" w:bottom="1200" w:left="1600" w:right="1580"/>
        </w:sectPr>
      </w:pPr>
    </w:p>
    <w:p>
      <w:pPr>
        <w:pStyle w:val="BodyText"/>
        <w:spacing w:line="360" w:lineRule="auto" w:before="55"/>
        <w:ind w:left="102" w:right="1037"/>
      </w:pPr>
      <w:r>
        <w:rPr/>
        <w:t>Disponible en: </w:t>
      </w:r>
      <w:hyperlink r:id="rId271">
        <w:r>
          <w:rPr/>
          <w:t>http://www.ife.org.mx/documentos/DECEYEC/sistemas_politicos.htm</w:t>
        </w:r>
      </w:hyperlink>
      <w:r>
        <w:rPr/>
        <w:t> [Fecha de consulta: 9 de abril, 2015]</w:t>
      </w:r>
    </w:p>
    <w:p>
      <w:pPr>
        <w:pStyle w:val="BodyText"/>
      </w:pPr>
    </w:p>
    <w:p>
      <w:pPr>
        <w:spacing w:line="360" w:lineRule="auto" w:before="139"/>
        <w:ind w:left="102" w:right="517" w:firstLine="0"/>
        <w:jc w:val="left"/>
        <w:rPr>
          <w:sz w:val="24"/>
        </w:rPr>
      </w:pPr>
      <w:r>
        <w:rPr>
          <w:sz w:val="24"/>
        </w:rPr>
        <w:t>Joan Prats i Català. </w:t>
      </w:r>
      <w:r>
        <w:rPr>
          <w:i/>
          <w:sz w:val="24"/>
        </w:rPr>
        <w:t>Gobernabilidad democrática para el desarrollo humano. </w:t>
      </w:r>
      <w:r>
        <w:rPr>
          <w:i/>
          <w:sz w:val="24"/>
        </w:rPr>
        <w:t>Marco conceptual y analítico. Disponible en: </w:t>
      </w:r>
      <w:hyperlink r:id="rId272">
        <w:r>
          <w:rPr>
            <w:color w:val="0000FF"/>
            <w:sz w:val="24"/>
            <w:u w:val="single" w:color="0000FF"/>
          </w:rPr>
          <w:t>http://www.hegoa.ehu.es/dossierra/gobernanza/3-Prats2001.pdf</w:t>
        </w:r>
      </w:hyperlink>
    </w:p>
    <w:p>
      <w:pPr>
        <w:pStyle w:val="BodyText"/>
        <w:spacing w:before="5"/>
        <w:ind w:left="102" w:right="224"/>
      </w:pPr>
      <w:r>
        <w:rPr>
          <w:color w:val="0000FF"/>
          <w:u w:val="single" w:color="0000FF"/>
        </w:rPr>
        <w:t>[Fecha de consulta: 18 de marzo, 2015]</w:t>
      </w:r>
    </w:p>
    <w:p>
      <w:pPr>
        <w:pStyle w:val="BodyText"/>
        <w:rPr>
          <w:sz w:val="20"/>
        </w:rPr>
      </w:pPr>
    </w:p>
    <w:p>
      <w:pPr>
        <w:pStyle w:val="BodyText"/>
        <w:spacing w:before="9"/>
        <w:rPr>
          <w:sz w:val="21"/>
        </w:rPr>
      </w:pPr>
    </w:p>
    <w:p>
      <w:pPr>
        <w:spacing w:line="360" w:lineRule="auto" w:before="69"/>
        <w:ind w:left="102" w:right="1290" w:firstLine="0"/>
        <w:jc w:val="left"/>
        <w:rPr>
          <w:sz w:val="24"/>
        </w:rPr>
      </w:pPr>
      <w:r>
        <w:rPr>
          <w:sz w:val="24"/>
        </w:rPr>
        <w:t>Joan Prats Oriol. (s.f.). </w:t>
      </w:r>
      <w:r>
        <w:rPr>
          <w:i/>
          <w:sz w:val="24"/>
        </w:rPr>
        <w:t>El concepto y análisis de la gobernabilidad </w:t>
      </w:r>
      <w:r>
        <w:rPr>
          <w:sz w:val="24"/>
        </w:rPr>
        <w:t>Disponible en: </w:t>
      </w:r>
      <w:hyperlink r:id="rId273">
        <w:r>
          <w:rPr>
            <w:color w:val="0000FF"/>
            <w:sz w:val="24"/>
            <w:u w:val="single" w:color="0000FF"/>
          </w:rPr>
          <w:t>http://www.grupochorlavi.org/php/doc/documentos/Elconceptoyel.pdf</w:t>
        </w:r>
      </w:hyperlink>
      <w:r>
        <w:rPr>
          <w:color w:val="0000FF"/>
          <w:sz w:val="24"/>
          <w:u w:val="single" w:color="0000FF"/>
        </w:rPr>
        <w:t> </w:t>
      </w:r>
      <w:r>
        <w:rPr>
          <w:sz w:val="24"/>
        </w:rPr>
        <w:t>[Fecha de consulta: 20 de marzo, 2015]</w:t>
      </w:r>
    </w:p>
    <w:p>
      <w:pPr>
        <w:pStyle w:val="BodyText"/>
      </w:pPr>
    </w:p>
    <w:p>
      <w:pPr>
        <w:spacing w:line="360" w:lineRule="auto" w:before="139"/>
        <w:ind w:left="102" w:right="131" w:firstLine="0"/>
        <w:jc w:val="left"/>
        <w:rPr>
          <w:sz w:val="24"/>
        </w:rPr>
      </w:pPr>
      <w:r>
        <w:rPr>
          <w:sz w:val="24"/>
        </w:rPr>
        <w:t>Kaufmann Daniel, KraayAart y Zoido-Lobatón Pablo. (2000). </w:t>
      </w:r>
      <w:r>
        <w:rPr>
          <w:i/>
          <w:sz w:val="24"/>
        </w:rPr>
        <w:t>La gobernabilidad </w:t>
      </w:r>
      <w:r>
        <w:rPr>
          <w:i/>
          <w:sz w:val="24"/>
        </w:rPr>
        <w:t>es fundamental, del análisis a la acción</w:t>
      </w:r>
      <w:r>
        <w:rPr>
          <w:sz w:val="24"/>
        </w:rPr>
        <w:t>.</w:t>
      </w:r>
    </w:p>
    <w:p>
      <w:pPr>
        <w:pStyle w:val="BodyText"/>
        <w:spacing w:line="360" w:lineRule="auto" w:before="5"/>
        <w:ind w:left="102" w:right="131"/>
      </w:pPr>
      <w:r>
        <w:rPr/>
        <w:t>Disponible en: </w:t>
      </w:r>
      <w:hyperlink r:id="rId274">
        <w:r>
          <w:rPr>
            <w:color w:val="0000FF"/>
            <w:u w:val="single" w:color="0000FF"/>
          </w:rPr>
          <w:t>http://siteresources.worldbank.org/INTWBIGOVANTCOR/Resources/fandd_spa</w:t>
        </w:r>
      </w:hyperlink>
      <w:r>
        <w:rPr>
          <w:color w:val="0000FF"/>
          <w:u w:val="single" w:color="0000FF"/>
        </w:rPr>
        <w:t> </w:t>
      </w:r>
      <w:hyperlink r:id="rId274">
        <w:r>
          <w:rPr>
            <w:color w:val="0000FF"/>
            <w:u w:val="single" w:color="0000FF"/>
          </w:rPr>
          <w:t>nish.pdf </w:t>
        </w:r>
      </w:hyperlink>
      <w:r>
        <w:rPr/>
        <w:t>[Fecha de consulta: 22 de marzo, 2015]</w:t>
      </w:r>
    </w:p>
    <w:p>
      <w:pPr>
        <w:pStyle w:val="BodyText"/>
        <w:rPr>
          <w:sz w:val="20"/>
        </w:rPr>
      </w:pPr>
    </w:p>
    <w:p>
      <w:pPr>
        <w:spacing w:line="360" w:lineRule="auto" w:before="185"/>
        <w:ind w:left="102" w:right="224" w:firstLine="0"/>
        <w:jc w:val="left"/>
        <w:rPr>
          <w:sz w:val="24"/>
        </w:rPr>
      </w:pPr>
      <w:r>
        <w:rPr>
          <w:sz w:val="24"/>
        </w:rPr>
        <w:t>Lanz Cárdenas José Trinidad. (1993). </w:t>
      </w:r>
      <w:r>
        <w:rPr>
          <w:i/>
          <w:sz w:val="24"/>
        </w:rPr>
        <w:t>La contraloría y el control interno en </w:t>
      </w:r>
      <w:r>
        <w:rPr>
          <w:i/>
          <w:sz w:val="24"/>
        </w:rPr>
        <w:t>México</w:t>
      </w:r>
      <w:r>
        <w:rPr>
          <w:sz w:val="24"/>
        </w:rPr>
        <w:t>. FCE.</w:t>
      </w:r>
    </w:p>
    <w:p>
      <w:pPr>
        <w:pStyle w:val="BodyText"/>
        <w:spacing w:line="360" w:lineRule="auto" w:before="5"/>
        <w:ind w:left="102" w:right="144"/>
      </w:pPr>
      <w:r>
        <w:rPr/>
        <w:t>Disponible en: </w:t>
      </w:r>
      <w:hyperlink r:id="rId275">
        <w:r>
          <w:rPr>
            <w:color w:val="0000FF"/>
            <w:u w:val="single" w:color="0000FF"/>
          </w:rPr>
          <w:t>http://www.iapqroo.org.mx/website/biblioteca/LA%20CONTRALORIA%20Y%20</w:t>
        </w:r>
      </w:hyperlink>
      <w:r>
        <w:rPr>
          <w:color w:val="0000FF"/>
          <w:u w:val="single" w:color="0000FF"/>
        </w:rPr>
        <w:t> </w:t>
      </w:r>
      <w:hyperlink r:id="rId275">
        <w:r>
          <w:rPr>
            <w:color w:val="0000FF"/>
            <w:u w:val="single" w:color="0000FF"/>
          </w:rPr>
          <w:t>EL%20CONTROL%20INTERNO%20EN%20MEXICO.pdf</w:t>
        </w:r>
      </w:hyperlink>
    </w:p>
    <w:p>
      <w:pPr>
        <w:pStyle w:val="BodyText"/>
        <w:spacing w:before="5"/>
        <w:ind w:left="102" w:right="224"/>
      </w:pPr>
      <w:r>
        <w:rPr/>
        <w:t>[Fecha de consulta: 2 de mayo, 2015]</w:t>
      </w:r>
    </w:p>
    <w:p>
      <w:pPr>
        <w:pStyle w:val="BodyText"/>
      </w:pPr>
    </w:p>
    <w:p>
      <w:pPr>
        <w:pStyle w:val="BodyText"/>
      </w:pPr>
    </w:p>
    <w:p>
      <w:pPr>
        <w:pStyle w:val="BodyText"/>
        <w:spacing w:line="360" w:lineRule="auto"/>
        <w:ind w:left="102" w:right="3719"/>
      </w:pPr>
      <w:r>
        <w:rPr/>
        <w:t>Los sistemas fiscales de México del Siglo XIX Disponible en:</w:t>
      </w:r>
    </w:p>
    <w:p>
      <w:pPr>
        <w:pStyle w:val="BodyText"/>
        <w:spacing w:line="360" w:lineRule="auto" w:before="2"/>
        <w:ind w:left="102" w:right="144"/>
      </w:pPr>
      <w:hyperlink r:id="rId276">
        <w:r>
          <w:rPr>
            <w:spacing w:val="-1"/>
          </w:rPr>
          <w:t>http://www.sat.gob.mx/civismo_fiscal/contenidos/pdfs/cap2_sistemas_fm_xix.pd</w:t>
        </w:r>
      </w:hyperlink>
      <w:r>
        <w:rPr>
          <w:spacing w:val="-1"/>
        </w:rPr>
        <w:t> </w:t>
      </w:r>
      <w:hyperlink r:id="rId276">
        <w:r>
          <w:rPr/>
          <w:t>f</w:t>
        </w:r>
      </w:hyperlink>
    </w:p>
    <w:p>
      <w:pPr>
        <w:pStyle w:val="BodyText"/>
        <w:spacing w:before="2"/>
        <w:ind w:left="102" w:right="224"/>
      </w:pPr>
      <w:r>
        <w:rPr/>
        <w:t>[Fecha de consulta: 24 de mayo, 2015]</w:t>
      </w:r>
    </w:p>
    <w:p>
      <w:pPr>
        <w:pStyle w:val="BodyText"/>
      </w:pPr>
    </w:p>
    <w:p>
      <w:pPr>
        <w:pStyle w:val="BodyText"/>
        <w:spacing w:before="11"/>
        <w:rPr>
          <w:sz w:val="23"/>
        </w:rPr>
      </w:pPr>
    </w:p>
    <w:p>
      <w:pPr>
        <w:pStyle w:val="BodyText"/>
        <w:ind w:left="102" w:right="224"/>
      </w:pPr>
      <w:r>
        <w:rPr/>
        <w:t>Manual de Organización General de la Secretaría de la Función Pública.</w:t>
      </w:r>
    </w:p>
    <w:p>
      <w:pPr>
        <w:spacing w:after="0"/>
        <w:sectPr>
          <w:pgSz w:w="11910" w:h="16840"/>
          <w:pgMar w:header="0" w:footer="1003" w:top="1340" w:bottom="1200" w:left="1600" w:right="1600"/>
        </w:sectPr>
      </w:pPr>
    </w:p>
    <w:p>
      <w:pPr>
        <w:pStyle w:val="BodyText"/>
        <w:spacing w:before="55"/>
        <w:ind w:left="102" w:right="66"/>
      </w:pPr>
      <w:r>
        <w:rPr/>
        <w:t>Publicado en el D.O.F. el 10 de abril de 2012.</w:t>
      </w:r>
    </w:p>
    <w:p>
      <w:pPr>
        <w:pStyle w:val="BodyText"/>
        <w:spacing w:line="360" w:lineRule="auto" w:before="139"/>
        <w:ind w:left="102" w:right="66"/>
      </w:pPr>
      <w:r>
        <w:rPr/>
        <w:t>Disponible en: </w:t>
      </w:r>
      <w:hyperlink r:id="rId277">
        <w:r>
          <w:rPr>
            <w:color w:val="0000FF"/>
            <w:u w:val="single" w:color="0000FF"/>
          </w:rPr>
          <w:t>http://www.diputados.gob.mx/LeyesBiblio/regla/n280.pdf</w:t>
        </w:r>
      </w:hyperlink>
      <w:r>
        <w:rPr>
          <w:color w:val="0000FF"/>
          <w:u w:val="single" w:color="0000FF"/>
        </w:rPr>
        <w:t> </w:t>
      </w:r>
      <w:r>
        <w:rPr/>
        <w:t>[Fecha de consulta: 15 de mayo, 2015]</w:t>
      </w:r>
    </w:p>
    <w:p>
      <w:pPr>
        <w:pStyle w:val="BodyText"/>
      </w:pPr>
    </w:p>
    <w:p>
      <w:pPr>
        <w:pStyle w:val="BodyText"/>
        <w:spacing w:line="360" w:lineRule="auto" w:before="142"/>
        <w:ind w:left="102" w:right="66"/>
      </w:pPr>
      <w:r>
        <w:rPr/>
        <w:t>Maquiavelo, Nicolás. (1512-1517). Discursos sobre la primera década de Tito Livio</w:t>
      </w:r>
    </w:p>
    <w:p>
      <w:pPr>
        <w:pStyle w:val="BodyText"/>
        <w:spacing w:before="2"/>
        <w:ind w:left="102" w:right="66"/>
      </w:pPr>
      <w:r>
        <w:rPr/>
        <w:t>Disponible en:</w:t>
      </w:r>
    </w:p>
    <w:p>
      <w:pPr>
        <w:pStyle w:val="BodyText"/>
        <w:spacing w:line="360" w:lineRule="auto" w:before="139"/>
        <w:ind w:left="102" w:right="549"/>
      </w:pPr>
      <w:hyperlink r:id="rId278">
        <w:r>
          <w:rPr/>
          <w:t>http://ferronato.com.ar/wp-content/uploads/2009/06/discursos_tito_livio1.pdf</w:t>
        </w:r>
      </w:hyperlink>
      <w:r>
        <w:rPr/>
        <w:t> [Fecha de consulta: 9 de abril, 2015].</w:t>
      </w:r>
    </w:p>
    <w:p>
      <w:pPr>
        <w:pStyle w:val="BodyText"/>
      </w:pPr>
    </w:p>
    <w:p>
      <w:pPr>
        <w:pStyle w:val="BodyText"/>
        <w:spacing w:line="360" w:lineRule="auto" w:before="142"/>
        <w:ind w:left="102" w:right="66"/>
      </w:pPr>
      <w:r>
        <w:rPr/>
        <w:t>Martí Capitan ach, Luz del Carmen. Las constituciones locales en el sistema federal mexicano ¿son verdaderas constituciones?</w:t>
      </w:r>
    </w:p>
    <w:p>
      <w:pPr>
        <w:pStyle w:val="BodyText"/>
        <w:spacing w:line="360" w:lineRule="auto" w:before="2"/>
        <w:ind w:left="102" w:right="1817"/>
      </w:pPr>
      <w:r>
        <w:rPr/>
        <w:t>Disponible en: </w:t>
      </w:r>
      <w:hyperlink r:id="rId27">
        <w:r>
          <w:rPr/>
          <w:t>http://biblio.juridicas.unam.mx/libros/1/348/27.pdf</w:t>
        </w:r>
      </w:hyperlink>
      <w:r>
        <w:rPr/>
        <w:t> [Fecha de consulta: 7 de septiembre de 2015]</w:t>
      </w:r>
    </w:p>
    <w:p>
      <w:pPr>
        <w:pStyle w:val="BodyText"/>
      </w:pPr>
    </w:p>
    <w:p>
      <w:pPr>
        <w:pStyle w:val="BodyText"/>
        <w:spacing w:before="142"/>
        <w:ind w:left="102" w:right="66"/>
      </w:pPr>
      <w:r>
        <w:rPr/>
        <w:t>Montesquieu. (1748). El espíritu de las leyes.</w:t>
      </w:r>
    </w:p>
    <w:p>
      <w:pPr>
        <w:pStyle w:val="BodyText"/>
        <w:tabs>
          <w:tab w:pos="1447" w:val="left" w:leader="none"/>
          <w:tab w:pos="2005" w:val="left" w:leader="none"/>
        </w:tabs>
        <w:spacing w:line="360" w:lineRule="auto" w:before="137"/>
        <w:ind w:left="102" w:right="114"/>
      </w:pPr>
      <w:r>
        <w:rPr/>
        <w:t>Disponible</w:t>
        <w:tab/>
        <w:t>en:</w:t>
        <w:tab/>
      </w:r>
      <w:hyperlink r:id="rId279">
        <w:r>
          <w:rPr>
            <w:color w:val="0000FF"/>
            <w:w w:val="95"/>
            <w:u w:val="single" w:color="0000FF"/>
          </w:rPr>
          <w:t>http://archivosociologico.files.wordpress.com/2010/04/charles-</w:t>
        </w:r>
      </w:hyperlink>
      <w:r>
        <w:rPr>
          <w:color w:val="0000FF"/>
          <w:w w:val="95"/>
          <w:u w:val="single" w:color="0000FF"/>
        </w:rPr>
        <w:t> </w:t>
      </w:r>
      <w:hyperlink r:id="rId279">
        <w:r>
          <w:rPr>
            <w:color w:val="0000FF"/>
            <w:u w:val="single" w:color="0000FF"/>
          </w:rPr>
          <w:t>louis-montesquieu-el-espiritu-de-las-leyes.pdf</w:t>
        </w:r>
      </w:hyperlink>
    </w:p>
    <w:p>
      <w:pPr>
        <w:pStyle w:val="BodyText"/>
        <w:spacing w:before="3"/>
        <w:ind w:left="102" w:right="66"/>
      </w:pPr>
      <w:r>
        <w:rPr/>
        <w:t>[Fecha de consulta: abril 7, 2015]</w:t>
      </w:r>
    </w:p>
    <w:p>
      <w:pPr>
        <w:pStyle w:val="BodyText"/>
      </w:pPr>
    </w:p>
    <w:p>
      <w:pPr>
        <w:pStyle w:val="BodyText"/>
        <w:spacing w:before="9"/>
        <w:rPr>
          <w:sz w:val="23"/>
        </w:rPr>
      </w:pPr>
    </w:p>
    <w:p>
      <w:pPr>
        <w:spacing w:line="360" w:lineRule="auto" w:before="0"/>
        <w:ind w:left="102" w:right="255" w:firstLine="0"/>
        <w:jc w:val="left"/>
        <w:rPr>
          <w:sz w:val="24"/>
        </w:rPr>
      </w:pPr>
      <w:r>
        <w:rPr>
          <w:color w:val="0000FF"/>
          <w:sz w:val="24"/>
          <w:u w:val="single" w:color="0000FF"/>
        </w:rPr>
        <w:t>Morata, Francesc. (2002). </w:t>
      </w:r>
      <w:r>
        <w:rPr>
          <w:i/>
          <w:color w:val="0000FF"/>
          <w:sz w:val="24"/>
          <w:u w:val="single" w:color="0000FF"/>
        </w:rPr>
        <w:t>Gobernanza multinivel en la Unión Europea </w:t>
      </w:r>
      <w:r>
        <w:rPr>
          <w:color w:val="0000FF"/>
          <w:sz w:val="24"/>
          <w:u w:val="single" w:color="0000FF"/>
        </w:rPr>
        <w:t>Disponible en: </w:t>
      </w:r>
      <w:hyperlink r:id="rId280">
        <w:r>
          <w:rPr>
            <w:color w:val="0000FF"/>
            <w:sz w:val="24"/>
            <w:u w:val="single" w:color="0000FF"/>
          </w:rPr>
          <w:t>http://unpan1.un.org/intradoc/groups/public/documents/CLAD/clad0044413.pdf</w:t>
        </w:r>
      </w:hyperlink>
      <w:r>
        <w:rPr>
          <w:color w:val="0000FF"/>
          <w:sz w:val="24"/>
          <w:u w:val="single" w:color="0000FF"/>
        </w:rPr>
        <w:t> [Fecha de Consulta: 14 de marzo, 2015]</w:t>
      </w:r>
    </w:p>
    <w:p>
      <w:pPr>
        <w:pStyle w:val="BodyText"/>
        <w:rPr>
          <w:sz w:val="20"/>
        </w:rPr>
      </w:pPr>
    </w:p>
    <w:p>
      <w:pPr>
        <w:spacing w:before="185"/>
        <w:ind w:left="102" w:right="66" w:firstLine="0"/>
        <w:jc w:val="left"/>
        <w:rPr>
          <w:i/>
          <w:sz w:val="24"/>
        </w:rPr>
      </w:pPr>
      <w:r>
        <w:rPr>
          <w:sz w:val="24"/>
        </w:rPr>
        <w:t>Mosca Gaetano. </w:t>
      </w:r>
      <w:r>
        <w:rPr>
          <w:i/>
          <w:sz w:val="24"/>
        </w:rPr>
        <w:t>La clase política, predominio de una clase dirigente</w:t>
      </w:r>
    </w:p>
    <w:p>
      <w:pPr>
        <w:pStyle w:val="BodyText"/>
        <w:tabs>
          <w:tab w:pos="8272" w:val="left" w:leader="none"/>
        </w:tabs>
        <w:spacing w:before="139"/>
        <w:ind w:left="102" w:right="66"/>
      </w:pPr>
      <w:r>
        <w:rPr/>
        <w:t>Disponible</w:t>
        <w:tab/>
        <w:t>en:</w:t>
      </w:r>
    </w:p>
    <w:p>
      <w:pPr>
        <w:pStyle w:val="BodyText"/>
        <w:spacing w:line="360" w:lineRule="auto" w:before="140"/>
        <w:ind w:left="102" w:right="1377"/>
      </w:pPr>
      <w:hyperlink r:id="rId281">
        <w:r>
          <w:rPr>
            <w:color w:val="0000FF"/>
            <w:u w:val="single" w:color="0000FF"/>
          </w:rPr>
          <w:t>http://americo.usal.es/iberoame/sites/default/files/Laclasepolitica.pdf</w:t>
        </w:r>
      </w:hyperlink>
      <w:r>
        <w:rPr>
          <w:color w:val="0000FF"/>
          <w:u w:val="single" w:color="0000FF"/>
        </w:rPr>
        <w:t> </w:t>
      </w:r>
      <w:r>
        <w:rPr/>
        <w:t>[Fecha de consulta: 6 de abril, 2015]</w:t>
      </w:r>
    </w:p>
    <w:p>
      <w:pPr>
        <w:pStyle w:val="BodyText"/>
        <w:spacing w:line="360" w:lineRule="auto" w:before="202"/>
        <w:ind w:left="102" w:right="1258"/>
      </w:pPr>
      <w:r>
        <w:rPr/>
        <w:t>Olivas Julián, </w:t>
      </w:r>
      <w:r>
        <w:rPr>
          <w:i/>
        </w:rPr>
        <w:t>El órgano de control externo </w:t>
      </w:r>
      <w:hyperlink r:id="rId282">
        <w:r>
          <w:rPr/>
          <w:t>http://www.amocvies.org.mx/htm_asambleas/a15_qroo/inf/fiscaliz.pdf</w:t>
        </w:r>
      </w:hyperlink>
      <w:r>
        <w:rPr/>
        <w:t> [Fecha de consulta: 7 de mayo, 2015]</w:t>
      </w:r>
    </w:p>
    <w:p>
      <w:pPr>
        <w:spacing w:after="0" w:line="360" w:lineRule="auto"/>
        <w:sectPr>
          <w:pgSz w:w="11910" w:h="16840"/>
          <w:pgMar w:header="0" w:footer="1003" w:top="1340" w:bottom="1200" w:left="1600" w:right="1580"/>
        </w:sectPr>
      </w:pPr>
    </w:p>
    <w:p>
      <w:pPr>
        <w:pStyle w:val="BodyText"/>
        <w:spacing w:line="362" w:lineRule="auto" w:before="55"/>
        <w:ind w:left="102" w:right="96"/>
      </w:pPr>
      <w:r>
        <w:rPr/>
        <w:t>Pesos</w:t>
      </w:r>
      <w:r>
        <w:rPr>
          <w:spacing w:val="-9"/>
        </w:rPr>
        <w:t> </w:t>
      </w:r>
      <w:r>
        <w:rPr/>
        <w:t>y</w:t>
      </w:r>
      <w:r>
        <w:rPr>
          <w:spacing w:val="-12"/>
        </w:rPr>
        <w:t> </w:t>
      </w:r>
      <w:r>
        <w:rPr/>
        <w:t>contrapesos,</w:t>
      </w:r>
      <w:r>
        <w:rPr>
          <w:spacing w:val="-11"/>
        </w:rPr>
        <w:t> </w:t>
      </w:r>
      <w:r>
        <w:rPr/>
        <w:t>programa</w:t>
      </w:r>
      <w:r>
        <w:rPr>
          <w:spacing w:val="-8"/>
        </w:rPr>
        <w:t> </w:t>
      </w:r>
      <w:r>
        <w:rPr/>
        <w:t>1:</w:t>
      </w:r>
      <w:r>
        <w:rPr>
          <w:spacing w:val="-9"/>
        </w:rPr>
        <w:t> </w:t>
      </w:r>
      <w:r>
        <w:rPr/>
        <w:t>Qué</w:t>
      </w:r>
      <w:r>
        <w:rPr>
          <w:spacing w:val="-8"/>
        </w:rPr>
        <w:t> </w:t>
      </w:r>
      <w:r>
        <w:rPr/>
        <w:t>es,</w:t>
      </w:r>
      <w:r>
        <w:rPr>
          <w:spacing w:val="-9"/>
        </w:rPr>
        <w:t> </w:t>
      </w:r>
      <w:r>
        <w:rPr/>
        <w:t>qué</w:t>
      </w:r>
      <w:r>
        <w:rPr>
          <w:spacing w:val="-8"/>
        </w:rPr>
        <w:t> </w:t>
      </w:r>
      <w:r>
        <w:rPr/>
        <w:t>hace</w:t>
      </w:r>
      <w:r>
        <w:rPr>
          <w:spacing w:val="-8"/>
        </w:rPr>
        <w:t> </w:t>
      </w:r>
      <w:r>
        <w:rPr/>
        <w:t>y</w:t>
      </w:r>
      <w:r>
        <w:rPr>
          <w:spacing w:val="-12"/>
        </w:rPr>
        <w:t> </w:t>
      </w:r>
      <w:r>
        <w:rPr/>
        <w:t>cuál</w:t>
      </w:r>
      <w:r>
        <w:rPr>
          <w:spacing w:val="-10"/>
        </w:rPr>
        <w:t> </w:t>
      </w:r>
      <w:r>
        <w:rPr/>
        <w:t>es</w:t>
      </w:r>
      <w:r>
        <w:rPr>
          <w:spacing w:val="-9"/>
        </w:rPr>
        <w:t> </w:t>
      </w:r>
      <w:r>
        <w:rPr/>
        <w:t>el</w:t>
      </w:r>
      <w:r>
        <w:rPr>
          <w:spacing w:val="-10"/>
        </w:rPr>
        <w:t> </w:t>
      </w:r>
      <w:r>
        <w:rPr/>
        <w:t>beneficio</w:t>
      </w:r>
      <w:r>
        <w:rPr>
          <w:spacing w:val="-8"/>
        </w:rPr>
        <w:t> </w:t>
      </w:r>
      <w:r>
        <w:rPr/>
        <w:t>social de la</w:t>
      </w:r>
      <w:r>
        <w:rPr>
          <w:spacing w:val="-3"/>
        </w:rPr>
        <w:t> </w:t>
      </w:r>
      <w:r>
        <w:rPr/>
        <w:t>ASF.</w:t>
      </w:r>
    </w:p>
    <w:p>
      <w:pPr>
        <w:pStyle w:val="BodyText"/>
        <w:spacing w:line="360" w:lineRule="auto"/>
        <w:ind w:left="102" w:right="1037"/>
      </w:pPr>
      <w:r>
        <w:rPr/>
        <w:t>Disponible en: </w:t>
      </w:r>
      <w:hyperlink r:id="rId206">
        <w:r>
          <w:rPr/>
          <w:t>http://www.asf.gob.mx/Publication/75_Programa_de_TV</w:t>
        </w:r>
      </w:hyperlink>
      <w:r>
        <w:rPr/>
        <w:t> [Fecha de consulta: 5 de junio, 2015]</w:t>
      </w:r>
    </w:p>
    <w:p>
      <w:pPr>
        <w:pStyle w:val="BodyText"/>
      </w:pPr>
    </w:p>
    <w:p>
      <w:pPr>
        <w:spacing w:line="360" w:lineRule="auto" w:before="139"/>
        <w:ind w:left="102" w:right="1063" w:firstLine="0"/>
        <w:jc w:val="left"/>
        <w:rPr>
          <w:sz w:val="24"/>
        </w:rPr>
      </w:pPr>
      <w:r>
        <w:rPr>
          <w:sz w:val="24"/>
        </w:rPr>
        <w:t>Phio Virve, </w:t>
      </w:r>
      <w:r>
        <w:rPr>
          <w:i/>
          <w:sz w:val="24"/>
        </w:rPr>
        <w:t>La organización eclesiástica en la Nueva España. </w:t>
      </w:r>
      <w:r>
        <w:rPr>
          <w:sz w:val="24"/>
        </w:rPr>
        <w:t>Disponible en: </w:t>
      </w:r>
      <w:hyperlink r:id="rId116">
        <w:r>
          <w:rPr>
            <w:color w:val="0000FF"/>
            <w:sz w:val="24"/>
            <w:u w:val="single" w:color="0000FF"/>
          </w:rPr>
          <w:t>http://www.ejournal.unam.mx/ehn/ehn10/EHN01002.pdf</w:t>
        </w:r>
      </w:hyperlink>
      <w:r>
        <w:rPr>
          <w:color w:val="0000FF"/>
          <w:sz w:val="24"/>
          <w:u w:val="single" w:color="0000FF"/>
        </w:rPr>
        <w:t> </w:t>
      </w:r>
      <w:r>
        <w:rPr>
          <w:sz w:val="24"/>
        </w:rPr>
        <w:t>[Fecha de consulta: 5 de mayo, 2015]</w:t>
      </w:r>
    </w:p>
    <w:p>
      <w:pPr>
        <w:pStyle w:val="BodyText"/>
      </w:pPr>
    </w:p>
    <w:p>
      <w:pPr>
        <w:spacing w:line="360" w:lineRule="auto" w:before="140"/>
        <w:ind w:left="102" w:right="96" w:firstLine="0"/>
        <w:jc w:val="left"/>
        <w:rPr>
          <w:i/>
          <w:sz w:val="24"/>
        </w:rPr>
      </w:pPr>
      <w:r>
        <w:rPr>
          <w:sz w:val="24"/>
        </w:rPr>
        <w:t>Ruano</w:t>
      </w:r>
      <w:r>
        <w:rPr>
          <w:spacing w:val="-12"/>
          <w:sz w:val="24"/>
        </w:rPr>
        <w:t> </w:t>
      </w:r>
      <w:r>
        <w:rPr>
          <w:sz w:val="24"/>
        </w:rPr>
        <w:t>de</w:t>
      </w:r>
      <w:r>
        <w:rPr>
          <w:spacing w:val="-12"/>
          <w:sz w:val="24"/>
        </w:rPr>
        <w:t> </w:t>
      </w:r>
      <w:r>
        <w:rPr>
          <w:sz w:val="24"/>
        </w:rPr>
        <w:t>la</w:t>
      </w:r>
      <w:r>
        <w:rPr>
          <w:spacing w:val="-10"/>
          <w:sz w:val="24"/>
        </w:rPr>
        <w:t> </w:t>
      </w:r>
      <w:r>
        <w:rPr>
          <w:sz w:val="24"/>
        </w:rPr>
        <w:t>Fuente,</w:t>
      </w:r>
      <w:r>
        <w:rPr>
          <w:spacing w:val="-10"/>
          <w:sz w:val="24"/>
        </w:rPr>
        <w:t> </w:t>
      </w:r>
      <w:r>
        <w:rPr>
          <w:sz w:val="24"/>
        </w:rPr>
        <w:t>José</w:t>
      </w:r>
      <w:r>
        <w:rPr>
          <w:spacing w:val="-9"/>
          <w:sz w:val="24"/>
        </w:rPr>
        <w:t> </w:t>
      </w:r>
      <w:r>
        <w:rPr>
          <w:sz w:val="24"/>
        </w:rPr>
        <w:t>Manuel.</w:t>
      </w:r>
      <w:r>
        <w:rPr>
          <w:spacing w:val="-13"/>
          <w:sz w:val="24"/>
        </w:rPr>
        <w:t> </w:t>
      </w:r>
      <w:r>
        <w:rPr>
          <w:sz w:val="24"/>
        </w:rPr>
        <w:t>(2002).</w:t>
      </w:r>
      <w:r>
        <w:rPr>
          <w:spacing w:val="-7"/>
          <w:sz w:val="24"/>
        </w:rPr>
        <w:t> </w:t>
      </w:r>
      <w:r>
        <w:rPr>
          <w:i/>
          <w:sz w:val="24"/>
        </w:rPr>
        <w:t>La</w:t>
      </w:r>
      <w:r>
        <w:rPr>
          <w:i/>
          <w:spacing w:val="-12"/>
          <w:sz w:val="24"/>
        </w:rPr>
        <w:t> </w:t>
      </w:r>
      <w:r>
        <w:rPr>
          <w:i/>
          <w:sz w:val="24"/>
        </w:rPr>
        <w:t>gobernanza</w:t>
      </w:r>
      <w:r>
        <w:rPr>
          <w:i/>
          <w:spacing w:val="-9"/>
          <w:sz w:val="24"/>
        </w:rPr>
        <w:t> </w:t>
      </w:r>
      <w:r>
        <w:rPr>
          <w:i/>
          <w:sz w:val="24"/>
        </w:rPr>
        <w:t>como</w:t>
      </w:r>
      <w:r>
        <w:rPr>
          <w:i/>
          <w:spacing w:val="-9"/>
          <w:sz w:val="24"/>
        </w:rPr>
        <w:t> </w:t>
      </w:r>
      <w:r>
        <w:rPr>
          <w:i/>
          <w:sz w:val="24"/>
        </w:rPr>
        <w:t>forma</w:t>
      </w:r>
      <w:r>
        <w:rPr>
          <w:i/>
          <w:spacing w:val="-9"/>
          <w:sz w:val="24"/>
        </w:rPr>
        <w:t> </w:t>
      </w:r>
      <w:r>
        <w:rPr>
          <w:i/>
          <w:sz w:val="24"/>
        </w:rPr>
        <w:t>de</w:t>
      </w:r>
      <w:r>
        <w:rPr>
          <w:i/>
          <w:spacing w:val="-9"/>
          <w:sz w:val="24"/>
        </w:rPr>
        <w:t> </w:t>
      </w:r>
      <w:r>
        <w:rPr>
          <w:i/>
          <w:sz w:val="24"/>
        </w:rPr>
        <w:t>acción </w:t>
      </w:r>
      <w:r>
        <w:rPr>
          <w:i/>
          <w:sz w:val="24"/>
        </w:rPr>
        <w:t>política y como concepto</w:t>
      </w:r>
      <w:r>
        <w:rPr>
          <w:i/>
          <w:spacing w:val="-9"/>
          <w:sz w:val="24"/>
        </w:rPr>
        <w:t> </w:t>
      </w:r>
      <w:r>
        <w:rPr>
          <w:i/>
          <w:sz w:val="24"/>
        </w:rPr>
        <w:t>analítico</w:t>
      </w:r>
    </w:p>
    <w:p>
      <w:pPr>
        <w:pStyle w:val="BodyText"/>
        <w:spacing w:line="360" w:lineRule="auto" w:before="7"/>
        <w:ind w:left="102" w:right="131"/>
      </w:pPr>
      <w:r>
        <w:rPr/>
        <w:t>Disponible en: </w:t>
      </w:r>
      <w:hyperlink r:id="rId283">
        <w:r>
          <w:rPr>
            <w:color w:val="0000FF"/>
            <w:u w:val="single" w:color="0000FF"/>
          </w:rPr>
          <w:t>http://unpan1.un.org/intradoc/groups/public/documents/CLAD/clad0043411.pdf</w:t>
        </w:r>
      </w:hyperlink>
      <w:r>
        <w:rPr>
          <w:color w:val="0000FF"/>
          <w:u w:val="single" w:color="0000FF"/>
        </w:rPr>
        <w:t> </w:t>
      </w:r>
      <w:r>
        <w:rPr/>
        <w:t>[Fecha de consulta: 20 de marzo, 2015].</w:t>
      </w:r>
    </w:p>
    <w:p>
      <w:pPr>
        <w:pStyle w:val="BodyText"/>
      </w:pPr>
    </w:p>
    <w:p>
      <w:pPr>
        <w:spacing w:line="360" w:lineRule="auto" w:before="139"/>
        <w:ind w:left="102" w:right="224" w:firstLine="0"/>
        <w:jc w:val="left"/>
        <w:rPr>
          <w:i/>
          <w:sz w:val="24"/>
        </w:rPr>
      </w:pPr>
      <w:r>
        <w:rPr>
          <w:sz w:val="24"/>
        </w:rPr>
        <w:t>Secretaría de la Función Pública, </w:t>
      </w:r>
      <w:r>
        <w:rPr>
          <w:i/>
          <w:sz w:val="24"/>
        </w:rPr>
        <w:t>Conferencia Internacional sobre PbR, el </w:t>
      </w:r>
      <w:r>
        <w:rPr>
          <w:i/>
          <w:sz w:val="24"/>
        </w:rPr>
        <w:t>programa de mejora de la gestión.</w:t>
      </w:r>
    </w:p>
    <w:p>
      <w:pPr>
        <w:pStyle w:val="BodyText"/>
        <w:spacing w:line="360" w:lineRule="auto" w:before="7"/>
        <w:ind w:left="102" w:right="2092"/>
      </w:pPr>
      <w:r>
        <w:rPr/>
        <w:t>Disponible en: </w:t>
      </w:r>
      <w:hyperlink r:id="rId126">
        <w:r>
          <w:rPr>
            <w:color w:val="0000FF"/>
            <w:u w:val="single" w:color="0000FF"/>
          </w:rPr>
          <w:t>http://siteresources.worldbank.org/INTMEXICO/Resources/4-</w:t>
        </w:r>
      </w:hyperlink>
      <w:r>
        <w:rPr>
          <w:color w:val="0000FF"/>
          <w:u w:val="single" w:color="0000FF"/>
        </w:rPr>
        <w:t> </w:t>
      </w:r>
      <w:hyperlink r:id="rId126">
        <w:r>
          <w:rPr>
            <w:color w:val="0000FF"/>
            <w:u w:val="single" w:color="0000FF"/>
          </w:rPr>
          <w:t>3DocumentoPbRSalvadorVegajun08VF.pdf</w:t>
        </w:r>
      </w:hyperlink>
    </w:p>
    <w:p>
      <w:pPr>
        <w:pStyle w:val="BodyText"/>
        <w:spacing w:before="2"/>
        <w:ind w:left="102" w:right="224"/>
      </w:pPr>
      <w:r>
        <w:rPr/>
        <w:t>[Fecha de consulta: 25 de mayo, 2015]</w:t>
      </w:r>
    </w:p>
    <w:p>
      <w:pPr>
        <w:pStyle w:val="BodyText"/>
      </w:pPr>
    </w:p>
    <w:p>
      <w:pPr>
        <w:pStyle w:val="BodyText"/>
      </w:pPr>
    </w:p>
    <w:p>
      <w:pPr>
        <w:pStyle w:val="BodyText"/>
        <w:spacing w:line="360" w:lineRule="auto"/>
        <w:ind w:left="102" w:right="224"/>
      </w:pPr>
      <w:r>
        <w:rPr/>
        <w:t>SFP (2008) Programa Nacional de Rendición de Cuentas, Transparencia y Combate a la Corrupción, 2008-2012</w:t>
      </w:r>
    </w:p>
    <w:p>
      <w:pPr>
        <w:pStyle w:val="BodyText"/>
        <w:spacing w:line="360" w:lineRule="auto" w:before="2"/>
        <w:ind w:left="102" w:right="396"/>
      </w:pPr>
      <w:r>
        <w:rPr/>
        <w:t>Disponible en: </w:t>
      </w:r>
      <w:hyperlink r:id="rId284">
        <w:r>
          <w:rPr/>
          <w:t>http://www.programaanticorrupcion.gob.mx/PNRCTCC/prctcc_2008-2012.pdf</w:t>
        </w:r>
      </w:hyperlink>
      <w:r>
        <w:rPr/>
        <w:t> [Fecha de consulta: 29 de mayo, 2015]</w:t>
      </w:r>
    </w:p>
    <w:p>
      <w:pPr>
        <w:pStyle w:val="BodyText"/>
      </w:pPr>
    </w:p>
    <w:p>
      <w:pPr>
        <w:pStyle w:val="BodyText"/>
        <w:spacing w:line="360" w:lineRule="auto" w:before="142"/>
        <w:ind w:left="102" w:right="3598"/>
      </w:pPr>
      <w:r>
        <w:rPr/>
        <w:t>SHCP, Sistema de Evaluación del Desempeño Disponible en:</w:t>
      </w:r>
    </w:p>
    <w:p>
      <w:pPr>
        <w:pStyle w:val="BodyText"/>
        <w:spacing w:line="360" w:lineRule="auto" w:before="5"/>
        <w:ind w:left="102" w:right="290"/>
      </w:pPr>
      <w:hyperlink r:id="rId285">
        <w:r>
          <w:rPr/>
          <w:t>http://www.hacienda.gob.mx/EGRESOS/pbr/docs_consultta/directricessed.pdf</w:t>
        </w:r>
      </w:hyperlink>
      <w:r>
        <w:rPr/>
        <w:t> [Fecha de consulta: 11 de mayo, 2015]</w:t>
      </w:r>
    </w:p>
    <w:p>
      <w:pPr>
        <w:spacing w:after="0" w:line="360" w:lineRule="auto"/>
        <w:sectPr>
          <w:pgSz w:w="11910" w:h="16840"/>
          <w:pgMar w:header="0" w:footer="1003" w:top="1340" w:bottom="1200" w:left="1600" w:right="1600"/>
        </w:sectPr>
      </w:pPr>
    </w:p>
    <w:p>
      <w:pPr>
        <w:spacing w:line="362" w:lineRule="auto" w:before="53"/>
        <w:ind w:left="102" w:right="118" w:firstLine="0"/>
        <w:jc w:val="both"/>
        <w:rPr>
          <w:sz w:val="24"/>
        </w:rPr>
      </w:pPr>
      <w:r>
        <w:rPr>
          <w:sz w:val="24"/>
        </w:rPr>
        <w:t>Schedler, Andreas (2005) </w:t>
      </w:r>
      <w:r>
        <w:rPr>
          <w:i/>
          <w:sz w:val="24"/>
        </w:rPr>
        <w:t>¿Qué es la rendición de cuentas? </w:t>
      </w:r>
      <w:r>
        <w:rPr>
          <w:sz w:val="24"/>
        </w:rPr>
        <w:t>Cuadernos de Transparencia No. 3, Instituto Federal de Acceso a la Información Pública. México.</w:t>
      </w:r>
    </w:p>
    <w:p>
      <w:pPr>
        <w:pStyle w:val="BodyText"/>
        <w:spacing w:line="360" w:lineRule="auto" w:before="2"/>
        <w:ind w:left="102" w:right="66"/>
      </w:pPr>
      <w:r>
        <w:rPr/>
        <w:t>Disponible en: </w:t>
      </w:r>
      <w:hyperlink r:id="rId286">
        <w:r>
          <w:rPr/>
          <w:t>http://works.bepress.com/cgi/viewcontent.cgi?article=1005&amp;context=andreas_s</w:t>
        </w:r>
      </w:hyperlink>
      <w:r>
        <w:rPr/>
        <w:t> chedler</w:t>
      </w:r>
    </w:p>
    <w:p>
      <w:pPr>
        <w:pStyle w:val="BodyText"/>
        <w:spacing w:before="2"/>
        <w:ind w:left="102" w:right="66"/>
      </w:pPr>
      <w:r>
        <w:rPr/>
        <w:t>[Fecha de consulta: 20 de marzo, 2015].</w:t>
      </w:r>
    </w:p>
    <w:p>
      <w:pPr>
        <w:pStyle w:val="BodyText"/>
      </w:pPr>
    </w:p>
    <w:p>
      <w:pPr>
        <w:pStyle w:val="BodyText"/>
        <w:spacing w:before="9"/>
        <w:rPr>
          <w:sz w:val="23"/>
        </w:rPr>
      </w:pPr>
    </w:p>
    <w:p>
      <w:pPr>
        <w:pStyle w:val="BodyText"/>
        <w:spacing w:line="362" w:lineRule="auto"/>
        <w:ind w:left="102" w:right="2164"/>
      </w:pPr>
      <w:r>
        <w:rPr/>
        <w:t>Servolov, Yuri. (2000). </w:t>
      </w:r>
      <w:r>
        <w:rPr>
          <w:i/>
        </w:rPr>
        <w:t>Se inicia un nuevo ciclo en México</w:t>
      </w:r>
      <w:r>
        <w:rPr/>
        <w:t>. Disponible en: </w:t>
      </w:r>
      <w:hyperlink r:id="rId122">
        <w:r>
          <w:rPr/>
          <w:t>http://nuevamayoria.com/analisis/serbolov/serbolov3011.htm</w:t>
        </w:r>
      </w:hyperlink>
      <w:r>
        <w:rPr/>
        <w:t> [Fecha de consulta: 11 de mayo, 2015].</w:t>
      </w:r>
    </w:p>
    <w:p>
      <w:pPr>
        <w:pStyle w:val="BodyText"/>
        <w:spacing w:before="10"/>
        <w:rPr>
          <w:sz w:val="35"/>
        </w:rPr>
      </w:pPr>
    </w:p>
    <w:p>
      <w:pPr>
        <w:spacing w:line="360" w:lineRule="auto" w:before="0"/>
        <w:ind w:left="102" w:right="66" w:firstLine="0"/>
        <w:jc w:val="left"/>
        <w:rPr>
          <w:sz w:val="24"/>
        </w:rPr>
      </w:pPr>
      <w:r>
        <w:rPr>
          <w:sz w:val="24"/>
        </w:rPr>
        <w:t>Solares Mendiola, Manuel. (2004) </w:t>
      </w:r>
      <w:r>
        <w:rPr>
          <w:i/>
          <w:sz w:val="24"/>
        </w:rPr>
        <w:t>La Auditoría Superior de la Federación: </w:t>
      </w:r>
      <w:r>
        <w:rPr>
          <w:i/>
          <w:sz w:val="24"/>
        </w:rPr>
        <w:t>antecedentes y perspectiva jurídica</w:t>
      </w:r>
      <w:r>
        <w:rPr>
          <w:sz w:val="24"/>
        </w:rPr>
        <w:t>. UNAM. México.</w:t>
      </w:r>
    </w:p>
    <w:p>
      <w:pPr>
        <w:pStyle w:val="BodyText"/>
        <w:spacing w:line="360" w:lineRule="auto" w:before="7"/>
        <w:ind w:left="102" w:right="1817"/>
      </w:pPr>
      <w:r>
        <w:rPr/>
        <w:t>Disponible en: </w:t>
      </w:r>
      <w:hyperlink r:id="rId287">
        <w:r>
          <w:rPr/>
          <w:t>http://biblio.juridicas.unam.mx/libros/3/1327/1.pdf</w:t>
        </w:r>
      </w:hyperlink>
      <w:r>
        <w:rPr/>
        <w:t> [Fecha de consulta: 5 de abril, 2015]</w:t>
      </w:r>
    </w:p>
    <w:p>
      <w:pPr>
        <w:pStyle w:val="BodyText"/>
      </w:pPr>
    </w:p>
    <w:p>
      <w:pPr>
        <w:spacing w:line="360" w:lineRule="auto" w:before="140"/>
        <w:ind w:left="102" w:right="563" w:firstLine="0"/>
        <w:jc w:val="left"/>
        <w:rPr>
          <w:sz w:val="24"/>
        </w:rPr>
      </w:pPr>
      <w:r>
        <w:rPr>
          <w:sz w:val="24"/>
        </w:rPr>
        <w:t>Stuart Mill, John. (1860). </w:t>
      </w:r>
      <w:r>
        <w:rPr>
          <w:i/>
          <w:sz w:val="24"/>
        </w:rPr>
        <w:t>Consideraciones sobre el gobierno representativo</w:t>
      </w:r>
      <w:r>
        <w:rPr>
          <w:sz w:val="24"/>
        </w:rPr>
        <w:t>. Disponible en: </w:t>
      </w:r>
      <w:hyperlink r:id="rId288">
        <w:r>
          <w:rPr>
            <w:color w:val="0000FF"/>
            <w:sz w:val="24"/>
            <w:u w:val="single" w:color="0000FF"/>
          </w:rPr>
          <w:t>http://fama2.us.es/fde/ocr/2006/gobiernoRepresentativo.pdf</w:t>
        </w:r>
      </w:hyperlink>
      <w:r>
        <w:rPr>
          <w:color w:val="0000FF"/>
          <w:sz w:val="24"/>
          <w:u w:val="single" w:color="0000FF"/>
        </w:rPr>
        <w:t> </w:t>
      </w:r>
      <w:r>
        <w:rPr>
          <w:sz w:val="24"/>
        </w:rPr>
        <w:t>[Fecha de consulta: 8 de abril, 2015]</w:t>
      </w:r>
    </w:p>
    <w:p>
      <w:pPr>
        <w:spacing w:before="202"/>
        <w:ind w:left="102" w:right="66" w:firstLine="0"/>
        <w:jc w:val="left"/>
        <w:rPr>
          <w:i/>
          <w:sz w:val="24"/>
        </w:rPr>
      </w:pPr>
      <w:r>
        <w:rPr>
          <w:sz w:val="24"/>
        </w:rPr>
        <w:t>UNAM/IIJ Capítulo segundo. </w:t>
      </w:r>
      <w:r>
        <w:rPr>
          <w:i/>
          <w:sz w:val="24"/>
        </w:rPr>
        <w:t>El concepto de gobernanza</w:t>
      </w:r>
    </w:p>
    <w:p>
      <w:pPr>
        <w:pStyle w:val="BodyText"/>
        <w:spacing w:before="139"/>
        <w:ind w:left="102" w:right="66"/>
      </w:pPr>
      <w:hyperlink r:id="rId289">
        <w:r>
          <w:rPr>
            <w:color w:val="0000FF"/>
            <w:u w:val="single" w:color="0000FF"/>
          </w:rPr>
          <w:t>http://www.bibliojuridica.org/libros/6/2818/5.pdf</w:t>
        </w:r>
      </w:hyperlink>
    </w:p>
    <w:p>
      <w:pPr>
        <w:pStyle w:val="BodyText"/>
        <w:spacing w:line="360" w:lineRule="auto" w:before="139"/>
        <w:ind w:left="102" w:right="2057"/>
      </w:pPr>
      <w:r>
        <w:rPr/>
        <w:t>Disponible en: </w:t>
      </w:r>
      <w:hyperlink r:id="rId289">
        <w:r>
          <w:rPr>
            <w:color w:val="0000FF"/>
            <w:u w:val="single" w:color="0000FF"/>
          </w:rPr>
          <w:t>http://www.bibliojuridica.org/libros/6/2818/5.pdf</w:t>
        </w:r>
      </w:hyperlink>
      <w:r>
        <w:rPr>
          <w:color w:val="0000FF"/>
          <w:u w:val="single" w:color="0000FF"/>
        </w:rPr>
        <w:t> </w:t>
      </w:r>
      <w:r>
        <w:rPr/>
        <w:t>[Fecha 19 de marzo, 2015]</w:t>
      </w:r>
    </w:p>
    <w:p>
      <w:pPr>
        <w:pStyle w:val="BodyText"/>
      </w:pPr>
    </w:p>
    <w:p>
      <w:pPr>
        <w:pStyle w:val="BodyText"/>
        <w:spacing w:before="142"/>
        <w:ind w:left="102" w:right="66"/>
      </w:pPr>
      <w:r>
        <w:rPr/>
        <w:t>Stiglitz Joseph (1998)</w:t>
      </w:r>
    </w:p>
    <w:p>
      <w:pPr>
        <w:spacing w:line="360" w:lineRule="auto" w:before="137"/>
        <w:ind w:left="102" w:right="111" w:firstLine="0"/>
        <w:jc w:val="left"/>
        <w:rPr>
          <w:sz w:val="24"/>
        </w:rPr>
      </w:pPr>
      <w:r>
        <w:rPr>
          <w:i/>
          <w:sz w:val="24"/>
        </w:rPr>
        <w:t>Towards a new paradigm for development: strategies, policies and processes </w:t>
      </w:r>
      <w:hyperlink r:id="rId290">
        <w:r>
          <w:rPr>
            <w:sz w:val="24"/>
          </w:rPr>
          <w:t>http://web.worldbank.org/WBSITE/EXTERNAL/TOPICS/TRADE/0,,contentMDK:</w:t>
        </w:r>
      </w:hyperlink>
      <w:r>
        <w:rPr>
          <w:sz w:val="24"/>
        </w:rPr>
        <w:t> 20025537~menuPK:167371~pagePK:64020865~piPK:149114~theSitePK:2390 71,00.html</w:t>
      </w:r>
    </w:p>
    <w:p>
      <w:pPr>
        <w:pStyle w:val="BodyText"/>
        <w:spacing w:before="5"/>
        <w:ind w:left="102" w:right="66"/>
      </w:pPr>
      <w:r>
        <w:rPr/>
        <w:t>[Fecha de consulta: 2 de agosto, 2015]</w:t>
      </w:r>
    </w:p>
    <w:p>
      <w:pPr>
        <w:spacing w:after="0"/>
        <w:sectPr>
          <w:pgSz w:w="11910" w:h="16840"/>
          <w:pgMar w:header="0" w:footer="1003" w:top="1340" w:bottom="1200" w:left="1600" w:right="1580"/>
        </w:sectPr>
      </w:pPr>
    </w:p>
    <w:p>
      <w:pPr>
        <w:pStyle w:val="BodyText"/>
        <w:spacing w:before="55"/>
        <w:ind w:left="102" w:right="66"/>
      </w:pPr>
      <w:r>
        <w:rPr/>
        <w:t>UNODC</w:t>
      </w:r>
    </w:p>
    <w:p>
      <w:pPr>
        <w:pStyle w:val="BodyText"/>
        <w:spacing w:line="360" w:lineRule="auto" w:before="139"/>
        <w:ind w:left="102" w:right="816"/>
      </w:pPr>
      <w:r>
        <w:rPr/>
        <w:t>Disponible en: </w:t>
      </w:r>
      <w:hyperlink r:id="rId181">
        <w:r>
          <w:rPr>
            <w:color w:val="0000FF"/>
            <w:u w:val="single" w:color="0000FF"/>
          </w:rPr>
          <w:t>http://www.unodc.org/pdf/corruption/publications_unodc_convention-s.pdf</w:t>
        </w:r>
      </w:hyperlink>
      <w:r>
        <w:rPr>
          <w:color w:val="0000FF"/>
          <w:u w:val="single" w:color="0000FF"/>
        </w:rPr>
        <w:t> </w:t>
      </w:r>
      <w:r>
        <w:rPr/>
        <w:t>[Fecha de consulta: 11 de abril, 2015]</w:t>
      </w:r>
    </w:p>
    <w:p>
      <w:pPr>
        <w:pStyle w:val="BodyText"/>
      </w:pPr>
    </w:p>
    <w:p>
      <w:pPr>
        <w:spacing w:line="360" w:lineRule="auto" w:before="139"/>
        <w:ind w:left="102" w:right="66" w:firstLine="0"/>
        <w:jc w:val="left"/>
        <w:rPr>
          <w:sz w:val="24"/>
        </w:rPr>
      </w:pPr>
      <w:r>
        <w:rPr>
          <w:sz w:val="24"/>
        </w:rPr>
        <w:t>Vargas Velarde, Óscar. (2008). </w:t>
      </w:r>
      <w:r>
        <w:rPr>
          <w:i/>
          <w:sz w:val="24"/>
        </w:rPr>
        <w:t>El Tribunal de Cuentas: Evolución, fisonomía y </w:t>
      </w:r>
      <w:r>
        <w:rPr>
          <w:i/>
          <w:sz w:val="24"/>
        </w:rPr>
        <w:t>derecho comparado</w:t>
      </w:r>
      <w:r>
        <w:rPr>
          <w:sz w:val="24"/>
        </w:rPr>
        <w:t>.</w:t>
      </w:r>
    </w:p>
    <w:p>
      <w:pPr>
        <w:pStyle w:val="BodyText"/>
        <w:spacing w:line="360" w:lineRule="auto" w:before="7"/>
        <w:ind w:left="102" w:right="275"/>
      </w:pPr>
      <w:r>
        <w:rPr/>
        <w:t>Disponible en: </w:t>
      </w:r>
      <w:hyperlink r:id="rId291">
        <w:r>
          <w:rPr>
            <w:color w:val="0000FF"/>
            <w:u w:val="single" w:color="0000FF"/>
          </w:rPr>
          <w:t>http://www.asamblea.gob.pa/debate/Ediciones_anteriores/JULIO2008/%C3%9</w:t>
        </w:r>
      </w:hyperlink>
      <w:r>
        <w:rPr>
          <w:color w:val="0000FF"/>
          <w:u w:val="single" w:color="0000FF"/>
        </w:rPr>
        <w:t> </w:t>
      </w:r>
      <w:hyperlink r:id="rId291">
        <w:r>
          <w:rPr>
            <w:color w:val="0000FF"/>
            <w:u w:val="single" w:color="0000FF"/>
          </w:rPr>
          <w:t>Altima_Edici%C3%B3n/09-Tribunal_Cuentas.pdf</w:t>
        </w:r>
      </w:hyperlink>
    </w:p>
    <w:p>
      <w:pPr>
        <w:pStyle w:val="BodyText"/>
        <w:spacing w:before="2"/>
        <w:ind w:left="102" w:right="66"/>
      </w:pPr>
      <w:r>
        <w:rPr/>
        <w:t>[Fecha de consulta: 1o. de mayo, 2015]</w:t>
      </w:r>
    </w:p>
    <w:p>
      <w:pPr>
        <w:pStyle w:val="BodyText"/>
      </w:pPr>
    </w:p>
    <w:p>
      <w:pPr>
        <w:pStyle w:val="BodyText"/>
        <w:spacing w:before="9"/>
        <w:rPr>
          <w:sz w:val="23"/>
        </w:rPr>
      </w:pPr>
    </w:p>
    <w:p>
      <w:pPr>
        <w:pStyle w:val="BodyText"/>
        <w:spacing w:line="360" w:lineRule="auto"/>
        <w:ind w:left="102" w:right="120"/>
        <w:jc w:val="both"/>
      </w:pPr>
      <w:r>
        <w:rPr/>
        <w:t>Weber Max. </w:t>
      </w:r>
      <w:r>
        <w:rPr>
          <w:i/>
        </w:rPr>
        <w:t>El político y el científico</w:t>
      </w:r>
      <w:r>
        <w:rPr/>
        <w:t>. Documento preparado por el Programa de Redes Informáticas y Productivas de la Universidad Nacional de General San Martín (UNSAM).</w:t>
      </w:r>
    </w:p>
    <w:p>
      <w:pPr>
        <w:pStyle w:val="BodyText"/>
        <w:spacing w:before="5"/>
        <w:ind w:left="102" w:right="66"/>
      </w:pPr>
      <w:r>
        <w:rPr/>
        <w:t>Disponible en:</w:t>
      </w:r>
    </w:p>
    <w:p>
      <w:pPr>
        <w:pStyle w:val="BodyText"/>
        <w:spacing w:line="360" w:lineRule="auto" w:before="137"/>
        <w:ind w:left="102" w:right="723"/>
      </w:pPr>
      <w:hyperlink r:id="rId25">
        <w:r>
          <w:rPr>
            <w:color w:val="0000FF"/>
            <w:u w:val="single" w:color="0000FF"/>
          </w:rPr>
          <w:t>http://www.monografias.com/trabajos20/pensadores-politicos/pensadores-</w:t>
        </w:r>
      </w:hyperlink>
      <w:r>
        <w:rPr>
          <w:color w:val="0000FF"/>
          <w:u w:val="single" w:color="0000FF"/>
        </w:rPr>
        <w:t> </w:t>
      </w:r>
      <w:hyperlink r:id="rId25">
        <w:r>
          <w:rPr>
            <w:color w:val="0000FF"/>
            <w:u w:val="single" w:color="0000FF"/>
          </w:rPr>
          <w:t>politicos.shtml</w:t>
        </w:r>
      </w:hyperlink>
    </w:p>
    <w:p>
      <w:pPr>
        <w:pStyle w:val="BodyText"/>
        <w:spacing w:before="3"/>
        <w:ind w:left="102" w:right="66"/>
      </w:pPr>
      <w:r>
        <w:rPr/>
        <w:t>[Fecha de consulta: 15 de marzo, 2015]</w:t>
      </w:r>
    </w:p>
    <w:p>
      <w:pPr>
        <w:pStyle w:val="BodyText"/>
      </w:pPr>
    </w:p>
    <w:p>
      <w:pPr>
        <w:pStyle w:val="BodyText"/>
      </w:pPr>
    </w:p>
    <w:p>
      <w:pPr>
        <w:pStyle w:val="Heading2"/>
        <w:ind w:left="102" w:right="66" w:firstLine="0"/>
        <w:jc w:val="left"/>
      </w:pPr>
      <w:bookmarkStart w:name="_bookmark99" w:id="130"/>
      <w:bookmarkEnd w:id="130"/>
      <w:r>
        <w:rPr>
          <w:b w:val="0"/>
        </w:rPr>
      </w:r>
      <w:r>
        <w:rPr/>
        <w:t>Marco jurídico y normativo</w:t>
      </w:r>
    </w:p>
    <w:p>
      <w:pPr>
        <w:pStyle w:val="BodyText"/>
        <w:rPr>
          <w:b/>
          <w:sz w:val="26"/>
        </w:rPr>
      </w:pPr>
    </w:p>
    <w:p>
      <w:pPr>
        <w:pStyle w:val="BodyText"/>
        <w:rPr>
          <w:b/>
          <w:sz w:val="26"/>
        </w:rPr>
      </w:pPr>
    </w:p>
    <w:p>
      <w:pPr>
        <w:pStyle w:val="BodyText"/>
        <w:spacing w:line="360" w:lineRule="auto" w:before="166"/>
        <w:ind w:left="102" w:right="66"/>
      </w:pPr>
      <w:r>
        <w:rPr/>
        <w:t>Constitución</w:t>
      </w:r>
      <w:r>
        <w:rPr>
          <w:spacing w:val="-11"/>
        </w:rPr>
        <w:t> </w:t>
      </w:r>
      <w:r>
        <w:rPr/>
        <w:t>Política</w:t>
      </w:r>
      <w:r>
        <w:rPr>
          <w:spacing w:val="-11"/>
        </w:rPr>
        <w:t> </w:t>
      </w:r>
      <w:r>
        <w:rPr/>
        <w:t>de</w:t>
      </w:r>
      <w:r>
        <w:rPr>
          <w:spacing w:val="-11"/>
        </w:rPr>
        <w:t> </w:t>
      </w:r>
      <w:r>
        <w:rPr/>
        <w:t>los</w:t>
      </w:r>
      <w:r>
        <w:rPr>
          <w:spacing w:val="-11"/>
        </w:rPr>
        <w:t> </w:t>
      </w:r>
      <w:r>
        <w:rPr/>
        <w:t>Estados</w:t>
      </w:r>
      <w:r>
        <w:rPr>
          <w:spacing w:val="-12"/>
        </w:rPr>
        <w:t> </w:t>
      </w:r>
      <w:r>
        <w:rPr/>
        <w:t>Unidos</w:t>
      </w:r>
      <w:r>
        <w:rPr>
          <w:spacing w:val="-14"/>
        </w:rPr>
        <w:t> </w:t>
      </w:r>
      <w:r>
        <w:rPr/>
        <w:t>Mexicanos,</w:t>
      </w:r>
      <w:r>
        <w:rPr>
          <w:spacing w:val="-11"/>
        </w:rPr>
        <w:t> </w:t>
      </w:r>
      <w:r>
        <w:rPr/>
        <w:t>artículo</w:t>
      </w:r>
      <w:r>
        <w:rPr>
          <w:spacing w:val="-11"/>
        </w:rPr>
        <w:t> </w:t>
      </w:r>
      <w:r>
        <w:rPr/>
        <w:t>79;</w:t>
      </w:r>
      <w:r>
        <w:rPr>
          <w:spacing w:val="-13"/>
        </w:rPr>
        <w:t> </w:t>
      </w:r>
      <w:r>
        <w:rPr/>
        <w:t>publicado</w:t>
      </w:r>
      <w:r>
        <w:rPr>
          <w:spacing w:val="-11"/>
        </w:rPr>
        <w:t> </w:t>
      </w:r>
      <w:r>
        <w:rPr/>
        <w:t>en el Diario Oficial de la Federación el 5 de febrero de</w:t>
      </w:r>
      <w:r>
        <w:rPr>
          <w:spacing w:val="-23"/>
        </w:rPr>
        <w:t> </w:t>
      </w:r>
      <w:r>
        <w:rPr/>
        <w:t>1917.</w:t>
      </w:r>
    </w:p>
    <w:p>
      <w:pPr>
        <w:pStyle w:val="BodyText"/>
        <w:spacing w:line="360" w:lineRule="auto" w:before="5"/>
        <w:ind w:left="102" w:right="1643"/>
      </w:pPr>
      <w:r>
        <w:rPr/>
        <w:t>Disponible en: </w:t>
      </w:r>
      <w:hyperlink r:id="rId292">
        <w:r>
          <w:rPr/>
          <w:t>http://www.diputados.gob.mx/LeyesBiblio/pdf/1.pdf</w:t>
        </w:r>
      </w:hyperlink>
      <w:r>
        <w:rPr/>
        <w:t> [Fecha de consulta: 21 de mayo, 2015]</w:t>
      </w:r>
    </w:p>
    <w:p>
      <w:pPr>
        <w:pStyle w:val="BodyText"/>
      </w:pPr>
    </w:p>
    <w:p>
      <w:pPr>
        <w:pStyle w:val="BodyText"/>
        <w:spacing w:line="360" w:lineRule="auto" w:before="142"/>
        <w:ind w:left="102" w:right="973"/>
      </w:pPr>
      <w:r>
        <w:rPr/>
        <w:t>Ley de Fiscalización y Rendición de Cuentas de la Federación. Disponible en: </w:t>
      </w:r>
      <w:hyperlink r:id="rId293">
        <w:r>
          <w:rPr/>
          <w:t>http://www.diputados.gob.mx/LeyesBiblio/pdf/LFRCF.pdf</w:t>
        </w:r>
      </w:hyperlink>
      <w:r>
        <w:rPr/>
        <w:t> Fecha de consulta: 6 de mayo, 2015]</w:t>
      </w:r>
    </w:p>
    <w:p>
      <w:pPr>
        <w:pStyle w:val="BodyText"/>
      </w:pPr>
    </w:p>
    <w:p>
      <w:pPr>
        <w:pStyle w:val="BodyText"/>
        <w:spacing w:before="142"/>
        <w:ind w:left="102" w:right="66"/>
      </w:pPr>
      <w:r>
        <w:rPr/>
        <w:t>Ley de Fiscalización Superior de la Federación (Abrogada)</w:t>
      </w:r>
    </w:p>
    <w:p>
      <w:pPr>
        <w:spacing w:after="0"/>
        <w:sectPr>
          <w:pgSz w:w="11910" w:h="16840"/>
          <w:pgMar w:header="0" w:footer="1003" w:top="1340" w:bottom="1200" w:left="1600" w:right="1580"/>
        </w:sectPr>
      </w:pPr>
    </w:p>
    <w:p>
      <w:pPr>
        <w:pStyle w:val="BodyText"/>
        <w:tabs>
          <w:tab w:pos="8272" w:val="left" w:leader="none"/>
        </w:tabs>
        <w:spacing w:before="55"/>
        <w:ind w:left="102" w:right="66"/>
      </w:pPr>
      <w:r>
        <w:rPr/>
        <w:t>Disponible</w:t>
        <w:tab/>
        <w:t>en:</w:t>
      </w:r>
    </w:p>
    <w:p>
      <w:pPr>
        <w:spacing w:before="137"/>
        <w:ind w:left="102" w:right="66" w:firstLine="0"/>
        <w:jc w:val="left"/>
        <w:rPr>
          <w:i/>
          <w:sz w:val="24"/>
        </w:rPr>
      </w:pPr>
      <w:r>
        <w:rPr>
          <w:i/>
          <w:sz w:val="24"/>
        </w:rPr>
        <w:t>www3.diputados.gob.mx/camara/content/download/.../file/l_fsf.pdf</w:t>
      </w:r>
    </w:p>
    <w:p>
      <w:pPr>
        <w:pStyle w:val="BodyText"/>
        <w:spacing w:before="139"/>
        <w:ind w:left="102" w:right="66"/>
      </w:pPr>
      <w:r>
        <w:rPr/>
        <w:t>[Fecha de consulta: 6 de mayo, 2015]</w:t>
      </w:r>
    </w:p>
    <w:p>
      <w:pPr>
        <w:pStyle w:val="BodyText"/>
      </w:pPr>
    </w:p>
    <w:p>
      <w:pPr>
        <w:pStyle w:val="BodyText"/>
      </w:pPr>
    </w:p>
    <w:p>
      <w:pPr>
        <w:pStyle w:val="BodyText"/>
        <w:spacing w:line="360" w:lineRule="auto"/>
        <w:ind w:left="102" w:right="66"/>
      </w:pPr>
      <w:r>
        <w:rPr/>
        <w:t>Ley</w:t>
      </w:r>
      <w:r>
        <w:rPr>
          <w:spacing w:val="-14"/>
        </w:rPr>
        <w:t> </w:t>
      </w:r>
      <w:r>
        <w:rPr/>
        <w:t>Federal</w:t>
      </w:r>
      <w:r>
        <w:rPr>
          <w:spacing w:val="-12"/>
        </w:rPr>
        <w:t> </w:t>
      </w:r>
      <w:r>
        <w:rPr/>
        <w:t>de</w:t>
      </w:r>
      <w:r>
        <w:rPr>
          <w:spacing w:val="-13"/>
        </w:rPr>
        <w:t> </w:t>
      </w:r>
      <w:r>
        <w:rPr/>
        <w:t>Transparencia</w:t>
      </w:r>
      <w:r>
        <w:rPr>
          <w:spacing w:val="-11"/>
        </w:rPr>
        <w:t> </w:t>
      </w:r>
      <w:r>
        <w:rPr/>
        <w:t>y</w:t>
      </w:r>
      <w:r>
        <w:rPr>
          <w:spacing w:val="-14"/>
        </w:rPr>
        <w:t> </w:t>
      </w:r>
      <w:r>
        <w:rPr/>
        <w:t>Acceso</w:t>
      </w:r>
      <w:r>
        <w:rPr>
          <w:spacing w:val="-11"/>
        </w:rPr>
        <w:t> </w:t>
      </w:r>
      <w:r>
        <w:rPr/>
        <w:t>a</w:t>
      </w:r>
      <w:r>
        <w:rPr>
          <w:spacing w:val="-11"/>
        </w:rPr>
        <w:t> </w:t>
      </w:r>
      <w:r>
        <w:rPr/>
        <w:t>la</w:t>
      </w:r>
      <w:r>
        <w:rPr>
          <w:spacing w:val="-11"/>
        </w:rPr>
        <w:t> </w:t>
      </w:r>
      <w:r>
        <w:rPr/>
        <w:t>Información</w:t>
      </w:r>
      <w:r>
        <w:rPr>
          <w:spacing w:val="-10"/>
        </w:rPr>
        <w:t> </w:t>
      </w:r>
      <w:r>
        <w:rPr/>
        <w:t>Pública</w:t>
      </w:r>
      <w:r>
        <w:rPr>
          <w:spacing w:val="-11"/>
        </w:rPr>
        <w:t> </w:t>
      </w:r>
      <w:r>
        <w:rPr/>
        <w:t>Gubernamental Disponible en: </w:t>
      </w:r>
      <w:hyperlink r:id="rId294">
        <w:r>
          <w:rPr/>
          <w:t>http://www.citimpuestos.com/download/normatividad/diversas/LFTAI.pdf</w:t>
        </w:r>
      </w:hyperlink>
    </w:p>
    <w:p>
      <w:pPr>
        <w:pStyle w:val="BodyText"/>
        <w:spacing w:before="5"/>
        <w:ind w:left="102" w:right="66"/>
      </w:pPr>
      <w:r>
        <w:rPr/>
        <w:t>[Fecha de consulta: 21 de mayo, 2015]</w:t>
      </w:r>
    </w:p>
    <w:p>
      <w:pPr>
        <w:pStyle w:val="BodyText"/>
      </w:pPr>
    </w:p>
    <w:p>
      <w:pPr>
        <w:pStyle w:val="BodyText"/>
      </w:pPr>
    </w:p>
    <w:p>
      <w:pPr>
        <w:pStyle w:val="BodyText"/>
        <w:spacing w:line="360" w:lineRule="auto"/>
        <w:ind w:left="102" w:right="911"/>
      </w:pPr>
      <w:r>
        <w:rPr/>
        <w:t>Poder Ejecutivo Federal, Plan Nacional de Desarrollo 1983-1988 Disponible en: </w:t>
      </w:r>
      <w:hyperlink r:id="rId295">
        <w:r>
          <w:rPr/>
          <w:t>http://www.juridicas.unam.mx/publica/librev/rev/rap/cont/55/doc/doc8.pdf</w:t>
        </w:r>
      </w:hyperlink>
      <w:r>
        <w:rPr/>
        <w:t> [Fecha de consulta: 30 de mayo, 2015]</w:t>
      </w:r>
    </w:p>
    <w:p>
      <w:pPr>
        <w:pStyle w:val="BodyText"/>
      </w:pPr>
    </w:p>
    <w:p>
      <w:pPr>
        <w:pStyle w:val="BodyText"/>
        <w:spacing w:line="360" w:lineRule="auto" w:before="142"/>
        <w:ind w:left="102" w:right="963"/>
      </w:pPr>
      <w:r>
        <w:rPr/>
        <w:t>Manual de Organización General de la Secretaría de la Función Pública Publicado en el DOF el 10 de abril de 2012.</w:t>
      </w:r>
    </w:p>
    <w:p>
      <w:pPr>
        <w:pStyle w:val="BodyText"/>
        <w:spacing w:line="360" w:lineRule="auto" w:before="2"/>
        <w:ind w:left="102" w:right="403"/>
      </w:pPr>
      <w:r>
        <w:rPr/>
        <w:t>Disponible en: </w:t>
      </w:r>
      <w:hyperlink r:id="rId277">
        <w:r>
          <w:rPr/>
          <w:t>http://www.diputados.gob.mx/LeyesBiblio/regla/n280.pdf</w:t>
        </w:r>
      </w:hyperlink>
      <w:r>
        <w:rPr/>
        <w:t> [Fecha de consulta: 12 de mayo, 2015]</w:t>
      </w:r>
    </w:p>
    <w:p>
      <w:pPr>
        <w:pStyle w:val="BodyText"/>
      </w:pPr>
    </w:p>
    <w:p>
      <w:pPr>
        <w:pStyle w:val="BodyText"/>
        <w:spacing w:line="360" w:lineRule="auto" w:before="142"/>
        <w:ind w:left="102" w:right="66"/>
      </w:pPr>
      <w:r>
        <w:rPr/>
        <w:t>OCDE (2011), Hacia una gestión pública más efectiva y dinámica en México, OECD Publishing.</w:t>
      </w:r>
    </w:p>
    <w:p>
      <w:pPr>
        <w:pStyle w:val="BodyText"/>
        <w:spacing w:line="360" w:lineRule="auto" w:before="5"/>
        <w:ind w:left="102" w:right="2296"/>
      </w:pPr>
      <w:r>
        <w:rPr/>
        <w:t>Disponible en: </w:t>
      </w:r>
      <w:hyperlink r:id="rId296">
        <w:r>
          <w:rPr/>
          <w:t>http://dx.doi.org/10.1787/9789264116252-es</w:t>
        </w:r>
      </w:hyperlink>
      <w:r>
        <w:rPr/>
        <w:t> [Fecha de consulta: 12 de junio, 2015]</w:t>
      </w:r>
    </w:p>
    <w:p>
      <w:pPr>
        <w:pStyle w:val="BodyText"/>
      </w:pPr>
    </w:p>
    <w:p>
      <w:pPr>
        <w:pStyle w:val="BodyText"/>
        <w:spacing w:line="360" w:lineRule="auto" w:before="142"/>
        <w:ind w:left="102" w:right="230"/>
      </w:pPr>
      <w:r>
        <w:rPr/>
        <w:t>OCDE (2012), México, mejores políticas para un desarrollo incluyente Disponible en: </w:t>
      </w:r>
      <w:hyperlink r:id="rId297">
        <w:r>
          <w:rPr/>
          <w:t>http://www.oecd.org/centrodemexico/Mexico%202012%20FINALES%20SEP%</w:t>
        </w:r>
      </w:hyperlink>
      <w:r>
        <w:rPr/>
        <w:t> 20eBook.pdf</w:t>
      </w:r>
    </w:p>
    <w:p>
      <w:pPr>
        <w:pStyle w:val="BodyText"/>
        <w:spacing w:before="2"/>
        <w:ind w:left="102" w:right="66"/>
      </w:pPr>
      <w:r>
        <w:rPr/>
        <w:t>[Fecha de consulta: 12 de septiembre, 2015]</w:t>
      </w:r>
    </w:p>
    <w:p>
      <w:pPr>
        <w:pStyle w:val="BodyText"/>
      </w:pPr>
    </w:p>
    <w:p>
      <w:pPr>
        <w:pStyle w:val="BodyText"/>
        <w:spacing w:before="9"/>
        <w:rPr>
          <w:sz w:val="23"/>
        </w:rPr>
      </w:pPr>
    </w:p>
    <w:p>
      <w:pPr>
        <w:pStyle w:val="BodyText"/>
        <w:spacing w:line="242" w:lineRule="auto"/>
        <w:ind w:left="102" w:right="66"/>
      </w:pPr>
      <w:r>
        <w:rPr/>
        <w:t>OCDE (s.f.), Glosario de los Principales Términos sobre Evaluación y Gestión Basada en Resultados</w:t>
      </w:r>
    </w:p>
    <w:p>
      <w:pPr>
        <w:pStyle w:val="BodyText"/>
        <w:spacing w:line="360" w:lineRule="auto" w:before="11"/>
        <w:ind w:left="102" w:right="3552"/>
      </w:pPr>
      <w:r>
        <w:rPr/>
        <w:t>Disponible en: http://</w:t>
      </w:r>
      <w:hyperlink r:id="rId54">
        <w:r>
          <w:rPr/>
          <w:t>http://www.comminit.com/es/node/209185</w:t>
        </w:r>
      </w:hyperlink>
    </w:p>
    <w:p>
      <w:pPr>
        <w:spacing w:after="0" w:line="360" w:lineRule="auto"/>
        <w:sectPr>
          <w:pgSz w:w="11910" w:h="16840"/>
          <w:pgMar w:header="0" w:footer="1003" w:top="1340" w:bottom="1200" w:left="1600" w:right="1580"/>
        </w:sectPr>
      </w:pPr>
    </w:p>
    <w:p>
      <w:pPr>
        <w:pStyle w:val="BodyText"/>
        <w:spacing w:before="55"/>
        <w:ind w:left="102" w:right="224"/>
      </w:pPr>
      <w:r>
        <w:rPr/>
        <w:t>[Fecha de consulta: 30 de diciembre, 2015]</w:t>
      </w:r>
    </w:p>
    <w:p>
      <w:pPr>
        <w:pStyle w:val="BodyText"/>
      </w:pPr>
    </w:p>
    <w:p>
      <w:pPr>
        <w:pStyle w:val="BodyText"/>
      </w:pPr>
    </w:p>
    <w:p>
      <w:pPr>
        <w:pStyle w:val="BodyText"/>
        <w:spacing w:line="360" w:lineRule="auto"/>
        <w:ind w:left="102" w:right="1703"/>
      </w:pPr>
      <w:r>
        <w:rPr/>
        <w:t>Poder Ejecutivo Federal, Plan Nacional de Desarrollo 1988-1994 Disponible en:</w:t>
      </w:r>
    </w:p>
    <w:p>
      <w:pPr>
        <w:pStyle w:val="BodyText"/>
        <w:spacing w:line="360" w:lineRule="auto" w:before="2"/>
        <w:ind w:left="102" w:right="96"/>
      </w:pPr>
      <w:hyperlink r:id="rId300">
        <w:r>
          <w:rPr/>
          <w:t>http://bases.bireme.br/cgi-</w:t>
        </w:r>
      </w:hyperlink>
      <w:r>
        <w:rPr/>
        <w:t> bin/wxislind.exe/iah/online/?IsisScript=iah/iah.xis&amp;src=google&amp;base=LILACS&amp;la ng=p&amp;nextAction=lnk&amp;exprSearch=141593&amp;indexSearch=ID</w:t>
      </w:r>
    </w:p>
    <w:p>
      <w:pPr>
        <w:pStyle w:val="BodyText"/>
        <w:spacing w:before="5"/>
        <w:ind w:left="102" w:right="224"/>
      </w:pPr>
      <w:r>
        <w:rPr/>
        <w:t>[Fecha de consulta: 30 de mayo, 2015]</w:t>
      </w:r>
    </w:p>
    <w:p>
      <w:pPr>
        <w:pStyle w:val="BodyText"/>
      </w:pPr>
    </w:p>
    <w:p>
      <w:pPr>
        <w:pStyle w:val="BodyText"/>
      </w:pPr>
    </w:p>
    <w:p>
      <w:pPr>
        <w:pStyle w:val="BodyText"/>
        <w:spacing w:line="360" w:lineRule="auto"/>
        <w:ind w:left="102" w:right="1703"/>
      </w:pPr>
      <w:r>
        <w:rPr/>
        <w:t>Poder Ejecutivo Federal, Plan Nacional de Desarrollo 2001-2006 Disponible en: </w:t>
      </w:r>
      <w:hyperlink r:id="rId301">
        <w:r>
          <w:rPr/>
          <w:t>http://www.dgpp.sep.gob.mx/planeacion/pdf%20inf/PND.pdf</w:t>
        </w:r>
      </w:hyperlink>
      <w:r>
        <w:rPr/>
        <w:t> [Fecha de consulta: 30 de mayo, 2015]</w:t>
      </w:r>
    </w:p>
    <w:p>
      <w:pPr>
        <w:pStyle w:val="BodyText"/>
      </w:pPr>
    </w:p>
    <w:p>
      <w:pPr>
        <w:pStyle w:val="BodyText"/>
        <w:spacing w:line="360" w:lineRule="auto" w:before="142"/>
        <w:ind w:left="102" w:right="224"/>
      </w:pPr>
      <w:r>
        <w:rPr/>
        <w:t>Poder Ejecutivo Federal, Plan Nacional de Desarrollo 2007-2012 Centro de Estudios de Finanzas Públicas</w:t>
      </w:r>
    </w:p>
    <w:p>
      <w:pPr>
        <w:pStyle w:val="BodyText"/>
        <w:spacing w:before="2"/>
        <w:ind w:left="102" w:right="224"/>
      </w:pPr>
      <w:r>
        <w:rPr/>
        <w:t>Disponible en:</w:t>
      </w:r>
    </w:p>
    <w:p>
      <w:pPr>
        <w:pStyle w:val="BodyText"/>
        <w:spacing w:line="360" w:lineRule="auto" w:before="139"/>
        <w:ind w:left="102" w:right="942"/>
      </w:pPr>
      <w:hyperlink r:id="rId302">
        <w:r>
          <w:rPr/>
          <w:t>http://www.ceplan.gob.pe/documents/10157/199b80b0-04c8-4f99-8300-</w:t>
        </w:r>
      </w:hyperlink>
      <w:r>
        <w:rPr/>
        <w:t> </w:t>
      </w:r>
      <w:hyperlink r:id="rId302">
        <w:r>
          <w:rPr/>
          <w:t>a58d49460432</w:t>
        </w:r>
      </w:hyperlink>
    </w:p>
    <w:p>
      <w:pPr>
        <w:pStyle w:val="BodyText"/>
        <w:spacing w:before="5"/>
        <w:ind w:left="102" w:right="224"/>
      </w:pPr>
      <w:r>
        <w:rPr/>
        <w:t>[Fecha de consulta: 30 de mayo, 2015]</w:t>
      </w:r>
    </w:p>
    <w:p>
      <w:pPr>
        <w:pStyle w:val="BodyText"/>
      </w:pPr>
    </w:p>
    <w:p>
      <w:pPr>
        <w:pStyle w:val="BodyText"/>
      </w:pPr>
    </w:p>
    <w:p>
      <w:pPr>
        <w:pStyle w:val="Heading2"/>
        <w:ind w:left="102" w:right="224" w:firstLine="0"/>
        <w:jc w:val="left"/>
      </w:pPr>
      <w:bookmarkStart w:name="_bookmark100" w:id="131"/>
      <w:bookmarkEnd w:id="131"/>
      <w:r>
        <w:rPr>
          <w:b w:val="0"/>
        </w:rPr>
      </w:r>
      <w:r>
        <w:rPr/>
        <w:t>Índices e indicadores</w:t>
      </w:r>
    </w:p>
    <w:p>
      <w:pPr>
        <w:pStyle w:val="BodyText"/>
        <w:rPr>
          <w:b/>
          <w:sz w:val="26"/>
        </w:rPr>
      </w:pPr>
    </w:p>
    <w:p>
      <w:pPr>
        <w:pStyle w:val="BodyText"/>
        <w:rPr>
          <w:b/>
          <w:sz w:val="26"/>
        </w:rPr>
      </w:pPr>
    </w:p>
    <w:p>
      <w:pPr>
        <w:spacing w:line="360" w:lineRule="auto" w:before="161"/>
        <w:ind w:left="102" w:right="36" w:firstLine="0"/>
        <w:jc w:val="left"/>
        <w:rPr>
          <w:i/>
          <w:sz w:val="24"/>
        </w:rPr>
      </w:pPr>
      <w:r>
        <w:rPr>
          <w:sz w:val="24"/>
        </w:rPr>
        <w:t>A regional, </w:t>
      </w:r>
      <w:r>
        <w:rPr>
          <w:i/>
          <w:sz w:val="24"/>
        </w:rPr>
        <w:t>Índice de Transparencia de la Disponibilidad de la Información Fiscal </w:t>
      </w:r>
      <w:r>
        <w:rPr>
          <w:i/>
          <w:sz w:val="24"/>
        </w:rPr>
        <w:t>de las Entidades Federativas</w:t>
      </w:r>
    </w:p>
    <w:p>
      <w:pPr>
        <w:pStyle w:val="BodyText"/>
        <w:spacing w:before="5"/>
        <w:ind w:left="102" w:right="224"/>
      </w:pPr>
      <w:r>
        <w:rPr/>
        <w:t>Disponible en:</w:t>
      </w:r>
    </w:p>
    <w:p>
      <w:pPr>
        <w:pStyle w:val="BodyText"/>
        <w:spacing w:before="140"/>
        <w:ind w:left="169" w:right="224"/>
      </w:pPr>
      <w:r>
        <w:rPr/>
        <w:t>[Fecha de consulta: 2 de febrero, 2015]</w:t>
      </w:r>
    </w:p>
    <w:p>
      <w:pPr>
        <w:pStyle w:val="BodyText"/>
      </w:pPr>
    </w:p>
    <w:p>
      <w:pPr>
        <w:pStyle w:val="BodyText"/>
        <w:spacing w:before="9"/>
        <w:rPr>
          <w:sz w:val="23"/>
        </w:rPr>
      </w:pPr>
    </w:p>
    <w:p>
      <w:pPr>
        <w:spacing w:before="0"/>
        <w:ind w:left="102" w:right="224" w:firstLine="0"/>
        <w:jc w:val="left"/>
        <w:rPr>
          <w:i/>
          <w:sz w:val="24"/>
        </w:rPr>
      </w:pPr>
      <w:r>
        <w:rPr>
          <w:sz w:val="24"/>
        </w:rPr>
        <w:t>Banco Mundial, </w:t>
      </w:r>
      <w:r>
        <w:rPr>
          <w:i/>
          <w:sz w:val="24"/>
        </w:rPr>
        <w:t>Indicadores de Gobernabilidad del Banco Mundial</w:t>
      </w:r>
    </w:p>
    <w:p>
      <w:pPr>
        <w:pStyle w:val="BodyText"/>
        <w:spacing w:line="276" w:lineRule="auto" w:before="139"/>
        <w:ind w:left="102" w:right="1010"/>
      </w:pPr>
      <w:r>
        <w:rPr/>
        <w:t>Disponible en: </w:t>
      </w:r>
      <w:hyperlink r:id="rId64">
        <w:r>
          <w:rPr/>
          <w:t>http://info.worldbank.org/governance/wgi/sc_country.asp</w:t>
        </w:r>
      </w:hyperlink>
      <w:r>
        <w:rPr/>
        <w:t> [Fecha de consulta: 2 de febrero, 2015]</w:t>
      </w:r>
    </w:p>
    <w:p>
      <w:pPr>
        <w:spacing w:after="0" w:line="276" w:lineRule="auto"/>
        <w:sectPr>
          <w:footerReference w:type="even" r:id="rId298"/>
          <w:footerReference w:type="default" r:id="rId299"/>
          <w:pgSz w:w="11910" w:h="16840"/>
          <w:pgMar w:footer="1003" w:header="0" w:top="1340" w:bottom="1200" w:left="1600" w:right="1600"/>
          <w:pgNumType w:start="190"/>
        </w:sectPr>
      </w:pPr>
    </w:p>
    <w:p>
      <w:pPr>
        <w:tabs>
          <w:tab w:pos="1754" w:val="left" w:leader="none"/>
          <w:tab w:pos="2975" w:val="left" w:leader="none"/>
          <w:tab w:pos="3773" w:val="left" w:leader="none"/>
          <w:tab w:pos="4491" w:val="left" w:leader="none"/>
          <w:tab w:pos="6266" w:val="left" w:leader="none"/>
          <w:tab w:pos="7486" w:val="left" w:leader="none"/>
        </w:tabs>
        <w:spacing w:line="362" w:lineRule="auto" w:before="53"/>
        <w:ind w:left="102" w:right="118" w:firstLine="0"/>
        <w:jc w:val="left"/>
        <w:rPr>
          <w:i/>
          <w:sz w:val="24"/>
        </w:rPr>
      </w:pPr>
      <w:r>
        <w:rPr>
          <w:sz w:val="24"/>
        </w:rPr>
        <w:t>Barómetro</w:t>
        <w:tab/>
        <w:t>Global</w:t>
        <w:tab/>
        <w:t>de</w:t>
        <w:tab/>
        <w:t>la</w:t>
        <w:tab/>
        <w:t>Corrupción,</w:t>
        <w:tab/>
      </w:r>
      <w:r>
        <w:rPr>
          <w:i/>
          <w:sz w:val="24"/>
        </w:rPr>
        <w:t>Global</w:t>
        <w:tab/>
        <w:t>Corruption </w:t>
      </w:r>
      <w:r>
        <w:rPr>
          <w:i/>
          <w:sz w:val="24"/>
        </w:rPr>
        <w:t>Barometer</w:t>
      </w:r>
    </w:p>
    <w:p>
      <w:pPr>
        <w:pStyle w:val="BodyText"/>
        <w:tabs>
          <w:tab w:pos="8272" w:val="left" w:leader="none"/>
        </w:tabs>
        <w:ind w:left="102"/>
        <w:jc w:val="both"/>
      </w:pPr>
      <w:r>
        <w:rPr/>
        <w:t>Disponible</w:t>
        <w:tab/>
        <w:t>en:</w:t>
      </w:r>
    </w:p>
    <w:p>
      <w:pPr>
        <w:pStyle w:val="BodyText"/>
        <w:spacing w:line="242" w:lineRule="auto"/>
        <w:ind w:left="169" w:right="1645" w:hanging="68"/>
      </w:pPr>
      <w:hyperlink r:id="rId69">
        <w:r>
          <w:rPr/>
          <w:t>http://www.transparency.org/policy_research/surveys_indices/gcb</w:t>
        </w:r>
      </w:hyperlink>
      <w:r>
        <w:rPr/>
        <w:t> [Fecha de consulta: 9 de febrero, 2015]</w:t>
      </w:r>
    </w:p>
    <w:p>
      <w:pPr>
        <w:pStyle w:val="BodyText"/>
      </w:pPr>
    </w:p>
    <w:p>
      <w:pPr>
        <w:pStyle w:val="BodyText"/>
        <w:spacing w:before="6"/>
        <w:rPr>
          <w:sz w:val="23"/>
        </w:rPr>
      </w:pPr>
    </w:p>
    <w:p>
      <w:pPr>
        <w:spacing w:before="0"/>
        <w:ind w:left="102" w:right="0" w:firstLine="0"/>
        <w:jc w:val="both"/>
        <w:rPr>
          <w:i/>
          <w:sz w:val="24"/>
        </w:rPr>
      </w:pPr>
      <w:r>
        <w:rPr>
          <w:sz w:val="24"/>
        </w:rPr>
        <w:t>CIIMA. ESEADE. IPN. </w:t>
      </w:r>
      <w:r>
        <w:rPr>
          <w:i/>
          <w:sz w:val="24"/>
        </w:rPr>
        <w:t>Índice de Calidad Institucional 2012</w:t>
      </w:r>
    </w:p>
    <w:p>
      <w:pPr>
        <w:pStyle w:val="BodyText"/>
        <w:spacing w:before="141"/>
        <w:ind w:left="102"/>
        <w:jc w:val="both"/>
      </w:pPr>
      <w:r>
        <w:rPr/>
        <w:t>Disponible en:</w:t>
      </w:r>
    </w:p>
    <w:p>
      <w:pPr>
        <w:pStyle w:val="BodyText"/>
        <w:spacing w:line="242" w:lineRule="auto" w:before="134"/>
        <w:ind w:left="102" w:right="176"/>
      </w:pPr>
      <w:hyperlink r:id="rId89">
        <w:r>
          <w:rPr/>
          <w:t>http://www.libertadyprogresonline.org/wp-content/uploads/2012/07/ICI-2012.pdf</w:t>
        </w:r>
      </w:hyperlink>
      <w:r>
        <w:rPr/>
        <w:t> [Fecha de consulta: 6 de enero, 2015]</w:t>
      </w:r>
    </w:p>
    <w:p>
      <w:pPr>
        <w:pStyle w:val="BodyText"/>
      </w:pPr>
    </w:p>
    <w:p>
      <w:pPr>
        <w:pStyle w:val="BodyText"/>
        <w:spacing w:before="9"/>
        <w:rPr>
          <w:sz w:val="23"/>
        </w:rPr>
      </w:pPr>
    </w:p>
    <w:p>
      <w:pPr>
        <w:spacing w:line="360" w:lineRule="auto" w:before="0"/>
        <w:ind w:left="102" w:right="123" w:firstLine="0"/>
        <w:jc w:val="both"/>
        <w:rPr>
          <w:sz w:val="24"/>
        </w:rPr>
      </w:pPr>
      <w:r>
        <w:rPr>
          <w:sz w:val="24"/>
        </w:rPr>
        <w:t>CITCC. (2008). Comisión Intersecretarial para la Transparencia y Combate a la Corrupción, </w:t>
      </w:r>
      <w:r>
        <w:rPr>
          <w:i/>
          <w:sz w:val="24"/>
        </w:rPr>
        <w:t>Participación Ciudadana… ¿Para Qué? Hacia una política de </w:t>
      </w:r>
      <w:r>
        <w:rPr>
          <w:i/>
          <w:sz w:val="24"/>
        </w:rPr>
        <w:t>participación ciudadana en el Gobierno Federal</w:t>
      </w:r>
      <w:r>
        <w:rPr>
          <w:sz w:val="24"/>
        </w:rPr>
        <w:t>.</w:t>
      </w:r>
    </w:p>
    <w:p>
      <w:pPr>
        <w:pStyle w:val="BodyText"/>
        <w:spacing w:line="360" w:lineRule="auto" w:before="7"/>
        <w:ind w:left="102" w:right="588"/>
      </w:pPr>
      <w:r>
        <w:rPr/>
        <w:t>Disponible en: </w:t>
      </w:r>
      <w:hyperlink r:id="rId303">
        <w:r>
          <w:rPr/>
          <w:t>http://www.oic.sep.gob.mx/portal3/doc/Participacion%20ciudadana.pdf</w:t>
        </w:r>
      </w:hyperlink>
      <w:r>
        <w:rPr/>
        <w:t> [Fecha de consulta: 8 de marzo, 2015].</w:t>
      </w:r>
    </w:p>
    <w:p>
      <w:pPr>
        <w:pStyle w:val="BodyText"/>
      </w:pPr>
    </w:p>
    <w:p>
      <w:pPr>
        <w:pStyle w:val="BodyText"/>
        <w:spacing w:before="6"/>
        <w:rPr>
          <w:sz w:val="26"/>
        </w:rPr>
      </w:pPr>
    </w:p>
    <w:p>
      <w:pPr>
        <w:pStyle w:val="BodyText"/>
        <w:spacing w:line="362" w:lineRule="auto"/>
        <w:ind w:left="102" w:right="1035"/>
        <w:jc w:val="both"/>
      </w:pPr>
      <w:r>
        <w:rPr/>
        <w:t>Corporación Latinobarómetro. (2011). </w:t>
      </w:r>
      <w:r>
        <w:rPr>
          <w:i/>
        </w:rPr>
        <w:t>Informe 2011</w:t>
      </w:r>
      <w:r>
        <w:rPr/>
        <w:t>, Santiago de Chile Disponible en: </w:t>
      </w:r>
      <w:hyperlink r:id="rId304">
        <w:r>
          <w:rPr/>
          <w:t>http://www.latinobarometro.org/latino/LATContenidos.jsp</w:t>
        </w:r>
      </w:hyperlink>
      <w:r>
        <w:rPr/>
        <w:t> [Fecha de consulta: 18 de marzo, 2015].</w:t>
      </w:r>
    </w:p>
    <w:p>
      <w:pPr>
        <w:pStyle w:val="BodyText"/>
        <w:spacing w:before="10"/>
        <w:rPr>
          <w:sz w:val="35"/>
        </w:rPr>
      </w:pPr>
    </w:p>
    <w:p>
      <w:pPr>
        <w:pStyle w:val="BodyText"/>
        <w:spacing w:line="360" w:lineRule="auto"/>
        <w:ind w:left="102" w:right="378"/>
        <w:jc w:val="both"/>
      </w:pPr>
      <w:r>
        <w:rPr/>
        <w:t>Corporación Latinobarómetro (2011). </w:t>
      </w:r>
      <w:r>
        <w:rPr>
          <w:i/>
        </w:rPr>
        <w:t>Índice de Confianza en las Instituciones </w:t>
      </w:r>
      <w:r>
        <w:rPr/>
        <w:t>Disponible en: </w:t>
      </w:r>
      <w:hyperlink r:id="rId239">
        <w:r>
          <w:rPr>
            <w:color w:val="0000FF"/>
            <w:u w:val="single" w:color="0000FF"/>
          </w:rPr>
          <w:t>http://e-lecciones.net/archivos/loultimo/INFORME_LB2011.pd</w:t>
        </w:r>
      </w:hyperlink>
      <w:r>
        <w:rPr/>
        <w:t>f Disponible en: </w:t>
      </w:r>
      <w:hyperlink r:id="rId240">
        <w:r>
          <w:rPr/>
          <w:t>http://www.consulta.mx/Estudios.aspx?Categoria=1</w:t>
        </w:r>
      </w:hyperlink>
    </w:p>
    <w:p>
      <w:pPr>
        <w:pStyle w:val="BodyText"/>
        <w:spacing w:before="2"/>
        <w:ind w:left="102"/>
        <w:jc w:val="both"/>
      </w:pPr>
      <w:r>
        <w:rPr/>
        <w:t>[Fecha de consulta: 3 de marzo, 2015]</w:t>
      </w:r>
    </w:p>
    <w:p>
      <w:pPr>
        <w:pStyle w:val="BodyText"/>
      </w:pPr>
    </w:p>
    <w:p>
      <w:pPr>
        <w:pStyle w:val="BodyText"/>
        <w:spacing w:before="9"/>
        <w:rPr>
          <w:sz w:val="23"/>
        </w:rPr>
      </w:pPr>
    </w:p>
    <w:p>
      <w:pPr>
        <w:spacing w:line="360" w:lineRule="auto" w:before="0"/>
        <w:ind w:left="102" w:right="66" w:firstLine="0"/>
        <w:jc w:val="left"/>
        <w:rPr>
          <w:i/>
          <w:sz w:val="24"/>
        </w:rPr>
      </w:pPr>
      <w:r>
        <w:rPr>
          <w:sz w:val="24"/>
        </w:rPr>
        <w:t>Consulta Mitofsky, </w:t>
      </w:r>
      <w:r>
        <w:rPr>
          <w:i/>
          <w:sz w:val="24"/>
        </w:rPr>
        <w:t>Confianza en las Instituciones, Baja Generalizada, Encuesta </w:t>
      </w:r>
      <w:r>
        <w:rPr>
          <w:i/>
          <w:sz w:val="24"/>
        </w:rPr>
        <w:t>Nacional de Viviendas.</w:t>
      </w:r>
    </w:p>
    <w:p>
      <w:pPr>
        <w:pStyle w:val="BodyText"/>
        <w:spacing w:line="360" w:lineRule="auto" w:before="7"/>
        <w:ind w:left="102" w:right="1544"/>
      </w:pPr>
      <w:r>
        <w:rPr/>
        <w:t>Disponible en: </w:t>
      </w:r>
      <w:hyperlink r:id="rId240">
        <w:r>
          <w:rPr/>
          <w:t>http://www.consulta.mx/Estudios.aspx?Categoria=1</w:t>
        </w:r>
      </w:hyperlink>
      <w:r>
        <w:rPr/>
        <w:t> [Fecha de consulta: 13 de enero, 2015]</w:t>
      </w:r>
    </w:p>
    <w:p>
      <w:pPr>
        <w:pStyle w:val="BodyText"/>
      </w:pPr>
    </w:p>
    <w:p>
      <w:pPr>
        <w:spacing w:line="360" w:lineRule="auto" w:before="180"/>
        <w:ind w:left="102" w:right="66" w:firstLine="0"/>
        <w:jc w:val="left"/>
        <w:rPr>
          <w:sz w:val="24"/>
        </w:rPr>
      </w:pPr>
      <w:r>
        <w:rPr>
          <w:sz w:val="24"/>
        </w:rPr>
        <w:t>Fondo Monetario Internacional, Oficina de Evaluación Independiente. (2008). </w:t>
      </w:r>
      <w:r>
        <w:rPr>
          <w:i/>
          <w:sz w:val="24"/>
        </w:rPr>
        <w:t>El </w:t>
      </w:r>
      <w:r>
        <w:rPr>
          <w:i/>
          <w:sz w:val="24"/>
        </w:rPr>
        <w:t>gobierno corporativo del FMI: Una evaluación</w:t>
      </w:r>
      <w:r>
        <w:rPr>
          <w:sz w:val="24"/>
        </w:rPr>
        <w:t>.</w:t>
      </w:r>
    </w:p>
    <w:p>
      <w:pPr>
        <w:spacing w:after="0" w:line="360" w:lineRule="auto"/>
        <w:jc w:val="left"/>
        <w:rPr>
          <w:sz w:val="24"/>
        </w:rPr>
        <w:sectPr>
          <w:pgSz w:w="11910" w:h="16840"/>
          <w:pgMar w:header="0" w:footer="1003" w:top="1340" w:bottom="1200" w:left="1600" w:right="1580"/>
        </w:sectPr>
      </w:pPr>
    </w:p>
    <w:p>
      <w:pPr>
        <w:pStyle w:val="BodyText"/>
        <w:spacing w:before="55"/>
        <w:ind w:left="102" w:right="224"/>
      </w:pPr>
      <w:r>
        <w:rPr/>
        <w:t>Disponible en:</w:t>
      </w:r>
    </w:p>
    <w:p>
      <w:pPr>
        <w:pStyle w:val="BodyText"/>
        <w:spacing w:line="360" w:lineRule="auto" w:before="139"/>
        <w:ind w:left="102" w:right="490"/>
      </w:pPr>
      <w:hyperlink r:id="rId305">
        <w:r>
          <w:rPr/>
          <w:t>http://www.ieo-imf.org/ieo/files/completedevaluations/05212008CG_SPA.pdf</w:t>
        </w:r>
      </w:hyperlink>
      <w:r>
        <w:rPr/>
        <w:t> [Fecha de consulta: 22 de marzo, 2015]</w:t>
      </w:r>
    </w:p>
    <w:p>
      <w:pPr>
        <w:pStyle w:val="BodyText"/>
      </w:pPr>
    </w:p>
    <w:p>
      <w:pPr>
        <w:spacing w:line="360" w:lineRule="auto" w:before="139"/>
        <w:ind w:left="102" w:right="224" w:firstLine="0"/>
        <w:jc w:val="left"/>
        <w:rPr>
          <w:i/>
          <w:sz w:val="24"/>
        </w:rPr>
      </w:pPr>
      <w:r>
        <w:rPr>
          <w:sz w:val="24"/>
        </w:rPr>
        <w:t>Forum for a new World Governance.</w:t>
      </w:r>
      <w:r>
        <w:rPr>
          <w:i/>
          <w:sz w:val="24"/>
        </w:rPr>
        <w:t>World Governance Index, why should </w:t>
      </w:r>
      <w:r>
        <w:rPr>
          <w:i/>
          <w:sz w:val="24"/>
        </w:rPr>
        <w:t>governance be evalued, and for what propose?</w:t>
      </w:r>
    </w:p>
    <w:p>
      <w:pPr>
        <w:pStyle w:val="BodyText"/>
        <w:spacing w:before="5"/>
        <w:ind w:left="102" w:right="224"/>
      </w:pPr>
      <w:r>
        <w:rPr/>
        <w:t>Disponible en:</w:t>
      </w:r>
    </w:p>
    <w:p>
      <w:pPr>
        <w:pStyle w:val="BodyText"/>
        <w:spacing w:line="360" w:lineRule="auto" w:before="139"/>
        <w:ind w:left="102" w:right="331"/>
      </w:pPr>
      <w:hyperlink r:id="rId63">
        <w:r>
          <w:rPr/>
          <w:t>http://www.world-governance.org/IMG/pdf_WGI_short_version_EN_web-2.pdf</w:t>
        </w:r>
      </w:hyperlink>
      <w:r>
        <w:rPr/>
        <w:t> </w:t>
      </w:r>
      <w:hyperlink r:id="rId306">
        <w:r>
          <w:rPr>
            <w:color w:val="0000FF"/>
            <w:u w:val="single" w:color="0000FF"/>
          </w:rPr>
          <w:t>http://www.world-governance.org/spip.php?article521&amp;lang=es</w:t>
        </w:r>
      </w:hyperlink>
      <w:r>
        <w:rPr>
          <w:color w:val="0000FF"/>
          <w:u w:val="single" w:color="0000FF"/>
        </w:rPr>
        <w:t> </w:t>
      </w:r>
      <w:hyperlink r:id="rId307">
        <w:r>
          <w:rPr/>
          <w:t>http://www.world-governance.org/IMG/pdf_WGI_short_version_EN_web-4.pdf</w:t>
        </w:r>
      </w:hyperlink>
      <w:r>
        <w:rPr/>
        <w:t> [Fecha de consulta: abril de 2015]</w:t>
      </w:r>
    </w:p>
    <w:p>
      <w:pPr>
        <w:pStyle w:val="BodyText"/>
      </w:pPr>
    </w:p>
    <w:p>
      <w:pPr>
        <w:pStyle w:val="BodyText"/>
        <w:spacing w:line="360" w:lineRule="auto" w:before="142"/>
        <w:ind w:left="102" w:right="3492"/>
      </w:pPr>
      <w:r>
        <w:rPr/>
        <w:t>Foro por una nueva Gobernanza Mundial. Disponible en: </w:t>
      </w:r>
      <w:hyperlink r:id="rId308">
        <w:r>
          <w:rPr>
            <w:color w:val="0000FF"/>
            <w:u w:val="single" w:color="0000FF"/>
          </w:rPr>
          <w:t>http://www.world-governance.org</w:t>
        </w:r>
      </w:hyperlink>
      <w:r>
        <w:rPr>
          <w:color w:val="0000FF"/>
          <w:u w:val="single" w:color="0000FF"/>
        </w:rPr>
        <w:t> </w:t>
      </w:r>
      <w:r>
        <w:rPr/>
        <w:t>[Fecha de consulta: 29 de marzo, 2015]</w:t>
      </w:r>
    </w:p>
    <w:p>
      <w:pPr>
        <w:pStyle w:val="BodyText"/>
      </w:pPr>
    </w:p>
    <w:p>
      <w:pPr>
        <w:spacing w:line="360" w:lineRule="auto" w:before="139"/>
        <w:ind w:left="102" w:right="224" w:firstLine="0"/>
        <w:jc w:val="left"/>
        <w:rPr>
          <w:i/>
          <w:sz w:val="24"/>
        </w:rPr>
      </w:pPr>
      <w:r>
        <w:rPr>
          <w:sz w:val="24"/>
        </w:rPr>
        <w:t>Foro por una nueva Gobernanza Mundial. (2009). </w:t>
      </w:r>
      <w:r>
        <w:rPr>
          <w:i/>
          <w:sz w:val="24"/>
        </w:rPr>
        <w:t>La ONU y la gobernanza </w:t>
      </w:r>
      <w:r>
        <w:rPr>
          <w:i/>
          <w:sz w:val="24"/>
        </w:rPr>
        <w:t>mundial</w:t>
      </w:r>
    </w:p>
    <w:p>
      <w:pPr>
        <w:pStyle w:val="BodyText"/>
        <w:spacing w:line="360" w:lineRule="auto" w:before="5"/>
        <w:ind w:left="102" w:right="6747"/>
      </w:pPr>
      <w:r>
        <w:rPr/>
        <w:t>Disponible en: http://www.world-</w:t>
      </w:r>
    </w:p>
    <w:p>
      <w:pPr>
        <w:pStyle w:val="BodyText"/>
        <w:spacing w:line="360" w:lineRule="auto" w:before="2"/>
        <w:ind w:left="102" w:right="1530"/>
      </w:pPr>
      <w:r>
        <w:rPr/>
        <w:t>governance.org/IMG/pdf_La_ONU_y_la_Gobernanza_Mundial.pdf [Fecha de consulta: 22 de marzo, 2015]</w:t>
      </w:r>
    </w:p>
    <w:p>
      <w:pPr>
        <w:pStyle w:val="BodyText"/>
      </w:pPr>
    </w:p>
    <w:p>
      <w:pPr>
        <w:spacing w:line="360" w:lineRule="auto" w:before="139"/>
        <w:ind w:left="102" w:right="224" w:firstLine="0"/>
        <w:jc w:val="left"/>
        <w:rPr>
          <w:i/>
          <w:sz w:val="24"/>
        </w:rPr>
      </w:pPr>
      <w:r>
        <w:rPr>
          <w:sz w:val="24"/>
        </w:rPr>
        <w:t>Foro por una nueva Gobernanza Mundial. (2011). </w:t>
      </w:r>
      <w:r>
        <w:rPr>
          <w:i/>
          <w:sz w:val="24"/>
        </w:rPr>
        <w:t>Propuestas para una </w:t>
      </w:r>
      <w:r>
        <w:rPr>
          <w:i/>
          <w:sz w:val="24"/>
        </w:rPr>
        <w:t>arquitectura del poder, justicia y democracia</w:t>
      </w:r>
    </w:p>
    <w:p>
      <w:pPr>
        <w:pStyle w:val="BodyText"/>
        <w:spacing w:line="360" w:lineRule="auto" w:before="7"/>
        <w:ind w:left="102" w:right="6747"/>
      </w:pPr>
      <w:r>
        <w:rPr/>
        <w:t>Disponible en: </w:t>
      </w:r>
      <w:hyperlink r:id="rId309">
        <w:r>
          <w:rPr>
            <w:color w:val="0000FF"/>
            <w:u w:val="single" w:color="0000FF"/>
          </w:rPr>
          <w:t>http://www.world-</w:t>
        </w:r>
      </w:hyperlink>
    </w:p>
    <w:p>
      <w:pPr>
        <w:pStyle w:val="BodyText"/>
        <w:spacing w:line="360" w:lineRule="auto" w:before="5"/>
        <w:ind w:left="102" w:right="182"/>
      </w:pPr>
      <w:hyperlink r:id="rId309">
        <w:r>
          <w:rPr>
            <w:color w:val="0000FF"/>
            <w:u w:val="single" w:color="0000FF"/>
          </w:rPr>
          <w:t>governance.org/IMG/pdf_798_Propuestas_para_una_arquitectura_del_poder_j</w:t>
        </w:r>
      </w:hyperlink>
      <w:r>
        <w:rPr>
          <w:color w:val="0000FF"/>
          <w:u w:val="single" w:color="0000FF"/>
        </w:rPr>
        <w:t> </w:t>
      </w:r>
      <w:hyperlink r:id="rId309">
        <w:r>
          <w:rPr>
            <w:color w:val="0000FF"/>
            <w:u w:val="single" w:color="0000FF"/>
          </w:rPr>
          <w:t>usta_y_democratica_2012.03.pdf</w:t>
        </w:r>
      </w:hyperlink>
    </w:p>
    <w:p>
      <w:pPr>
        <w:pStyle w:val="BodyText"/>
        <w:spacing w:before="2"/>
        <w:ind w:left="102" w:right="224"/>
      </w:pPr>
      <w:r>
        <w:rPr/>
        <w:t>[Fecha de consulta: 23 de marzo, 2015]</w:t>
      </w:r>
    </w:p>
    <w:p>
      <w:pPr>
        <w:pStyle w:val="BodyText"/>
      </w:pPr>
    </w:p>
    <w:p>
      <w:pPr>
        <w:pStyle w:val="BodyText"/>
        <w:spacing w:before="9"/>
        <w:rPr>
          <w:sz w:val="23"/>
        </w:rPr>
      </w:pPr>
    </w:p>
    <w:p>
      <w:pPr>
        <w:spacing w:line="360" w:lineRule="auto" w:before="0"/>
        <w:ind w:left="102" w:right="36" w:firstLine="0"/>
        <w:jc w:val="left"/>
        <w:rPr>
          <w:i/>
          <w:sz w:val="24"/>
        </w:rPr>
      </w:pPr>
      <w:r>
        <w:rPr>
          <w:sz w:val="24"/>
        </w:rPr>
        <w:t>Foro por una nueva Gobernanza Mundial. (2012). </w:t>
      </w:r>
      <w:r>
        <w:rPr>
          <w:i/>
          <w:sz w:val="24"/>
        </w:rPr>
        <w:t>Los comunes y la gobernanza </w:t>
      </w:r>
      <w:r>
        <w:rPr>
          <w:i/>
          <w:sz w:val="24"/>
        </w:rPr>
        <w:t>mundial. Hacia un contrato social mundial</w:t>
      </w:r>
    </w:p>
    <w:p>
      <w:pPr>
        <w:pStyle w:val="BodyText"/>
        <w:spacing w:before="5"/>
        <w:ind w:left="102" w:right="224"/>
      </w:pPr>
      <w:r>
        <w:rPr/>
        <w:t>Disponible en:</w:t>
      </w:r>
    </w:p>
    <w:p>
      <w:pPr>
        <w:spacing w:after="0"/>
        <w:sectPr>
          <w:pgSz w:w="11910" w:h="16840"/>
          <w:pgMar w:header="0" w:footer="1003" w:top="1340" w:bottom="1200" w:left="1600" w:right="1600"/>
        </w:sectPr>
      </w:pPr>
    </w:p>
    <w:p>
      <w:pPr>
        <w:pStyle w:val="BodyText"/>
        <w:spacing w:line="362" w:lineRule="auto" w:before="55"/>
        <w:ind w:left="102" w:right="200"/>
      </w:pPr>
      <w:hyperlink r:id="rId310">
        <w:r>
          <w:rPr/>
          <w:t>http://www.worldgovernance.org/IMG/pdf_862_AB_GM_Communs_et_gouvera</w:t>
        </w:r>
      </w:hyperlink>
      <w:r>
        <w:rPr/>
        <w:t> nce_mondiale_ES-3.pdf</w:t>
      </w:r>
    </w:p>
    <w:p>
      <w:pPr>
        <w:pStyle w:val="BodyText"/>
        <w:ind w:left="102" w:right="66"/>
      </w:pPr>
      <w:r>
        <w:rPr/>
        <w:t>[Fecha de consulta: 21 de septiembre, 2015].</w:t>
      </w:r>
    </w:p>
    <w:p>
      <w:pPr>
        <w:pStyle w:val="BodyText"/>
      </w:pPr>
    </w:p>
    <w:p>
      <w:pPr>
        <w:pStyle w:val="BodyText"/>
        <w:spacing w:before="9"/>
        <w:rPr>
          <w:sz w:val="23"/>
        </w:rPr>
      </w:pPr>
    </w:p>
    <w:p>
      <w:pPr>
        <w:spacing w:before="0"/>
        <w:ind w:left="102" w:right="66" w:firstLine="0"/>
        <w:jc w:val="left"/>
        <w:rPr>
          <w:i/>
          <w:sz w:val="24"/>
        </w:rPr>
      </w:pPr>
      <w:r>
        <w:rPr>
          <w:sz w:val="24"/>
        </w:rPr>
        <w:t>Fund for Peace, </w:t>
      </w:r>
      <w:r>
        <w:rPr>
          <w:i/>
          <w:sz w:val="24"/>
        </w:rPr>
        <w:t>Failed States Index.</w:t>
      </w:r>
    </w:p>
    <w:p>
      <w:pPr>
        <w:spacing w:before="141"/>
        <w:ind w:left="102" w:right="66" w:firstLine="0"/>
        <w:jc w:val="left"/>
        <w:rPr>
          <w:rFonts w:ascii="Calibri"/>
          <w:sz w:val="22"/>
        </w:rPr>
      </w:pPr>
      <w:r>
        <w:rPr>
          <w:sz w:val="24"/>
        </w:rPr>
        <w:t>Disponible en: </w:t>
      </w:r>
      <w:r>
        <w:rPr>
          <w:rFonts w:ascii="Calibri"/>
          <w:sz w:val="22"/>
        </w:rPr>
        <w:t>http</w:t>
      </w:r>
    </w:p>
    <w:p>
      <w:pPr>
        <w:pStyle w:val="BodyText"/>
        <w:spacing w:before="138"/>
        <w:ind w:left="102" w:right="66"/>
      </w:pPr>
      <w:r>
        <w:rPr/>
        <w:t>[Fecha de consulta: 3 de marzo, 2015]</w:t>
      </w:r>
    </w:p>
    <w:p>
      <w:pPr>
        <w:pStyle w:val="BodyText"/>
      </w:pPr>
    </w:p>
    <w:p>
      <w:pPr>
        <w:pStyle w:val="BodyText"/>
        <w:spacing w:before="9"/>
        <w:rPr>
          <w:sz w:val="23"/>
        </w:rPr>
      </w:pPr>
    </w:p>
    <w:p>
      <w:pPr>
        <w:spacing w:before="0"/>
        <w:ind w:left="102" w:right="66" w:firstLine="0"/>
        <w:jc w:val="left"/>
        <w:rPr>
          <w:i/>
          <w:sz w:val="24"/>
        </w:rPr>
      </w:pPr>
      <w:r>
        <w:rPr>
          <w:sz w:val="24"/>
        </w:rPr>
        <w:t>Global Integrity. </w:t>
      </w:r>
      <w:r>
        <w:rPr>
          <w:i/>
          <w:sz w:val="24"/>
        </w:rPr>
        <w:t>Global Integrity Report 2011</w:t>
      </w:r>
    </w:p>
    <w:p>
      <w:pPr>
        <w:pStyle w:val="BodyText"/>
        <w:spacing w:line="360" w:lineRule="auto" w:before="140"/>
        <w:ind w:left="102" w:right="2017"/>
      </w:pPr>
      <w:r>
        <w:rPr/>
        <w:t>Disponible en: </w:t>
      </w:r>
      <w:hyperlink r:id="rId97">
        <w:r>
          <w:rPr/>
          <w:t>http://www.globalintegrity.org/files/GIR2011.pdf</w:t>
        </w:r>
      </w:hyperlink>
      <w:r>
        <w:rPr/>
        <w:t> [Fecha consulta: 6 de enero, 2015]</w:t>
      </w:r>
    </w:p>
    <w:p>
      <w:pPr>
        <w:pStyle w:val="BodyText"/>
      </w:pPr>
    </w:p>
    <w:p>
      <w:pPr>
        <w:pStyle w:val="BodyText"/>
        <w:spacing w:line="360" w:lineRule="auto" w:before="142"/>
        <w:ind w:left="102" w:right="66"/>
      </w:pPr>
      <w:r>
        <w:rPr/>
        <w:t>IntegrityassessmentMexico </w:t>
      </w:r>
      <w:hyperlink r:id="rId311">
        <w:r>
          <w:rPr/>
          <w:t>http://back.globalintegrity.org/reports/2004/docs/2004/SPANISH2004Mexico.pdf</w:t>
        </w:r>
      </w:hyperlink>
      <w:r>
        <w:rPr/>
        <w:t> </w:t>
      </w:r>
      <w:hyperlink r:id="rId312">
        <w:r>
          <w:rPr/>
          <w:t>http://www.globalintegrity.org/report/Mexico/2011/notebook</w:t>
        </w:r>
      </w:hyperlink>
    </w:p>
    <w:p>
      <w:pPr>
        <w:pStyle w:val="BodyText"/>
        <w:spacing w:before="2"/>
        <w:ind w:left="102" w:right="66"/>
      </w:pPr>
      <w:r>
        <w:rPr/>
        <w:t>Fecha consulta: 21 de abril, 2015]</w:t>
      </w:r>
    </w:p>
    <w:p>
      <w:pPr>
        <w:pStyle w:val="BodyText"/>
      </w:pPr>
    </w:p>
    <w:p>
      <w:pPr>
        <w:pStyle w:val="BodyText"/>
        <w:spacing w:before="9"/>
        <w:rPr>
          <w:sz w:val="23"/>
        </w:rPr>
      </w:pPr>
    </w:p>
    <w:p>
      <w:pPr>
        <w:spacing w:line="362" w:lineRule="auto" w:before="0"/>
        <w:ind w:left="102" w:right="66" w:firstLine="0"/>
        <w:jc w:val="left"/>
        <w:rPr>
          <w:i/>
          <w:sz w:val="24"/>
        </w:rPr>
      </w:pPr>
      <w:r>
        <w:rPr>
          <w:sz w:val="24"/>
        </w:rPr>
        <w:t>Global Integrity Innovations for Transparency &amp; Accountability, </w:t>
      </w:r>
      <w:r>
        <w:rPr>
          <w:i/>
          <w:sz w:val="24"/>
        </w:rPr>
        <w:t>GloblalInte grity </w:t>
      </w:r>
      <w:r>
        <w:rPr>
          <w:i/>
          <w:sz w:val="24"/>
        </w:rPr>
        <w:t>Report</w:t>
      </w:r>
    </w:p>
    <w:p>
      <w:pPr>
        <w:pStyle w:val="BodyText"/>
        <w:spacing w:before="2"/>
        <w:ind w:left="102" w:right="66"/>
      </w:pPr>
      <w:r>
        <w:rPr/>
        <w:t>Disponible en:</w:t>
      </w:r>
    </w:p>
    <w:p>
      <w:pPr>
        <w:pStyle w:val="BodyText"/>
        <w:spacing w:line="360" w:lineRule="auto" w:before="139"/>
        <w:ind w:left="102" w:right="522"/>
      </w:pPr>
      <w:hyperlink r:id="rId313">
        <w:r>
          <w:rPr/>
          <w:t>http://thedatahub.org/dataset/global-integrity-report/resource/5f8e7f41-1093-</w:t>
        </w:r>
      </w:hyperlink>
      <w:r>
        <w:rPr/>
        <w:t> 4090-85d6-420f1087b10d [Fecha de consulta: 21 de abril, 2015]</w:t>
      </w:r>
    </w:p>
    <w:p>
      <w:pPr>
        <w:pStyle w:val="BodyText"/>
      </w:pPr>
    </w:p>
    <w:p>
      <w:pPr>
        <w:pStyle w:val="BodyText"/>
        <w:spacing w:line="360" w:lineRule="auto" w:before="142"/>
        <w:ind w:left="102" w:right="644"/>
      </w:pPr>
      <w:r>
        <w:rPr/>
        <w:t>IMCO. Índice de Competitividad Internacional 2011, más allá de los BRICS Disponible en:</w:t>
      </w:r>
    </w:p>
    <w:p>
      <w:pPr>
        <w:pStyle w:val="BodyText"/>
        <w:spacing w:line="264" w:lineRule="auto" w:before="5"/>
        <w:ind w:left="102" w:right="270"/>
      </w:pPr>
      <w:hyperlink r:id="rId90">
        <w:r>
          <w:rPr/>
          <w:t>http://imco.org.mx/images/pdf/Indice-de-Competitividad-Internacional-2011.pdf</w:t>
        </w:r>
      </w:hyperlink>
      <w:r>
        <w:rPr/>
        <w:t> [Fecha de consulta: 31 de enero, 2015]</w:t>
      </w:r>
    </w:p>
    <w:p>
      <w:pPr>
        <w:pStyle w:val="BodyText"/>
      </w:pPr>
    </w:p>
    <w:p>
      <w:pPr>
        <w:pStyle w:val="BodyText"/>
        <w:spacing w:before="5"/>
        <w:rPr>
          <w:sz w:val="21"/>
        </w:rPr>
      </w:pPr>
    </w:p>
    <w:p>
      <w:pPr>
        <w:spacing w:line="360" w:lineRule="auto" w:before="1"/>
        <w:ind w:left="102" w:right="66" w:firstLine="0"/>
        <w:jc w:val="left"/>
        <w:rPr>
          <w:i/>
          <w:sz w:val="24"/>
        </w:rPr>
      </w:pPr>
      <w:r>
        <w:rPr>
          <w:sz w:val="24"/>
        </w:rPr>
        <w:t>International Monetary Found, </w:t>
      </w:r>
      <w:r>
        <w:rPr>
          <w:i/>
          <w:sz w:val="24"/>
        </w:rPr>
        <w:t>World Economic Outlook Database, September </w:t>
      </w:r>
      <w:r>
        <w:rPr>
          <w:i/>
          <w:sz w:val="24"/>
        </w:rPr>
        <w:t>2012.</w:t>
      </w:r>
    </w:p>
    <w:p>
      <w:pPr>
        <w:pStyle w:val="BodyText"/>
        <w:spacing w:line="360" w:lineRule="auto" w:before="5"/>
        <w:ind w:left="102" w:right="1350"/>
      </w:pPr>
      <w:r>
        <w:rPr/>
        <w:t>Disponible en: </w:t>
      </w:r>
      <w:hyperlink r:id="rId269">
        <w:r>
          <w:rPr/>
          <w:t>http://www.imf.org/external/pubs/ft/weo/2011/02/weodata/index.aspx</w:t>
        </w:r>
      </w:hyperlink>
      <w:r>
        <w:rPr/>
        <w:t> [Fecha de consulta: 9 de marzo, 2015].</w:t>
      </w:r>
    </w:p>
    <w:p>
      <w:pPr>
        <w:spacing w:after="0" w:line="360" w:lineRule="auto"/>
        <w:sectPr>
          <w:pgSz w:w="11910" w:h="16840"/>
          <w:pgMar w:header="0" w:footer="1003" w:top="1340" w:bottom="1200" w:left="1600" w:right="1580"/>
        </w:sectPr>
      </w:pPr>
    </w:p>
    <w:p>
      <w:pPr>
        <w:pStyle w:val="BodyText"/>
        <w:spacing w:line="360" w:lineRule="auto" w:before="55"/>
        <w:ind w:left="102" w:right="1110"/>
      </w:pPr>
      <w:r>
        <w:rPr/>
        <w:t>International Organization of Supreme Audit Institutions (INTOSAI) Disponible en: </w:t>
      </w:r>
      <w:hyperlink r:id="rId270">
        <w:r>
          <w:rPr/>
          <w:t>http://www.intosai.org/es/documentos/intosai/documentos-</w:t>
        </w:r>
      </w:hyperlink>
      <w:r>
        <w:rPr/>
        <w:t> </w:t>
      </w:r>
      <w:r>
        <w:rPr>
          <w:w w:val="95"/>
        </w:rPr>
        <w:t>basicos/declaraciones-de-lima-y-mexico/declaracion-de-mexico-sobre- </w:t>
      </w:r>
      <w:r>
        <w:rPr/>
        <w:t>independencia-de-la-efs.html </w:t>
      </w:r>
      <w:hyperlink r:id="rId180">
        <w:r>
          <w:rPr>
            <w:color w:val="0000FF"/>
            <w:u w:val="single" w:color="0000FF"/>
          </w:rPr>
          <w:t>http://www.incosai2007.org.mx/infogral.html</w:t>
        </w:r>
      </w:hyperlink>
    </w:p>
    <w:p>
      <w:pPr>
        <w:pStyle w:val="BodyText"/>
        <w:spacing w:before="2"/>
        <w:ind w:left="102" w:right="66"/>
      </w:pPr>
      <w:r>
        <w:rPr/>
        <w:t>[Fecha de consulta: 13 de abril, 2015]</w:t>
      </w:r>
    </w:p>
    <w:p>
      <w:pPr>
        <w:pStyle w:val="BodyText"/>
      </w:pPr>
    </w:p>
    <w:p>
      <w:pPr>
        <w:pStyle w:val="BodyText"/>
      </w:pPr>
    </w:p>
    <w:p>
      <w:pPr>
        <w:spacing w:line="357" w:lineRule="auto" w:before="201"/>
        <w:ind w:left="102" w:right="56" w:firstLine="0"/>
        <w:jc w:val="left"/>
        <w:rPr>
          <w:i/>
          <w:sz w:val="24"/>
        </w:rPr>
      </w:pPr>
      <w:r>
        <w:rPr>
          <w:sz w:val="24"/>
        </w:rPr>
        <w:t>Krauze Martín (2011). Centro de Investigaciones de Instituciones y Mercados de Argentina, </w:t>
      </w:r>
      <w:r>
        <w:rPr>
          <w:i/>
          <w:sz w:val="24"/>
        </w:rPr>
        <w:t>Índice de Calidad Institucional 2011</w:t>
      </w:r>
    </w:p>
    <w:p>
      <w:pPr>
        <w:pStyle w:val="BodyText"/>
        <w:spacing w:line="242" w:lineRule="auto" w:before="8"/>
        <w:ind w:left="102" w:right="176"/>
      </w:pPr>
      <w:hyperlink r:id="rId89">
        <w:r>
          <w:rPr/>
          <w:t>http://www.libertadyprogresonline.org/wp-content/uploads/2012/07/ICI-2012.pdf</w:t>
        </w:r>
      </w:hyperlink>
      <w:r>
        <w:rPr/>
        <w:t> [Fecha de consulta: 6 de enero, 2015]</w:t>
      </w:r>
    </w:p>
    <w:p>
      <w:pPr>
        <w:pStyle w:val="BodyText"/>
        <w:spacing w:before="134"/>
        <w:ind w:left="102" w:right="66"/>
      </w:pPr>
      <w:r>
        <w:rPr/>
        <w:t>[Fecha de consulta: 2 de marzo, 2015]</w:t>
      </w:r>
    </w:p>
    <w:p>
      <w:pPr>
        <w:pStyle w:val="BodyText"/>
      </w:pPr>
    </w:p>
    <w:p>
      <w:pPr>
        <w:pStyle w:val="BodyText"/>
        <w:spacing w:before="9"/>
        <w:rPr>
          <w:sz w:val="23"/>
        </w:rPr>
      </w:pPr>
    </w:p>
    <w:p>
      <w:pPr>
        <w:spacing w:before="0"/>
        <w:ind w:left="102" w:right="66" w:firstLine="0"/>
        <w:jc w:val="left"/>
        <w:rPr>
          <w:i/>
          <w:sz w:val="24"/>
        </w:rPr>
      </w:pPr>
      <w:r>
        <w:rPr>
          <w:sz w:val="24"/>
        </w:rPr>
        <w:t>Milken Institute. </w:t>
      </w:r>
      <w:r>
        <w:rPr>
          <w:i/>
          <w:sz w:val="24"/>
        </w:rPr>
        <w:t>2009 Opacity Index: Measuring Global Risks</w:t>
      </w:r>
    </w:p>
    <w:p>
      <w:pPr>
        <w:pStyle w:val="BodyText"/>
        <w:tabs>
          <w:tab w:pos="8272" w:val="left" w:leader="none"/>
        </w:tabs>
        <w:spacing w:before="139"/>
        <w:ind w:left="102" w:right="66"/>
      </w:pPr>
      <w:r>
        <w:rPr/>
        <w:t>Disponible</w:t>
        <w:tab/>
        <w:t>en:</w:t>
      </w:r>
    </w:p>
    <w:p>
      <w:pPr>
        <w:pStyle w:val="BodyText"/>
        <w:spacing w:line="242" w:lineRule="auto"/>
        <w:ind w:left="102" w:right="1551"/>
      </w:pPr>
      <w:hyperlink r:id="rId66">
        <w:r>
          <w:rPr>
            <w:color w:val="0000FF"/>
            <w:u w:val="single" w:color="0000FF"/>
          </w:rPr>
          <w:t>http://www.kurtzmangroup.com/pdf/InstituteOpacityIndex_Apr8.pdf</w:t>
        </w:r>
      </w:hyperlink>
      <w:r>
        <w:rPr>
          <w:color w:val="0000FF"/>
          <w:u w:val="single" w:color="0000FF"/>
        </w:rPr>
        <w:t> </w:t>
      </w:r>
      <w:r>
        <w:rPr/>
        <w:t>[Fecha de consulta: 2 de enero, 2015]</w:t>
      </w:r>
    </w:p>
    <w:p>
      <w:pPr>
        <w:pStyle w:val="BodyText"/>
      </w:pPr>
    </w:p>
    <w:p>
      <w:pPr>
        <w:pStyle w:val="BodyText"/>
        <w:spacing w:before="4"/>
        <w:rPr>
          <w:sz w:val="23"/>
        </w:rPr>
      </w:pPr>
    </w:p>
    <w:p>
      <w:pPr>
        <w:spacing w:before="0"/>
        <w:ind w:left="102" w:right="66" w:firstLine="0"/>
        <w:jc w:val="left"/>
        <w:rPr>
          <w:sz w:val="24"/>
        </w:rPr>
      </w:pPr>
      <w:r>
        <w:rPr>
          <w:sz w:val="24"/>
        </w:rPr>
        <w:t>New Economic Foundation. </w:t>
      </w:r>
      <w:r>
        <w:rPr>
          <w:i/>
          <w:sz w:val="24"/>
        </w:rPr>
        <w:t>The Happy Planet Index</w:t>
      </w:r>
      <w:r>
        <w:rPr>
          <w:sz w:val="24"/>
        </w:rPr>
        <w:t>.</w:t>
      </w:r>
    </w:p>
    <w:p>
      <w:pPr>
        <w:pStyle w:val="BodyText"/>
        <w:spacing w:line="276" w:lineRule="auto" w:before="141"/>
        <w:ind w:left="102" w:right="589"/>
      </w:pPr>
      <w:r>
        <w:rPr/>
        <w:t>Disponible en: </w:t>
      </w:r>
      <w:hyperlink r:id="rId314">
        <w:r>
          <w:rPr/>
          <w:t>http://www.happyplanetindex.org/assets/happy-planet-index-</w:t>
        </w:r>
      </w:hyperlink>
      <w:r>
        <w:rPr/>
        <w:t> report.pdf</w:t>
      </w:r>
    </w:p>
    <w:p>
      <w:pPr>
        <w:pStyle w:val="BodyText"/>
        <w:ind w:left="102" w:right="66"/>
      </w:pPr>
      <w:r>
        <w:rPr/>
        <w:t>[Fecha consulta: 6 de enero, 2015]</w:t>
      </w:r>
    </w:p>
    <w:p>
      <w:pPr>
        <w:pStyle w:val="BodyText"/>
      </w:pPr>
    </w:p>
    <w:p>
      <w:pPr>
        <w:pStyle w:val="BodyText"/>
        <w:spacing w:before="9"/>
        <w:rPr>
          <w:sz w:val="23"/>
        </w:rPr>
      </w:pPr>
    </w:p>
    <w:p>
      <w:pPr>
        <w:spacing w:before="0"/>
        <w:ind w:left="102" w:right="66" w:firstLine="0"/>
        <w:jc w:val="left"/>
        <w:rPr>
          <w:i/>
          <w:sz w:val="24"/>
        </w:rPr>
      </w:pPr>
      <w:r>
        <w:rPr>
          <w:sz w:val="24"/>
        </w:rPr>
        <w:t>Transparency International, </w:t>
      </w:r>
      <w:r>
        <w:rPr>
          <w:i/>
          <w:sz w:val="24"/>
        </w:rPr>
        <w:t>Corruption Perceptions index 2011.</w:t>
      </w:r>
    </w:p>
    <w:p>
      <w:pPr>
        <w:pStyle w:val="BodyText"/>
        <w:spacing w:line="242" w:lineRule="auto" w:before="139"/>
        <w:ind w:left="102" w:right="1004"/>
      </w:pPr>
      <w:r>
        <w:rPr/>
        <w:t>Disponible en: </w:t>
      </w:r>
      <w:hyperlink r:id="rId68">
        <w:r>
          <w:rPr/>
          <w:t>http://www.transparency.org/cpi2012/results#myAnchor1</w:t>
        </w:r>
      </w:hyperlink>
      <w:r>
        <w:rPr/>
        <w:t> [Fecha de consulta: 5 de enero, 2015]</w:t>
      </w:r>
    </w:p>
    <w:p>
      <w:pPr>
        <w:pStyle w:val="BodyText"/>
      </w:pPr>
    </w:p>
    <w:p>
      <w:pPr>
        <w:pStyle w:val="BodyText"/>
        <w:spacing w:before="7"/>
        <w:rPr>
          <w:sz w:val="23"/>
        </w:rPr>
      </w:pPr>
    </w:p>
    <w:p>
      <w:pPr>
        <w:spacing w:before="0"/>
        <w:ind w:left="102" w:right="66" w:firstLine="0"/>
        <w:jc w:val="left"/>
        <w:rPr>
          <w:i/>
          <w:sz w:val="24"/>
        </w:rPr>
      </w:pPr>
      <w:r>
        <w:rPr>
          <w:sz w:val="24"/>
        </w:rPr>
        <w:t>Transparency International. </w:t>
      </w:r>
      <w:r>
        <w:rPr>
          <w:i/>
          <w:sz w:val="24"/>
        </w:rPr>
        <w:t>Global Corruption Barometer, 2010</w:t>
      </w:r>
    </w:p>
    <w:p>
      <w:pPr>
        <w:pStyle w:val="BodyText"/>
        <w:tabs>
          <w:tab w:pos="8272" w:val="left" w:leader="none"/>
        </w:tabs>
        <w:spacing w:before="137"/>
        <w:ind w:left="102" w:right="66"/>
      </w:pPr>
      <w:r>
        <w:rPr/>
        <w:t>Disponible</w:t>
        <w:tab/>
        <w:t>en:</w:t>
      </w:r>
    </w:p>
    <w:p>
      <w:pPr>
        <w:pStyle w:val="BodyText"/>
        <w:spacing w:line="242" w:lineRule="auto"/>
        <w:ind w:left="169" w:right="1645" w:hanging="68"/>
      </w:pPr>
      <w:hyperlink r:id="rId69">
        <w:r>
          <w:rPr/>
          <w:t>http://www.transparency.org/policy_research/surveys_indices/gcb</w:t>
        </w:r>
      </w:hyperlink>
      <w:r>
        <w:rPr/>
        <w:t> [Fecha de consulta: 9 de febrero, 2015]</w:t>
      </w:r>
    </w:p>
    <w:p>
      <w:pPr>
        <w:spacing w:before="134"/>
        <w:ind w:left="102" w:right="0" w:firstLine="0"/>
        <w:jc w:val="left"/>
        <w:rPr>
          <w:i/>
          <w:sz w:val="24"/>
        </w:rPr>
      </w:pPr>
      <w:r>
        <w:rPr>
          <w:sz w:val="24"/>
        </w:rPr>
        <w:t>Open Society Institute, </w:t>
      </w:r>
      <w:r>
        <w:rPr>
          <w:i/>
          <w:sz w:val="24"/>
        </w:rPr>
        <w:t>Índice Latinoamericano de Transparencia Presupuestaria</w:t>
      </w:r>
    </w:p>
    <w:p>
      <w:pPr>
        <w:pStyle w:val="BodyText"/>
        <w:spacing w:before="139"/>
        <w:ind w:left="102" w:right="66"/>
      </w:pPr>
      <w:r>
        <w:rPr/>
        <w:t>Disponible en: </w:t>
      </w:r>
      <w:hyperlink r:id="rId315">
        <w:r>
          <w:rPr/>
          <w:t>http://internationalbudget.org/wp-content/uploads/OBI2012-</w:t>
        </w:r>
      </w:hyperlink>
    </w:p>
    <w:p>
      <w:pPr>
        <w:pStyle w:val="BodyText"/>
        <w:spacing w:before="43"/>
        <w:ind w:left="102" w:right="66"/>
      </w:pPr>
      <w:r>
        <w:rPr/>
        <w:t>Report-English.pdf</w:t>
      </w:r>
    </w:p>
    <w:p>
      <w:pPr>
        <w:pStyle w:val="BodyText"/>
        <w:spacing w:before="9"/>
        <w:rPr>
          <w:sz w:val="20"/>
        </w:rPr>
      </w:pPr>
    </w:p>
    <w:p>
      <w:pPr>
        <w:pStyle w:val="BodyText"/>
        <w:spacing w:before="1"/>
        <w:ind w:left="102" w:right="66"/>
      </w:pPr>
      <w:r>
        <w:rPr/>
        <w:t>[Fecha de consulta: 2 de febrero, 2015]</w:t>
      </w:r>
    </w:p>
    <w:p>
      <w:pPr>
        <w:spacing w:after="0"/>
        <w:sectPr>
          <w:pgSz w:w="11910" w:h="16840"/>
          <w:pgMar w:header="0" w:footer="1003" w:top="1340" w:bottom="1200" w:left="1600" w:right="1580"/>
        </w:sectPr>
      </w:pPr>
    </w:p>
    <w:p>
      <w:pPr>
        <w:spacing w:line="362" w:lineRule="auto" w:before="53"/>
        <w:ind w:left="102" w:right="66" w:firstLine="0"/>
        <w:jc w:val="left"/>
        <w:rPr>
          <w:i/>
          <w:sz w:val="24"/>
        </w:rPr>
      </w:pPr>
      <w:r>
        <w:rPr>
          <w:sz w:val="24"/>
        </w:rPr>
        <w:t>OCDE. (2011). </w:t>
      </w:r>
      <w:r>
        <w:rPr>
          <w:i/>
          <w:sz w:val="24"/>
        </w:rPr>
        <w:t>Directrices de la OCDE sobre el gobierno corporativo de las </w:t>
      </w:r>
      <w:r>
        <w:rPr>
          <w:i/>
          <w:sz w:val="24"/>
        </w:rPr>
        <w:t>empresas públicas</w:t>
      </w:r>
    </w:p>
    <w:p>
      <w:pPr>
        <w:pStyle w:val="BodyText"/>
        <w:spacing w:line="360" w:lineRule="auto" w:before="2"/>
        <w:ind w:left="102" w:right="1643"/>
      </w:pPr>
      <w:r>
        <w:rPr/>
        <w:t>Disponible en: </w:t>
      </w:r>
      <w:hyperlink r:id="rId316">
        <w:r>
          <w:rPr>
            <w:color w:val="0000FF"/>
            <w:u w:val="single" w:color="0000FF"/>
          </w:rPr>
          <w:t>http://www.oecd.org/dataoecd/60/17/48632643.pdf</w:t>
        </w:r>
      </w:hyperlink>
      <w:r>
        <w:rPr>
          <w:color w:val="0000FF"/>
          <w:u w:val="single" w:color="0000FF"/>
        </w:rPr>
        <w:t> </w:t>
      </w:r>
      <w:r>
        <w:rPr/>
        <w:t>[Fecha de consulta: 23 de marzo, 2015]</w:t>
      </w:r>
    </w:p>
    <w:p>
      <w:pPr>
        <w:pStyle w:val="BodyText"/>
      </w:pPr>
    </w:p>
    <w:p>
      <w:pPr>
        <w:spacing w:line="360" w:lineRule="auto" w:before="139"/>
        <w:ind w:left="102" w:right="66" w:firstLine="0"/>
        <w:jc w:val="left"/>
        <w:rPr>
          <w:i/>
          <w:sz w:val="24"/>
        </w:rPr>
      </w:pPr>
      <w:r>
        <w:rPr>
          <w:sz w:val="24"/>
        </w:rPr>
        <w:t>OCDE. (2011). </w:t>
      </w:r>
      <w:r>
        <w:rPr>
          <w:i/>
          <w:sz w:val="24"/>
        </w:rPr>
        <w:t>Government at a Glance 2011, Chapter VII Transparency in </w:t>
      </w:r>
      <w:r>
        <w:rPr>
          <w:i/>
          <w:sz w:val="24"/>
        </w:rPr>
        <w:t>Governance.</w:t>
      </w:r>
    </w:p>
    <w:p>
      <w:pPr>
        <w:pStyle w:val="BodyText"/>
        <w:spacing w:line="242" w:lineRule="auto" w:before="5"/>
        <w:ind w:left="102" w:right="2763"/>
      </w:pPr>
      <w:r>
        <w:rPr/>
        <w:t>Disponible en: </w:t>
      </w:r>
      <w:hyperlink r:id="rId77">
        <w:r>
          <w:rPr/>
          <w:t>http://dx.doi.org/10.1787/888932389873</w:t>
        </w:r>
      </w:hyperlink>
      <w:r>
        <w:rPr/>
        <w:t> [Fecha de consulta: 15 de marzo, 2015]</w:t>
      </w:r>
    </w:p>
    <w:p>
      <w:pPr>
        <w:pStyle w:val="BodyText"/>
      </w:pPr>
    </w:p>
    <w:p>
      <w:pPr>
        <w:pStyle w:val="BodyText"/>
        <w:spacing w:before="7"/>
        <w:rPr>
          <w:sz w:val="23"/>
        </w:rPr>
      </w:pPr>
    </w:p>
    <w:p>
      <w:pPr>
        <w:spacing w:before="0"/>
        <w:ind w:left="102" w:right="66" w:firstLine="0"/>
        <w:jc w:val="left"/>
        <w:rPr>
          <w:i/>
          <w:sz w:val="24"/>
        </w:rPr>
      </w:pPr>
      <w:r>
        <w:rPr>
          <w:sz w:val="24"/>
        </w:rPr>
        <w:t>OCDE. (2011). </w:t>
      </w:r>
      <w:r>
        <w:rPr>
          <w:i/>
          <w:sz w:val="24"/>
        </w:rPr>
        <w:t>Society at a Glance, OECD Social Indicators, Chapter VIII Votin</w:t>
      </w:r>
    </w:p>
    <w:p>
      <w:pPr>
        <w:pStyle w:val="BodyText"/>
        <w:spacing w:before="139"/>
        <w:ind w:left="102" w:right="66"/>
      </w:pPr>
      <w:r>
        <w:rPr/>
        <w:t>Disponible en:</w:t>
      </w:r>
    </w:p>
    <w:p>
      <w:pPr>
        <w:pStyle w:val="BodyText"/>
        <w:spacing w:before="137"/>
        <w:ind w:left="102" w:right="66"/>
      </w:pPr>
      <w:hyperlink r:id="rId317">
        <w:r>
          <w:rPr/>
          <w:t>http://www.oecd.org/document/45/0,3746,en_2649_37419_2671576_1_1_1_37</w:t>
        </w:r>
      </w:hyperlink>
      <w:r>
        <w:rPr/>
        <w:t> 419,00.html</w:t>
      </w:r>
    </w:p>
    <w:p>
      <w:pPr>
        <w:pStyle w:val="BodyText"/>
        <w:spacing w:before="2"/>
        <w:ind w:left="102" w:right="66"/>
      </w:pPr>
      <w:r>
        <w:rPr/>
        <w:t>[Fecha de consulta: 14 de febrero, 2015]</w:t>
      </w:r>
    </w:p>
    <w:p>
      <w:pPr>
        <w:pStyle w:val="BodyText"/>
      </w:pPr>
    </w:p>
    <w:p>
      <w:pPr>
        <w:pStyle w:val="BodyText"/>
      </w:pPr>
    </w:p>
    <w:p>
      <w:pPr>
        <w:pStyle w:val="BodyText"/>
        <w:spacing w:line="360" w:lineRule="auto"/>
        <w:ind w:left="102" w:right="1911"/>
      </w:pPr>
      <w:r>
        <w:rPr/>
        <w:t>OCDE/PNUD. (2007). Alianza para la gobernanza democrática </w:t>
      </w:r>
      <w:hyperlink r:id="rId53">
        <w:r>
          <w:rPr>
            <w:color w:val="0000FF"/>
            <w:u w:val="single" w:color="0000FF"/>
          </w:rPr>
          <w:t>http://www.oecd.org/dataoecd/54/19/41665400.pdf</w:t>
        </w:r>
      </w:hyperlink>
    </w:p>
    <w:p>
      <w:pPr>
        <w:pStyle w:val="BodyText"/>
        <w:spacing w:before="5"/>
        <w:ind w:left="102" w:right="66"/>
      </w:pPr>
      <w:r>
        <w:rPr/>
        <w:t>[Fecha de consulta: 28 de marzo, 2015]</w:t>
      </w:r>
    </w:p>
    <w:p>
      <w:pPr>
        <w:pStyle w:val="BodyText"/>
      </w:pPr>
    </w:p>
    <w:p>
      <w:pPr>
        <w:pStyle w:val="BodyText"/>
        <w:spacing w:before="9"/>
        <w:rPr>
          <w:sz w:val="23"/>
        </w:rPr>
      </w:pPr>
    </w:p>
    <w:p>
      <w:pPr>
        <w:spacing w:line="360" w:lineRule="auto" w:before="0"/>
        <w:ind w:left="102" w:right="66" w:firstLine="0"/>
        <w:jc w:val="left"/>
        <w:rPr>
          <w:i/>
          <w:sz w:val="24"/>
        </w:rPr>
      </w:pPr>
      <w:r>
        <w:rPr>
          <w:sz w:val="24"/>
        </w:rPr>
        <w:t>OECD. (2009). </w:t>
      </w:r>
      <w:r>
        <w:rPr>
          <w:i/>
          <w:sz w:val="24"/>
        </w:rPr>
        <w:t>Contracting out government functions and services in post- </w:t>
      </w:r>
      <w:r>
        <w:rPr>
          <w:i/>
          <w:sz w:val="24"/>
        </w:rPr>
        <w:t>conflict and fragile situations.</w:t>
      </w:r>
    </w:p>
    <w:p>
      <w:pPr>
        <w:pStyle w:val="BodyText"/>
        <w:spacing w:line="360" w:lineRule="auto" w:before="7"/>
        <w:ind w:left="102" w:right="1643"/>
      </w:pPr>
      <w:r>
        <w:rPr/>
        <w:t>Disponible en: </w:t>
      </w:r>
      <w:hyperlink r:id="rId318">
        <w:r>
          <w:rPr>
            <w:color w:val="0000FF"/>
            <w:u w:val="single" w:color="0000FF"/>
          </w:rPr>
          <w:t>http://www.oecd.org/dataoecd/24/14/46119235.pdf</w:t>
        </w:r>
      </w:hyperlink>
      <w:r>
        <w:rPr>
          <w:color w:val="0000FF"/>
          <w:u w:val="single" w:color="0000FF"/>
        </w:rPr>
        <w:t> </w:t>
      </w:r>
      <w:r>
        <w:rPr/>
        <w:t>[Fecha de consulta: 22 de marzo, 2015]</w:t>
      </w:r>
    </w:p>
    <w:p>
      <w:pPr>
        <w:pStyle w:val="BodyText"/>
      </w:pPr>
    </w:p>
    <w:p>
      <w:pPr>
        <w:spacing w:before="139"/>
        <w:ind w:left="102" w:right="66" w:firstLine="0"/>
        <w:jc w:val="left"/>
        <w:rPr>
          <w:i/>
          <w:sz w:val="24"/>
        </w:rPr>
      </w:pPr>
      <w:r>
        <w:rPr>
          <w:sz w:val="24"/>
        </w:rPr>
        <w:t>OECD. (2011). </w:t>
      </w:r>
      <w:r>
        <w:rPr>
          <w:i/>
          <w:sz w:val="24"/>
        </w:rPr>
        <w:t>Government at a Glance 2011</w:t>
      </w:r>
    </w:p>
    <w:p>
      <w:pPr>
        <w:pStyle w:val="BodyText"/>
        <w:spacing w:before="141"/>
        <w:ind w:left="102" w:right="66"/>
      </w:pPr>
      <w:r>
        <w:rPr/>
        <w:t>Disponible en:</w:t>
      </w:r>
    </w:p>
    <w:p>
      <w:pPr>
        <w:pStyle w:val="BodyText"/>
        <w:spacing w:line="242" w:lineRule="auto" w:before="134"/>
        <w:ind w:left="102" w:right="4351"/>
      </w:pPr>
      <w:hyperlink r:id="rId77">
        <w:r>
          <w:rPr/>
          <w:t>http://dx.doi.org/10.1787/888932389873</w:t>
        </w:r>
      </w:hyperlink>
      <w:r>
        <w:rPr/>
        <w:t> [Fecha de consulta: 15 de marzo, 2015]</w:t>
      </w:r>
    </w:p>
    <w:p>
      <w:pPr>
        <w:pStyle w:val="BodyText"/>
      </w:pPr>
    </w:p>
    <w:p>
      <w:pPr>
        <w:pStyle w:val="BodyText"/>
        <w:spacing w:before="6"/>
        <w:rPr>
          <w:sz w:val="23"/>
        </w:rPr>
      </w:pPr>
    </w:p>
    <w:p>
      <w:pPr>
        <w:spacing w:line="360" w:lineRule="auto" w:before="0"/>
        <w:ind w:left="102" w:right="56" w:firstLine="0"/>
        <w:jc w:val="left"/>
        <w:rPr>
          <w:i/>
          <w:sz w:val="24"/>
        </w:rPr>
      </w:pPr>
      <w:r>
        <w:rPr>
          <w:color w:val="0000FF"/>
          <w:sz w:val="24"/>
          <w:u w:val="single" w:color="0000FF"/>
        </w:rPr>
        <w:t>OECD. (2010). </w:t>
      </w:r>
      <w:r>
        <w:rPr>
          <w:i/>
          <w:sz w:val="24"/>
        </w:rPr>
        <w:t>Handbook on Contracting out government functions and services </w:t>
      </w:r>
      <w:r>
        <w:rPr>
          <w:i/>
          <w:sz w:val="24"/>
        </w:rPr>
        <w:t>in post-conflict and fragile situations</w:t>
      </w:r>
    </w:p>
    <w:p>
      <w:pPr>
        <w:pStyle w:val="BodyText"/>
        <w:spacing w:line="360" w:lineRule="auto" w:before="7"/>
        <w:ind w:left="102" w:right="66"/>
      </w:pPr>
      <w:r>
        <w:rPr/>
        <w:t>Disponible en: </w:t>
      </w:r>
      <w:hyperlink r:id="rId318">
        <w:r>
          <w:rPr>
            <w:color w:val="0000FF"/>
            <w:u w:val="single" w:color="0000FF"/>
          </w:rPr>
          <w:t>http://www.oecd.org/dataoecd/24/14/46119235.pdf</w:t>
        </w:r>
      </w:hyperlink>
      <w:r>
        <w:rPr>
          <w:color w:val="0000FF"/>
          <w:u w:val="single" w:color="0000FF"/>
        </w:rPr>
        <w:t> </w:t>
      </w:r>
      <w:r>
        <w:rPr/>
        <w:t>[Fecha de consulta: 19 de marzo, 2015]</w:t>
      </w:r>
    </w:p>
    <w:p>
      <w:pPr>
        <w:spacing w:after="0" w:line="360" w:lineRule="auto"/>
        <w:sectPr>
          <w:pgSz w:w="11910" w:h="16840"/>
          <w:pgMar w:header="0" w:footer="1003" w:top="1340" w:bottom="1200" w:left="1600" w:right="1580"/>
        </w:sectPr>
      </w:pPr>
    </w:p>
    <w:p>
      <w:pPr>
        <w:spacing w:line="362" w:lineRule="auto" w:before="53"/>
        <w:ind w:left="102" w:right="1643" w:firstLine="0"/>
        <w:jc w:val="left"/>
        <w:rPr>
          <w:sz w:val="24"/>
        </w:rPr>
      </w:pPr>
      <w:r>
        <w:rPr>
          <w:sz w:val="24"/>
        </w:rPr>
        <w:t>OECD. (2004). </w:t>
      </w:r>
      <w:r>
        <w:rPr>
          <w:i/>
          <w:sz w:val="24"/>
        </w:rPr>
        <w:t>The OECD Principies of Corporate Governance </w:t>
      </w:r>
      <w:r>
        <w:rPr>
          <w:sz w:val="24"/>
        </w:rPr>
        <w:t>Disponible en: </w:t>
      </w:r>
      <w:hyperlink r:id="rId51">
        <w:r>
          <w:rPr>
            <w:sz w:val="24"/>
          </w:rPr>
          <w:t>http://www.oecd.org/dataoecd/32/18/31557724.pdf</w:t>
        </w:r>
      </w:hyperlink>
      <w:r>
        <w:rPr>
          <w:sz w:val="24"/>
        </w:rPr>
        <w:t> [Fecha de consulta: 22 de marzo, 2015]</w:t>
      </w:r>
    </w:p>
    <w:p>
      <w:pPr>
        <w:pStyle w:val="BodyText"/>
        <w:spacing w:before="10"/>
        <w:rPr>
          <w:sz w:val="35"/>
        </w:rPr>
      </w:pPr>
    </w:p>
    <w:p>
      <w:pPr>
        <w:spacing w:line="360" w:lineRule="auto" w:before="0"/>
        <w:ind w:left="102" w:right="117" w:firstLine="0"/>
        <w:jc w:val="both"/>
        <w:rPr>
          <w:i/>
          <w:sz w:val="24"/>
        </w:rPr>
      </w:pPr>
      <w:r>
        <w:rPr>
          <w:sz w:val="24"/>
        </w:rPr>
        <w:t>OECD. (2009). </w:t>
      </w:r>
      <w:r>
        <w:rPr>
          <w:i/>
          <w:sz w:val="24"/>
        </w:rPr>
        <w:t>Partnership for democratic governance contracting out </w:t>
      </w:r>
      <w:r>
        <w:rPr>
          <w:i/>
          <w:sz w:val="24"/>
        </w:rPr>
        <w:t>government functions and services, emergin lessons from post-conflict and fragile situations</w:t>
      </w:r>
    </w:p>
    <w:p>
      <w:pPr>
        <w:pStyle w:val="BodyText"/>
        <w:spacing w:line="360" w:lineRule="auto" w:before="7"/>
        <w:ind w:left="102" w:right="1643"/>
      </w:pPr>
      <w:r>
        <w:rPr/>
        <w:t>Disponible en: </w:t>
      </w:r>
      <w:hyperlink r:id="rId319">
        <w:r>
          <w:rPr>
            <w:color w:val="0000FF"/>
            <w:u w:val="single" w:color="0000FF"/>
          </w:rPr>
          <w:t>http://www.oecd.org/dataoecd/56/61/45875056.pdf</w:t>
        </w:r>
      </w:hyperlink>
      <w:r>
        <w:rPr>
          <w:color w:val="0000FF"/>
          <w:u w:val="single" w:color="0000FF"/>
        </w:rPr>
        <w:t> </w:t>
      </w:r>
      <w:r>
        <w:rPr/>
        <w:t>[Fecha de consulta: 19 de marzo, 2015]</w:t>
      </w:r>
    </w:p>
    <w:p>
      <w:pPr>
        <w:pStyle w:val="BodyText"/>
      </w:pPr>
    </w:p>
    <w:p>
      <w:pPr>
        <w:spacing w:line="360" w:lineRule="auto" w:before="140"/>
        <w:ind w:left="102" w:right="66" w:firstLine="0"/>
        <w:jc w:val="left"/>
        <w:rPr>
          <w:i/>
          <w:sz w:val="24"/>
        </w:rPr>
      </w:pPr>
      <w:r>
        <w:rPr>
          <w:sz w:val="24"/>
        </w:rPr>
        <w:t>OECD. (2008). </w:t>
      </w:r>
      <w:r>
        <w:rPr>
          <w:i/>
          <w:sz w:val="24"/>
        </w:rPr>
        <w:t>Using the OECD Principles of corporate governance, a </w:t>
      </w:r>
      <w:r>
        <w:rPr>
          <w:i/>
          <w:sz w:val="24"/>
        </w:rPr>
        <w:t>boardroom perspective</w:t>
      </w:r>
    </w:p>
    <w:p>
      <w:pPr>
        <w:pStyle w:val="BodyText"/>
        <w:spacing w:line="360" w:lineRule="auto" w:before="5"/>
        <w:ind w:left="102" w:right="1643"/>
      </w:pPr>
      <w:r>
        <w:rPr/>
        <w:t>Disponible en: </w:t>
      </w:r>
      <w:hyperlink r:id="rId320">
        <w:r>
          <w:rPr>
            <w:color w:val="0000FF"/>
            <w:u w:val="single" w:color="0000FF"/>
          </w:rPr>
          <w:t>http://www.oecd.org/dataoecd/20/60/40823806.pdf</w:t>
        </w:r>
      </w:hyperlink>
      <w:r>
        <w:rPr>
          <w:color w:val="0000FF"/>
          <w:u w:val="single" w:color="0000FF"/>
        </w:rPr>
        <w:t> </w:t>
      </w:r>
      <w:r>
        <w:rPr/>
        <w:t>[Fecha de consulta: 24 de marzo, 2015]</w:t>
      </w:r>
    </w:p>
    <w:p>
      <w:pPr>
        <w:pStyle w:val="BodyText"/>
        <w:spacing w:before="3"/>
        <w:rPr>
          <w:sz w:val="30"/>
        </w:rPr>
      </w:pPr>
    </w:p>
    <w:p>
      <w:pPr>
        <w:pStyle w:val="BodyText"/>
        <w:spacing w:line="360" w:lineRule="auto"/>
        <w:ind w:left="102" w:right="1524"/>
      </w:pPr>
      <w:r>
        <w:rPr/>
        <w:t>International Budget Partnership, Open Budgets. Transforms Lives The Open Budget Survey</w:t>
      </w:r>
    </w:p>
    <w:p>
      <w:pPr>
        <w:pStyle w:val="BodyText"/>
        <w:spacing w:before="5"/>
        <w:ind w:left="102" w:right="66"/>
      </w:pPr>
      <w:r>
        <w:rPr/>
        <w:t>Disponible en: </w:t>
      </w:r>
      <w:hyperlink r:id="rId315">
        <w:r>
          <w:rPr/>
          <w:t>http://internationalbudget.org/wp-content/uploads/OBI2012-</w:t>
        </w:r>
      </w:hyperlink>
    </w:p>
    <w:p>
      <w:pPr>
        <w:pStyle w:val="BodyText"/>
        <w:spacing w:before="41"/>
        <w:ind w:left="102" w:right="66"/>
      </w:pPr>
      <w:r>
        <w:rPr/>
        <w:t>Report-English.pdf</w:t>
      </w:r>
    </w:p>
    <w:p>
      <w:pPr>
        <w:pStyle w:val="BodyText"/>
        <w:rPr>
          <w:sz w:val="21"/>
        </w:rPr>
      </w:pPr>
    </w:p>
    <w:p>
      <w:pPr>
        <w:pStyle w:val="BodyText"/>
        <w:spacing w:before="1"/>
        <w:ind w:left="102" w:right="66"/>
      </w:pPr>
      <w:r>
        <w:rPr/>
        <w:t>[Fecha de consulta: 2 de febrero, 2015]</w:t>
      </w:r>
    </w:p>
    <w:p>
      <w:pPr>
        <w:pStyle w:val="BodyText"/>
      </w:pPr>
    </w:p>
    <w:p>
      <w:pPr>
        <w:pStyle w:val="BodyText"/>
        <w:spacing w:before="9"/>
        <w:rPr>
          <w:sz w:val="23"/>
        </w:rPr>
      </w:pPr>
    </w:p>
    <w:p>
      <w:pPr>
        <w:spacing w:before="0"/>
        <w:ind w:left="102" w:right="66" w:firstLine="0"/>
        <w:jc w:val="left"/>
        <w:rPr>
          <w:i/>
          <w:sz w:val="24"/>
        </w:rPr>
      </w:pPr>
      <w:r>
        <w:rPr>
          <w:sz w:val="24"/>
        </w:rPr>
        <w:t>OECD. </w:t>
      </w:r>
      <w:r>
        <w:rPr>
          <w:i/>
          <w:sz w:val="24"/>
        </w:rPr>
        <w:t>BetterlifeIndex (consulta en línea)</w:t>
      </w:r>
    </w:p>
    <w:p>
      <w:pPr>
        <w:pStyle w:val="BodyText"/>
        <w:spacing w:line="242" w:lineRule="auto" w:before="137"/>
        <w:ind w:left="102" w:right="1243"/>
      </w:pPr>
      <w:r>
        <w:rPr/>
        <w:t>Disponible en: </w:t>
      </w:r>
      <w:hyperlink r:id="rId94">
        <w:r>
          <w:rPr/>
          <w:t>http://oecdbetterlifeindex.org/about/better-life-initiative/</w:t>
        </w:r>
      </w:hyperlink>
      <w:r>
        <w:rPr/>
        <w:t> [Fecha de consulta: 7 de marzo, 2015]</w:t>
      </w:r>
    </w:p>
    <w:p>
      <w:pPr>
        <w:pStyle w:val="BodyText"/>
      </w:pPr>
    </w:p>
    <w:p>
      <w:pPr>
        <w:pStyle w:val="BodyText"/>
        <w:spacing w:before="8"/>
        <w:rPr>
          <w:sz w:val="23"/>
        </w:rPr>
      </w:pPr>
    </w:p>
    <w:p>
      <w:pPr>
        <w:pStyle w:val="BodyText"/>
        <w:spacing w:before="1"/>
        <w:ind w:left="102" w:right="66"/>
      </w:pPr>
      <w:r>
        <w:rPr/>
        <w:t>UNODC</w:t>
      </w:r>
    </w:p>
    <w:p>
      <w:pPr>
        <w:pStyle w:val="BodyText"/>
        <w:spacing w:line="360" w:lineRule="auto" w:before="139"/>
        <w:ind w:left="102" w:right="816"/>
      </w:pPr>
      <w:r>
        <w:rPr/>
        <w:t>Disponible en: </w:t>
      </w:r>
      <w:hyperlink r:id="rId181">
        <w:r>
          <w:rPr>
            <w:color w:val="0000FF"/>
            <w:u w:val="single" w:color="0000FF"/>
          </w:rPr>
          <w:t>http://www.unodc.org/pdf/corruption/publications_unodc_convention-s.pdf</w:t>
        </w:r>
      </w:hyperlink>
      <w:r>
        <w:rPr>
          <w:color w:val="0000FF"/>
          <w:u w:val="single" w:color="0000FF"/>
        </w:rPr>
        <w:t> </w:t>
      </w:r>
      <w:r>
        <w:rPr/>
        <w:t>[Fecha de consulta: 11 de abril, 2015]</w:t>
      </w:r>
    </w:p>
    <w:p>
      <w:pPr>
        <w:spacing w:line="360" w:lineRule="auto" w:before="0"/>
        <w:ind w:left="102" w:right="118" w:firstLine="0"/>
        <w:jc w:val="left"/>
        <w:rPr>
          <w:i/>
          <w:sz w:val="24"/>
        </w:rPr>
      </w:pPr>
      <w:r>
        <w:rPr>
          <w:sz w:val="24"/>
        </w:rPr>
        <w:t>Universidad de Guadalajara y Consultora Orienta-Agenda Pública, </w:t>
      </w:r>
      <w:r>
        <w:rPr>
          <w:i/>
          <w:sz w:val="24"/>
        </w:rPr>
        <w:t>Evaluación </w:t>
      </w:r>
      <w:r>
        <w:rPr>
          <w:i/>
          <w:sz w:val="24"/>
        </w:rPr>
        <w:t>de la Legislación en Materia de Fiscalización Superior en México.</w:t>
      </w:r>
    </w:p>
    <w:p>
      <w:pPr>
        <w:pStyle w:val="BodyText"/>
        <w:tabs>
          <w:tab w:pos="8272" w:val="left" w:leader="none"/>
        </w:tabs>
        <w:spacing w:before="2"/>
        <w:ind w:left="102" w:right="66"/>
      </w:pPr>
      <w:r>
        <w:rPr/>
        <w:t>Disponible</w:t>
        <w:tab/>
        <w:t>en:</w:t>
      </w:r>
    </w:p>
    <w:p>
      <w:pPr>
        <w:pStyle w:val="BodyText"/>
        <w:spacing w:line="278" w:lineRule="auto"/>
        <w:ind w:left="102" w:right="1498"/>
      </w:pPr>
      <w:hyperlink r:id="rId238">
        <w:r>
          <w:rPr/>
          <w:t>http://www.asf.gob.mx/pags/OTROS/CPMEX/Eval2009_abril09.pdf</w:t>
        </w:r>
      </w:hyperlink>
      <w:r>
        <w:rPr/>
        <w:t> [Fecha de consulta: 22 de enero, 2015]</w:t>
      </w:r>
    </w:p>
    <w:p>
      <w:pPr>
        <w:spacing w:after="0" w:line="278" w:lineRule="auto"/>
        <w:sectPr>
          <w:pgSz w:w="11910" w:h="16840"/>
          <w:pgMar w:header="0" w:footer="1003" w:top="1340" w:bottom="1200" w:left="1600" w:right="1580"/>
        </w:sectPr>
      </w:pPr>
    </w:p>
    <w:p>
      <w:pPr>
        <w:spacing w:before="53"/>
        <w:ind w:left="102" w:right="66" w:firstLine="0"/>
        <w:jc w:val="left"/>
        <w:rPr>
          <w:i/>
          <w:sz w:val="24"/>
        </w:rPr>
      </w:pPr>
      <w:r>
        <w:rPr>
          <w:sz w:val="24"/>
        </w:rPr>
        <w:t>World Bank. (2011). </w:t>
      </w:r>
      <w:r>
        <w:rPr>
          <w:i/>
          <w:sz w:val="24"/>
        </w:rPr>
        <w:t>Governance Matters 2012. World Governance Indicators</w:t>
      </w:r>
    </w:p>
    <w:p>
      <w:pPr>
        <w:pStyle w:val="BodyText"/>
        <w:spacing w:before="139"/>
        <w:ind w:left="102" w:right="66"/>
      </w:pPr>
      <w:r>
        <w:rPr/>
        <w:t>Disponible en:</w:t>
      </w:r>
    </w:p>
    <w:p>
      <w:pPr>
        <w:pStyle w:val="BodyText"/>
        <w:spacing w:line="242" w:lineRule="auto"/>
        <w:ind w:left="102" w:right="337"/>
      </w:pPr>
      <w:hyperlink r:id="rId63">
        <w:r>
          <w:rPr/>
          <w:t>http://www.world-governance.org/IMG/pdf_WGI_short_version_EN_web-2.pdf</w:t>
        </w:r>
      </w:hyperlink>
      <w:r>
        <w:rPr/>
        <w:t> [Fecha de consulta: 24 de abril, 2015]</w:t>
      </w:r>
    </w:p>
    <w:p>
      <w:pPr>
        <w:pStyle w:val="BodyText"/>
      </w:pPr>
    </w:p>
    <w:p>
      <w:pPr>
        <w:pStyle w:val="BodyText"/>
        <w:spacing w:before="8"/>
        <w:rPr>
          <w:sz w:val="23"/>
        </w:rPr>
      </w:pPr>
    </w:p>
    <w:p>
      <w:pPr>
        <w:pStyle w:val="BodyText"/>
        <w:spacing w:line="360" w:lineRule="auto" w:before="1"/>
        <w:ind w:left="102" w:right="3459"/>
      </w:pPr>
      <w:r>
        <w:rPr/>
        <w:t>Alemania </w:t>
      </w:r>
      <w:hyperlink r:id="rId163">
        <w:r>
          <w:rPr>
            <w:color w:val="0000FF"/>
            <w:u w:val="single" w:color="0000FF"/>
          </w:rPr>
          <w:t>http://www.juridicas.unam.mx/navjus/gob/de.htm</w:t>
        </w:r>
      </w:hyperlink>
    </w:p>
    <w:p>
      <w:pPr>
        <w:pStyle w:val="BodyText"/>
        <w:spacing w:line="360" w:lineRule="auto" w:before="5"/>
        <w:ind w:left="102" w:right="2018"/>
      </w:pPr>
      <w:hyperlink r:id="rId321">
        <w:r>
          <w:rPr>
            <w:color w:val="0000FF"/>
            <w:u w:val="single" w:color="0000FF"/>
          </w:rPr>
          <w:t>http://www.ife.org.mx/documentos/DECEYEC/eua.htm#sistpol</w:t>
        </w:r>
      </w:hyperlink>
      <w:r>
        <w:rPr>
          <w:color w:val="0000FF"/>
          <w:u w:val="single" w:color="0000FF"/>
        </w:rPr>
        <w:t> </w:t>
      </w:r>
      <w:hyperlink r:id="rId163">
        <w:r>
          <w:rPr>
            <w:color w:val="0000FF"/>
            <w:u w:val="single" w:color="0000FF"/>
          </w:rPr>
          <w:t>http://www.juridicas.unam.mx/navjus/gob/de.htm</w:t>
        </w:r>
      </w:hyperlink>
    </w:p>
    <w:p>
      <w:pPr>
        <w:pStyle w:val="BodyText"/>
        <w:spacing w:before="5"/>
        <w:ind w:left="102" w:right="66"/>
      </w:pPr>
      <w:r>
        <w:rPr/>
        <w:t>[Fecha de consulta: 15 de abril, 2015]</w:t>
      </w:r>
    </w:p>
    <w:p>
      <w:pPr>
        <w:pStyle w:val="BodyText"/>
      </w:pPr>
    </w:p>
    <w:p>
      <w:pPr>
        <w:pStyle w:val="BodyText"/>
      </w:pPr>
    </w:p>
    <w:p>
      <w:pPr>
        <w:pStyle w:val="BodyText"/>
        <w:spacing w:line="360" w:lineRule="auto"/>
        <w:ind w:left="102" w:right="1631"/>
      </w:pPr>
      <w:r>
        <w:rPr/>
        <w:t>España </w:t>
      </w:r>
      <w:hyperlink r:id="rId322">
        <w:r>
          <w:rPr>
            <w:color w:val="0000FF"/>
            <w:u w:val="single" w:color="0000FF"/>
          </w:rPr>
          <w:t>http://www.ife.org.mx/documentos/DECEYEC/espana.htm#sistpol</w:t>
        </w:r>
      </w:hyperlink>
    </w:p>
    <w:p>
      <w:pPr>
        <w:pStyle w:val="BodyText"/>
        <w:spacing w:line="360" w:lineRule="auto" w:before="5"/>
        <w:ind w:left="102" w:right="66"/>
      </w:pPr>
      <w:hyperlink r:id="rId165">
        <w:r>
          <w:rPr>
            <w:color w:val="0000FF"/>
            <w:u w:val="single" w:color="0000FF"/>
          </w:rPr>
          <w:t>http://www.asturiasliberal.org/colaboraciones/piensa_en_liberal/espanna_alema</w:t>
        </w:r>
      </w:hyperlink>
      <w:r>
        <w:rPr>
          <w:color w:val="0000FF"/>
          <w:u w:val="single" w:color="0000FF"/>
        </w:rPr>
        <w:t> </w:t>
      </w:r>
      <w:hyperlink r:id="rId165">
        <w:r>
          <w:rPr>
            <w:color w:val="0000FF"/>
            <w:u w:val="single" w:color="0000FF"/>
          </w:rPr>
          <w:t>nia_poder_judicial_poder_ejecutivo_y_referen_2.php</w:t>
        </w:r>
      </w:hyperlink>
    </w:p>
    <w:p>
      <w:pPr>
        <w:pStyle w:val="BodyText"/>
        <w:spacing w:before="5"/>
        <w:ind w:left="102" w:right="66"/>
      </w:pPr>
      <w:r>
        <w:rPr/>
        <w:t>[Fecha de consulta: 21 de abril, 2015]</w:t>
      </w:r>
    </w:p>
    <w:p>
      <w:pPr>
        <w:pStyle w:val="BodyText"/>
      </w:pPr>
    </w:p>
    <w:p>
      <w:pPr>
        <w:pStyle w:val="BodyText"/>
      </w:pPr>
    </w:p>
    <w:p>
      <w:pPr>
        <w:pStyle w:val="BodyText"/>
        <w:spacing w:line="360" w:lineRule="auto"/>
        <w:ind w:left="102" w:right="1724"/>
      </w:pPr>
      <w:r>
        <w:rPr/>
        <w:t>Estados Unidos </w:t>
      </w:r>
      <w:hyperlink r:id="rId323">
        <w:r>
          <w:rPr>
            <w:color w:val="0000FF"/>
            <w:u w:val="single" w:color="0000FF"/>
          </w:rPr>
          <w:t>http://www.gao.gov/browse/topic/Tax_Policy_and_Administration</w:t>
        </w:r>
      </w:hyperlink>
      <w:r>
        <w:rPr>
          <w:color w:val="0000FF"/>
          <w:u w:val="single" w:color="0000FF"/>
        </w:rPr>
        <w:t> </w:t>
      </w:r>
      <w:hyperlink r:id="rId321">
        <w:r>
          <w:rPr>
            <w:color w:val="0000FF"/>
            <w:u w:val="single" w:color="0000FF"/>
          </w:rPr>
          <w:t>http://www.ife.org.mx/documentos/DECEYEC/eua.htm#sistpol</w:t>
        </w:r>
      </w:hyperlink>
      <w:r>
        <w:rPr>
          <w:color w:val="0000FF"/>
          <w:u w:val="single" w:color="0000FF"/>
        </w:rPr>
        <w:t> </w:t>
      </w:r>
      <w:r>
        <w:rPr/>
        <w:t>[Fecha de consulta: 21 de abril, 2015]</w:t>
      </w:r>
    </w:p>
    <w:p>
      <w:pPr>
        <w:pStyle w:val="BodyText"/>
      </w:pPr>
    </w:p>
    <w:p>
      <w:pPr>
        <w:pStyle w:val="BodyText"/>
        <w:spacing w:line="360" w:lineRule="auto" w:before="142"/>
        <w:ind w:left="102" w:right="7087"/>
      </w:pPr>
      <w:r>
        <w:rPr/>
        <w:t>México Disponible en:</w:t>
      </w:r>
    </w:p>
    <w:p>
      <w:pPr>
        <w:pStyle w:val="BodyText"/>
        <w:spacing w:line="360" w:lineRule="auto" w:before="2"/>
        <w:ind w:left="102" w:right="66"/>
      </w:pPr>
      <w:hyperlink r:id="rId162">
        <w:r>
          <w:rPr>
            <w:color w:val="0000FF"/>
            <w:w w:val="95"/>
            <w:u w:val="single" w:color="0000FF"/>
          </w:rPr>
          <w:t>http://mexicity.blogspot.mx/2008/08/sistema-electoral-de-mexico.html</w:t>
        </w:r>
      </w:hyperlink>
      <w:r>
        <w:rPr>
          <w:color w:val="0000FF"/>
          <w:w w:val="95"/>
          <w:u w:val="single" w:color="0000FF"/>
        </w:rPr>
        <w:t> </w:t>
      </w:r>
      <w:hyperlink r:id="rId324">
        <w:r>
          <w:rPr>
            <w:color w:val="0000FF"/>
            <w:u w:val="single" w:color="0000FF"/>
          </w:rPr>
          <w:t>http://asf.gob.mx</w:t>
        </w:r>
      </w:hyperlink>
      <w:r>
        <w:rPr/>
        <w:t>;</w:t>
      </w:r>
    </w:p>
    <w:p>
      <w:pPr>
        <w:pStyle w:val="BodyText"/>
        <w:spacing w:before="2"/>
        <w:ind w:left="102" w:right="66"/>
      </w:pPr>
      <w:r>
        <w:rPr/>
        <w:t>[Fecha de consulta: 25 de abril, 2015]</w:t>
      </w:r>
    </w:p>
    <w:p>
      <w:pPr>
        <w:pStyle w:val="BodyText"/>
      </w:pPr>
    </w:p>
    <w:p>
      <w:pPr>
        <w:pStyle w:val="BodyText"/>
      </w:pPr>
    </w:p>
    <w:p>
      <w:pPr>
        <w:pStyle w:val="BodyText"/>
        <w:ind w:left="102" w:right="66"/>
      </w:pPr>
      <w:r>
        <w:rPr/>
        <w:t>Reino Unido</w:t>
      </w:r>
    </w:p>
    <w:p>
      <w:pPr>
        <w:pStyle w:val="BodyText"/>
        <w:spacing w:line="360" w:lineRule="auto" w:before="139"/>
        <w:ind w:left="102" w:right="1968"/>
      </w:pPr>
      <w:r>
        <w:rPr/>
        <w:t>Disponible en: </w:t>
      </w:r>
      <w:hyperlink r:id="rId325">
        <w:r>
          <w:rPr>
            <w:color w:val="0000FF"/>
            <w:u w:val="single" w:color="0000FF"/>
          </w:rPr>
          <w:t>http://biblio.juridicas.unam.mx/libros/2/530/4.pdf</w:t>
        </w:r>
      </w:hyperlink>
      <w:r>
        <w:rPr>
          <w:color w:val="0000FF"/>
          <w:u w:val="single" w:color="0000FF"/>
        </w:rPr>
        <w:t> </w:t>
      </w:r>
      <w:hyperlink r:id="rId326">
        <w:r>
          <w:rPr>
            <w:color w:val="0000FF"/>
            <w:u w:val="single" w:color="0000FF"/>
          </w:rPr>
          <w:t>http://www.nao.org.uk/publications/1012/wga_2009-10.aspx</w:t>
        </w:r>
      </w:hyperlink>
      <w:r>
        <w:rPr>
          <w:color w:val="0000FF"/>
          <w:u w:val="single" w:color="0000FF"/>
        </w:rPr>
        <w:t> </w:t>
      </w:r>
      <w:hyperlink r:id="rId321">
        <w:r>
          <w:rPr>
            <w:color w:val="0000FF"/>
            <w:u w:val="single" w:color="0000FF"/>
          </w:rPr>
          <w:t>http://www.ife.org.mx/documentos/DECEYEC/eua.htm#sistpol</w:t>
        </w:r>
      </w:hyperlink>
      <w:r>
        <w:rPr>
          <w:color w:val="0000FF"/>
          <w:u w:val="single" w:color="0000FF"/>
        </w:rPr>
        <w:t> </w:t>
      </w:r>
      <w:r>
        <w:rPr/>
        <w:t>[Fecha de consulta: 23 de abril, 2015]</w:t>
      </w:r>
    </w:p>
    <w:sectPr>
      <w:pgSz w:w="11910" w:h="16840"/>
      <w:pgMar w:header="0" w:footer="1003" w:top="134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Arial Black">
    <w:altName w:val="Arial Black"/>
    <w:charset w:val="0"/>
    <w:family w:val="swiss"/>
    <w:pitch w:val="variable"/>
  </w:font>
  <w:font w:name="Symbol">
    <w:altName w:val="Symbol"/>
    <w:charset w:val="2"/>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26001pt;margin-top:730.856018pt;width:6.8pt;height:13.05pt;mso-position-horizontal-relative:page;mso-position-vertical-relative:page;z-index:-354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 ROMAN </w:instrText>
                </w:r>
                <w:r>
                  <w:rPr/>
                  <w:fldChar w:fldCharType="separate"/>
                </w:r>
                <w:r>
                  <w:rPr/>
                  <w:t>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9.6pt;height:13.05pt;mso-position-horizontal-relative:page;mso-position-vertical-relative:page;z-index:-354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7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688" type="#_x0000_t202" filled="false" stroked="false">
          <v:textbox inset="0,0,0,0">
            <w:txbxContent>
              <w:p>
                <w:pPr>
                  <w:spacing w:line="245" w:lineRule="exact" w:before="0"/>
                  <w:ind w:left="40" w:right="0" w:firstLine="0"/>
                  <w:jc w:val="left"/>
                  <w:rPr>
                    <w:rFonts w:ascii="Calibri"/>
                    <w:sz w:val="22"/>
                  </w:rPr>
                </w:pPr>
                <w:r>
                  <w:rPr>
                    <w:rFonts w:ascii="Calibri"/>
                    <w:sz w:val="22"/>
                  </w:rPr>
                  <w:t>13</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61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4592" type="#_x0000_t202" filled="false" stroked="false">
          <v:textbox inset="0,0,0,0">
            <w:txbxContent>
              <w:p>
                <w:pPr>
                  <w:spacing w:line="245" w:lineRule="exact" w:before="0"/>
                  <w:ind w:left="20" w:right="0" w:firstLine="0"/>
                  <w:jc w:val="left"/>
                  <w:rPr>
                    <w:rFonts w:ascii="Calibri"/>
                    <w:sz w:val="22"/>
                  </w:rPr>
                </w:pPr>
                <w:r>
                  <w:rPr>
                    <w:rFonts w:ascii="Calibri"/>
                    <w:sz w:val="22"/>
                  </w:rPr>
                  <w:t>21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5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3pt;height:13.05pt;mso-position-horizontal-relative:page;mso-position-vertical-relative:page;z-index:-354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IV</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4496" type="#_x0000_t202" filled="false" stroked="false">
          <v:textbox inset="0,0,0,0">
            <w:txbxContent>
              <w:p>
                <w:pPr>
                  <w:spacing w:line="245" w:lineRule="exact" w:before="0"/>
                  <w:ind w:left="20" w:right="0" w:firstLine="0"/>
                  <w:jc w:val="left"/>
                  <w:rPr>
                    <w:rFonts w:ascii="Calibri"/>
                    <w:sz w:val="22"/>
                  </w:rPr>
                </w:pPr>
                <w:r>
                  <w:rPr>
                    <w:rFonts w:ascii="Calibri"/>
                    <w:sz w:val="22"/>
                  </w:rPr>
                  <w:t>31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42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35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4328" type="#_x0000_t202" filled="false" stroked="false">
          <v:textbox inset="0,0,0,0">
            <w:txbxContent>
              <w:p>
                <w:pPr>
                  <w:spacing w:line="245" w:lineRule="exact" w:before="0"/>
                  <w:ind w:left="20" w:right="0" w:firstLine="0"/>
                  <w:jc w:val="left"/>
                  <w:rPr>
                    <w:rFonts w:ascii="Calibri"/>
                    <w:sz w:val="22"/>
                  </w:rPr>
                </w:pPr>
                <w:r>
                  <w:rPr>
                    <w:rFonts w:ascii="Calibri"/>
                    <w:sz w:val="22"/>
                  </w:rPr>
                  <w:t>51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26001pt;margin-top:730.856018pt;width:15.8pt;height:13.05pt;mso-position-horizontal-relative:page;mso-position-vertical-relative:page;z-index:-354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25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4232" type="#_x0000_t202" filled="false" stroked="false">
          <v:textbox inset="0,0,0,0">
            <w:txbxContent>
              <w:p>
                <w:pPr>
                  <w:spacing w:line="245" w:lineRule="exact" w:before="0"/>
                  <w:ind w:left="20" w:right="0" w:firstLine="0"/>
                  <w:jc w:val="left"/>
                  <w:rPr>
                    <w:rFonts w:ascii="Calibri"/>
                    <w:sz w:val="22"/>
                  </w:rPr>
                </w:pPr>
                <w:r>
                  <w:rPr>
                    <w:rFonts w:ascii="Calibri"/>
                    <w:sz w:val="22"/>
                  </w:rPr>
                  <w:t>61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416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4136" type="#_x0000_t202" filled="false" stroked="false">
          <v:textbox inset="0,0,0,0">
            <w:txbxContent>
              <w:p>
                <w:pPr>
                  <w:spacing w:line="245" w:lineRule="exact" w:before="0"/>
                  <w:ind w:left="20" w:right="0" w:firstLine="0"/>
                  <w:jc w:val="left"/>
                  <w:rPr>
                    <w:rFonts w:ascii="Calibri"/>
                    <w:sz w:val="22"/>
                  </w:rPr>
                </w:pPr>
                <w:r>
                  <w:rPr>
                    <w:rFonts w:ascii="Calibri"/>
                    <w:sz w:val="22"/>
                  </w:rPr>
                  <w:t>71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4112" from="85.103996pt,669.700012pt" to="229.123996pt,669.700012pt" stroked="true" strokeweight=".72003pt" strokecolor="#000000">
          <w10:wrap type="none"/>
        </v:line>
      </w:pict>
    </w:r>
    <w:r>
      <w:rPr/>
      <w:pict>
        <v:shape style="position:absolute;margin-left:84.103996pt;margin-top:730.856018pt;width:13.3pt;height:13.05pt;mso-position-horizontal-relative:page;mso-position-vertical-relative:page;z-index:-354088" type="#_x0000_t202" filled="false" stroked="false">
          <v:textbox inset="0,0,0,0">
            <w:txbxContent>
              <w:p>
                <w:pPr>
                  <w:spacing w:line="245" w:lineRule="exact" w:before="0"/>
                  <w:ind w:left="20" w:right="0" w:firstLine="0"/>
                  <w:jc w:val="left"/>
                  <w:rPr>
                    <w:rFonts w:ascii="Calibri"/>
                    <w:sz w:val="22"/>
                  </w:rPr>
                </w:pPr>
                <w:r>
                  <w:rPr>
                    <w:rFonts w:ascii="Calibri"/>
                    <w:sz w:val="22"/>
                  </w:rPr>
                  <w:t>72</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064" type="#_x0000_t202" filled="false" stroked="false">
          <v:textbox inset="0,0,0,0">
            <w:txbxContent>
              <w:p>
                <w:pPr>
                  <w:spacing w:line="245" w:lineRule="exact" w:before="0"/>
                  <w:ind w:left="40" w:right="0" w:firstLine="0"/>
                  <w:jc w:val="left"/>
                  <w:rPr>
                    <w:rFonts w:ascii="Calibri"/>
                    <w:sz w:val="22"/>
                  </w:rPr>
                </w:pPr>
                <w:r>
                  <w:rPr>
                    <w:rFonts w:ascii="Calibri"/>
                    <w:sz w:val="22"/>
                  </w:rPr>
                  <w:t>73</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3pt;height:13.05pt;mso-position-horizontal-relative:page;mso-position-vertical-relative:page;z-index:-354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IV</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4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399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3968"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3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3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30.856018pt;width:13.3pt;height:13.05pt;mso-position-horizontal-relative:page;mso-position-vertical-relative:page;z-index:-35389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3872" type="#_x0000_t202" filled="false" stroked="false">
          <v:textbox inset="0,0,0,0">
            <w:txbxContent>
              <w:p>
                <w:pPr>
                  <w:spacing w:line="245" w:lineRule="exact" w:before="0"/>
                  <w:ind w:left="20" w:right="0" w:firstLine="0"/>
                  <w:jc w:val="left"/>
                  <w:rPr>
                    <w:rFonts w:ascii="Calibri"/>
                    <w:sz w:val="22"/>
                  </w:rPr>
                </w:pPr>
                <w:r>
                  <w:rPr>
                    <w:rFonts w:ascii="Calibri"/>
                    <w:sz w:val="22"/>
                  </w:rPr>
                  <w:t>91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3848" from="85.103996pt,692.735962pt" to="229.123996pt,692.735962pt" stroked="true" strokeweight=".72003pt" strokecolor="#000000">
          <w10:wrap type="none"/>
        </v:line>
      </w:pict>
    </w:r>
    <w:r>
      <w:rPr/>
      <w:pict>
        <v:shape style="position:absolute;margin-left:84.103996pt;margin-top:730.856018pt;width:13.3pt;height:13.05pt;mso-position-horizontal-relative:page;mso-position-vertical-relative:page;z-index:-353824" type="#_x0000_t202" filled="false" stroked="false">
          <v:textbox inset="0,0,0,0">
            <w:txbxContent>
              <w:p>
                <w:pPr>
                  <w:spacing w:line="245" w:lineRule="exact" w:before="0"/>
                  <w:ind w:left="20" w:right="0" w:firstLine="0"/>
                  <w:jc w:val="left"/>
                  <w:rPr>
                    <w:rFonts w:ascii="Calibri"/>
                    <w:sz w:val="22"/>
                  </w:rPr>
                </w:pPr>
                <w:r>
                  <w:rPr>
                    <w:rFonts w:ascii="Calibri"/>
                    <w:sz w:val="22"/>
                  </w:rPr>
                  <w:t>92</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3800" type="#_x0000_t202" filled="false" stroked="false">
          <v:textbox inset="0,0,0,0">
            <w:txbxContent>
              <w:p>
                <w:pPr>
                  <w:spacing w:line="245" w:lineRule="exact" w:before="0"/>
                  <w:ind w:left="40" w:right="0" w:firstLine="0"/>
                  <w:jc w:val="left"/>
                  <w:rPr>
                    <w:rFonts w:ascii="Calibri"/>
                    <w:sz w:val="22"/>
                  </w:rPr>
                </w:pPr>
                <w:r>
                  <w:rPr>
                    <w:rFonts w:ascii="Calibri"/>
                    <w:sz w:val="22"/>
                  </w:rPr>
                  <w:t>93</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3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8.55pt;height:13.05pt;mso-position-horizontal-relative:page;mso-position-vertical-relative:page;z-index:-354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3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95</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20.75pt;height:13.05pt;mso-position-horizontal-relative:page;mso-position-vertical-relative:page;z-index:-353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353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80.776001pt;width:18.75pt;height:13.05pt;mso-position-horizontal-relative:page;mso-position-vertical-relative:page;z-index:-353656" type="#_x0000_t202" filled="false" stroked="false">
          <v:textbox inset="0,0,0,0">
            <w:txbxContent>
              <w:p>
                <w:pPr>
                  <w:spacing w:line="245" w:lineRule="exact" w:before="0"/>
                  <w:ind w:left="20" w:right="0" w:firstLine="0"/>
                  <w:jc w:val="left"/>
                  <w:rPr>
                    <w:rFonts w:ascii="Calibri"/>
                    <w:sz w:val="22"/>
                  </w:rPr>
                </w:pPr>
                <w:r>
                  <w:rPr>
                    <w:rFonts w:ascii="Calibri"/>
                    <w:sz w:val="22"/>
                  </w:rPr>
                  <w:t>108</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80.776001pt;width:18.75pt;height:13.05pt;mso-position-horizontal-relative:page;mso-position-vertical-relative:page;z-index:-353632" type="#_x0000_t202" filled="false" stroked="false">
          <v:textbox inset="0,0,0,0">
            <w:txbxContent>
              <w:p>
                <w:pPr>
                  <w:spacing w:line="245" w:lineRule="exact" w:before="0"/>
                  <w:ind w:left="20" w:right="0" w:firstLine="0"/>
                  <w:jc w:val="left"/>
                  <w:rPr>
                    <w:rFonts w:ascii="Calibri"/>
                    <w:sz w:val="22"/>
                  </w:rPr>
                </w:pPr>
                <w:r>
                  <w:rPr>
                    <w:rFonts w:ascii="Calibri"/>
                    <w:sz w:val="22"/>
                  </w:rPr>
                  <w:t>110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608" type="#_x0000_t202" filled="false" stroked="false">
          <v:textbox inset="0,0,0,0">
            <w:txbxContent>
              <w:p>
                <w:pPr>
                  <w:spacing w:line="245" w:lineRule="exact" w:before="0"/>
                  <w:ind w:left="40" w:right="0" w:firstLine="0"/>
                  <w:jc w:val="left"/>
                  <w:rPr>
                    <w:rFonts w:ascii="Calibri"/>
                    <w:sz w:val="22"/>
                  </w:rPr>
                </w:pPr>
                <w:r>
                  <w:rPr>
                    <w:rFonts w:ascii="Calibri"/>
                    <w:sz w:val="22"/>
                  </w:rPr>
                  <w:t>111</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113</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5pt;margin-top:730.856018pt;width:10.5pt;height:13.05pt;mso-position-horizontal-relative:page;mso-position-vertical-relative:page;z-index:-354832" type="#_x0000_t202" filled="false" stroked="false">
          <v:textbox inset="0,0,0,0">
            <w:txbxContent>
              <w:p>
                <w:pPr>
                  <w:spacing w:line="245" w:lineRule="exact" w:before="0"/>
                  <w:ind w:left="20" w:right="0" w:firstLine="0"/>
                  <w:jc w:val="left"/>
                  <w:rPr>
                    <w:rFonts w:ascii="Calibri"/>
                    <w:sz w:val="22"/>
                  </w:rPr>
                </w:pPr>
                <w:r>
                  <w:rPr>
                    <w:rFonts w:ascii="Calibri"/>
                    <w:sz w:val="22"/>
                  </w:rPr>
                  <w:t>IX</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8pt;height:13.05pt;mso-position-horizontal-relative:page;mso-position-vertical-relative:page;z-index:-353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125</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83.103996pt;margin-top:780.776001pt;width:20.75pt;height:13.05pt;mso-position-horizontal-relative:page;mso-position-vertical-relative:page;z-index:-353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5pt;margin-top:730.856018pt;width:10.6pt;height:13.05pt;mso-position-horizontal-relative:page;mso-position-vertical-relative:page;z-index:-354808" type="#_x0000_t202" filled="false" stroked="false">
          <v:textbox inset="0,0,0,0">
            <w:txbxContent>
              <w:p>
                <w:pPr>
                  <w:spacing w:line="245" w:lineRule="exact" w:before="0"/>
                  <w:ind w:left="20" w:right="0" w:firstLine="0"/>
                  <w:jc w:val="left"/>
                  <w:rPr>
                    <w:rFonts w:ascii="Calibri"/>
                    <w:sz w:val="22"/>
                  </w:rPr>
                </w:pPr>
                <w:r>
                  <w:rPr>
                    <w:rFonts w:ascii="Calibri"/>
                    <w:sz w:val="22"/>
                  </w:rPr>
                  <w:t>XI</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80.776001pt;width:20.75pt;height:13.05pt;mso-position-horizontal-relative:page;mso-position-vertical-relative:page;z-index:-353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76001pt;width:20.75pt;height:13.05pt;mso-position-horizontal-relative:page;mso-position-vertical-relative:page;z-index:-353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30.856018pt;width:15.3pt;height:13.05pt;mso-position-horizontal-relative:page;mso-position-vertical-relative:page;z-index:-354784" type="#_x0000_t202" filled="false" stroked="false">
          <v:textbox inset="0,0,0,0">
            <w:txbxContent>
              <w:p>
                <w:pPr>
                  <w:spacing w:line="245" w:lineRule="exact" w:before="0"/>
                  <w:ind w:left="40" w:right="0" w:firstLine="0"/>
                  <w:jc w:val="left"/>
                  <w:rPr>
                    <w:rFonts w:ascii="Calibri"/>
                    <w:sz w:val="22"/>
                  </w:rPr>
                </w:pPr>
                <w:r>
                  <w:rPr>
                    <w:rFonts w:ascii="Calibri"/>
                    <w:sz w:val="22"/>
                  </w:rPr>
                  <w:t>XII</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354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3">
    <w:multiLevelType w:val="hybridMultilevel"/>
    <w:lvl w:ilvl="0">
      <w:start w:val="1"/>
      <w:numFmt w:val="decimal"/>
      <w:lvlText w:val="%1."/>
      <w:lvlJc w:val="left"/>
      <w:pPr>
        <w:ind w:left="830" w:hanging="281"/>
        <w:jc w:val="left"/>
      </w:pPr>
      <w:rPr>
        <w:rFonts w:hint="default" w:ascii="Arial" w:hAnsi="Arial" w:eastAsia="Arial" w:cs="Arial"/>
        <w:w w:val="100"/>
        <w:sz w:val="24"/>
        <w:szCs w:val="24"/>
      </w:rPr>
    </w:lvl>
    <w:lvl w:ilvl="1">
      <w:start w:val="1"/>
      <w:numFmt w:val="decimal"/>
      <w:lvlText w:val="%1.%2)"/>
      <w:lvlJc w:val="left"/>
      <w:pPr>
        <w:ind w:left="1398" w:hanging="569"/>
        <w:jc w:val="left"/>
      </w:pPr>
      <w:rPr>
        <w:rFonts w:hint="default" w:ascii="Arial" w:hAnsi="Arial" w:eastAsia="Arial" w:cs="Arial"/>
        <w:spacing w:val="-14"/>
        <w:w w:val="99"/>
        <w:sz w:val="24"/>
        <w:szCs w:val="24"/>
      </w:rPr>
    </w:lvl>
    <w:lvl w:ilvl="2">
      <w:start w:val="1"/>
      <w:numFmt w:val="bullet"/>
      <w:lvlText w:val="•"/>
      <w:lvlJc w:val="left"/>
      <w:pPr>
        <w:ind w:left="2216" w:hanging="569"/>
      </w:pPr>
      <w:rPr>
        <w:rFonts w:hint="default"/>
      </w:rPr>
    </w:lvl>
    <w:lvl w:ilvl="3">
      <w:start w:val="1"/>
      <w:numFmt w:val="bullet"/>
      <w:lvlText w:val="•"/>
      <w:lvlJc w:val="left"/>
      <w:pPr>
        <w:ind w:left="3032" w:hanging="569"/>
      </w:pPr>
      <w:rPr>
        <w:rFonts w:hint="default"/>
      </w:rPr>
    </w:lvl>
    <w:lvl w:ilvl="4">
      <w:start w:val="1"/>
      <w:numFmt w:val="bullet"/>
      <w:lvlText w:val="•"/>
      <w:lvlJc w:val="left"/>
      <w:pPr>
        <w:ind w:left="3848" w:hanging="569"/>
      </w:pPr>
      <w:rPr>
        <w:rFonts w:hint="default"/>
      </w:rPr>
    </w:lvl>
    <w:lvl w:ilvl="5">
      <w:start w:val="1"/>
      <w:numFmt w:val="bullet"/>
      <w:lvlText w:val="•"/>
      <w:lvlJc w:val="left"/>
      <w:pPr>
        <w:ind w:left="4665" w:hanging="569"/>
      </w:pPr>
      <w:rPr>
        <w:rFonts w:hint="default"/>
      </w:rPr>
    </w:lvl>
    <w:lvl w:ilvl="6">
      <w:start w:val="1"/>
      <w:numFmt w:val="bullet"/>
      <w:lvlText w:val="•"/>
      <w:lvlJc w:val="left"/>
      <w:pPr>
        <w:ind w:left="5481" w:hanging="569"/>
      </w:pPr>
      <w:rPr>
        <w:rFonts w:hint="default"/>
      </w:rPr>
    </w:lvl>
    <w:lvl w:ilvl="7">
      <w:start w:val="1"/>
      <w:numFmt w:val="bullet"/>
      <w:lvlText w:val="•"/>
      <w:lvlJc w:val="left"/>
      <w:pPr>
        <w:ind w:left="6297" w:hanging="569"/>
      </w:pPr>
      <w:rPr>
        <w:rFonts w:hint="default"/>
      </w:rPr>
    </w:lvl>
    <w:lvl w:ilvl="8">
      <w:start w:val="1"/>
      <w:numFmt w:val="bullet"/>
      <w:lvlText w:val="•"/>
      <w:lvlJc w:val="left"/>
      <w:pPr>
        <w:ind w:left="7113" w:hanging="569"/>
      </w:pPr>
      <w:rPr>
        <w:rFonts w:hint="default"/>
      </w:rPr>
    </w:lvl>
  </w:abstractNum>
  <w:abstractNum w:abstractNumId="22">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17">
    <w:multiLevelType w:val="hybridMultilevel"/>
    <w:lvl w:ilvl="0">
      <w:start w:val="1"/>
      <w:numFmt w:val="lowerLetter"/>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89">
    <w:multiLevelType w:val="hybridMultilevel"/>
    <w:lvl w:ilvl="0">
      <w:start w:val="1"/>
      <w:numFmt w:val="lowerLetter"/>
      <w:lvlText w:val="%1)"/>
      <w:lvlJc w:val="left"/>
      <w:pPr>
        <w:ind w:left="382" w:hanging="281"/>
        <w:jc w:val="left"/>
      </w:pPr>
      <w:rPr>
        <w:rFonts w:hint="default" w:ascii="Arial" w:hAnsi="Arial" w:eastAsia="Arial" w:cs="Arial"/>
        <w:i/>
        <w:spacing w:val="-8"/>
        <w:w w:val="99"/>
        <w:sz w:val="24"/>
        <w:szCs w:val="24"/>
      </w:rPr>
    </w:lvl>
    <w:lvl w:ilvl="1">
      <w:start w:val="1"/>
      <w:numFmt w:val="lowerLetter"/>
      <w:lvlText w:val="%2)"/>
      <w:lvlJc w:val="left"/>
      <w:pPr>
        <w:ind w:left="822" w:hanging="360"/>
        <w:jc w:val="right"/>
      </w:pPr>
      <w:rPr>
        <w:rFonts w:hint="default" w:ascii="Arial" w:hAnsi="Arial" w:eastAsia="Arial" w:cs="Arial"/>
        <w:w w:val="99"/>
        <w:sz w:val="24"/>
        <w:szCs w:val="24"/>
      </w:rPr>
    </w:lvl>
    <w:lvl w:ilvl="2">
      <w:start w:val="1"/>
      <w:numFmt w:val="decimal"/>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2576" w:hanging="360"/>
      </w:pPr>
      <w:rPr>
        <w:rFonts w:hint="default"/>
      </w:rPr>
    </w:lvl>
    <w:lvl w:ilvl="4">
      <w:start w:val="1"/>
      <w:numFmt w:val="bullet"/>
      <w:lvlText w:val="•"/>
      <w:lvlJc w:val="left"/>
      <w:pPr>
        <w:ind w:left="3455" w:hanging="360"/>
      </w:pPr>
      <w:rPr>
        <w:rFonts w:hint="default"/>
      </w:rPr>
    </w:lvl>
    <w:lvl w:ilvl="5">
      <w:start w:val="1"/>
      <w:numFmt w:val="bullet"/>
      <w:lvlText w:val="•"/>
      <w:lvlJc w:val="left"/>
      <w:pPr>
        <w:ind w:left="4333" w:hanging="360"/>
      </w:pPr>
      <w:rPr>
        <w:rFonts w:hint="default"/>
      </w:rPr>
    </w:lvl>
    <w:lvl w:ilvl="6">
      <w:start w:val="1"/>
      <w:numFmt w:val="bullet"/>
      <w:lvlText w:val="•"/>
      <w:lvlJc w:val="left"/>
      <w:pPr>
        <w:ind w:left="5212" w:hanging="360"/>
      </w:pPr>
      <w:rPr>
        <w:rFonts w:hint="default"/>
      </w:rPr>
    </w:lvl>
    <w:lvl w:ilvl="7">
      <w:start w:val="1"/>
      <w:numFmt w:val="bullet"/>
      <w:lvlText w:val="•"/>
      <w:lvlJc w:val="left"/>
      <w:pPr>
        <w:ind w:left="6090" w:hanging="360"/>
      </w:pPr>
      <w:rPr>
        <w:rFonts w:hint="default"/>
      </w:rPr>
    </w:lvl>
    <w:lvl w:ilvl="8">
      <w:start w:val="1"/>
      <w:numFmt w:val="bullet"/>
      <w:lvlText w:val="•"/>
      <w:lvlJc w:val="left"/>
      <w:pPr>
        <w:ind w:left="6969" w:hanging="360"/>
      </w:pPr>
      <w:rPr>
        <w:rFonts w:hint="default"/>
      </w:rPr>
    </w:lvl>
  </w:abstractNum>
  <w:abstractNum w:abstractNumId="88">
    <w:multiLevelType w:val="hybridMultilevel"/>
    <w:lvl w:ilvl="0">
      <w:start w:val="1"/>
      <w:numFmt w:val="decimal"/>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30" w:hanging="360"/>
      </w:pPr>
      <w:rPr>
        <w:rFonts w:hint="default"/>
      </w:rPr>
    </w:lvl>
    <w:lvl w:ilvl="2">
      <w:start w:val="1"/>
      <w:numFmt w:val="bullet"/>
      <w:lvlText w:val="•"/>
      <w:lvlJc w:val="left"/>
      <w:pPr>
        <w:ind w:left="2421"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02"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583" w:hanging="360"/>
      </w:pPr>
      <w:rPr>
        <w:rFonts w:hint="default"/>
      </w:rPr>
    </w:lvl>
    <w:lvl w:ilvl="7">
      <w:start w:val="1"/>
      <w:numFmt w:val="bullet"/>
      <w:lvlText w:val="•"/>
      <w:lvlJc w:val="left"/>
      <w:pPr>
        <w:ind w:left="6374" w:hanging="360"/>
      </w:pPr>
      <w:rPr>
        <w:rFonts w:hint="default"/>
      </w:rPr>
    </w:lvl>
    <w:lvl w:ilvl="8">
      <w:start w:val="1"/>
      <w:numFmt w:val="bullet"/>
      <w:lvlText w:val="•"/>
      <w:lvlJc w:val="left"/>
      <w:pPr>
        <w:ind w:left="7165" w:hanging="360"/>
      </w:pPr>
      <w:rPr>
        <w:rFonts w:hint="default"/>
      </w:rPr>
    </w:lvl>
  </w:abstractNum>
  <w:abstractNum w:abstractNumId="87">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18"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15" w:hanging="360"/>
      </w:pPr>
      <w:rPr>
        <w:rFonts w:hint="default"/>
      </w:rPr>
    </w:lvl>
    <w:lvl w:ilvl="4">
      <w:start w:val="1"/>
      <w:numFmt w:val="bullet"/>
      <w:lvlText w:val="•"/>
      <w:lvlJc w:val="left"/>
      <w:pPr>
        <w:ind w:left="4014" w:hanging="360"/>
      </w:pPr>
      <w:rPr>
        <w:rFonts w:hint="default"/>
      </w:rPr>
    </w:lvl>
    <w:lvl w:ilvl="5">
      <w:start w:val="1"/>
      <w:numFmt w:val="bullet"/>
      <w:lvlText w:val="•"/>
      <w:lvlJc w:val="left"/>
      <w:pPr>
        <w:ind w:left="4813" w:hanging="360"/>
      </w:pPr>
      <w:rPr>
        <w:rFonts w:hint="default"/>
      </w:rPr>
    </w:lvl>
    <w:lvl w:ilvl="6">
      <w:start w:val="1"/>
      <w:numFmt w:val="bullet"/>
      <w:lvlText w:val="•"/>
      <w:lvlJc w:val="left"/>
      <w:pPr>
        <w:ind w:left="5611"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09" w:hanging="360"/>
      </w:pPr>
      <w:rPr>
        <w:rFonts w:hint="default"/>
      </w:rPr>
    </w:lvl>
  </w:abstractNum>
  <w:abstractNum w:abstractNumId="86">
    <w:multiLevelType w:val="hybridMultilevel"/>
    <w:lvl w:ilvl="0">
      <w:start w:val="1"/>
      <w:numFmt w:val="lowerLetter"/>
      <w:lvlText w:val="%1)"/>
      <w:lvlJc w:val="left"/>
      <w:pPr>
        <w:ind w:left="102" w:hanging="281"/>
        <w:jc w:val="left"/>
      </w:pPr>
      <w:rPr>
        <w:rFonts w:hint="default" w:ascii="Arial" w:hAnsi="Arial" w:eastAsia="Arial" w:cs="Arial"/>
        <w:i/>
        <w:spacing w:val="-4"/>
        <w:w w:val="99"/>
        <w:sz w:val="24"/>
        <w:szCs w:val="24"/>
      </w:rPr>
    </w:lvl>
    <w:lvl w:ilvl="1">
      <w:start w:val="1"/>
      <w:numFmt w:val="bullet"/>
      <w:lvlText w:val=""/>
      <w:lvlJc w:val="left"/>
      <w:pPr>
        <w:ind w:left="1662" w:hanging="144"/>
      </w:pPr>
      <w:rPr>
        <w:rFonts w:hint="default" w:ascii="Symbol" w:hAnsi="Symbol" w:eastAsia="Symbol" w:cs="Symbol"/>
        <w:w w:val="100"/>
        <w:sz w:val="12"/>
        <w:szCs w:val="12"/>
      </w:rPr>
    </w:lvl>
    <w:lvl w:ilvl="2">
      <w:start w:val="1"/>
      <w:numFmt w:val="bullet"/>
      <w:lvlText w:val="•"/>
      <w:lvlJc w:val="left"/>
      <w:pPr>
        <w:ind w:left="2445" w:hanging="144"/>
      </w:pPr>
      <w:rPr>
        <w:rFonts w:hint="default"/>
      </w:rPr>
    </w:lvl>
    <w:lvl w:ilvl="3">
      <w:start w:val="1"/>
      <w:numFmt w:val="bullet"/>
      <w:lvlText w:val="•"/>
      <w:lvlJc w:val="left"/>
      <w:pPr>
        <w:ind w:left="3230" w:hanging="144"/>
      </w:pPr>
      <w:rPr>
        <w:rFonts w:hint="default"/>
      </w:rPr>
    </w:lvl>
    <w:lvl w:ilvl="4">
      <w:start w:val="1"/>
      <w:numFmt w:val="bullet"/>
      <w:lvlText w:val="•"/>
      <w:lvlJc w:val="left"/>
      <w:pPr>
        <w:ind w:left="4015" w:hanging="144"/>
      </w:pPr>
      <w:rPr>
        <w:rFonts w:hint="default"/>
      </w:rPr>
    </w:lvl>
    <w:lvl w:ilvl="5">
      <w:start w:val="1"/>
      <w:numFmt w:val="bullet"/>
      <w:lvlText w:val="•"/>
      <w:lvlJc w:val="left"/>
      <w:pPr>
        <w:ind w:left="4800" w:hanging="144"/>
      </w:pPr>
      <w:rPr>
        <w:rFonts w:hint="default"/>
      </w:rPr>
    </w:lvl>
    <w:lvl w:ilvl="6">
      <w:start w:val="1"/>
      <w:numFmt w:val="bullet"/>
      <w:lvlText w:val="•"/>
      <w:lvlJc w:val="left"/>
      <w:pPr>
        <w:ind w:left="5585" w:hanging="144"/>
      </w:pPr>
      <w:rPr>
        <w:rFonts w:hint="default"/>
      </w:rPr>
    </w:lvl>
    <w:lvl w:ilvl="7">
      <w:start w:val="1"/>
      <w:numFmt w:val="bullet"/>
      <w:lvlText w:val="•"/>
      <w:lvlJc w:val="left"/>
      <w:pPr>
        <w:ind w:left="6370" w:hanging="144"/>
      </w:pPr>
      <w:rPr>
        <w:rFonts w:hint="default"/>
      </w:rPr>
    </w:lvl>
    <w:lvl w:ilvl="8">
      <w:start w:val="1"/>
      <w:numFmt w:val="bullet"/>
      <w:lvlText w:val="•"/>
      <w:lvlJc w:val="left"/>
      <w:pPr>
        <w:ind w:left="7156" w:hanging="144"/>
      </w:pPr>
      <w:rPr>
        <w:rFonts w:hint="default"/>
      </w:rPr>
    </w:lvl>
  </w:abstractNum>
  <w:abstractNum w:abstractNumId="85">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18"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15" w:hanging="360"/>
      </w:pPr>
      <w:rPr>
        <w:rFonts w:hint="default"/>
      </w:rPr>
    </w:lvl>
    <w:lvl w:ilvl="4">
      <w:start w:val="1"/>
      <w:numFmt w:val="bullet"/>
      <w:lvlText w:val="•"/>
      <w:lvlJc w:val="left"/>
      <w:pPr>
        <w:ind w:left="4014" w:hanging="360"/>
      </w:pPr>
      <w:rPr>
        <w:rFonts w:hint="default"/>
      </w:rPr>
    </w:lvl>
    <w:lvl w:ilvl="5">
      <w:start w:val="1"/>
      <w:numFmt w:val="bullet"/>
      <w:lvlText w:val="•"/>
      <w:lvlJc w:val="left"/>
      <w:pPr>
        <w:ind w:left="4813" w:hanging="360"/>
      </w:pPr>
      <w:rPr>
        <w:rFonts w:hint="default"/>
      </w:rPr>
    </w:lvl>
    <w:lvl w:ilvl="6">
      <w:start w:val="1"/>
      <w:numFmt w:val="bullet"/>
      <w:lvlText w:val="•"/>
      <w:lvlJc w:val="left"/>
      <w:pPr>
        <w:ind w:left="5611"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09" w:hanging="360"/>
      </w:pPr>
      <w:rPr>
        <w:rFonts w:hint="default"/>
      </w:rPr>
    </w:lvl>
  </w:abstractNum>
  <w:abstractNum w:abstractNumId="84">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18"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15" w:hanging="360"/>
      </w:pPr>
      <w:rPr>
        <w:rFonts w:hint="default"/>
      </w:rPr>
    </w:lvl>
    <w:lvl w:ilvl="4">
      <w:start w:val="1"/>
      <w:numFmt w:val="bullet"/>
      <w:lvlText w:val="•"/>
      <w:lvlJc w:val="left"/>
      <w:pPr>
        <w:ind w:left="4014" w:hanging="360"/>
      </w:pPr>
      <w:rPr>
        <w:rFonts w:hint="default"/>
      </w:rPr>
    </w:lvl>
    <w:lvl w:ilvl="5">
      <w:start w:val="1"/>
      <w:numFmt w:val="bullet"/>
      <w:lvlText w:val="•"/>
      <w:lvlJc w:val="left"/>
      <w:pPr>
        <w:ind w:left="4813" w:hanging="360"/>
      </w:pPr>
      <w:rPr>
        <w:rFonts w:hint="default"/>
      </w:rPr>
    </w:lvl>
    <w:lvl w:ilvl="6">
      <w:start w:val="1"/>
      <w:numFmt w:val="bullet"/>
      <w:lvlText w:val="•"/>
      <w:lvlJc w:val="left"/>
      <w:pPr>
        <w:ind w:left="5611"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09" w:hanging="360"/>
      </w:pPr>
      <w:rPr>
        <w:rFonts w:hint="default"/>
      </w:rPr>
    </w:lvl>
  </w:abstractNum>
  <w:abstractNum w:abstractNumId="83">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82">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81">
    <w:multiLevelType w:val="hybridMultilevel"/>
    <w:lvl w:ilvl="0">
      <w:start w:val="1"/>
      <w:numFmt w:val="decimal"/>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30" w:hanging="360"/>
      </w:pPr>
      <w:rPr>
        <w:rFonts w:hint="default"/>
      </w:rPr>
    </w:lvl>
    <w:lvl w:ilvl="2">
      <w:start w:val="1"/>
      <w:numFmt w:val="bullet"/>
      <w:lvlText w:val="•"/>
      <w:lvlJc w:val="left"/>
      <w:pPr>
        <w:ind w:left="2421"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02"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583" w:hanging="360"/>
      </w:pPr>
      <w:rPr>
        <w:rFonts w:hint="default"/>
      </w:rPr>
    </w:lvl>
    <w:lvl w:ilvl="7">
      <w:start w:val="1"/>
      <w:numFmt w:val="bullet"/>
      <w:lvlText w:val="•"/>
      <w:lvlJc w:val="left"/>
      <w:pPr>
        <w:ind w:left="6374" w:hanging="360"/>
      </w:pPr>
      <w:rPr>
        <w:rFonts w:hint="default"/>
      </w:rPr>
    </w:lvl>
    <w:lvl w:ilvl="8">
      <w:start w:val="1"/>
      <w:numFmt w:val="bullet"/>
      <w:lvlText w:val="•"/>
      <w:lvlJc w:val="left"/>
      <w:pPr>
        <w:ind w:left="7165" w:hanging="360"/>
      </w:pPr>
      <w:rPr>
        <w:rFonts w:hint="default"/>
      </w:rPr>
    </w:lvl>
  </w:abstractNum>
  <w:abstractNum w:abstractNumId="80">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79">
    <w:multiLevelType w:val="hybridMultilevel"/>
    <w:lvl w:ilvl="0">
      <w:start w:val="1"/>
      <w:numFmt w:val="lowerLetter"/>
      <w:lvlText w:val="%1)"/>
      <w:lvlJc w:val="left"/>
      <w:pPr>
        <w:ind w:left="785" w:hanging="361"/>
        <w:jc w:val="left"/>
      </w:pPr>
      <w:rPr>
        <w:rFonts w:hint="default" w:ascii="Arial" w:hAnsi="Arial" w:eastAsia="Arial" w:cs="Arial"/>
        <w:spacing w:val="-1"/>
        <w:w w:val="99"/>
        <w:sz w:val="20"/>
        <w:szCs w:val="20"/>
      </w:rPr>
    </w:lvl>
    <w:lvl w:ilvl="1">
      <w:start w:val="1"/>
      <w:numFmt w:val="bullet"/>
      <w:lvlText w:val="•"/>
      <w:lvlJc w:val="left"/>
      <w:pPr>
        <w:ind w:left="1459" w:hanging="361"/>
      </w:pPr>
      <w:rPr>
        <w:rFonts w:hint="default"/>
      </w:rPr>
    </w:lvl>
    <w:lvl w:ilvl="2">
      <w:start w:val="1"/>
      <w:numFmt w:val="bullet"/>
      <w:lvlText w:val="•"/>
      <w:lvlJc w:val="left"/>
      <w:pPr>
        <w:ind w:left="2139" w:hanging="361"/>
      </w:pPr>
      <w:rPr>
        <w:rFonts w:hint="default"/>
      </w:rPr>
    </w:lvl>
    <w:lvl w:ilvl="3">
      <w:start w:val="1"/>
      <w:numFmt w:val="bullet"/>
      <w:lvlText w:val="•"/>
      <w:lvlJc w:val="left"/>
      <w:pPr>
        <w:ind w:left="2819" w:hanging="361"/>
      </w:pPr>
      <w:rPr>
        <w:rFonts w:hint="default"/>
      </w:rPr>
    </w:lvl>
    <w:lvl w:ilvl="4">
      <w:start w:val="1"/>
      <w:numFmt w:val="bullet"/>
      <w:lvlText w:val="•"/>
      <w:lvlJc w:val="left"/>
      <w:pPr>
        <w:ind w:left="3499" w:hanging="361"/>
      </w:pPr>
      <w:rPr>
        <w:rFonts w:hint="default"/>
      </w:rPr>
    </w:lvl>
    <w:lvl w:ilvl="5">
      <w:start w:val="1"/>
      <w:numFmt w:val="bullet"/>
      <w:lvlText w:val="•"/>
      <w:lvlJc w:val="left"/>
      <w:pPr>
        <w:ind w:left="4179" w:hanging="361"/>
      </w:pPr>
      <w:rPr>
        <w:rFonts w:hint="default"/>
      </w:rPr>
    </w:lvl>
    <w:lvl w:ilvl="6">
      <w:start w:val="1"/>
      <w:numFmt w:val="bullet"/>
      <w:lvlText w:val="•"/>
      <w:lvlJc w:val="left"/>
      <w:pPr>
        <w:ind w:left="4859" w:hanging="361"/>
      </w:pPr>
      <w:rPr>
        <w:rFonts w:hint="default"/>
      </w:rPr>
    </w:lvl>
    <w:lvl w:ilvl="7">
      <w:start w:val="1"/>
      <w:numFmt w:val="bullet"/>
      <w:lvlText w:val="•"/>
      <w:lvlJc w:val="left"/>
      <w:pPr>
        <w:ind w:left="5538" w:hanging="361"/>
      </w:pPr>
      <w:rPr>
        <w:rFonts w:hint="default"/>
      </w:rPr>
    </w:lvl>
    <w:lvl w:ilvl="8">
      <w:start w:val="1"/>
      <w:numFmt w:val="bullet"/>
      <w:lvlText w:val="•"/>
      <w:lvlJc w:val="left"/>
      <w:pPr>
        <w:ind w:left="6218" w:hanging="361"/>
      </w:pPr>
      <w:rPr>
        <w:rFonts w:hint="default"/>
      </w:rPr>
    </w:lvl>
  </w:abstractNum>
  <w:abstractNum w:abstractNumId="78">
    <w:multiLevelType w:val="hybridMultilevel"/>
    <w:lvl w:ilvl="0">
      <w:start w:val="1"/>
      <w:numFmt w:val="decimal"/>
      <w:lvlText w:val="%1)"/>
      <w:lvlJc w:val="left"/>
      <w:pPr>
        <w:ind w:left="822" w:hanging="360"/>
        <w:jc w:val="right"/>
      </w:pPr>
      <w:rPr>
        <w:rFonts w:hint="default" w:ascii="Arial" w:hAnsi="Arial" w:eastAsia="Arial" w:cs="Arial"/>
        <w:w w:val="99"/>
        <w:sz w:val="24"/>
        <w:szCs w:val="24"/>
      </w:rPr>
    </w:lvl>
    <w:lvl w:ilvl="1">
      <w:start w:val="1"/>
      <w:numFmt w:val="decimal"/>
      <w:lvlText w:val="%2)"/>
      <w:lvlJc w:val="left"/>
      <w:pPr>
        <w:ind w:left="822" w:hanging="360"/>
        <w:jc w:val="right"/>
      </w:pPr>
      <w:rPr>
        <w:rFonts w:hint="default" w:ascii="Arial" w:hAnsi="Arial" w:eastAsia="Arial" w:cs="Arial"/>
        <w:w w:val="99"/>
        <w:sz w:val="24"/>
        <w:szCs w:val="24"/>
      </w:rPr>
    </w:lvl>
    <w:lvl w:ilvl="2">
      <w:start w:val="1"/>
      <w:numFmt w:val="decimal"/>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77">
    <w:multiLevelType w:val="hybridMultilevel"/>
    <w:lvl w:ilvl="0">
      <w:start w:val="1"/>
      <w:numFmt w:val="bullet"/>
      <w:lvlText w:val=""/>
      <w:lvlJc w:val="left"/>
      <w:pPr>
        <w:ind w:left="668" w:hanging="425"/>
      </w:pPr>
      <w:rPr>
        <w:rFonts w:hint="default" w:ascii="Symbol" w:hAnsi="Symbol" w:eastAsia="Symbol" w:cs="Symbol"/>
        <w:w w:val="100"/>
        <w:sz w:val="12"/>
        <w:szCs w:val="12"/>
      </w:rPr>
    </w:lvl>
    <w:lvl w:ilvl="1">
      <w:start w:val="1"/>
      <w:numFmt w:val="bullet"/>
      <w:lvlText w:val="•"/>
      <w:lvlJc w:val="left"/>
      <w:pPr>
        <w:ind w:left="1466" w:hanging="425"/>
      </w:pPr>
      <w:rPr>
        <w:rFonts w:hint="default"/>
      </w:rPr>
    </w:lvl>
    <w:lvl w:ilvl="2">
      <w:start w:val="1"/>
      <w:numFmt w:val="bullet"/>
      <w:lvlText w:val="•"/>
      <w:lvlJc w:val="left"/>
      <w:pPr>
        <w:ind w:left="2273" w:hanging="425"/>
      </w:pPr>
      <w:rPr>
        <w:rFonts w:hint="default"/>
      </w:rPr>
    </w:lvl>
    <w:lvl w:ilvl="3">
      <w:start w:val="1"/>
      <w:numFmt w:val="bullet"/>
      <w:lvlText w:val="•"/>
      <w:lvlJc w:val="left"/>
      <w:pPr>
        <w:ind w:left="3079" w:hanging="425"/>
      </w:pPr>
      <w:rPr>
        <w:rFonts w:hint="default"/>
      </w:rPr>
    </w:lvl>
    <w:lvl w:ilvl="4">
      <w:start w:val="1"/>
      <w:numFmt w:val="bullet"/>
      <w:lvlText w:val="•"/>
      <w:lvlJc w:val="left"/>
      <w:pPr>
        <w:ind w:left="3886" w:hanging="425"/>
      </w:pPr>
      <w:rPr>
        <w:rFonts w:hint="default"/>
      </w:rPr>
    </w:lvl>
    <w:lvl w:ilvl="5">
      <w:start w:val="1"/>
      <w:numFmt w:val="bullet"/>
      <w:lvlText w:val="•"/>
      <w:lvlJc w:val="left"/>
      <w:pPr>
        <w:ind w:left="4693" w:hanging="425"/>
      </w:pPr>
      <w:rPr>
        <w:rFonts w:hint="default"/>
      </w:rPr>
    </w:lvl>
    <w:lvl w:ilvl="6">
      <w:start w:val="1"/>
      <w:numFmt w:val="bullet"/>
      <w:lvlText w:val="•"/>
      <w:lvlJc w:val="left"/>
      <w:pPr>
        <w:ind w:left="5499" w:hanging="425"/>
      </w:pPr>
      <w:rPr>
        <w:rFonts w:hint="default"/>
      </w:rPr>
    </w:lvl>
    <w:lvl w:ilvl="7">
      <w:start w:val="1"/>
      <w:numFmt w:val="bullet"/>
      <w:lvlText w:val="•"/>
      <w:lvlJc w:val="left"/>
      <w:pPr>
        <w:ind w:left="6306" w:hanging="425"/>
      </w:pPr>
      <w:rPr>
        <w:rFonts w:hint="default"/>
      </w:rPr>
    </w:lvl>
    <w:lvl w:ilvl="8">
      <w:start w:val="1"/>
      <w:numFmt w:val="bullet"/>
      <w:lvlText w:val="•"/>
      <w:lvlJc w:val="left"/>
      <w:pPr>
        <w:ind w:left="7113" w:hanging="425"/>
      </w:pPr>
      <w:rPr>
        <w:rFonts w:hint="default"/>
      </w:rPr>
    </w:lvl>
  </w:abstractNum>
  <w:abstractNum w:abstractNumId="76">
    <w:multiLevelType w:val="hybridMultilevel"/>
    <w:lvl w:ilvl="0">
      <w:start w:val="1"/>
      <w:numFmt w:val="decimal"/>
      <w:lvlText w:val="%1"/>
      <w:lvlJc w:val="left"/>
      <w:pPr>
        <w:ind w:left="197" w:hanging="101"/>
        <w:jc w:val="left"/>
      </w:pPr>
      <w:rPr>
        <w:rFonts w:hint="default" w:ascii="Arial" w:hAnsi="Arial" w:eastAsia="Arial" w:cs="Arial"/>
        <w:w w:val="79"/>
        <w:sz w:val="15"/>
        <w:szCs w:val="15"/>
      </w:rPr>
    </w:lvl>
    <w:lvl w:ilvl="1">
      <w:start w:val="1"/>
      <w:numFmt w:val="bullet"/>
      <w:lvlText w:val="•"/>
      <w:lvlJc w:val="left"/>
      <w:pPr>
        <w:ind w:left="415" w:hanging="101"/>
      </w:pPr>
      <w:rPr>
        <w:rFonts w:hint="default"/>
      </w:rPr>
    </w:lvl>
    <w:lvl w:ilvl="2">
      <w:start w:val="1"/>
      <w:numFmt w:val="bullet"/>
      <w:lvlText w:val="•"/>
      <w:lvlJc w:val="left"/>
      <w:pPr>
        <w:ind w:left="631" w:hanging="101"/>
      </w:pPr>
      <w:rPr>
        <w:rFonts w:hint="default"/>
      </w:rPr>
    </w:lvl>
    <w:lvl w:ilvl="3">
      <w:start w:val="1"/>
      <w:numFmt w:val="bullet"/>
      <w:lvlText w:val="•"/>
      <w:lvlJc w:val="left"/>
      <w:pPr>
        <w:ind w:left="847" w:hanging="101"/>
      </w:pPr>
      <w:rPr>
        <w:rFonts w:hint="default"/>
      </w:rPr>
    </w:lvl>
    <w:lvl w:ilvl="4">
      <w:start w:val="1"/>
      <w:numFmt w:val="bullet"/>
      <w:lvlText w:val="•"/>
      <w:lvlJc w:val="left"/>
      <w:pPr>
        <w:ind w:left="1063" w:hanging="101"/>
      </w:pPr>
      <w:rPr>
        <w:rFonts w:hint="default"/>
      </w:rPr>
    </w:lvl>
    <w:lvl w:ilvl="5">
      <w:start w:val="1"/>
      <w:numFmt w:val="bullet"/>
      <w:lvlText w:val="•"/>
      <w:lvlJc w:val="left"/>
      <w:pPr>
        <w:ind w:left="1278" w:hanging="101"/>
      </w:pPr>
      <w:rPr>
        <w:rFonts w:hint="default"/>
      </w:rPr>
    </w:lvl>
    <w:lvl w:ilvl="6">
      <w:start w:val="1"/>
      <w:numFmt w:val="bullet"/>
      <w:lvlText w:val="•"/>
      <w:lvlJc w:val="left"/>
      <w:pPr>
        <w:ind w:left="1494" w:hanging="101"/>
      </w:pPr>
      <w:rPr>
        <w:rFonts w:hint="default"/>
      </w:rPr>
    </w:lvl>
    <w:lvl w:ilvl="7">
      <w:start w:val="1"/>
      <w:numFmt w:val="bullet"/>
      <w:lvlText w:val="•"/>
      <w:lvlJc w:val="left"/>
      <w:pPr>
        <w:ind w:left="1710" w:hanging="101"/>
      </w:pPr>
      <w:rPr>
        <w:rFonts w:hint="default"/>
      </w:rPr>
    </w:lvl>
    <w:lvl w:ilvl="8">
      <w:start w:val="1"/>
      <w:numFmt w:val="bullet"/>
      <w:lvlText w:val="•"/>
      <w:lvlJc w:val="left"/>
      <w:pPr>
        <w:ind w:left="1926" w:hanging="101"/>
      </w:pPr>
      <w:rPr>
        <w:rFonts w:hint="default"/>
      </w:rPr>
    </w:lvl>
  </w:abstractNum>
  <w:abstractNum w:abstractNumId="74">
    <w:multiLevelType w:val="hybridMultilevel"/>
    <w:lvl w:ilvl="0">
      <w:start w:val="1"/>
      <w:numFmt w:val="decimal"/>
      <w:lvlText w:val="%1"/>
      <w:lvlJc w:val="left"/>
      <w:pPr>
        <w:ind w:left="194" w:hanging="101"/>
        <w:jc w:val="left"/>
      </w:pPr>
      <w:rPr>
        <w:rFonts w:hint="default" w:ascii="Arial" w:hAnsi="Arial" w:eastAsia="Arial" w:cs="Arial"/>
        <w:w w:val="79"/>
        <w:sz w:val="15"/>
        <w:szCs w:val="15"/>
      </w:rPr>
    </w:lvl>
    <w:lvl w:ilvl="1">
      <w:start w:val="1"/>
      <w:numFmt w:val="bullet"/>
      <w:lvlText w:val="•"/>
      <w:lvlJc w:val="left"/>
      <w:pPr>
        <w:ind w:left="408" w:hanging="101"/>
      </w:pPr>
      <w:rPr>
        <w:rFonts w:hint="default"/>
      </w:rPr>
    </w:lvl>
    <w:lvl w:ilvl="2">
      <w:start w:val="1"/>
      <w:numFmt w:val="bullet"/>
      <w:lvlText w:val="•"/>
      <w:lvlJc w:val="left"/>
      <w:pPr>
        <w:ind w:left="617" w:hanging="101"/>
      </w:pPr>
      <w:rPr>
        <w:rFonts w:hint="default"/>
      </w:rPr>
    </w:lvl>
    <w:lvl w:ilvl="3">
      <w:start w:val="1"/>
      <w:numFmt w:val="bullet"/>
      <w:lvlText w:val="•"/>
      <w:lvlJc w:val="left"/>
      <w:pPr>
        <w:ind w:left="826" w:hanging="101"/>
      </w:pPr>
      <w:rPr>
        <w:rFonts w:hint="default"/>
      </w:rPr>
    </w:lvl>
    <w:lvl w:ilvl="4">
      <w:start w:val="1"/>
      <w:numFmt w:val="bullet"/>
      <w:lvlText w:val="•"/>
      <w:lvlJc w:val="left"/>
      <w:pPr>
        <w:ind w:left="1035" w:hanging="101"/>
      </w:pPr>
      <w:rPr>
        <w:rFonts w:hint="default"/>
      </w:rPr>
    </w:lvl>
    <w:lvl w:ilvl="5">
      <w:start w:val="1"/>
      <w:numFmt w:val="bullet"/>
      <w:lvlText w:val="•"/>
      <w:lvlJc w:val="left"/>
      <w:pPr>
        <w:ind w:left="1244" w:hanging="101"/>
      </w:pPr>
      <w:rPr>
        <w:rFonts w:hint="default"/>
      </w:rPr>
    </w:lvl>
    <w:lvl w:ilvl="6">
      <w:start w:val="1"/>
      <w:numFmt w:val="bullet"/>
      <w:lvlText w:val="•"/>
      <w:lvlJc w:val="left"/>
      <w:pPr>
        <w:ind w:left="1453" w:hanging="101"/>
      </w:pPr>
      <w:rPr>
        <w:rFonts w:hint="default"/>
      </w:rPr>
    </w:lvl>
    <w:lvl w:ilvl="7">
      <w:start w:val="1"/>
      <w:numFmt w:val="bullet"/>
      <w:lvlText w:val="•"/>
      <w:lvlJc w:val="left"/>
      <w:pPr>
        <w:ind w:left="1662" w:hanging="101"/>
      </w:pPr>
      <w:rPr>
        <w:rFonts w:hint="default"/>
      </w:rPr>
    </w:lvl>
    <w:lvl w:ilvl="8">
      <w:start w:val="1"/>
      <w:numFmt w:val="bullet"/>
      <w:lvlText w:val="•"/>
      <w:lvlJc w:val="left"/>
      <w:pPr>
        <w:ind w:left="1871" w:hanging="101"/>
      </w:pPr>
      <w:rPr>
        <w:rFonts w:hint="default"/>
      </w:rPr>
    </w:lvl>
  </w:abstractNum>
  <w:abstractNum w:abstractNumId="75">
    <w:multiLevelType w:val="hybridMultilevel"/>
    <w:lvl w:ilvl="0">
      <w:start w:val="3"/>
      <w:numFmt w:val="decimal"/>
      <w:lvlText w:val="%1"/>
      <w:lvlJc w:val="left"/>
      <w:pPr>
        <w:ind w:left="3041" w:hanging="101"/>
        <w:jc w:val="left"/>
      </w:pPr>
      <w:rPr>
        <w:rFonts w:hint="default" w:ascii="Arial" w:hAnsi="Arial" w:eastAsia="Arial" w:cs="Arial"/>
        <w:w w:val="79"/>
        <w:sz w:val="15"/>
        <w:szCs w:val="15"/>
      </w:rPr>
    </w:lvl>
    <w:lvl w:ilvl="1">
      <w:start w:val="1"/>
      <w:numFmt w:val="bullet"/>
      <w:lvlText w:val="•"/>
      <w:lvlJc w:val="left"/>
      <w:pPr>
        <w:ind w:left="3217" w:hanging="101"/>
      </w:pPr>
      <w:rPr>
        <w:rFonts w:hint="default"/>
      </w:rPr>
    </w:lvl>
    <w:lvl w:ilvl="2">
      <w:start w:val="1"/>
      <w:numFmt w:val="bullet"/>
      <w:lvlText w:val="•"/>
      <w:lvlJc w:val="left"/>
      <w:pPr>
        <w:ind w:left="3394" w:hanging="101"/>
      </w:pPr>
      <w:rPr>
        <w:rFonts w:hint="default"/>
      </w:rPr>
    </w:lvl>
    <w:lvl w:ilvl="3">
      <w:start w:val="1"/>
      <w:numFmt w:val="bullet"/>
      <w:lvlText w:val="•"/>
      <w:lvlJc w:val="left"/>
      <w:pPr>
        <w:ind w:left="3571" w:hanging="101"/>
      </w:pPr>
      <w:rPr>
        <w:rFonts w:hint="default"/>
      </w:rPr>
    </w:lvl>
    <w:lvl w:ilvl="4">
      <w:start w:val="1"/>
      <w:numFmt w:val="bullet"/>
      <w:lvlText w:val="•"/>
      <w:lvlJc w:val="left"/>
      <w:pPr>
        <w:ind w:left="3748" w:hanging="101"/>
      </w:pPr>
      <w:rPr>
        <w:rFonts w:hint="default"/>
      </w:rPr>
    </w:lvl>
    <w:lvl w:ilvl="5">
      <w:start w:val="1"/>
      <w:numFmt w:val="bullet"/>
      <w:lvlText w:val="•"/>
      <w:lvlJc w:val="left"/>
      <w:pPr>
        <w:ind w:left="3925" w:hanging="101"/>
      </w:pPr>
      <w:rPr>
        <w:rFonts w:hint="default"/>
      </w:rPr>
    </w:lvl>
    <w:lvl w:ilvl="6">
      <w:start w:val="1"/>
      <w:numFmt w:val="bullet"/>
      <w:lvlText w:val="•"/>
      <w:lvlJc w:val="left"/>
      <w:pPr>
        <w:ind w:left="4102" w:hanging="101"/>
      </w:pPr>
      <w:rPr>
        <w:rFonts w:hint="default"/>
      </w:rPr>
    </w:lvl>
    <w:lvl w:ilvl="7">
      <w:start w:val="1"/>
      <w:numFmt w:val="bullet"/>
      <w:lvlText w:val="•"/>
      <w:lvlJc w:val="left"/>
      <w:pPr>
        <w:ind w:left="4279" w:hanging="101"/>
      </w:pPr>
      <w:rPr>
        <w:rFonts w:hint="default"/>
      </w:rPr>
    </w:lvl>
    <w:lvl w:ilvl="8">
      <w:start w:val="1"/>
      <w:numFmt w:val="bullet"/>
      <w:lvlText w:val="•"/>
      <w:lvlJc w:val="left"/>
      <w:pPr>
        <w:ind w:left="4456" w:hanging="101"/>
      </w:pPr>
      <w:rPr>
        <w:rFonts w:hint="default"/>
      </w:rPr>
    </w:lvl>
  </w:abstractNum>
  <w:abstractNum w:abstractNumId="72">
    <w:multiLevelType w:val="hybridMultilevel"/>
    <w:lvl w:ilvl="0">
      <w:start w:val="2"/>
      <w:numFmt w:val="decimal"/>
      <w:lvlText w:val="%1)"/>
      <w:lvlJc w:val="left"/>
      <w:pPr>
        <w:ind w:left="278" w:hanging="214"/>
        <w:jc w:val="left"/>
      </w:pPr>
      <w:rPr>
        <w:rFonts w:hint="default" w:ascii="Arial" w:hAnsi="Arial" w:eastAsia="Arial" w:cs="Arial"/>
        <w:spacing w:val="-1"/>
        <w:w w:val="99"/>
        <w:sz w:val="14"/>
        <w:szCs w:val="14"/>
      </w:rPr>
    </w:lvl>
    <w:lvl w:ilvl="1">
      <w:start w:val="1"/>
      <w:numFmt w:val="bullet"/>
      <w:lvlText w:val="•"/>
      <w:lvlJc w:val="left"/>
      <w:pPr>
        <w:ind w:left="703" w:hanging="214"/>
      </w:pPr>
      <w:rPr>
        <w:rFonts w:hint="default"/>
      </w:rPr>
    </w:lvl>
    <w:lvl w:ilvl="2">
      <w:start w:val="1"/>
      <w:numFmt w:val="bullet"/>
      <w:lvlText w:val="•"/>
      <w:lvlJc w:val="left"/>
      <w:pPr>
        <w:ind w:left="1127" w:hanging="214"/>
      </w:pPr>
      <w:rPr>
        <w:rFonts w:hint="default"/>
      </w:rPr>
    </w:lvl>
    <w:lvl w:ilvl="3">
      <w:start w:val="1"/>
      <w:numFmt w:val="bullet"/>
      <w:lvlText w:val="•"/>
      <w:lvlJc w:val="left"/>
      <w:pPr>
        <w:ind w:left="1551" w:hanging="214"/>
      </w:pPr>
      <w:rPr>
        <w:rFonts w:hint="default"/>
      </w:rPr>
    </w:lvl>
    <w:lvl w:ilvl="4">
      <w:start w:val="1"/>
      <w:numFmt w:val="bullet"/>
      <w:lvlText w:val="•"/>
      <w:lvlJc w:val="left"/>
      <w:pPr>
        <w:ind w:left="1975" w:hanging="214"/>
      </w:pPr>
      <w:rPr>
        <w:rFonts w:hint="default"/>
      </w:rPr>
    </w:lvl>
    <w:lvl w:ilvl="5">
      <w:start w:val="1"/>
      <w:numFmt w:val="bullet"/>
      <w:lvlText w:val="•"/>
      <w:lvlJc w:val="left"/>
      <w:pPr>
        <w:ind w:left="2398" w:hanging="214"/>
      </w:pPr>
      <w:rPr>
        <w:rFonts w:hint="default"/>
      </w:rPr>
    </w:lvl>
    <w:lvl w:ilvl="6">
      <w:start w:val="1"/>
      <w:numFmt w:val="bullet"/>
      <w:lvlText w:val="•"/>
      <w:lvlJc w:val="left"/>
      <w:pPr>
        <w:ind w:left="2822" w:hanging="214"/>
      </w:pPr>
      <w:rPr>
        <w:rFonts w:hint="default"/>
      </w:rPr>
    </w:lvl>
    <w:lvl w:ilvl="7">
      <w:start w:val="1"/>
      <w:numFmt w:val="bullet"/>
      <w:lvlText w:val="•"/>
      <w:lvlJc w:val="left"/>
      <w:pPr>
        <w:ind w:left="3246" w:hanging="214"/>
      </w:pPr>
      <w:rPr>
        <w:rFonts w:hint="default"/>
      </w:rPr>
    </w:lvl>
    <w:lvl w:ilvl="8">
      <w:start w:val="1"/>
      <w:numFmt w:val="bullet"/>
      <w:lvlText w:val="•"/>
      <w:lvlJc w:val="left"/>
      <w:pPr>
        <w:ind w:left="3670" w:hanging="214"/>
      </w:pPr>
      <w:rPr>
        <w:rFonts w:hint="default"/>
      </w:rPr>
    </w:lvl>
  </w:abstractNum>
  <w:abstractNum w:abstractNumId="71">
    <w:multiLevelType w:val="hybridMultilevel"/>
    <w:lvl w:ilvl="0">
      <w:start w:val="1"/>
      <w:numFmt w:val="decimal"/>
      <w:lvlText w:val="%1)"/>
      <w:lvlJc w:val="left"/>
      <w:pPr>
        <w:ind w:left="278" w:hanging="162"/>
        <w:jc w:val="left"/>
      </w:pPr>
      <w:rPr>
        <w:rFonts w:hint="default" w:ascii="Arial" w:hAnsi="Arial" w:eastAsia="Arial" w:cs="Arial"/>
        <w:spacing w:val="-1"/>
        <w:w w:val="99"/>
        <w:sz w:val="14"/>
        <w:szCs w:val="14"/>
      </w:rPr>
    </w:lvl>
    <w:lvl w:ilvl="1">
      <w:start w:val="1"/>
      <w:numFmt w:val="bullet"/>
      <w:lvlText w:val="•"/>
      <w:lvlJc w:val="left"/>
      <w:pPr>
        <w:ind w:left="703" w:hanging="162"/>
      </w:pPr>
      <w:rPr>
        <w:rFonts w:hint="default"/>
      </w:rPr>
    </w:lvl>
    <w:lvl w:ilvl="2">
      <w:start w:val="1"/>
      <w:numFmt w:val="bullet"/>
      <w:lvlText w:val="•"/>
      <w:lvlJc w:val="left"/>
      <w:pPr>
        <w:ind w:left="1127" w:hanging="162"/>
      </w:pPr>
      <w:rPr>
        <w:rFonts w:hint="default"/>
      </w:rPr>
    </w:lvl>
    <w:lvl w:ilvl="3">
      <w:start w:val="1"/>
      <w:numFmt w:val="bullet"/>
      <w:lvlText w:val="•"/>
      <w:lvlJc w:val="left"/>
      <w:pPr>
        <w:ind w:left="1551" w:hanging="162"/>
      </w:pPr>
      <w:rPr>
        <w:rFonts w:hint="default"/>
      </w:rPr>
    </w:lvl>
    <w:lvl w:ilvl="4">
      <w:start w:val="1"/>
      <w:numFmt w:val="bullet"/>
      <w:lvlText w:val="•"/>
      <w:lvlJc w:val="left"/>
      <w:pPr>
        <w:ind w:left="1975" w:hanging="162"/>
      </w:pPr>
      <w:rPr>
        <w:rFonts w:hint="default"/>
      </w:rPr>
    </w:lvl>
    <w:lvl w:ilvl="5">
      <w:start w:val="1"/>
      <w:numFmt w:val="bullet"/>
      <w:lvlText w:val="•"/>
      <w:lvlJc w:val="left"/>
      <w:pPr>
        <w:ind w:left="2398" w:hanging="162"/>
      </w:pPr>
      <w:rPr>
        <w:rFonts w:hint="default"/>
      </w:rPr>
    </w:lvl>
    <w:lvl w:ilvl="6">
      <w:start w:val="1"/>
      <w:numFmt w:val="bullet"/>
      <w:lvlText w:val="•"/>
      <w:lvlJc w:val="left"/>
      <w:pPr>
        <w:ind w:left="2822" w:hanging="162"/>
      </w:pPr>
      <w:rPr>
        <w:rFonts w:hint="default"/>
      </w:rPr>
    </w:lvl>
    <w:lvl w:ilvl="7">
      <w:start w:val="1"/>
      <w:numFmt w:val="bullet"/>
      <w:lvlText w:val="•"/>
      <w:lvlJc w:val="left"/>
      <w:pPr>
        <w:ind w:left="3246" w:hanging="162"/>
      </w:pPr>
      <w:rPr>
        <w:rFonts w:hint="default"/>
      </w:rPr>
    </w:lvl>
    <w:lvl w:ilvl="8">
      <w:start w:val="1"/>
      <w:numFmt w:val="bullet"/>
      <w:lvlText w:val="•"/>
      <w:lvlJc w:val="left"/>
      <w:pPr>
        <w:ind w:left="3670" w:hanging="162"/>
      </w:pPr>
      <w:rPr>
        <w:rFonts w:hint="default"/>
      </w:rPr>
    </w:lvl>
  </w:abstractNum>
  <w:abstractNum w:abstractNumId="70">
    <w:multiLevelType w:val="hybridMultilevel"/>
    <w:lvl w:ilvl="0">
      <w:start w:val="1"/>
      <w:numFmt w:val="decimal"/>
      <w:lvlText w:val="%1)"/>
      <w:lvlJc w:val="left"/>
      <w:pPr>
        <w:ind w:left="319" w:hanging="226"/>
        <w:jc w:val="right"/>
      </w:pPr>
      <w:rPr>
        <w:rFonts w:hint="default" w:ascii="Arial" w:hAnsi="Arial" w:eastAsia="Arial" w:cs="Arial"/>
        <w:spacing w:val="-1"/>
        <w:w w:val="99"/>
        <w:sz w:val="14"/>
        <w:szCs w:val="14"/>
      </w:rPr>
    </w:lvl>
    <w:lvl w:ilvl="1">
      <w:start w:val="1"/>
      <w:numFmt w:val="bullet"/>
      <w:lvlText w:val="•"/>
      <w:lvlJc w:val="left"/>
      <w:pPr>
        <w:ind w:left="584" w:hanging="226"/>
      </w:pPr>
      <w:rPr>
        <w:rFonts w:hint="default"/>
      </w:rPr>
    </w:lvl>
    <w:lvl w:ilvl="2">
      <w:start w:val="1"/>
      <w:numFmt w:val="bullet"/>
      <w:lvlText w:val="•"/>
      <w:lvlJc w:val="left"/>
      <w:pPr>
        <w:ind w:left="849" w:hanging="226"/>
      </w:pPr>
      <w:rPr>
        <w:rFonts w:hint="default"/>
      </w:rPr>
    </w:lvl>
    <w:lvl w:ilvl="3">
      <w:start w:val="1"/>
      <w:numFmt w:val="bullet"/>
      <w:lvlText w:val="•"/>
      <w:lvlJc w:val="left"/>
      <w:pPr>
        <w:ind w:left="1114" w:hanging="226"/>
      </w:pPr>
      <w:rPr>
        <w:rFonts w:hint="default"/>
      </w:rPr>
    </w:lvl>
    <w:lvl w:ilvl="4">
      <w:start w:val="1"/>
      <w:numFmt w:val="bullet"/>
      <w:lvlText w:val="•"/>
      <w:lvlJc w:val="left"/>
      <w:pPr>
        <w:ind w:left="1378" w:hanging="226"/>
      </w:pPr>
      <w:rPr>
        <w:rFonts w:hint="default"/>
      </w:rPr>
    </w:lvl>
    <w:lvl w:ilvl="5">
      <w:start w:val="1"/>
      <w:numFmt w:val="bullet"/>
      <w:lvlText w:val="•"/>
      <w:lvlJc w:val="left"/>
      <w:pPr>
        <w:ind w:left="1643" w:hanging="226"/>
      </w:pPr>
      <w:rPr>
        <w:rFonts w:hint="default"/>
      </w:rPr>
    </w:lvl>
    <w:lvl w:ilvl="6">
      <w:start w:val="1"/>
      <w:numFmt w:val="bullet"/>
      <w:lvlText w:val="•"/>
      <w:lvlJc w:val="left"/>
      <w:pPr>
        <w:ind w:left="1908" w:hanging="226"/>
      </w:pPr>
      <w:rPr>
        <w:rFonts w:hint="default"/>
      </w:rPr>
    </w:lvl>
    <w:lvl w:ilvl="7">
      <w:start w:val="1"/>
      <w:numFmt w:val="bullet"/>
      <w:lvlText w:val="•"/>
      <w:lvlJc w:val="left"/>
      <w:pPr>
        <w:ind w:left="2172" w:hanging="226"/>
      </w:pPr>
      <w:rPr>
        <w:rFonts w:hint="default"/>
      </w:rPr>
    </w:lvl>
    <w:lvl w:ilvl="8">
      <w:start w:val="1"/>
      <w:numFmt w:val="bullet"/>
      <w:lvlText w:val="•"/>
      <w:lvlJc w:val="left"/>
      <w:pPr>
        <w:ind w:left="2437" w:hanging="226"/>
      </w:pPr>
      <w:rPr>
        <w:rFonts w:hint="default"/>
      </w:rPr>
    </w:lvl>
  </w:abstractNum>
  <w:abstractNum w:abstractNumId="69">
    <w:multiLevelType w:val="hybridMultilevel"/>
    <w:lvl w:ilvl="0">
      <w:start w:val="1"/>
      <w:numFmt w:val="upperLetter"/>
      <w:lvlText w:val="%1"/>
      <w:lvlJc w:val="left"/>
      <w:pPr>
        <w:ind w:left="122" w:hanging="353"/>
        <w:jc w:val="left"/>
      </w:pPr>
      <w:rPr>
        <w:rFonts w:hint="default"/>
      </w:rPr>
    </w:lvl>
    <w:lvl w:ilvl="1">
      <w:start w:val="3"/>
      <w:numFmt w:val="upperLetter"/>
      <w:lvlText w:val="%1.%2."/>
      <w:lvlJc w:val="left"/>
      <w:pPr>
        <w:ind w:left="122" w:hanging="353"/>
        <w:jc w:val="left"/>
      </w:pPr>
      <w:rPr>
        <w:rFonts w:hint="default" w:ascii="Arial" w:hAnsi="Arial" w:eastAsia="Arial" w:cs="Arial"/>
        <w:spacing w:val="-1"/>
        <w:w w:val="100"/>
        <w:sz w:val="16"/>
        <w:szCs w:val="16"/>
      </w:rPr>
    </w:lvl>
    <w:lvl w:ilvl="2">
      <w:start w:val="1"/>
      <w:numFmt w:val="decimal"/>
      <w:lvlText w:val="%3)"/>
      <w:lvlJc w:val="left"/>
      <w:pPr>
        <w:ind w:left="862" w:hanging="360"/>
        <w:jc w:val="left"/>
      </w:pPr>
      <w:rPr>
        <w:rFonts w:hint="default" w:ascii="Arial" w:hAnsi="Arial" w:eastAsia="Arial" w:cs="Arial"/>
        <w:w w:val="99"/>
        <w:sz w:val="24"/>
        <w:szCs w:val="24"/>
      </w:rPr>
    </w:lvl>
    <w:lvl w:ilvl="3">
      <w:start w:val="1"/>
      <w:numFmt w:val="bullet"/>
      <w:lvlText w:val="•"/>
      <w:lvlJc w:val="left"/>
      <w:pPr>
        <w:ind w:left="1845" w:hanging="360"/>
      </w:pPr>
      <w:rPr>
        <w:rFonts w:hint="default"/>
      </w:rPr>
    </w:lvl>
    <w:lvl w:ilvl="4">
      <w:start w:val="1"/>
      <w:numFmt w:val="bullet"/>
      <w:lvlText w:val="•"/>
      <w:lvlJc w:val="left"/>
      <w:pPr>
        <w:ind w:left="2831" w:hanging="360"/>
      </w:pPr>
      <w:rPr>
        <w:rFonts w:hint="default"/>
      </w:rPr>
    </w:lvl>
    <w:lvl w:ilvl="5">
      <w:start w:val="1"/>
      <w:numFmt w:val="bullet"/>
      <w:lvlText w:val="•"/>
      <w:lvlJc w:val="left"/>
      <w:pPr>
        <w:ind w:left="3817" w:hanging="360"/>
      </w:pPr>
      <w:rPr>
        <w:rFonts w:hint="default"/>
      </w:rPr>
    </w:lvl>
    <w:lvl w:ilvl="6">
      <w:start w:val="1"/>
      <w:numFmt w:val="bullet"/>
      <w:lvlText w:val="•"/>
      <w:lvlJc w:val="left"/>
      <w:pPr>
        <w:ind w:left="4803" w:hanging="360"/>
      </w:pPr>
      <w:rPr>
        <w:rFonts w:hint="default"/>
      </w:rPr>
    </w:lvl>
    <w:lvl w:ilvl="7">
      <w:start w:val="1"/>
      <w:numFmt w:val="bullet"/>
      <w:lvlText w:val="•"/>
      <w:lvlJc w:val="left"/>
      <w:pPr>
        <w:ind w:left="5789" w:hanging="360"/>
      </w:pPr>
      <w:rPr>
        <w:rFonts w:hint="default"/>
      </w:rPr>
    </w:lvl>
    <w:lvl w:ilvl="8">
      <w:start w:val="1"/>
      <w:numFmt w:val="bullet"/>
      <w:lvlText w:val="•"/>
      <w:lvlJc w:val="left"/>
      <w:pPr>
        <w:ind w:left="6774" w:hanging="360"/>
      </w:pPr>
      <w:rPr>
        <w:rFonts w:hint="default"/>
      </w:rPr>
    </w:lvl>
  </w:abstractNum>
  <w:abstractNum w:abstractNumId="68">
    <w:multiLevelType w:val="hybridMultilevel"/>
    <w:lvl w:ilvl="0">
      <w:start w:val="4"/>
      <w:numFmt w:val="decimal"/>
      <w:lvlText w:val="%1"/>
      <w:lvlJc w:val="left"/>
      <w:pPr>
        <w:ind w:left="554" w:hanging="433"/>
        <w:jc w:val="left"/>
      </w:pPr>
      <w:rPr>
        <w:rFonts w:hint="default"/>
      </w:rPr>
    </w:lvl>
    <w:lvl w:ilvl="1">
      <w:start w:val="1"/>
      <w:numFmt w:val="decimal"/>
      <w:lvlText w:val="%1.%2"/>
      <w:lvlJc w:val="left"/>
      <w:pPr>
        <w:ind w:left="554" w:hanging="433"/>
        <w:jc w:val="left"/>
      </w:pPr>
      <w:rPr>
        <w:rFonts w:hint="default" w:ascii="Arial" w:hAnsi="Arial" w:eastAsia="Arial" w:cs="Arial"/>
        <w:b/>
        <w:bCs/>
        <w:spacing w:val="-1"/>
        <w:w w:val="99"/>
        <w:sz w:val="26"/>
        <w:szCs w:val="26"/>
      </w:rPr>
    </w:lvl>
    <w:lvl w:ilvl="2">
      <w:start w:val="1"/>
      <w:numFmt w:val="decimal"/>
      <w:lvlText w:val="%1.%2.%3"/>
      <w:lvlJc w:val="left"/>
      <w:pPr>
        <w:ind w:left="723" w:hanging="602"/>
        <w:jc w:val="left"/>
      </w:pPr>
      <w:rPr>
        <w:rFonts w:hint="default" w:ascii="Arial" w:hAnsi="Arial" w:eastAsia="Arial" w:cs="Arial"/>
        <w:b/>
        <w:bCs/>
        <w:spacing w:val="-2"/>
        <w:w w:val="99"/>
        <w:sz w:val="24"/>
        <w:szCs w:val="24"/>
      </w:rPr>
    </w:lvl>
    <w:lvl w:ilvl="3">
      <w:start w:val="1"/>
      <w:numFmt w:val="decimal"/>
      <w:lvlText w:val="%4)"/>
      <w:lvlJc w:val="left"/>
      <w:pPr>
        <w:ind w:left="909" w:hanging="360"/>
        <w:jc w:val="left"/>
      </w:pPr>
      <w:rPr>
        <w:rFonts w:hint="default" w:ascii="Arial" w:hAnsi="Arial" w:eastAsia="Arial" w:cs="Arial"/>
        <w:w w:val="99"/>
        <w:sz w:val="24"/>
        <w:szCs w:val="24"/>
      </w:rPr>
    </w:lvl>
    <w:lvl w:ilvl="4">
      <w:start w:val="1"/>
      <w:numFmt w:val="decimal"/>
      <w:lvlText w:val="%5"/>
      <w:lvlJc w:val="left"/>
      <w:pPr>
        <w:ind w:left="978" w:hanging="101"/>
        <w:jc w:val="left"/>
      </w:pPr>
      <w:rPr>
        <w:rFonts w:hint="default" w:ascii="Arial" w:hAnsi="Arial" w:eastAsia="Arial" w:cs="Arial"/>
        <w:w w:val="79"/>
        <w:sz w:val="15"/>
        <w:szCs w:val="15"/>
      </w:rPr>
    </w:lvl>
    <w:lvl w:ilvl="5">
      <w:start w:val="1"/>
      <w:numFmt w:val="bullet"/>
      <w:lvlText w:val="•"/>
      <w:lvlJc w:val="left"/>
      <w:pPr>
        <w:ind w:left="2526" w:hanging="101"/>
      </w:pPr>
      <w:rPr>
        <w:rFonts w:hint="default"/>
      </w:rPr>
    </w:lvl>
    <w:lvl w:ilvl="6">
      <w:start w:val="1"/>
      <w:numFmt w:val="bullet"/>
      <w:lvlText w:val="•"/>
      <w:lvlJc w:val="left"/>
      <w:pPr>
        <w:ind w:left="2013" w:hanging="101"/>
      </w:pPr>
      <w:rPr>
        <w:rFonts w:hint="default"/>
      </w:rPr>
    </w:lvl>
    <w:lvl w:ilvl="7">
      <w:start w:val="1"/>
      <w:numFmt w:val="bullet"/>
      <w:lvlText w:val="•"/>
      <w:lvlJc w:val="left"/>
      <w:pPr>
        <w:ind w:left="1500" w:hanging="101"/>
      </w:pPr>
      <w:rPr>
        <w:rFonts w:hint="default"/>
      </w:rPr>
    </w:lvl>
    <w:lvl w:ilvl="8">
      <w:start w:val="1"/>
      <w:numFmt w:val="bullet"/>
      <w:lvlText w:val="•"/>
      <w:lvlJc w:val="left"/>
      <w:pPr>
        <w:ind w:left="986" w:hanging="101"/>
      </w:pPr>
      <w:rPr>
        <w:rFonts w:hint="default"/>
      </w:rPr>
    </w:lvl>
  </w:abstractNum>
  <w:abstractNum w:abstractNumId="67">
    <w:multiLevelType w:val="hybridMultilevel"/>
    <w:lvl w:ilvl="0">
      <w:start w:val="1"/>
      <w:numFmt w:val="decimal"/>
      <w:lvlText w:val="%1)"/>
      <w:lvlJc w:val="left"/>
      <w:pPr>
        <w:ind w:left="405" w:hanging="284"/>
        <w:jc w:val="left"/>
      </w:pPr>
      <w:rPr>
        <w:rFonts w:hint="default" w:ascii="Arial" w:hAnsi="Arial" w:eastAsia="Arial" w:cs="Arial"/>
        <w:w w:val="99"/>
        <w:sz w:val="24"/>
        <w:szCs w:val="24"/>
      </w:rPr>
    </w:lvl>
    <w:lvl w:ilvl="1">
      <w:start w:val="1"/>
      <w:numFmt w:val="decimal"/>
      <w:lvlText w:val="%2)"/>
      <w:lvlJc w:val="left"/>
      <w:pPr>
        <w:ind w:left="822" w:hanging="360"/>
        <w:jc w:val="left"/>
      </w:pPr>
      <w:rPr>
        <w:rFonts w:hint="default" w:ascii="Arial" w:hAnsi="Arial" w:eastAsia="Arial" w:cs="Arial"/>
        <w:w w:val="99"/>
        <w:sz w:val="24"/>
        <w:szCs w:val="24"/>
      </w:rPr>
    </w:lvl>
    <w:lvl w:ilvl="2">
      <w:start w:val="1"/>
      <w:numFmt w:val="lowerLetter"/>
      <w:lvlText w:val="%3)"/>
      <w:lvlJc w:val="left"/>
      <w:pPr>
        <w:ind w:left="842" w:hanging="360"/>
        <w:jc w:val="left"/>
      </w:pPr>
      <w:rPr>
        <w:rFonts w:hint="default" w:ascii="Arial" w:hAnsi="Arial" w:eastAsia="Arial" w:cs="Arial"/>
        <w:w w:val="99"/>
        <w:sz w:val="24"/>
        <w:szCs w:val="24"/>
      </w:rPr>
    </w:lvl>
    <w:lvl w:ilvl="3">
      <w:start w:val="1"/>
      <w:numFmt w:val="bullet"/>
      <w:lvlText w:val="•"/>
      <w:lvlJc w:val="left"/>
      <w:pPr>
        <w:ind w:left="1825" w:hanging="360"/>
      </w:pPr>
      <w:rPr>
        <w:rFonts w:hint="default"/>
      </w:rPr>
    </w:lvl>
    <w:lvl w:ilvl="4">
      <w:start w:val="1"/>
      <w:numFmt w:val="bullet"/>
      <w:lvlText w:val="•"/>
      <w:lvlJc w:val="left"/>
      <w:pPr>
        <w:ind w:left="2811" w:hanging="360"/>
      </w:pPr>
      <w:rPr>
        <w:rFonts w:hint="default"/>
      </w:rPr>
    </w:lvl>
    <w:lvl w:ilvl="5">
      <w:start w:val="1"/>
      <w:numFmt w:val="bullet"/>
      <w:lvlText w:val="•"/>
      <w:lvlJc w:val="left"/>
      <w:pPr>
        <w:ind w:left="3797" w:hanging="360"/>
      </w:pPr>
      <w:rPr>
        <w:rFonts w:hint="default"/>
      </w:rPr>
    </w:lvl>
    <w:lvl w:ilvl="6">
      <w:start w:val="1"/>
      <w:numFmt w:val="bullet"/>
      <w:lvlText w:val="•"/>
      <w:lvlJc w:val="left"/>
      <w:pPr>
        <w:ind w:left="4783" w:hanging="360"/>
      </w:pPr>
      <w:rPr>
        <w:rFonts w:hint="default"/>
      </w:rPr>
    </w:lvl>
    <w:lvl w:ilvl="7">
      <w:start w:val="1"/>
      <w:numFmt w:val="bullet"/>
      <w:lvlText w:val="•"/>
      <w:lvlJc w:val="left"/>
      <w:pPr>
        <w:ind w:left="5769" w:hanging="360"/>
      </w:pPr>
      <w:rPr>
        <w:rFonts w:hint="default"/>
      </w:rPr>
    </w:lvl>
    <w:lvl w:ilvl="8">
      <w:start w:val="1"/>
      <w:numFmt w:val="bullet"/>
      <w:lvlText w:val="•"/>
      <w:lvlJc w:val="left"/>
      <w:pPr>
        <w:ind w:left="6754" w:hanging="360"/>
      </w:pPr>
      <w:rPr>
        <w:rFonts w:hint="default"/>
      </w:rPr>
    </w:lvl>
  </w:abstractNum>
  <w:abstractNum w:abstractNumId="66">
    <w:multiLevelType w:val="hybridMultilevel"/>
    <w:lvl w:ilvl="0">
      <w:start w:val="1"/>
      <w:numFmt w:val="decimal"/>
      <w:lvlText w:val="%1."/>
      <w:lvlJc w:val="left"/>
      <w:pPr>
        <w:ind w:left="268" w:hanging="180"/>
        <w:jc w:val="left"/>
      </w:pPr>
      <w:rPr>
        <w:rFonts w:hint="default" w:ascii="Arial" w:hAnsi="Arial" w:eastAsia="Arial" w:cs="Arial"/>
        <w:spacing w:val="-1"/>
        <w:w w:val="99"/>
        <w:sz w:val="14"/>
        <w:szCs w:val="14"/>
      </w:rPr>
    </w:lvl>
    <w:lvl w:ilvl="1">
      <w:start w:val="1"/>
      <w:numFmt w:val="bullet"/>
      <w:lvlText w:val="•"/>
      <w:lvlJc w:val="left"/>
      <w:pPr>
        <w:ind w:left="1071" w:hanging="180"/>
      </w:pPr>
      <w:rPr>
        <w:rFonts w:hint="default"/>
      </w:rPr>
    </w:lvl>
    <w:lvl w:ilvl="2">
      <w:start w:val="1"/>
      <w:numFmt w:val="bullet"/>
      <w:lvlText w:val="•"/>
      <w:lvlJc w:val="left"/>
      <w:pPr>
        <w:ind w:left="1883" w:hanging="180"/>
      </w:pPr>
      <w:rPr>
        <w:rFonts w:hint="default"/>
      </w:rPr>
    </w:lvl>
    <w:lvl w:ilvl="3">
      <w:start w:val="1"/>
      <w:numFmt w:val="bullet"/>
      <w:lvlText w:val="•"/>
      <w:lvlJc w:val="left"/>
      <w:pPr>
        <w:ind w:left="2695" w:hanging="180"/>
      </w:pPr>
      <w:rPr>
        <w:rFonts w:hint="default"/>
      </w:rPr>
    </w:lvl>
    <w:lvl w:ilvl="4">
      <w:start w:val="1"/>
      <w:numFmt w:val="bullet"/>
      <w:lvlText w:val="•"/>
      <w:lvlJc w:val="left"/>
      <w:pPr>
        <w:ind w:left="3507" w:hanging="180"/>
      </w:pPr>
      <w:rPr>
        <w:rFonts w:hint="default"/>
      </w:rPr>
    </w:lvl>
    <w:lvl w:ilvl="5">
      <w:start w:val="1"/>
      <w:numFmt w:val="bullet"/>
      <w:lvlText w:val="•"/>
      <w:lvlJc w:val="left"/>
      <w:pPr>
        <w:ind w:left="4318" w:hanging="180"/>
      </w:pPr>
      <w:rPr>
        <w:rFonts w:hint="default"/>
      </w:rPr>
    </w:lvl>
    <w:lvl w:ilvl="6">
      <w:start w:val="1"/>
      <w:numFmt w:val="bullet"/>
      <w:lvlText w:val="•"/>
      <w:lvlJc w:val="left"/>
      <w:pPr>
        <w:ind w:left="5130" w:hanging="180"/>
      </w:pPr>
      <w:rPr>
        <w:rFonts w:hint="default"/>
      </w:rPr>
    </w:lvl>
    <w:lvl w:ilvl="7">
      <w:start w:val="1"/>
      <w:numFmt w:val="bullet"/>
      <w:lvlText w:val="•"/>
      <w:lvlJc w:val="left"/>
      <w:pPr>
        <w:ind w:left="5942" w:hanging="180"/>
      </w:pPr>
      <w:rPr>
        <w:rFonts w:hint="default"/>
      </w:rPr>
    </w:lvl>
    <w:lvl w:ilvl="8">
      <w:start w:val="1"/>
      <w:numFmt w:val="bullet"/>
      <w:lvlText w:val="•"/>
      <w:lvlJc w:val="left"/>
      <w:pPr>
        <w:ind w:left="6754" w:hanging="180"/>
      </w:pPr>
      <w:rPr>
        <w:rFonts w:hint="default"/>
      </w:rPr>
    </w:lvl>
  </w:abstractNum>
  <w:abstractNum w:abstractNumId="65">
    <w:multiLevelType w:val="hybridMultilevel"/>
    <w:lvl w:ilvl="0">
      <w:start w:val="1"/>
      <w:numFmt w:val="decimal"/>
      <w:lvlText w:val="%1."/>
      <w:lvlJc w:val="left"/>
      <w:pPr>
        <w:ind w:left="230" w:hanging="142"/>
        <w:jc w:val="left"/>
      </w:pPr>
      <w:rPr>
        <w:rFonts w:hint="default" w:ascii="Arial" w:hAnsi="Arial" w:eastAsia="Arial" w:cs="Arial"/>
        <w:spacing w:val="-1"/>
        <w:w w:val="99"/>
        <w:sz w:val="14"/>
        <w:szCs w:val="14"/>
      </w:rPr>
    </w:lvl>
    <w:lvl w:ilvl="1">
      <w:start w:val="1"/>
      <w:numFmt w:val="bullet"/>
      <w:lvlText w:val="•"/>
      <w:lvlJc w:val="left"/>
      <w:pPr>
        <w:ind w:left="1053" w:hanging="142"/>
      </w:pPr>
      <w:rPr>
        <w:rFonts w:hint="default"/>
      </w:rPr>
    </w:lvl>
    <w:lvl w:ilvl="2">
      <w:start w:val="1"/>
      <w:numFmt w:val="bullet"/>
      <w:lvlText w:val="•"/>
      <w:lvlJc w:val="left"/>
      <w:pPr>
        <w:ind w:left="1867" w:hanging="142"/>
      </w:pPr>
      <w:rPr>
        <w:rFonts w:hint="default"/>
      </w:rPr>
    </w:lvl>
    <w:lvl w:ilvl="3">
      <w:start w:val="1"/>
      <w:numFmt w:val="bullet"/>
      <w:lvlText w:val="•"/>
      <w:lvlJc w:val="left"/>
      <w:pPr>
        <w:ind w:left="2681" w:hanging="142"/>
      </w:pPr>
      <w:rPr>
        <w:rFonts w:hint="default"/>
      </w:rPr>
    </w:lvl>
    <w:lvl w:ilvl="4">
      <w:start w:val="1"/>
      <w:numFmt w:val="bullet"/>
      <w:lvlText w:val="•"/>
      <w:lvlJc w:val="left"/>
      <w:pPr>
        <w:ind w:left="3495" w:hanging="142"/>
      </w:pPr>
      <w:rPr>
        <w:rFonts w:hint="default"/>
      </w:rPr>
    </w:lvl>
    <w:lvl w:ilvl="5">
      <w:start w:val="1"/>
      <w:numFmt w:val="bullet"/>
      <w:lvlText w:val="•"/>
      <w:lvlJc w:val="left"/>
      <w:pPr>
        <w:ind w:left="4308" w:hanging="142"/>
      </w:pPr>
      <w:rPr>
        <w:rFonts w:hint="default"/>
      </w:rPr>
    </w:lvl>
    <w:lvl w:ilvl="6">
      <w:start w:val="1"/>
      <w:numFmt w:val="bullet"/>
      <w:lvlText w:val="•"/>
      <w:lvlJc w:val="left"/>
      <w:pPr>
        <w:ind w:left="5122" w:hanging="142"/>
      </w:pPr>
      <w:rPr>
        <w:rFonts w:hint="default"/>
      </w:rPr>
    </w:lvl>
    <w:lvl w:ilvl="7">
      <w:start w:val="1"/>
      <w:numFmt w:val="bullet"/>
      <w:lvlText w:val="•"/>
      <w:lvlJc w:val="left"/>
      <w:pPr>
        <w:ind w:left="5936" w:hanging="142"/>
      </w:pPr>
      <w:rPr>
        <w:rFonts w:hint="default"/>
      </w:rPr>
    </w:lvl>
    <w:lvl w:ilvl="8">
      <w:start w:val="1"/>
      <w:numFmt w:val="bullet"/>
      <w:lvlText w:val="•"/>
      <w:lvlJc w:val="left"/>
      <w:pPr>
        <w:ind w:left="6750" w:hanging="142"/>
      </w:pPr>
      <w:rPr>
        <w:rFonts w:hint="default"/>
      </w:rPr>
    </w:lvl>
  </w:abstractNum>
  <w:abstractNum w:abstractNumId="64">
    <w:multiLevelType w:val="hybridMultilevel"/>
    <w:lvl w:ilvl="0">
      <w:start w:val="1"/>
      <w:numFmt w:val="decimal"/>
      <w:lvlText w:val="%1."/>
      <w:lvlJc w:val="left"/>
      <w:pPr>
        <w:ind w:left="417" w:hanging="284"/>
        <w:jc w:val="left"/>
      </w:pPr>
      <w:rPr>
        <w:rFonts w:hint="default" w:ascii="Arial" w:hAnsi="Arial" w:eastAsia="Arial" w:cs="Arial"/>
        <w:spacing w:val="-1"/>
        <w:w w:val="99"/>
        <w:sz w:val="14"/>
        <w:szCs w:val="14"/>
      </w:rPr>
    </w:lvl>
    <w:lvl w:ilvl="1">
      <w:start w:val="1"/>
      <w:numFmt w:val="bullet"/>
      <w:lvlText w:val="•"/>
      <w:lvlJc w:val="left"/>
      <w:pPr>
        <w:ind w:left="630" w:hanging="284"/>
      </w:pPr>
      <w:rPr>
        <w:rFonts w:hint="default"/>
      </w:rPr>
    </w:lvl>
    <w:lvl w:ilvl="2">
      <w:start w:val="1"/>
      <w:numFmt w:val="bullet"/>
      <w:lvlText w:val="•"/>
      <w:lvlJc w:val="left"/>
      <w:pPr>
        <w:ind w:left="840" w:hanging="284"/>
      </w:pPr>
      <w:rPr>
        <w:rFonts w:hint="default"/>
      </w:rPr>
    </w:lvl>
    <w:lvl w:ilvl="3">
      <w:start w:val="1"/>
      <w:numFmt w:val="bullet"/>
      <w:lvlText w:val="•"/>
      <w:lvlJc w:val="left"/>
      <w:pPr>
        <w:ind w:left="1050" w:hanging="284"/>
      </w:pPr>
      <w:rPr>
        <w:rFonts w:hint="default"/>
      </w:rPr>
    </w:lvl>
    <w:lvl w:ilvl="4">
      <w:start w:val="1"/>
      <w:numFmt w:val="bullet"/>
      <w:lvlText w:val="•"/>
      <w:lvlJc w:val="left"/>
      <w:pPr>
        <w:ind w:left="1260" w:hanging="284"/>
      </w:pPr>
      <w:rPr>
        <w:rFonts w:hint="default"/>
      </w:rPr>
    </w:lvl>
    <w:lvl w:ilvl="5">
      <w:start w:val="1"/>
      <w:numFmt w:val="bullet"/>
      <w:lvlText w:val="•"/>
      <w:lvlJc w:val="left"/>
      <w:pPr>
        <w:ind w:left="1470" w:hanging="284"/>
      </w:pPr>
      <w:rPr>
        <w:rFonts w:hint="default"/>
      </w:rPr>
    </w:lvl>
    <w:lvl w:ilvl="6">
      <w:start w:val="1"/>
      <w:numFmt w:val="bullet"/>
      <w:lvlText w:val="•"/>
      <w:lvlJc w:val="left"/>
      <w:pPr>
        <w:ind w:left="1680" w:hanging="284"/>
      </w:pPr>
      <w:rPr>
        <w:rFonts w:hint="default"/>
      </w:rPr>
    </w:lvl>
    <w:lvl w:ilvl="7">
      <w:start w:val="1"/>
      <w:numFmt w:val="bullet"/>
      <w:lvlText w:val="•"/>
      <w:lvlJc w:val="left"/>
      <w:pPr>
        <w:ind w:left="1890" w:hanging="284"/>
      </w:pPr>
      <w:rPr>
        <w:rFonts w:hint="default"/>
      </w:rPr>
    </w:lvl>
    <w:lvl w:ilvl="8">
      <w:start w:val="1"/>
      <w:numFmt w:val="bullet"/>
      <w:lvlText w:val="•"/>
      <w:lvlJc w:val="left"/>
      <w:pPr>
        <w:ind w:left="2100" w:hanging="284"/>
      </w:pPr>
      <w:rPr>
        <w:rFonts w:hint="default"/>
      </w:rPr>
    </w:lvl>
  </w:abstractNum>
  <w:abstractNum w:abstractNumId="63">
    <w:multiLevelType w:val="hybridMultilevel"/>
    <w:lvl w:ilvl="0">
      <w:start w:val="1"/>
      <w:numFmt w:val="decimal"/>
      <w:lvlText w:val="%1."/>
      <w:lvlJc w:val="left"/>
      <w:pPr>
        <w:ind w:left="420" w:hanging="284"/>
        <w:jc w:val="left"/>
      </w:pPr>
      <w:rPr>
        <w:rFonts w:hint="default" w:ascii="Arial" w:hAnsi="Arial" w:eastAsia="Arial" w:cs="Arial"/>
        <w:spacing w:val="-1"/>
        <w:w w:val="99"/>
        <w:sz w:val="14"/>
        <w:szCs w:val="14"/>
      </w:rPr>
    </w:lvl>
    <w:lvl w:ilvl="1">
      <w:start w:val="1"/>
      <w:numFmt w:val="bullet"/>
      <w:lvlText w:val="•"/>
      <w:lvlJc w:val="left"/>
      <w:pPr>
        <w:ind w:left="630" w:hanging="284"/>
      </w:pPr>
      <w:rPr>
        <w:rFonts w:hint="default"/>
      </w:rPr>
    </w:lvl>
    <w:lvl w:ilvl="2">
      <w:start w:val="1"/>
      <w:numFmt w:val="bullet"/>
      <w:lvlText w:val="•"/>
      <w:lvlJc w:val="left"/>
      <w:pPr>
        <w:ind w:left="841" w:hanging="284"/>
      </w:pPr>
      <w:rPr>
        <w:rFonts w:hint="default"/>
      </w:rPr>
    </w:lvl>
    <w:lvl w:ilvl="3">
      <w:start w:val="1"/>
      <w:numFmt w:val="bullet"/>
      <w:lvlText w:val="•"/>
      <w:lvlJc w:val="left"/>
      <w:pPr>
        <w:ind w:left="1051" w:hanging="284"/>
      </w:pPr>
      <w:rPr>
        <w:rFonts w:hint="default"/>
      </w:rPr>
    </w:lvl>
    <w:lvl w:ilvl="4">
      <w:start w:val="1"/>
      <w:numFmt w:val="bullet"/>
      <w:lvlText w:val="•"/>
      <w:lvlJc w:val="left"/>
      <w:pPr>
        <w:ind w:left="1262" w:hanging="284"/>
      </w:pPr>
      <w:rPr>
        <w:rFonts w:hint="default"/>
      </w:rPr>
    </w:lvl>
    <w:lvl w:ilvl="5">
      <w:start w:val="1"/>
      <w:numFmt w:val="bullet"/>
      <w:lvlText w:val="•"/>
      <w:lvlJc w:val="left"/>
      <w:pPr>
        <w:ind w:left="1472" w:hanging="284"/>
      </w:pPr>
      <w:rPr>
        <w:rFonts w:hint="default"/>
      </w:rPr>
    </w:lvl>
    <w:lvl w:ilvl="6">
      <w:start w:val="1"/>
      <w:numFmt w:val="bullet"/>
      <w:lvlText w:val="•"/>
      <w:lvlJc w:val="left"/>
      <w:pPr>
        <w:ind w:left="1683" w:hanging="284"/>
      </w:pPr>
      <w:rPr>
        <w:rFonts w:hint="default"/>
      </w:rPr>
    </w:lvl>
    <w:lvl w:ilvl="7">
      <w:start w:val="1"/>
      <w:numFmt w:val="bullet"/>
      <w:lvlText w:val="•"/>
      <w:lvlJc w:val="left"/>
      <w:pPr>
        <w:ind w:left="1893" w:hanging="284"/>
      </w:pPr>
      <w:rPr>
        <w:rFonts w:hint="default"/>
      </w:rPr>
    </w:lvl>
    <w:lvl w:ilvl="8">
      <w:start w:val="1"/>
      <w:numFmt w:val="bullet"/>
      <w:lvlText w:val="•"/>
      <w:lvlJc w:val="left"/>
      <w:pPr>
        <w:ind w:left="2104" w:hanging="284"/>
      </w:pPr>
      <w:rPr>
        <w:rFonts w:hint="default"/>
      </w:rPr>
    </w:lvl>
  </w:abstractNum>
  <w:abstractNum w:abstractNumId="62">
    <w:multiLevelType w:val="hybridMultilevel"/>
    <w:lvl w:ilvl="0">
      <w:start w:val="1"/>
      <w:numFmt w:val="decimal"/>
      <w:lvlText w:val="%1."/>
      <w:lvlJc w:val="left"/>
      <w:pPr>
        <w:ind w:left="419" w:hanging="317"/>
        <w:jc w:val="left"/>
      </w:pPr>
      <w:rPr>
        <w:rFonts w:hint="default" w:ascii="Arial" w:hAnsi="Arial" w:eastAsia="Arial" w:cs="Arial"/>
        <w:spacing w:val="-1"/>
        <w:w w:val="99"/>
        <w:sz w:val="14"/>
        <w:szCs w:val="14"/>
      </w:rPr>
    </w:lvl>
    <w:lvl w:ilvl="1">
      <w:start w:val="1"/>
      <w:numFmt w:val="bullet"/>
      <w:lvlText w:val="•"/>
      <w:lvlJc w:val="left"/>
      <w:pPr>
        <w:ind w:left="605" w:hanging="317"/>
      </w:pPr>
      <w:rPr>
        <w:rFonts w:hint="default"/>
      </w:rPr>
    </w:lvl>
    <w:lvl w:ilvl="2">
      <w:start w:val="1"/>
      <w:numFmt w:val="bullet"/>
      <w:lvlText w:val="•"/>
      <w:lvlJc w:val="left"/>
      <w:pPr>
        <w:ind w:left="790" w:hanging="317"/>
      </w:pPr>
      <w:rPr>
        <w:rFonts w:hint="default"/>
      </w:rPr>
    </w:lvl>
    <w:lvl w:ilvl="3">
      <w:start w:val="1"/>
      <w:numFmt w:val="bullet"/>
      <w:lvlText w:val="•"/>
      <w:lvlJc w:val="left"/>
      <w:pPr>
        <w:ind w:left="975" w:hanging="317"/>
      </w:pPr>
      <w:rPr>
        <w:rFonts w:hint="default"/>
      </w:rPr>
    </w:lvl>
    <w:lvl w:ilvl="4">
      <w:start w:val="1"/>
      <w:numFmt w:val="bullet"/>
      <w:lvlText w:val="•"/>
      <w:lvlJc w:val="left"/>
      <w:pPr>
        <w:ind w:left="1160" w:hanging="317"/>
      </w:pPr>
      <w:rPr>
        <w:rFonts w:hint="default"/>
      </w:rPr>
    </w:lvl>
    <w:lvl w:ilvl="5">
      <w:start w:val="1"/>
      <w:numFmt w:val="bullet"/>
      <w:lvlText w:val="•"/>
      <w:lvlJc w:val="left"/>
      <w:pPr>
        <w:ind w:left="1345" w:hanging="317"/>
      </w:pPr>
      <w:rPr>
        <w:rFonts w:hint="default"/>
      </w:rPr>
    </w:lvl>
    <w:lvl w:ilvl="6">
      <w:start w:val="1"/>
      <w:numFmt w:val="bullet"/>
      <w:lvlText w:val="•"/>
      <w:lvlJc w:val="left"/>
      <w:pPr>
        <w:ind w:left="1530" w:hanging="317"/>
      </w:pPr>
      <w:rPr>
        <w:rFonts w:hint="default"/>
      </w:rPr>
    </w:lvl>
    <w:lvl w:ilvl="7">
      <w:start w:val="1"/>
      <w:numFmt w:val="bullet"/>
      <w:lvlText w:val="•"/>
      <w:lvlJc w:val="left"/>
      <w:pPr>
        <w:ind w:left="1715" w:hanging="317"/>
      </w:pPr>
      <w:rPr>
        <w:rFonts w:hint="default"/>
      </w:rPr>
    </w:lvl>
    <w:lvl w:ilvl="8">
      <w:start w:val="1"/>
      <w:numFmt w:val="bullet"/>
      <w:lvlText w:val="•"/>
      <w:lvlJc w:val="left"/>
      <w:pPr>
        <w:ind w:left="1900" w:hanging="317"/>
      </w:pPr>
      <w:rPr>
        <w:rFonts w:hint="default"/>
      </w:rPr>
    </w:lvl>
  </w:abstractNum>
  <w:abstractNum w:abstractNumId="61">
    <w:multiLevelType w:val="hybridMultilevel"/>
    <w:lvl w:ilvl="0">
      <w:start w:val="3"/>
      <w:numFmt w:val="decimal"/>
      <w:lvlText w:val="%1"/>
      <w:lvlJc w:val="left"/>
      <w:pPr>
        <w:ind w:left="723" w:hanging="602"/>
        <w:jc w:val="left"/>
      </w:pPr>
      <w:rPr>
        <w:rFonts w:hint="default"/>
      </w:rPr>
    </w:lvl>
    <w:lvl w:ilvl="1">
      <w:start w:val="3"/>
      <w:numFmt w:val="decimal"/>
      <w:lvlText w:val="%1.%2"/>
      <w:lvlJc w:val="left"/>
      <w:pPr>
        <w:ind w:left="723" w:hanging="602"/>
        <w:jc w:val="left"/>
      </w:pPr>
      <w:rPr>
        <w:rFonts w:hint="default"/>
      </w:rPr>
    </w:lvl>
    <w:lvl w:ilvl="2">
      <w:start w:val="1"/>
      <w:numFmt w:val="decimal"/>
      <w:lvlText w:val="%1.%2.%3"/>
      <w:lvlJc w:val="left"/>
      <w:pPr>
        <w:ind w:left="182" w:hanging="602"/>
        <w:jc w:val="right"/>
      </w:pPr>
      <w:rPr>
        <w:rFonts w:hint="default" w:ascii="Arial" w:hAnsi="Arial" w:eastAsia="Arial" w:cs="Arial"/>
        <w:b/>
        <w:bCs/>
        <w:spacing w:val="-2"/>
        <w:w w:val="99"/>
        <w:sz w:val="24"/>
        <w:szCs w:val="24"/>
      </w:rPr>
    </w:lvl>
    <w:lvl w:ilvl="3">
      <w:start w:val="1"/>
      <w:numFmt w:val="decimal"/>
      <w:lvlText w:val="%4)"/>
      <w:lvlJc w:val="left"/>
      <w:pPr>
        <w:ind w:left="1642" w:hanging="360"/>
        <w:jc w:val="right"/>
      </w:pPr>
      <w:rPr>
        <w:rFonts w:hint="default" w:ascii="Arial" w:hAnsi="Arial" w:eastAsia="Arial" w:cs="Arial"/>
        <w:w w:val="99"/>
        <w:sz w:val="24"/>
        <w:szCs w:val="24"/>
      </w:rPr>
    </w:lvl>
    <w:lvl w:ilvl="4">
      <w:start w:val="1"/>
      <w:numFmt w:val="lowerLetter"/>
      <w:lvlText w:val="%5)"/>
      <w:lvlJc w:val="left"/>
      <w:pPr>
        <w:ind w:left="1254" w:hanging="425"/>
        <w:jc w:val="right"/>
      </w:pPr>
      <w:rPr>
        <w:rFonts w:hint="default" w:ascii="Arial" w:hAnsi="Arial" w:eastAsia="Arial" w:cs="Arial"/>
        <w:w w:val="99"/>
        <w:sz w:val="24"/>
        <w:szCs w:val="24"/>
      </w:rPr>
    </w:lvl>
    <w:lvl w:ilvl="5">
      <w:start w:val="1"/>
      <w:numFmt w:val="bullet"/>
      <w:lvlText w:val="•"/>
      <w:lvlJc w:val="left"/>
      <w:pPr>
        <w:ind w:left="3670" w:hanging="425"/>
      </w:pPr>
      <w:rPr>
        <w:rFonts w:hint="default"/>
      </w:rPr>
    </w:lvl>
    <w:lvl w:ilvl="6">
      <w:start w:val="1"/>
      <w:numFmt w:val="bullet"/>
      <w:lvlText w:val="•"/>
      <w:lvlJc w:val="left"/>
      <w:pPr>
        <w:ind w:left="4685" w:hanging="425"/>
      </w:pPr>
      <w:rPr>
        <w:rFonts w:hint="default"/>
      </w:rPr>
    </w:lvl>
    <w:lvl w:ilvl="7">
      <w:start w:val="1"/>
      <w:numFmt w:val="bullet"/>
      <w:lvlText w:val="•"/>
      <w:lvlJc w:val="left"/>
      <w:pPr>
        <w:ind w:left="5700" w:hanging="425"/>
      </w:pPr>
      <w:rPr>
        <w:rFonts w:hint="default"/>
      </w:rPr>
    </w:lvl>
    <w:lvl w:ilvl="8">
      <w:start w:val="1"/>
      <w:numFmt w:val="bullet"/>
      <w:lvlText w:val="•"/>
      <w:lvlJc w:val="left"/>
      <w:pPr>
        <w:ind w:left="6716" w:hanging="425"/>
      </w:pPr>
      <w:rPr>
        <w:rFonts w:hint="default"/>
      </w:rPr>
    </w:lvl>
  </w:abstractNum>
  <w:abstractNum w:abstractNumId="60">
    <w:multiLevelType w:val="hybridMultilevel"/>
    <w:lvl w:ilvl="0">
      <w:start w:val="1"/>
      <w:numFmt w:val="decimal"/>
      <w:lvlText w:val="%1)"/>
      <w:lvlJc w:val="left"/>
      <w:pPr>
        <w:ind w:left="702" w:hanging="360"/>
        <w:jc w:val="left"/>
      </w:pPr>
      <w:rPr>
        <w:rFonts w:hint="default" w:ascii="Arial" w:hAnsi="Arial" w:eastAsia="Arial" w:cs="Arial"/>
        <w:w w:val="99"/>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59">
    <w:multiLevelType w:val="hybridMultilevel"/>
    <w:lvl w:ilvl="0">
      <w:start w:val="1"/>
      <w:numFmt w:val="decimal"/>
      <w:lvlText w:val="%1."/>
      <w:lvlJc w:val="left"/>
      <w:pPr>
        <w:ind w:left="504" w:hanging="284"/>
        <w:jc w:val="left"/>
      </w:pPr>
      <w:rPr>
        <w:rFonts w:hint="default" w:ascii="Arial" w:hAnsi="Arial" w:eastAsia="Arial" w:cs="Arial"/>
        <w:spacing w:val="-1"/>
        <w:w w:val="99"/>
        <w:sz w:val="14"/>
        <w:szCs w:val="14"/>
      </w:rPr>
    </w:lvl>
    <w:lvl w:ilvl="1">
      <w:start w:val="1"/>
      <w:numFmt w:val="bullet"/>
      <w:lvlText w:val="•"/>
      <w:lvlJc w:val="left"/>
      <w:pPr>
        <w:ind w:left="760" w:hanging="284"/>
      </w:pPr>
      <w:rPr>
        <w:rFonts w:hint="default"/>
      </w:rPr>
    </w:lvl>
    <w:lvl w:ilvl="2">
      <w:start w:val="1"/>
      <w:numFmt w:val="bullet"/>
      <w:lvlText w:val="•"/>
      <w:lvlJc w:val="left"/>
      <w:pPr>
        <w:ind w:left="1021" w:hanging="284"/>
      </w:pPr>
      <w:rPr>
        <w:rFonts w:hint="default"/>
      </w:rPr>
    </w:lvl>
    <w:lvl w:ilvl="3">
      <w:start w:val="1"/>
      <w:numFmt w:val="bullet"/>
      <w:lvlText w:val="•"/>
      <w:lvlJc w:val="left"/>
      <w:pPr>
        <w:ind w:left="1282" w:hanging="284"/>
      </w:pPr>
      <w:rPr>
        <w:rFonts w:hint="default"/>
      </w:rPr>
    </w:lvl>
    <w:lvl w:ilvl="4">
      <w:start w:val="1"/>
      <w:numFmt w:val="bullet"/>
      <w:lvlText w:val="•"/>
      <w:lvlJc w:val="left"/>
      <w:pPr>
        <w:ind w:left="1543" w:hanging="284"/>
      </w:pPr>
      <w:rPr>
        <w:rFonts w:hint="default"/>
      </w:rPr>
    </w:lvl>
    <w:lvl w:ilvl="5">
      <w:start w:val="1"/>
      <w:numFmt w:val="bullet"/>
      <w:lvlText w:val="•"/>
      <w:lvlJc w:val="left"/>
      <w:pPr>
        <w:ind w:left="1804" w:hanging="284"/>
      </w:pPr>
      <w:rPr>
        <w:rFonts w:hint="default"/>
      </w:rPr>
    </w:lvl>
    <w:lvl w:ilvl="6">
      <w:start w:val="1"/>
      <w:numFmt w:val="bullet"/>
      <w:lvlText w:val="•"/>
      <w:lvlJc w:val="left"/>
      <w:pPr>
        <w:ind w:left="2065" w:hanging="284"/>
      </w:pPr>
      <w:rPr>
        <w:rFonts w:hint="default"/>
      </w:rPr>
    </w:lvl>
    <w:lvl w:ilvl="7">
      <w:start w:val="1"/>
      <w:numFmt w:val="bullet"/>
      <w:lvlText w:val="•"/>
      <w:lvlJc w:val="left"/>
      <w:pPr>
        <w:ind w:left="2326" w:hanging="284"/>
      </w:pPr>
      <w:rPr>
        <w:rFonts w:hint="default"/>
      </w:rPr>
    </w:lvl>
    <w:lvl w:ilvl="8">
      <w:start w:val="1"/>
      <w:numFmt w:val="bullet"/>
      <w:lvlText w:val="•"/>
      <w:lvlJc w:val="left"/>
      <w:pPr>
        <w:ind w:left="2586" w:hanging="284"/>
      </w:pPr>
      <w:rPr>
        <w:rFonts w:hint="default"/>
      </w:rPr>
    </w:lvl>
  </w:abstractNum>
  <w:abstractNum w:abstractNumId="58">
    <w:multiLevelType w:val="hybridMultilevel"/>
    <w:lvl w:ilvl="0">
      <w:start w:val="1"/>
      <w:numFmt w:val="decimal"/>
      <w:lvlText w:val="%1."/>
      <w:lvlJc w:val="left"/>
      <w:pPr>
        <w:ind w:left="562" w:hanging="284"/>
        <w:jc w:val="left"/>
      </w:pPr>
      <w:rPr>
        <w:rFonts w:hint="default" w:ascii="Arial" w:hAnsi="Arial" w:eastAsia="Arial" w:cs="Arial"/>
        <w:spacing w:val="-1"/>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7"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4" w:hanging="284"/>
      </w:pPr>
      <w:rPr>
        <w:rFonts w:hint="default"/>
      </w:rPr>
    </w:lvl>
  </w:abstractNum>
  <w:abstractNum w:abstractNumId="57">
    <w:multiLevelType w:val="hybridMultilevel"/>
    <w:lvl w:ilvl="0">
      <w:start w:val="1"/>
      <w:numFmt w:val="decimal"/>
      <w:lvlText w:val="%1."/>
      <w:lvlJc w:val="left"/>
      <w:pPr>
        <w:ind w:left="504" w:hanging="284"/>
        <w:jc w:val="left"/>
      </w:pPr>
      <w:rPr>
        <w:rFonts w:hint="default" w:ascii="Arial" w:hAnsi="Arial" w:eastAsia="Arial" w:cs="Arial"/>
        <w:spacing w:val="-1"/>
        <w:w w:val="99"/>
        <w:sz w:val="14"/>
        <w:szCs w:val="14"/>
      </w:rPr>
    </w:lvl>
    <w:lvl w:ilvl="1">
      <w:start w:val="1"/>
      <w:numFmt w:val="bullet"/>
      <w:lvlText w:val="•"/>
      <w:lvlJc w:val="left"/>
      <w:pPr>
        <w:ind w:left="760" w:hanging="284"/>
      </w:pPr>
      <w:rPr>
        <w:rFonts w:hint="default"/>
      </w:rPr>
    </w:lvl>
    <w:lvl w:ilvl="2">
      <w:start w:val="1"/>
      <w:numFmt w:val="bullet"/>
      <w:lvlText w:val="•"/>
      <w:lvlJc w:val="left"/>
      <w:pPr>
        <w:ind w:left="1021" w:hanging="284"/>
      </w:pPr>
      <w:rPr>
        <w:rFonts w:hint="default"/>
      </w:rPr>
    </w:lvl>
    <w:lvl w:ilvl="3">
      <w:start w:val="1"/>
      <w:numFmt w:val="bullet"/>
      <w:lvlText w:val="•"/>
      <w:lvlJc w:val="left"/>
      <w:pPr>
        <w:ind w:left="1282" w:hanging="284"/>
      </w:pPr>
      <w:rPr>
        <w:rFonts w:hint="default"/>
      </w:rPr>
    </w:lvl>
    <w:lvl w:ilvl="4">
      <w:start w:val="1"/>
      <w:numFmt w:val="bullet"/>
      <w:lvlText w:val="•"/>
      <w:lvlJc w:val="left"/>
      <w:pPr>
        <w:ind w:left="1543" w:hanging="284"/>
      </w:pPr>
      <w:rPr>
        <w:rFonts w:hint="default"/>
      </w:rPr>
    </w:lvl>
    <w:lvl w:ilvl="5">
      <w:start w:val="1"/>
      <w:numFmt w:val="bullet"/>
      <w:lvlText w:val="•"/>
      <w:lvlJc w:val="left"/>
      <w:pPr>
        <w:ind w:left="1804" w:hanging="284"/>
      </w:pPr>
      <w:rPr>
        <w:rFonts w:hint="default"/>
      </w:rPr>
    </w:lvl>
    <w:lvl w:ilvl="6">
      <w:start w:val="1"/>
      <w:numFmt w:val="bullet"/>
      <w:lvlText w:val="•"/>
      <w:lvlJc w:val="left"/>
      <w:pPr>
        <w:ind w:left="2065" w:hanging="284"/>
      </w:pPr>
      <w:rPr>
        <w:rFonts w:hint="default"/>
      </w:rPr>
    </w:lvl>
    <w:lvl w:ilvl="7">
      <w:start w:val="1"/>
      <w:numFmt w:val="bullet"/>
      <w:lvlText w:val="•"/>
      <w:lvlJc w:val="left"/>
      <w:pPr>
        <w:ind w:left="2326" w:hanging="284"/>
      </w:pPr>
      <w:rPr>
        <w:rFonts w:hint="default"/>
      </w:rPr>
    </w:lvl>
    <w:lvl w:ilvl="8">
      <w:start w:val="1"/>
      <w:numFmt w:val="bullet"/>
      <w:lvlText w:val="•"/>
      <w:lvlJc w:val="left"/>
      <w:pPr>
        <w:ind w:left="2586" w:hanging="284"/>
      </w:pPr>
      <w:rPr>
        <w:rFonts w:hint="default"/>
      </w:rPr>
    </w:lvl>
  </w:abstractNum>
  <w:abstractNum w:abstractNumId="56">
    <w:multiLevelType w:val="hybridMultilevel"/>
    <w:lvl w:ilvl="0">
      <w:start w:val="1"/>
      <w:numFmt w:val="decimal"/>
      <w:lvlText w:val="%1."/>
      <w:lvlJc w:val="left"/>
      <w:pPr>
        <w:ind w:left="562" w:hanging="284"/>
        <w:jc w:val="left"/>
      </w:pPr>
      <w:rPr>
        <w:rFonts w:hint="default" w:ascii="Arial" w:hAnsi="Arial" w:eastAsia="Arial" w:cs="Arial"/>
        <w:spacing w:val="-1"/>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7"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4" w:hanging="284"/>
      </w:pPr>
      <w:rPr>
        <w:rFonts w:hint="default"/>
      </w:rPr>
    </w:lvl>
  </w:abstractNum>
  <w:abstractNum w:abstractNumId="55">
    <w:multiLevelType w:val="hybridMultilevel"/>
    <w:lvl w:ilvl="0">
      <w:start w:val="1"/>
      <w:numFmt w:val="decimal"/>
      <w:lvlText w:val="%1."/>
      <w:lvlJc w:val="left"/>
      <w:pPr>
        <w:ind w:left="504" w:hanging="284"/>
        <w:jc w:val="left"/>
      </w:pPr>
      <w:rPr>
        <w:rFonts w:hint="default" w:ascii="Arial" w:hAnsi="Arial" w:eastAsia="Arial" w:cs="Arial"/>
        <w:spacing w:val="-1"/>
        <w:w w:val="99"/>
        <w:sz w:val="14"/>
        <w:szCs w:val="14"/>
      </w:rPr>
    </w:lvl>
    <w:lvl w:ilvl="1">
      <w:start w:val="1"/>
      <w:numFmt w:val="bullet"/>
      <w:lvlText w:val="•"/>
      <w:lvlJc w:val="left"/>
      <w:pPr>
        <w:ind w:left="760" w:hanging="284"/>
      </w:pPr>
      <w:rPr>
        <w:rFonts w:hint="default"/>
      </w:rPr>
    </w:lvl>
    <w:lvl w:ilvl="2">
      <w:start w:val="1"/>
      <w:numFmt w:val="bullet"/>
      <w:lvlText w:val="•"/>
      <w:lvlJc w:val="left"/>
      <w:pPr>
        <w:ind w:left="1021" w:hanging="284"/>
      </w:pPr>
      <w:rPr>
        <w:rFonts w:hint="default"/>
      </w:rPr>
    </w:lvl>
    <w:lvl w:ilvl="3">
      <w:start w:val="1"/>
      <w:numFmt w:val="bullet"/>
      <w:lvlText w:val="•"/>
      <w:lvlJc w:val="left"/>
      <w:pPr>
        <w:ind w:left="1282" w:hanging="284"/>
      </w:pPr>
      <w:rPr>
        <w:rFonts w:hint="default"/>
      </w:rPr>
    </w:lvl>
    <w:lvl w:ilvl="4">
      <w:start w:val="1"/>
      <w:numFmt w:val="bullet"/>
      <w:lvlText w:val="•"/>
      <w:lvlJc w:val="left"/>
      <w:pPr>
        <w:ind w:left="1543" w:hanging="284"/>
      </w:pPr>
      <w:rPr>
        <w:rFonts w:hint="default"/>
      </w:rPr>
    </w:lvl>
    <w:lvl w:ilvl="5">
      <w:start w:val="1"/>
      <w:numFmt w:val="bullet"/>
      <w:lvlText w:val="•"/>
      <w:lvlJc w:val="left"/>
      <w:pPr>
        <w:ind w:left="1804" w:hanging="284"/>
      </w:pPr>
      <w:rPr>
        <w:rFonts w:hint="default"/>
      </w:rPr>
    </w:lvl>
    <w:lvl w:ilvl="6">
      <w:start w:val="1"/>
      <w:numFmt w:val="bullet"/>
      <w:lvlText w:val="•"/>
      <w:lvlJc w:val="left"/>
      <w:pPr>
        <w:ind w:left="2065" w:hanging="284"/>
      </w:pPr>
      <w:rPr>
        <w:rFonts w:hint="default"/>
      </w:rPr>
    </w:lvl>
    <w:lvl w:ilvl="7">
      <w:start w:val="1"/>
      <w:numFmt w:val="bullet"/>
      <w:lvlText w:val="•"/>
      <w:lvlJc w:val="left"/>
      <w:pPr>
        <w:ind w:left="2326" w:hanging="284"/>
      </w:pPr>
      <w:rPr>
        <w:rFonts w:hint="default"/>
      </w:rPr>
    </w:lvl>
    <w:lvl w:ilvl="8">
      <w:start w:val="1"/>
      <w:numFmt w:val="bullet"/>
      <w:lvlText w:val="•"/>
      <w:lvlJc w:val="left"/>
      <w:pPr>
        <w:ind w:left="2586" w:hanging="284"/>
      </w:pPr>
      <w:rPr>
        <w:rFonts w:hint="default"/>
      </w:rPr>
    </w:lvl>
  </w:abstractNum>
  <w:abstractNum w:abstractNumId="54">
    <w:multiLevelType w:val="hybridMultilevel"/>
    <w:lvl w:ilvl="0">
      <w:start w:val="1"/>
      <w:numFmt w:val="decimal"/>
      <w:lvlText w:val="%1."/>
      <w:lvlJc w:val="left"/>
      <w:pPr>
        <w:ind w:left="562" w:hanging="284"/>
        <w:jc w:val="left"/>
      </w:pPr>
      <w:rPr>
        <w:rFonts w:hint="default" w:ascii="Arial" w:hAnsi="Arial" w:eastAsia="Arial" w:cs="Arial"/>
        <w:spacing w:val="-1"/>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7"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4" w:hanging="284"/>
      </w:pPr>
      <w:rPr>
        <w:rFonts w:hint="default"/>
      </w:rPr>
    </w:lvl>
  </w:abstractNum>
  <w:abstractNum w:abstractNumId="53">
    <w:multiLevelType w:val="hybridMultilevel"/>
    <w:lvl w:ilvl="0">
      <w:start w:val="1"/>
      <w:numFmt w:val="decimal"/>
      <w:lvlText w:val="%1."/>
      <w:lvlJc w:val="left"/>
      <w:pPr>
        <w:ind w:left="504" w:hanging="284"/>
        <w:jc w:val="left"/>
      </w:pPr>
      <w:rPr>
        <w:rFonts w:hint="default" w:ascii="Arial" w:hAnsi="Arial" w:eastAsia="Arial" w:cs="Arial"/>
        <w:spacing w:val="-1"/>
        <w:w w:val="99"/>
        <w:sz w:val="14"/>
        <w:szCs w:val="14"/>
      </w:rPr>
    </w:lvl>
    <w:lvl w:ilvl="1">
      <w:start w:val="1"/>
      <w:numFmt w:val="bullet"/>
      <w:lvlText w:val="•"/>
      <w:lvlJc w:val="left"/>
      <w:pPr>
        <w:ind w:left="760" w:hanging="284"/>
      </w:pPr>
      <w:rPr>
        <w:rFonts w:hint="default"/>
      </w:rPr>
    </w:lvl>
    <w:lvl w:ilvl="2">
      <w:start w:val="1"/>
      <w:numFmt w:val="bullet"/>
      <w:lvlText w:val="•"/>
      <w:lvlJc w:val="left"/>
      <w:pPr>
        <w:ind w:left="1021" w:hanging="284"/>
      </w:pPr>
      <w:rPr>
        <w:rFonts w:hint="default"/>
      </w:rPr>
    </w:lvl>
    <w:lvl w:ilvl="3">
      <w:start w:val="1"/>
      <w:numFmt w:val="bullet"/>
      <w:lvlText w:val="•"/>
      <w:lvlJc w:val="left"/>
      <w:pPr>
        <w:ind w:left="1282" w:hanging="284"/>
      </w:pPr>
      <w:rPr>
        <w:rFonts w:hint="default"/>
      </w:rPr>
    </w:lvl>
    <w:lvl w:ilvl="4">
      <w:start w:val="1"/>
      <w:numFmt w:val="bullet"/>
      <w:lvlText w:val="•"/>
      <w:lvlJc w:val="left"/>
      <w:pPr>
        <w:ind w:left="1543" w:hanging="284"/>
      </w:pPr>
      <w:rPr>
        <w:rFonts w:hint="default"/>
      </w:rPr>
    </w:lvl>
    <w:lvl w:ilvl="5">
      <w:start w:val="1"/>
      <w:numFmt w:val="bullet"/>
      <w:lvlText w:val="•"/>
      <w:lvlJc w:val="left"/>
      <w:pPr>
        <w:ind w:left="1804" w:hanging="284"/>
      </w:pPr>
      <w:rPr>
        <w:rFonts w:hint="default"/>
      </w:rPr>
    </w:lvl>
    <w:lvl w:ilvl="6">
      <w:start w:val="1"/>
      <w:numFmt w:val="bullet"/>
      <w:lvlText w:val="•"/>
      <w:lvlJc w:val="left"/>
      <w:pPr>
        <w:ind w:left="2065" w:hanging="284"/>
      </w:pPr>
      <w:rPr>
        <w:rFonts w:hint="default"/>
      </w:rPr>
    </w:lvl>
    <w:lvl w:ilvl="7">
      <w:start w:val="1"/>
      <w:numFmt w:val="bullet"/>
      <w:lvlText w:val="•"/>
      <w:lvlJc w:val="left"/>
      <w:pPr>
        <w:ind w:left="2326" w:hanging="284"/>
      </w:pPr>
      <w:rPr>
        <w:rFonts w:hint="default"/>
      </w:rPr>
    </w:lvl>
    <w:lvl w:ilvl="8">
      <w:start w:val="1"/>
      <w:numFmt w:val="bullet"/>
      <w:lvlText w:val="•"/>
      <w:lvlJc w:val="left"/>
      <w:pPr>
        <w:ind w:left="2586" w:hanging="284"/>
      </w:pPr>
      <w:rPr>
        <w:rFonts w:hint="default"/>
      </w:rPr>
    </w:lvl>
  </w:abstractNum>
  <w:abstractNum w:abstractNumId="52">
    <w:multiLevelType w:val="hybridMultilevel"/>
    <w:lvl w:ilvl="0">
      <w:start w:val="1"/>
      <w:numFmt w:val="decimal"/>
      <w:lvlText w:val="%1."/>
      <w:lvlJc w:val="left"/>
      <w:pPr>
        <w:ind w:left="504" w:hanging="284"/>
        <w:jc w:val="left"/>
      </w:pPr>
      <w:rPr>
        <w:rFonts w:hint="default" w:ascii="Arial" w:hAnsi="Arial" w:eastAsia="Arial" w:cs="Arial"/>
        <w:spacing w:val="-1"/>
        <w:w w:val="99"/>
        <w:sz w:val="14"/>
        <w:szCs w:val="14"/>
      </w:rPr>
    </w:lvl>
    <w:lvl w:ilvl="1">
      <w:start w:val="1"/>
      <w:numFmt w:val="bullet"/>
      <w:lvlText w:val="•"/>
      <w:lvlJc w:val="left"/>
      <w:pPr>
        <w:ind w:left="760" w:hanging="284"/>
      </w:pPr>
      <w:rPr>
        <w:rFonts w:hint="default"/>
      </w:rPr>
    </w:lvl>
    <w:lvl w:ilvl="2">
      <w:start w:val="1"/>
      <w:numFmt w:val="bullet"/>
      <w:lvlText w:val="•"/>
      <w:lvlJc w:val="left"/>
      <w:pPr>
        <w:ind w:left="1021" w:hanging="284"/>
      </w:pPr>
      <w:rPr>
        <w:rFonts w:hint="default"/>
      </w:rPr>
    </w:lvl>
    <w:lvl w:ilvl="3">
      <w:start w:val="1"/>
      <w:numFmt w:val="bullet"/>
      <w:lvlText w:val="•"/>
      <w:lvlJc w:val="left"/>
      <w:pPr>
        <w:ind w:left="1282" w:hanging="284"/>
      </w:pPr>
      <w:rPr>
        <w:rFonts w:hint="default"/>
      </w:rPr>
    </w:lvl>
    <w:lvl w:ilvl="4">
      <w:start w:val="1"/>
      <w:numFmt w:val="bullet"/>
      <w:lvlText w:val="•"/>
      <w:lvlJc w:val="left"/>
      <w:pPr>
        <w:ind w:left="1543" w:hanging="284"/>
      </w:pPr>
      <w:rPr>
        <w:rFonts w:hint="default"/>
      </w:rPr>
    </w:lvl>
    <w:lvl w:ilvl="5">
      <w:start w:val="1"/>
      <w:numFmt w:val="bullet"/>
      <w:lvlText w:val="•"/>
      <w:lvlJc w:val="left"/>
      <w:pPr>
        <w:ind w:left="1804" w:hanging="284"/>
      </w:pPr>
      <w:rPr>
        <w:rFonts w:hint="default"/>
      </w:rPr>
    </w:lvl>
    <w:lvl w:ilvl="6">
      <w:start w:val="1"/>
      <w:numFmt w:val="bullet"/>
      <w:lvlText w:val="•"/>
      <w:lvlJc w:val="left"/>
      <w:pPr>
        <w:ind w:left="2065" w:hanging="284"/>
      </w:pPr>
      <w:rPr>
        <w:rFonts w:hint="default"/>
      </w:rPr>
    </w:lvl>
    <w:lvl w:ilvl="7">
      <w:start w:val="1"/>
      <w:numFmt w:val="bullet"/>
      <w:lvlText w:val="•"/>
      <w:lvlJc w:val="left"/>
      <w:pPr>
        <w:ind w:left="2326" w:hanging="284"/>
      </w:pPr>
      <w:rPr>
        <w:rFonts w:hint="default"/>
      </w:rPr>
    </w:lvl>
    <w:lvl w:ilvl="8">
      <w:start w:val="1"/>
      <w:numFmt w:val="bullet"/>
      <w:lvlText w:val="•"/>
      <w:lvlJc w:val="left"/>
      <w:pPr>
        <w:ind w:left="2586" w:hanging="284"/>
      </w:pPr>
      <w:rPr>
        <w:rFonts w:hint="default"/>
      </w:rPr>
    </w:lvl>
  </w:abstractNum>
  <w:abstractNum w:abstractNumId="51">
    <w:multiLevelType w:val="hybridMultilevel"/>
    <w:lvl w:ilvl="0">
      <w:start w:val="1"/>
      <w:numFmt w:val="decimal"/>
      <w:lvlText w:val="%1."/>
      <w:lvlJc w:val="left"/>
      <w:pPr>
        <w:ind w:left="562" w:hanging="284"/>
        <w:jc w:val="left"/>
      </w:pPr>
      <w:rPr>
        <w:rFonts w:hint="default" w:ascii="Arial" w:hAnsi="Arial" w:eastAsia="Arial" w:cs="Arial"/>
        <w:spacing w:val="-1"/>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7"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4" w:hanging="284"/>
      </w:pPr>
      <w:rPr>
        <w:rFonts w:hint="default"/>
      </w:rPr>
    </w:lvl>
  </w:abstractNum>
  <w:abstractNum w:abstractNumId="50">
    <w:multiLevelType w:val="hybridMultilevel"/>
    <w:lvl w:ilvl="0">
      <w:start w:val="1"/>
      <w:numFmt w:val="decimal"/>
      <w:lvlText w:val="%1."/>
      <w:lvlJc w:val="left"/>
      <w:pPr>
        <w:ind w:left="504" w:hanging="284"/>
        <w:jc w:val="left"/>
      </w:pPr>
      <w:rPr>
        <w:rFonts w:hint="default" w:ascii="Arial" w:hAnsi="Arial" w:eastAsia="Arial" w:cs="Arial"/>
        <w:spacing w:val="-1"/>
        <w:w w:val="99"/>
        <w:sz w:val="14"/>
        <w:szCs w:val="14"/>
      </w:rPr>
    </w:lvl>
    <w:lvl w:ilvl="1">
      <w:start w:val="1"/>
      <w:numFmt w:val="bullet"/>
      <w:lvlText w:val="•"/>
      <w:lvlJc w:val="left"/>
      <w:pPr>
        <w:ind w:left="760" w:hanging="284"/>
      </w:pPr>
      <w:rPr>
        <w:rFonts w:hint="default"/>
      </w:rPr>
    </w:lvl>
    <w:lvl w:ilvl="2">
      <w:start w:val="1"/>
      <w:numFmt w:val="bullet"/>
      <w:lvlText w:val="•"/>
      <w:lvlJc w:val="left"/>
      <w:pPr>
        <w:ind w:left="1021" w:hanging="284"/>
      </w:pPr>
      <w:rPr>
        <w:rFonts w:hint="default"/>
      </w:rPr>
    </w:lvl>
    <w:lvl w:ilvl="3">
      <w:start w:val="1"/>
      <w:numFmt w:val="bullet"/>
      <w:lvlText w:val="•"/>
      <w:lvlJc w:val="left"/>
      <w:pPr>
        <w:ind w:left="1282" w:hanging="284"/>
      </w:pPr>
      <w:rPr>
        <w:rFonts w:hint="default"/>
      </w:rPr>
    </w:lvl>
    <w:lvl w:ilvl="4">
      <w:start w:val="1"/>
      <w:numFmt w:val="bullet"/>
      <w:lvlText w:val="•"/>
      <w:lvlJc w:val="left"/>
      <w:pPr>
        <w:ind w:left="1543" w:hanging="284"/>
      </w:pPr>
      <w:rPr>
        <w:rFonts w:hint="default"/>
      </w:rPr>
    </w:lvl>
    <w:lvl w:ilvl="5">
      <w:start w:val="1"/>
      <w:numFmt w:val="bullet"/>
      <w:lvlText w:val="•"/>
      <w:lvlJc w:val="left"/>
      <w:pPr>
        <w:ind w:left="1804" w:hanging="284"/>
      </w:pPr>
      <w:rPr>
        <w:rFonts w:hint="default"/>
      </w:rPr>
    </w:lvl>
    <w:lvl w:ilvl="6">
      <w:start w:val="1"/>
      <w:numFmt w:val="bullet"/>
      <w:lvlText w:val="•"/>
      <w:lvlJc w:val="left"/>
      <w:pPr>
        <w:ind w:left="2065" w:hanging="284"/>
      </w:pPr>
      <w:rPr>
        <w:rFonts w:hint="default"/>
      </w:rPr>
    </w:lvl>
    <w:lvl w:ilvl="7">
      <w:start w:val="1"/>
      <w:numFmt w:val="bullet"/>
      <w:lvlText w:val="•"/>
      <w:lvlJc w:val="left"/>
      <w:pPr>
        <w:ind w:left="2326" w:hanging="284"/>
      </w:pPr>
      <w:rPr>
        <w:rFonts w:hint="default"/>
      </w:rPr>
    </w:lvl>
    <w:lvl w:ilvl="8">
      <w:start w:val="1"/>
      <w:numFmt w:val="bullet"/>
      <w:lvlText w:val="•"/>
      <w:lvlJc w:val="left"/>
      <w:pPr>
        <w:ind w:left="2586" w:hanging="284"/>
      </w:pPr>
      <w:rPr>
        <w:rFonts w:hint="default"/>
      </w:rPr>
    </w:lvl>
  </w:abstractNum>
  <w:abstractNum w:abstractNumId="49">
    <w:multiLevelType w:val="hybridMultilevel"/>
    <w:lvl w:ilvl="0">
      <w:start w:val="1"/>
      <w:numFmt w:val="decimal"/>
      <w:lvlText w:val="%1."/>
      <w:lvlJc w:val="left"/>
      <w:pPr>
        <w:ind w:left="562" w:hanging="284"/>
        <w:jc w:val="left"/>
      </w:pPr>
      <w:rPr>
        <w:rFonts w:hint="default" w:ascii="Arial" w:hAnsi="Arial" w:eastAsia="Arial" w:cs="Arial"/>
        <w:spacing w:val="-1"/>
        <w:w w:val="99"/>
        <w:sz w:val="14"/>
        <w:szCs w:val="14"/>
      </w:rPr>
    </w:lvl>
    <w:lvl w:ilvl="1">
      <w:start w:val="1"/>
      <w:numFmt w:val="bullet"/>
      <w:lvlText w:val="•"/>
      <w:lvlJc w:val="left"/>
      <w:pPr>
        <w:ind w:left="871" w:hanging="284"/>
      </w:pPr>
      <w:rPr>
        <w:rFonts w:hint="default"/>
      </w:rPr>
    </w:lvl>
    <w:lvl w:ilvl="2">
      <w:start w:val="1"/>
      <w:numFmt w:val="bullet"/>
      <w:lvlText w:val="•"/>
      <w:lvlJc w:val="left"/>
      <w:pPr>
        <w:ind w:left="1183" w:hanging="284"/>
      </w:pPr>
      <w:rPr>
        <w:rFonts w:hint="default"/>
      </w:rPr>
    </w:lvl>
    <w:lvl w:ilvl="3">
      <w:start w:val="1"/>
      <w:numFmt w:val="bullet"/>
      <w:lvlText w:val="•"/>
      <w:lvlJc w:val="left"/>
      <w:pPr>
        <w:ind w:left="1495" w:hanging="284"/>
      </w:pPr>
      <w:rPr>
        <w:rFonts w:hint="default"/>
      </w:rPr>
    </w:lvl>
    <w:lvl w:ilvl="4">
      <w:start w:val="1"/>
      <w:numFmt w:val="bullet"/>
      <w:lvlText w:val="•"/>
      <w:lvlJc w:val="left"/>
      <w:pPr>
        <w:ind w:left="1807" w:hanging="284"/>
      </w:pPr>
      <w:rPr>
        <w:rFonts w:hint="default"/>
      </w:rPr>
    </w:lvl>
    <w:lvl w:ilvl="5">
      <w:start w:val="1"/>
      <w:numFmt w:val="bullet"/>
      <w:lvlText w:val="•"/>
      <w:lvlJc w:val="left"/>
      <w:pPr>
        <w:ind w:left="2118" w:hanging="284"/>
      </w:pPr>
      <w:rPr>
        <w:rFonts w:hint="default"/>
      </w:rPr>
    </w:lvl>
    <w:lvl w:ilvl="6">
      <w:start w:val="1"/>
      <w:numFmt w:val="bullet"/>
      <w:lvlText w:val="•"/>
      <w:lvlJc w:val="left"/>
      <w:pPr>
        <w:ind w:left="2430" w:hanging="284"/>
      </w:pPr>
      <w:rPr>
        <w:rFonts w:hint="default"/>
      </w:rPr>
    </w:lvl>
    <w:lvl w:ilvl="7">
      <w:start w:val="1"/>
      <w:numFmt w:val="bullet"/>
      <w:lvlText w:val="•"/>
      <w:lvlJc w:val="left"/>
      <w:pPr>
        <w:ind w:left="2742" w:hanging="284"/>
      </w:pPr>
      <w:rPr>
        <w:rFonts w:hint="default"/>
      </w:rPr>
    </w:lvl>
    <w:lvl w:ilvl="8">
      <w:start w:val="1"/>
      <w:numFmt w:val="bullet"/>
      <w:lvlText w:val="•"/>
      <w:lvlJc w:val="left"/>
      <w:pPr>
        <w:ind w:left="3054" w:hanging="284"/>
      </w:pPr>
      <w:rPr>
        <w:rFonts w:hint="default"/>
      </w:rPr>
    </w:lvl>
  </w:abstractNum>
  <w:abstractNum w:abstractNumId="48">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7">
    <w:multiLevelType w:val="hybridMultilevel"/>
    <w:lvl w:ilvl="0">
      <w:start w:val="3"/>
      <w:numFmt w:val="decimal"/>
      <w:lvlText w:val="%1"/>
      <w:lvlJc w:val="left"/>
      <w:pPr>
        <w:ind w:left="554" w:hanging="433"/>
        <w:jc w:val="left"/>
      </w:pPr>
      <w:rPr>
        <w:rFonts w:hint="default"/>
      </w:rPr>
    </w:lvl>
    <w:lvl w:ilvl="1">
      <w:start w:val="1"/>
      <w:numFmt w:val="decimal"/>
      <w:lvlText w:val="%1.%2"/>
      <w:lvlJc w:val="left"/>
      <w:pPr>
        <w:ind w:left="554" w:hanging="433"/>
        <w:jc w:val="left"/>
      </w:pPr>
      <w:rPr>
        <w:rFonts w:hint="default" w:ascii="Arial" w:hAnsi="Arial" w:eastAsia="Arial" w:cs="Arial"/>
        <w:b/>
        <w:bCs/>
        <w:spacing w:val="-1"/>
        <w:w w:val="99"/>
        <w:sz w:val="26"/>
        <w:szCs w:val="26"/>
      </w:rPr>
    </w:lvl>
    <w:lvl w:ilvl="2">
      <w:start w:val="1"/>
      <w:numFmt w:val="lowerLetter"/>
      <w:lvlText w:val="%3)"/>
      <w:lvlJc w:val="left"/>
      <w:pPr>
        <w:ind w:left="842" w:hanging="360"/>
        <w:jc w:val="left"/>
      </w:pPr>
      <w:rPr>
        <w:rFonts w:hint="default" w:ascii="Arial" w:hAnsi="Arial" w:eastAsia="Arial" w:cs="Arial"/>
        <w:w w:val="99"/>
        <w:sz w:val="24"/>
        <w:szCs w:val="24"/>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46">
    <w:multiLevelType w:val="hybridMultilevel"/>
    <w:lvl w:ilvl="0">
      <w:start w:val="1"/>
      <w:numFmt w:val="lowerLetter"/>
      <w:lvlText w:val="%1)"/>
      <w:lvlJc w:val="left"/>
      <w:pPr>
        <w:ind w:left="693" w:hanging="142"/>
        <w:jc w:val="left"/>
      </w:pPr>
      <w:rPr>
        <w:rFonts w:hint="default" w:ascii="Arial" w:hAnsi="Arial" w:eastAsia="Arial" w:cs="Arial"/>
        <w:spacing w:val="-1"/>
        <w:w w:val="99"/>
        <w:sz w:val="14"/>
        <w:szCs w:val="14"/>
      </w:rPr>
    </w:lvl>
    <w:lvl w:ilvl="1">
      <w:start w:val="1"/>
      <w:numFmt w:val="bullet"/>
      <w:lvlText w:val="•"/>
      <w:lvlJc w:val="left"/>
      <w:pPr>
        <w:ind w:left="1436" w:hanging="142"/>
      </w:pPr>
      <w:rPr>
        <w:rFonts w:hint="default"/>
      </w:rPr>
    </w:lvl>
    <w:lvl w:ilvl="2">
      <w:start w:val="1"/>
      <w:numFmt w:val="bullet"/>
      <w:lvlText w:val="•"/>
      <w:lvlJc w:val="left"/>
      <w:pPr>
        <w:ind w:left="2173" w:hanging="142"/>
      </w:pPr>
      <w:rPr>
        <w:rFonts w:hint="default"/>
      </w:rPr>
    </w:lvl>
    <w:lvl w:ilvl="3">
      <w:start w:val="1"/>
      <w:numFmt w:val="bullet"/>
      <w:lvlText w:val="•"/>
      <w:lvlJc w:val="left"/>
      <w:pPr>
        <w:ind w:left="2909" w:hanging="142"/>
      </w:pPr>
      <w:rPr>
        <w:rFonts w:hint="default"/>
      </w:rPr>
    </w:lvl>
    <w:lvl w:ilvl="4">
      <w:start w:val="1"/>
      <w:numFmt w:val="bullet"/>
      <w:lvlText w:val="•"/>
      <w:lvlJc w:val="left"/>
      <w:pPr>
        <w:ind w:left="3646" w:hanging="142"/>
      </w:pPr>
      <w:rPr>
        <w:rFonts w:hint="default"/>
      </w:rPr>
    </w:lvl>
    <w:lvl w:ilvl="5">
      <w:start w:val="1"/>
      <w:numFmt w:val="bullet"/>
      <w:lvlText w:val="•"/>
      <w:lvlJc w:val="left"/>
      <w:pPr>
        <w:ind w:left="4382" w:hanging="142"/>
      </w:pPr>
      <w:rPr>
        <w:rFonts w:hint="default"/>
      </w:rPr>
    </w:lvl>
    <w:lvl w:ilvl="6">
      <w:start w:val="1"/>
      <w:numFmt w:val="bullet"/>
      <w:lvlText w:val="•"/>
      <w:lvlJc w:val="left"/>
      <w:pPr>
        <w:ind w:left="5119" w:hanging="142"/>
      </w:pPr>
      <w:rPr>
        <w:rFonts w:hint="default"/>
      </w:rPr>
    </w:lvl>
    <w:lvl w:ilvl="7">
      <w:start w:val="1"/>
      <w:numFmt w:val="bullet"/>
      <w:lvlText w:val="•"/>
      <w:lvlJc w:val="left"/>
      <w:pPr>
        <w:ind w:left="5855" w:hanging="142"/>
      </w:pPr>
      <w:rPr>
        <w:rFonts w:hint="default"/>
      </w:rPr>
    </w:lvl>
    <w:lvl w:ilvl="8">
      <w:start w:val="1"/>
      <w:numFmt w:val="bullet"/>
      <w:lvlText w:val="•"/>
      <w:lvlJc w:val="left"/>
      <w:pPr>
        <w:ind w:left="6592" w:hanging="142"/>
      </w:pPr>
      <w:rPr>
        <w:rFonts w:hint="default"/>
      </w:rPr>
    </w:lvl>
  </w:abstractNum>
  <w:abstractNum w:abstractNumId="45">
    <w:multiLevelType w:val="hybridMultilevel"/>
    <w:lvl w:ilvl="0">
      <w:start w:val="1"/>
      <w:numFmt w:val="lowerLetter"/>
      <w:lvlText w:val="%1)"/>
      <w:lvlJc w:val="left"/>
      <w:pPr>
        <w:ind w:left="693" w:hanging="166"/>
        <w:jc w:val="left"/>
      </w:pPr>
      <w:rPr>
        <w:rFonts w:hint="default" w:ascii="Arial" w:hAnsi="Arial" w:eastAsia="Arial" w:cs="Arial"/>
        <w:spacing w:val="-1"/>
        <w:w w:val="99"/>
        <w:sz w:val="14"/>
        <w:szCs w:val="14"/>
      </w:rPr>
    </w:lvl>
    <w:lvl w:ilvl="1">
      <w:start w:val="1"/>
      <w:numFmt w:val="bullet"/>
      <w:lvlText w:val="•"/>
      <w:lvlJc w:val="left"/>
      <w:pPr>
        <w:ind w:left="1436" w:hanging="166"/>
      </w:pPr>
      <w:rPr>
        <w:rFonts w:hint="default"/>
      </w:rPr>
    </w:lvl>
    <w:lvl w:ilvl="2">
      <w:start w:val="1"/>
      <w:numFmt w:val="bullet"/>
      <w:lvlText w:val="•"/>
      <w:lvlJc w:val="left"/>
      <w:pPr>
        <w:ind w:left="2173" w:hanging="166"/>
      </w:pPr>
      <w:rPr>
        <w:rFonts w:hint="default"/>
      </w:rPr>
    </w:lvl>
    <w:lvl w:ilvl="3">
      <w:start w:val="1"/>
      <w:numFmt w:val="bullet"/>
      <w:lvlText w:val="•"/>
      <w:lvlJc w:val="left"/>
      <w:pPr>
        <w:ind w:left="2909" w:hanging="166"/>
      </w:pPr>
      <w:rPr>
        <w:rFonts w:hint="default"/>
      </w:rPr>
    </w:lvl>
    <w:lvl w:ilvl="4">
      <w:start w:val="1"/>
      <w:numFmt w:val="bullet"/>
      <w:lvlText w:val="•"/>
      <w:lvlJc w:val="left"/>
      <w:pPr>
        <w:ind w:left="3646" w:hanging="166"/>
      </w:pPr>
      <w:rPr>
        <w:rFonts w:hint="default"/>
      </w:rPr>
    </w:lvl>
    <w:lvl w:ilvl="5">
      <w:start w:val="1"/>
      <w:numFmt w:val="bullet"/>
      <w:lvlText w:val="•"/>
      <w:lvlJc w:val="left"/>
      <w:pPr>
        <w:ind w:left="4382" w:hanging="166"/>
      </w:pPr>
      <w:rPr>
        <w:rFonts w:hint="default"/>
      </w:rPr>
    </w:lvl>
    <w:lvl w:ilvl="6">
      <w:start w:val="1"/>
      <w:numFmt w:val="bullet"/>
      <w:lvlText w:val="•"/>
      <w:lvlJc w:val="left"/>
      <w:pPr>
        <w:ind w:left="5119" w:hanging="166"/>
      </w:pPr>
      <w:rPr>
        <w:rFonts w:hint="default"/>
      </w:rPr>
    </w:lvl>
    <w:lvl w:ilvl="7">
      <w:start w:val="1"/>
      <w:numFmt w:val="bullet"/>
      <w:lvlText w:val="•"/>
      <w:lvlJc w:val="left"/>
      <w:pPr>
        <w:ind w:left="5855" w:hanging="166"/>
      </w:pPr>
      <w:rPr>
        <w:rFonts w:hint="default"/>
      </w:rPr>
    </w:lvl>
    <w:lvl w:ilvl="8">
      <w:start w:val="1"/>
      <w:numFmt w:val="bullet"/>
      <w:lvlText w:val="•"/>
      <w:lvlJc w:val="left"/>
      <w:pPr>
        <w:ind w:left="6592" w:hanging="166"/>
      </w:pPr>
      <w:rPr>
        <w:rFonts w:hint="default"/>
      </w:rPr>
    </w:lvl>
  </w:abstractNum>
  <w:abstractNum w:abstractNumId="44">
    <w:multiLevelType w:val="hybridMultilevel"/>
    <w:lvl w:ilvl="0">
      <w:start w:val="1"/>
      <w:numFmt w:val="decimal"/>
      <w:lvlText w:val="%1)"/>
      <w:lvlJc w:val="left"/>
      <w:pPr>
        <w:ind w:left="549" w:hanging="286"/>
        <w:jc w:val="left"/>
      </w:pPr>
      <w:rPr>
        <w:rFonts w:hint="default" w:ascii="Arial" w:hAnsi="Arial" w:eastAsia="Arial" w:cs="Arial"/>
        <w:w w:val="99"/>
        <w:sz w:val="24"/>
        <w:szCs w:val="24"/>
      </w:rPr>
    </w:lvl>
    <w:lvl w:ilvl="1">
      <w:start w:val="1"/>
      <w:numFmt w:val="bullet"/>
      <w:lvlText w:val="•"/>
      <w:lvlJc w:val="left"/>
      <w:pPr>
        <w:ind w:left="1394" w:hanging="286"/>
      </w:pPr>
      <w:rPr>
        <w:rFonts w:hint="default"/>
      </w:rPr>
    </w:lvl>
    <w:lvl w:ilvl="2">
      <w:start w:val="1"/>
      <w:numFmt w:val="bullet"/>
      <w:lvlText w:val="•"/>
      <w:lvlJc w:val="left"/>
      <w:pPr>
        <w:ind w:left="2248" w:hanging="286"/>
      </w:pPr>
      <w:rPr>
        <w:rFonts w:hint="default"/>
      </w:rPr>
    </w:lvl>
    <w:lvl w:ilvl="3">
      <w:start w:val="1"/>
      <w:numFmt w:val="bullet"/>
      <w:lvlText w:val="•"/>
      <w:lvlJc w:val="left"/>
      <w:pPr>
        <w:ind w:left="3102" w:hanging="286"/>
      </w:pPr>
      <w:rPr>
        <w:rFonts w:hint="default"/>
      </w:rPr>
    </w:lvl>
    <w:lvl w:ilvl="4">
      <w:start w:val="1"/>
      <w:numFmt w:val="bullet"/>
      <w:lvlText w:val="•"/>
      <w:lvlJc w:val="left"/>
      <w:pPr>
        <w:ind w:left="3956" w:hanging="286"/>
      </w:pPr>
      <w:rPr>
        <w:rFonts w:hint="default"/>
      </w:rPr>
    </w:lvl>
    <w:lvl w:ilvl="5">
      <w:start w:val="1"/>
      <w:numFmt w:val="bullet"/>
      <w:lvlText w:val="•"/>
      <w:lvlJc w:val="left"/>
      <w:pPr>
        <w:ind w:left="4810" w:hanging="286"/>
      </w:pPr>
      <w:rPr>
        <w:rFonts w:hint="default"/>
      </w:rPr>
    </w:lvl>
    <w:lvl w:ilvl="6">
      <w:start w:val="1"/>
      <w:numFmt w:val="bullet"/>
      <w:lvlText w:val="•"/>
      <w:lvlJc w:val="left"/>
      <w:pPr>
        <w:ind w:left="5664" w:hanging="286"/>
      </w:pPr>
      <w:rPr>
        <w:rFonts w:hint="default"/>
      </w:rPr>
    </w:lvl>
    <w:lvl w:ilvl="7">
      <w:start w:val="1"/>
      <w:numFmt w:val="bullet"/>
      <w:lvlText w:val="•"/>
      <w:lvlJc w:val="left"/>
      <w:pPr>
        <w:ind w:left="6518" w:hanging="286"/>
      </w:pPr>
      <w:rPr>
        <w:rFonts w:hint="default"/>
      </w:rPr>
    </w:lvl>
    <w:lvl w:ilvl="8">
      <w:start w:val="1"/>
      <w:numFmt w:val="bullet"/>
      <w:lvlText w:val="•"/>
      <w:lvlJc w:val="left"/>
      <w:pPr>
        <w:ind w:left="7372" w:hanging="286"/>
      </w:pPr>
      <w:rPr>
        <w:rFonts w:hint="default"/>
      </w:rPr>
    </w:lvl>
  </w:abstractNum>
  <w:abstractNum w:abstractNumId="43">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decimal"/>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2">
    <w:multiLevelType w:val="hybridMultilevel"/>
    <w:lvl w:ilvl="0">
      <w:start w:val="16"/>
      <w:numFmt w:val="upperRoman"/>
      <w:lvlText w:val="%1."/>
      <w:lvlJc w:val="left"/>
      <w:pPr>
        <w:ind w:left="469" w:hanging="348"/>
        <w:jc w:val="left"/>
      </w:pPr>
      <w:rPr>
        <w:rFonts w:hint="default" w:ascii="Arial" w:hAnsi="Arial" w:eastAsia="Arial" w:cs="Arial"/>
        <w:spacing w:val="-5"/>
        <w:w w:val="100"/>
        <w:sz w:val="16"/>
        <w:szCs w:val="16"/>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44" w:hanging="360"/>
      </w:pPr>
      <w:rPr>
        <w:rFonts w:hint="default"/>
      </w:rPr>
    </w:lvl>
    <w:lvl w:ilvl="3">
      <w:start w:val="1"/>
      <w:numFmt w:val="bullet"/>
      <w:lvlText w:val="•"/>
      <w:lvlJc w:val="left"/>
      <w:pPr>
        <w:ind w:left="2668" w:hanging="360"/>
      </w:pPr>
      <w:rPr>
        <w:rFonts w:hint="default"/>
      </w:rPr>
    </w:lvl>
    <w:lvl w:ilvl="4">
      <w:start w:val="1"/>
      <w:numFmt w:val="bullet"/>
      <w:lvlText w:val="•"/>
      <w:lvlJc w:val="left"/>
      <w:pPr>
        <w:ind w:left="359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42"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91" w:hanging="360"/>
      </w:pPr>
      <w:rPr>
        <w:rFonts w:hint="default"/>
      </w:rPr>
    </w:lvl>
  </w:abstractNum>
  <w:abstractNum w:abstractNumId="41">
    <w:multiLevelType w:val="hybridMultilevel"/>
    <w:lvl w:ilvl="0">
      <w:start w:val="1"/>
      <w:numFmt w:val="lowerLetter"/>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72" w:hanging="360"/>
      </w:pPr>
      <w:rPr>
        <w:rFonts w:hint="default"/>
      </w:rPr>
    </w:lvl>
    <w:lvl w:ilvl="2">
      <w:start w:val="1"/>
      <w:numFmt w:val="bullet"/>
      <w:lvlText w:val="•"/>
      <w:lvlJc w:val="left"/>
      <w:pPr>
        <w:ind w:left="2504" w:hanging="360"/>
      </w:pPr>
      <w:rPr>
        <w:rFonts w:hint="default"/>
      </w:rPr>
    </w:lvl>
    <w:lvl w:ilvl="3">
      <w:start w:val="1"/>
      <w:numFmt w:val="bullet"/>
      <w:lvlText w:val="•"/>
      <w:lvlJc w:val="left"/>
      <w:pPr>
        <w:ind w:left="333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83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496" w:hanging="360"/>
      </w:pPr>
      <w:rPr>
        <w:rFonts w:hint="default"/>
      </w:rPr>
    </w:lvl>
  </w:abstractNum>
  <w:abstractNum w:abstractNumId="40">
    <w:multiLevelType w:val="hybridMultilevel"/>
    <w:lvl w:ilvl="0">
      <w:start w:val="2"/>
      <w:numFmt w:val="decimal"/>
      <w:lvlText w:val="%1"/>
      <w:lvlJc w:val="left"/>
      <w:pPr>
        <w:ind w:left="534" w:hanging="433"/>
        <w:jc w:val="left"/>
      </w:pPr>
      <w:rPr>
        <w:rFonts w:hint="default"/>
      </w:rPr>
    </w:lvl>
    <w:lvl w:ilvl="1">
      <w:start w:val="1"/>
      <w:numFmt w:val="decimal"/>
      <w:lvlText w:val="%1.%2"/>
      <w:lvlJc w:val="left"/>
      <w:pPr>
        <w:ind w:left="534" w:hanging="433"/>
        <w:jc w:val="left"/>
      </w:pPr>
      <w:rPr>
        <w:rFonts w:hint="default" w:ascii="Arial" w:hAnsi="Arial" w:eastAsia="Arial" w:cs="Arial"/>
        <w:b/>
        <w:bCs/>
        <w:spacing w:val="-1"/>
        <w:w w:val="99"/>
        <w:sz w:val="26"/>
        <w:szCs w:val="26"/>
      </w:rPr>
    </w:lvl>
    <w:lvl w:ilvl="2">
      <w:start w:val="1"/>
      <w:numFmt w:val="decimal"/>
      <w:lvlText w:val="%1.%2.%3"/>
      <w:lvlJc w:val="left"/>
      <w:pPr>
        <w:ind w:left="668" w:hanging="602"/>
        <w:jc w:val="left"/>
      </w:pPr>
      <w:rPr>
        <w:rFonts w:hint="default" w:ascii="Arial" w:hAnsi="Arial" w:eastAsia="Arial" w:cs="Arial"/>
        <w:b/>
        <w:bCs/>
        <w:spacing w:val="-2"/>
        <w:w w:val="99"/>
        <w:sz w:val="24"/>
        <w:szCs w:val="24"/>
      </w:rPr>
    </w:lvl>
    <w:lvl w:ilvl="3">
      <w:start w:val="1"/>
      <w:numFmt w:val="decimal"/>
      <w:lvlText w:val="%4)"/>
      <w:lvlJc w:val="left"/>
      <w:pPr>
        <w:ind w:left="842" w:hanging="360"/>
        <w:jc w:val="left"/>
      </w:pPr>
      <w:rPr>
        <w:rFonts w:hint="default" w:ascii="Arial" w:hAnsi="Arial" w:eastAsia="Arial" w:cs="Arial"/>
        <w:w w:val="99"/>
        <w:sz w:val="24"/>
        <w:szCs w:val="24"/>
      </w:rPr>
    </w:lvl>
    <w:lvl w:ilvl="4">
      <w:start w:val="1"/>
      <w:numFmt w:val="bullet"/>
      <w:lvlText w:val="•"/>
      <w:lvlJc w:val="left"/>
      <w:pPr>
        <w:ind w:left="720" w:hanging="360"/>
      </w:pPr>
      <w:rPr>
        <w:rFonts w:hint="default"/>
      </w:rPr>
    </w:lvl>
    <w:lvl w:ilvl="5">
      <w:start w:val="1"/>
      <w:numFmt w:val="bullet"/>
      <w:lvlText w:val="•"/>
      <w:lvlJc w:val="left"/>
      <w:pPr>
        <w:ind w:left="840" w:hanging="360"/>
      </w:pPr>
      <w:rPr>
        <w:rFonts w:hint="default"/>
      </w:rPr>
    </w:lvl>
    <w:lvl w:ilvl="6">
      <w:start w:val="1"/>
      <w:numFmt w:val="bullet"/>
      <w:lvlText w:val="•"/>
      <w:lvlJc w:val="left"/>
      <w:pPr>
        <w:ind w:left="2484" w:hanging="360"/>
      </w:pPr>
      <w:rPr>
        <w:rFonts w:hint="default"/>
      </w:rPr>
    </w:lvl>
    <w:lvl w:ilvl="7">
      <w:start w:val="1"/>
      <w:numFmt w:val="bullet"/>
      <w:lvlText w:val="•"/>
      <w:lvlJc w:val="left"/>
      <w:pPr>
        <w:ind w:left="4128" w:hanging="360"/>
      </w:pPr>
      <w:rPr>
        <w:rFonts w:hint="default"/>
      </w:rPr>
    </w:lvl>
    <w:lvl w:ilvl="8">
      <w:start w:val="1"/>
      <w:numFmt w:val="bullet"/>
      <w:lvlText w:val="•"/>
      <w:lvlJc w:val="left"/>
      <w:pPr>
        <w:ind w:left="5772" w:hanging="360"/>
      </w:pPr>
      <w:rPr>
        <w:rFonts w:hint="default"/>
      </w:rPr>
    </w:lvl>
  </w:abstractNum>
  <w:abstractNum w:abstractNumId="39">
    <w:multiLevelType w:val="hybridMultilevel"/>
    <w:lvl w:ilvl="0">
      <w:start w:val="1"/>
      <w:numFmt w:val="lowerLetter"/>
      <w:lvlText w:val="%1)"/>
      <w:lvlJc w:val="left"/>
      <w:pPr>
        <w:ind w:left="382" w:hanging="281"/>
        <w:jc w:val="right"/>
      </w:pPr>
      <w:rPr>
        <w:rFonts w:hint="default" w:ascii="Arial" w:hAnsi="Arial" w:eastAsia="Arial" w:cs="Arial"/>
        <w:i/>
        <w:spacing w:val="-2"/>
        <w:w w:val="99"/>
        <w:sz w:val="24"/>
        <w:szCs w:val="24"/>
      </w:rPr>
    </w:lvl>
    <w:lvl w:ilvl="1">
      <w:start w:val="1"/>
      <w:numFmt w:val="bullet"/>
      <w:lvlText w:val="•"/>
      <w:lvlJc w:val="left"/>
      <w:pPr>
        <w:ind w:left="1248" w:hanging="281"/>
      </w:pPr>
      <w:rPr>
        <w:rFonts w:hint="default"/>
      </w:rPr>
    </w:lvl>
    <w:lvl w:ilvl="2">
      <w:start w:val="1"/>
      <w:numFmt w:val="bullet"/>
      <w:lvlText w:val="•"/>
      <w:lvlJc w:val="left"/>
      <w:pPr>
        <w:ind w:left="2116" w:hanging="281"/>
      </w:pPr>
      <w:rPr>
        <w:rFonts w:hint="default"/>
      </w:rPr>
    </w:lvl>
    <w:lvl w:ilvl="3">
      <w:start w:val="1"/>
      <w:numFmt w:val="bullet"/>
      <w:lvlText w:val="•"/>
      <w:lvlJc w:val="left"/>
      <w:pPr>
        <w:ind w:left="2984" w:hanging="281"/>
      </w:pPr>
      <w:rPr>
        <w:rFonts w:hint="default"/>
      </w:rPr>
    </w:lvl>
    <w:lvl w:ilvl="4">
      <w:start w:val="1"/>
      <w:numFmt w:val="bullet"/>
      <w:lvlText w:val="•"/>
      <w:lvlJc w:val="left"/>
      <w:pPr>
        <w:ind w:left="3852" w:hanging="281"/>
      </w:pPr>
      <w:rPr>
        <w:rFonts w:hint="default"/>
      </w:rPr>
    </w:lvl>
    <w:lvl w:ilvl="5">
      <w:start w:val="1"/>
      <w:numFmt w:val="bullet"/>
      <w:lvlText w:val="•"/>
      <w:lvlJc w:val="left"/>
      <w:pPr>
        <w:ind w:left="4720" w:hanging="281"/>
      </w:pPr>
      <w:rPr>
        <w:rFonts w:hint="default"/>
      </w:rPr>
    </w:lvl>
    <w:lvl w:ilvl="6">
      <w:start w:val="1"/>
      <w:numFmt w:val="bullet"/>
      <w:lvlText w:val="•"/>
      <w:lvlJc w:val="left"/>
      <w:pPr>
        <w:ind w:left="5588" w:hanging="281"/>
      </w:pPr>
      <w:rPr>
        <w:rFonts w:hint="default"/>
      </w:rPr>
    </w:lvl>
    <w:lvl w:ilvl="7">
      <w:start w:val="1"/>
      <w:numFmt w:val="bullet"/>
      <w:lvlText w:val="•"/>
      <w:lvlJc w:val="left"/>
      <w:pPr>
        <w:ind w:left="6456" w:hanging="281"/>
      </w:pPr>
      <w:rPr>
        <w:rFonts w:hint="default"/>
      </w:rPr>
    </w:lvl>
    <w:lvl w:ilvl="8">
      <w:start w:val="1"/>
      <w:numFmt w:val="bullet"/>
      <w:lvlText w:val="•"/>
      <w:lvlJc w:val="left"/>
      <w:pPr>
        <w:ind w:left="7324" w:hanging="281"/>
      </w:pPr>
      <w:rPr>
        <w:rFonts w:hint="default"/>
      </w:rPr>
    </w:lvl>
  </w:abstractNum>
  <w:abstractNum w:abstractNumId="38">
    <w:multiLevelType w:val="hybridMultilevel"/>
    <w:lvl w:ilvl="0">
      <w:start w:val="1"/>
      <w:numFmt w:val="lowerLetter"/>
      <w:lvlText w:val="%1)"/>
      <w:lvlJc w:val="left"/>
      <w:pPr>
        <w:ind w:left="382" w:hanging="281"/>
        <w:jc w:val="left"/>
      </w:pPr>
      <w:rPr>
        <w:rFonts w:hint="default" w:ascii="Arial" w:hAnsi="Arial" w:eastAsia="Arial" w:cs="Arial"/>
        <w:i/>
        <w:spacing w:val="-2"/>
        <w:w w:val="99"/>
        <w:sz w:val="24"/>
        <w:szCs w:val="24"/>
      </w:rPr>
    </w:lvl>
    <w:lvl w:ilvl="1">
      <w:start w:val="1"/>
      <w:numFmt w:val="bullet"/>
      <w:lvlText w:val="•"/>
      <w:lvlJc w:val="left"/>
      <w:pPr>
        <w:ind w:left="1246" w:hanging="281"/>
      </w:pPr>
      <w:rPr>
        <w:rFonts w:hint="default"/>
      </w:rPr>
    </w:lvl>
    <w:lvl w:ilvl="2">
      <w:start w:val="1"/>
      <w:numFmt w:val="bullet"/>
      <w:lvlText w:val="•"/>
      <w:lvlJc w:val="left"/>
      <w:pPr>
        <w:ind w:left="2112" w:hanging="281"/>
      </w:pPr>
      <w:rPr>
        <w:rFonts w:hint="default"/>
      </w:rPr>
    </w:lvl>
    <w:lvl w:ilvl="3">
      <w:start w:val="1"/>
      <w:numFmt w:val="bullet"/>
      <w:lvlText w:val="•"/>
      <w:lvlJc w:val="left"/>
      <w:pPr>
        <w:ind w:left="2978" w:hanging="281"/>
      </w:pPr>
      <w:rPr>
        <w:rFonts w:hint="default"/>
      </w:rPr>
    </w:lvl>
    <w:lvl w:ilvl="4">
      <w:start w:val="1"/>
      <w:numFmt w:val="bullet"/>
      <w:lvlText w:val="•"/>
      <w:lvlJc w:val="left"/>
      <w:pPr>
        <w:ind w:left="3844" w:hanging="281"/>
      </w:pPr>
      <w:rPr>
        <w:rFonts w:hint="default"/>
      </w:rPr>
    </w:lvl>
    <w:lvl w:ilvl="5">
      <w:start w:val="1"/>
      <w:numFmt w:val="bullet"/>
      <w:lvlText w:val="•"/>
      <w:lvlJc w:val="left"/>
      <w:pPr>
        <w:ind w:left="4710" w:hanging="281"/>
      </w:pPr>
      <w:rPr>
        <w:rFonts w:hint="default"/>
      </w:rPr>
    </w:lvl>
    <w:lvl w:ilvl="6">
      <w:start w:val="1"/>
      <w:numFmt w:val="bullet"/>
      <w:lvlText w:val="•"/>
      <w:lvlJc w:val="left"/>
      <w:pPr>
        <w:ind w:left="5576" w:hanging="281"/>
      </w:pPr>
      <w:rPr>
        <w:rFonts w:hint="default"/>
      </w:rPr>
    </w:lvl>
    <w:lvl w:ilvl="7">
      <w:start w:val="1"/>
      <w:numFmt w:val="bullet"/>
      <w:lvlText w:val="•"/>
      <w:lvlJc w:val="left"/>
      <w:pPr>
        <w:ind w:left="6442" w:hanging="281"/>
      </w:pPr>
      <w:rPr>
        <w:rFonts w:hint="default"/>
      </w:rPr>
    </w:lvl>
    <w:lvl w:ilvl="8">
      <w:start w:val="1"/>
      <w:numFmt w:val="bullet"/>
      <w:lvlText w:val="•"/>
      <w:lvlJc w:val="left"/>
      <w:pPr>
        <w:ind w:left="7308" w:hanging="281"/>
      </w:pPr>
      <w:rPr>
        <w:rFonts w:hint="default"/>
      </w:rPr>
    </w:lvl>
  </w:abstractNum>
  <w:abstractNum w:abstractNumId="37">
    <w:multiLevelType w:val="hybridMultilevel"/>
    <w:lvl w:ilvl="0">
      <w:start w:val="1"/>
      <w:numFmt w:val="lowerLetter"/>
      <w:lvlText w:val="%1)"/>
      <w:lvlJc w:val="left"/>
      <w:pPr>
        <w:ind w:left="382" w:hanging="281"/>
        <w:jc w:val="left"/>
      </w:pPr>
      <w:rPr>
        <w:rFonts w:hint="default" w:ascii="Arial" w:hAnsi="Arial" w:eastAsia="Arial" w:cs="Arial"/>
        <w:i/>
        <w:spacing w:val="-3"/>
        <w:w w:val="99"/>
        <w:sz w:val="24"/>
        <w:szCs w:val="24"/>
      </w:rPr>
    </w:lvl>
    <w:lvl w:ilvl="1">
      <w:start w:val="1"/>
      <w:numFmt w:val="decimal"/>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36">
    <w:multiLevelType w:val="hybridMultilevel"/>
    <w:lvl w:ilvl="0">
      <w:start w:val="1"/>
      <w:numFmt w:val="lowerLetter"/>
      <w:lvlText w:val="%1)"/>
      <w:lvlJc w:val="left"/>
      <w:pPr>
        <w:ind w:left="402" w:hanging="281"/>
        <w:jc w:val="left"/>
      </w:pPr>
      <w:rPr>
        <w:rFonts w:hint="default" w:ascii="Arial" w:hAnsi="Arial" w:eastAsia="Arial" w:cs="Arial"/>
        <w:i/>
        <w:spacing w:val="-2"/>
        <w:w w:val="99"/>
        <w:sz w:val="24"/>
        <w:szCs w:val="24"/>
      </w:rPr>
    </w:lvl>
    <w:lvl w:ilvl="1">
      <w:start w:val="1"/>
      <w:numFmt w:val="bullet"/>
      <w:lvlText w:val="•"/>
      <w:lvlJc w:val="left"/>
      <w:pPr>
        <w:ind w:left="1268" w:hanging="281"/>
      </w:pPr>
      <w:rPr>
        <w:rFonts w:hint="default"/>
      </w:rPr>
    </w:lvl>
    <w:lvl w:ilvl="2">
      <w:start w:val="1"/>
      <w:numFmt w:val="bullet"/>
      <w:lvlText w:val="•"/>
      <w:lvlJc w:val="left"/>
      <w:pPr>
        <w:ind w:left="2136" w:hanging="281"/>
      </w:pPr>
      <w:rPr>
        <w:rFonts w:hint="default"/>
      </w:rPr>
    </w:lvl>
    <w:lvl w:ilvl="3">
      <w:start w:val="1"/>
      <w:numFmt w:val="bullet"/>
      <w:lvlText w:val="•"/>
      <w:lvlJc w:val="left"/>
      <w:pPr>
        <w:ind w:left="3004" w:hanging="281"/>
      </w:pPr>
      <w:rPr>
        <w:rFonts w:hint="default"/>
      </w:rPr>
    </w:lvl>
    <w:lvl w:ilvl="4">
      <w:start w:val="1"/>
      <w:numFmt w:val="bullet"/>
      <w:lvlText w:val="•"/>
      <w:lvlJc w:val="left"/>
      <w:pPr>
        <w:ind w:left="3872" w:hanging="281"/>
      </w:pPr>
      <w:rPr>
        <w:rFonts w:hint="default"/>
      </w:rPr>
    </w:lvl>
    <w:lvl w:ilvl="5">
      <w:start w:val="1"/>
      <w:numFmt w:val="bullet"/>
      <w:lvlText w:val="•"/>
      <w:lvlJc w:val="left"/>
      <w:pPr>
        <w:ind w:left="4740" w:hanging="281"/>
      </w:pPr>
      <w:rPr>
        <w:rFonts w:hint="default"/>
      </w:rPr>
    </w:lvl>
    <w:lvl w:ilvl="6">
      <w:start w:val="1"/>
      <w:numFmt w:val="bullet"/>
      <w:lvlText w:val="•"/>
      <w:lvlJc w:val="left"/>
      <w:pPr>
        <w:ind w:left="5608" w:hanging="281"/>
      </w:pPr>
      <w:rPr>
        <w:rFonts w:hint="default"/>
      </w:rPr>
    </w:lvl>
    <w:lvl w:ilvl="7">
      <w:start w:val="1"/>
      <w:numFmt w:val="bullet"/>
      <w:lvlText w:val="•"/>
      <w:lvlJc w:val="left"/>
      <w:pPr>
        <w:ind w:left="6476" w:hanging="281"/>
      </w:pPr>
      <w:rPr>
        <w:rFonts w:hint="default"/>
      </w:rPr>
    </w:lvl>
    <w:lvl w:ilvl="8">
      <w:start w:val="1"/>
      <w:numFmt w:val="bullet"/>
      <w:lvlText w:val="•"/>
      <w:lvlJc w:val="left"/>
      <w:pPr>
        <w:ind w:left="7344" w:hanging="281"/>
      </w:pPr>
      <w:rPr>
        <w:rFonts w:hint="default"/>
      </w:rPr>
    </w:lvl>
  </w:abstractNum>
  <w:abstractNum w:abstractNumId="29">
    <w:multiLevelType w:val="hybridMultilevel"/>
    <w:lvl w:ilvl="0">
      <w:start w:val="15"/>
      <w:numFmt w:val="decimal"/>
      <w:lvlText w:val="%1."/>
      <w:lvlJc w:val="left"/>
      <w:pPr>
        <w:ind w:left="133" w:hanging="178"/>
        <w:jc w:val="left"/>
      </w:pPr>
      <w:rPr>
        <w:rFonts w:hint="default" w:ascii="Arial" w:hAnsi="Arial" w:eastAsia="Arial" w:cs="Arial"/>
        <w:w w:val="102"/>
        <w:sz w:val="12"/>
        <w:szCs w:val="12"/>
      </w:rPr>
    </w:lvl>
    <w:lvl w:ilvl="1">
      <w:start w:val="1"/>
      <w:numFmt w:val="bullet"/>
      <w:lvlText w:val="•"/>
      <w:lvlJc w:val="left"/>
      <w:pPr>
        <w:ind w:left="475" w:hanging="178"/>
      </w:pPr>
      <w:rPr>
        <w:rFonts w:hint="default"/>
      </w:rPr>
    </w:lvl>
    <w:lvl w:ilvl="2">
      <w:start w:val="1"/>
      <w:numFmt w:val="bullet"/>
      <w:lvlText w:val="•"/>
      <w:lvlJc w:val="left"/>
      <w:pPr>
        <w:ind w:left="810" w:hanging="178"/>
      </w:pPr>
      <w:rPr>
        <w:rFonts w:hint="default"/>
      </w:rPr>
    </w:lvl>
    <w:lvl w:ilvl="3">
      <w:start w:val="1"/>
      <w:numFmt w:val="bullet"/>
      <w:lvlText w:val="•"/>
      <w:lvlJc w:val="left"/>
      <w:pPr>
        <w:ind w:left="1145" w:hanging="178"/>
      </w:pPr>
      <w:rPr>
        <w:rFonts w:hint="default"/>
      </w:rPr>
    </w:lvl>
    <w:lvl w:ilvl="4">
      <w:start w:val="1"/>
      <w:numFmt w:val="bullet"/>
      <w:lvlText w:val="•"/>
      <w:lvlJc w:val="left"/>
      <w:pPr>
        <w:ind w:left="1481" w:hanging="178"/>
      </w:pPr>
      <w:rPr>
        <w:rFonts w:hint="default"/>
      </w:rPr>
    </w:lvl>
    <w:lvl w:ilvl="5">
      <w:start w:val="1"/>
      <w:numFmt w:val="bullet"/>
      <w:lvlText w:val="•"/>
      <w:lvlJc w:val="left"/>
      <w:pPr>
        <w:ind w:left="1816" w:hanging="178"/>
      </w:pPr>
      <w:rPr>
        <w:rFonts w:hint="default"/>
      </w:rPr>
    </w:lvl>
    <w:lvl w:ilvl="6">
      <w:start w:val="1"/>
      <w:numFmt w:val="bullet"/>
      <w:lvlText w:val="•"/>
      <w:lvlJc w:val="left"/>
      <w:pPr>
        <w:ind w:left="2151" w:hanging="178"/>
      </w:pPr>
      <w:rPr>
        <w:rFonts w:hint="default"/>
      </w:rPr>
    </w:lvl>
    <w:lvl w:ilvl="7">
      <w:start w:val="1"/>
      <w:numFmt w:val="bullet"/>
      <w:lvlText w:val="•"/>
      <w:lvlJc w:val="left"/>
      <w:pPr>
        <w:ind w:left="2486" w:hanging="178"/>
      </w:pPr>
      <w:rPr>
        <w:rFonts w:hint="default"/>
      </w:rPr>
    </w:lvl>
    <w:lvl w:ilvl="8">
      <w:start w:val="1"/>
      <w:numFmt w:val="bullet"/>
      <w:lvlText w:val="•"/>
      <w:lvlJc w:val="left"/>
      <w:pPr>
        <w:ind w:left="2822" w:hanging="178"/>
      </w:pPr>
      <w:rPr>
        <w:rFonts w:hint="default"/>
      </w:rPr>
    </w:lvl>
  </w:abstractNum>
  <w:abstractNum w:abstractNumId="28">
    <w:multiLevelType w:val="hybridMultilevel"/>
    <w:lvl w:ilvl="0">
      <w:start w:val="4"/>
      <w:numFmt w:val="decimal"/>
      <w:lvlText w:val="%1."/>
      <w:lvlJc w:val="left"/>
      <w:pPr>
        <w:ind w:left="133" w:hanging="110"/>
        <w:jc w:val="left"/>
      </w:pPr>
      <w:rPr>
        <w:rFonts w:hint="default" w:ascii="Arial" w:hAnsi="Arial" w:eastAsia="Arial" w:cs="Arial"/>
        <w:w w:val="102"/>
        <w:sz w:val="12"/>
        <w:szCs w:val="12"/>
      </w:rPr>
    </w:lvl>
    <w:lvl w:ilvl="1">
      <w:start w:val="1"/>
      <w:numFmt w:val="bullet"/>
      <w:lvlText w:val="•"/>
      <w:lvlJc w:val="left"/>
      <w:pPr>
        <w:ind w:left="475" w:hanging="110"/>
      </w:pPr>
      <w:rPr>
        <w:rFonts w:hint="default"/>
      </w:rPr>
    </w:lvl>
    <w:lvl w:ilvl="2">
      <w:start w:val="1"/>
      <w:numFmt w:val="bullet"/>
      <w:lvlText w:val="•"/>
      <w:lvlJc w:val="left"/>
      <w:pPr>
        <w:ind w:left="810" w:hanging="110"/>
      </w:pPr>
      <w:rPr>
        <w:rFonts w:hint="default"/>
      </w:rPr>
    </w:lvl>
    <w:lvl w:ilvl="3">
      <w:start w:val="1"/>
      <w:numFmt w:val="bullet"/>
      <w:lvlText w:val="•"/>
      <w:lvlJc w:val="left"/>
      <w:pPr>
        <w:ind w:left="1145" w:hanging="110"/>
      </w:pPr>
      <w:rPr>
        <w:rFonts w:hint="default"/>
      </w:rPr>
    </w:lvl>
    <w:lvl w:ilvl="4">
      <w:start w:val="1"/>
      <w:numFmt w:val="bullet"/>
      <w:lvlText w:val="•"/>
      <w:lvlJc w:val="left"/>
      <w:pPr>
        <w:ind w:left="1481" w:hanging="110"/>
      </w:pPr>
      <w:rPr>
        <w:rFonts w:hint="default"/>
      </w:rPr>
    </w:lvl>
    <w:lvl w:ilvl="5">
      <w:start w:val="1"/>
      <w:numFmt w:val="bullet"/>
      <w:lvlText w:val="•"/>
      <w:lvlJc w:val="left"/>
      <w:pPr>
        <w:ind w:left="1816" w:hanging="110"/>
      </w:pPr>
      <w:rPr>
        <w:rFonts w:hint="default"/>
      </w:rPr>
    </w:lvl>
    <w:lvl w:ilvl="6">
      <w:start w:val="1"/>
      <w:numFmt w:val="bullet"/>
      <w:lvlText w:val="•"/>
      <w:lvlJc w:val="left"/>
      <w:pPr>
        <w:ind w:left="2151" w:hanging="110"/>
      </w:pPr>
      <w:rPr>
        <w:rFonts w:hint="default"/>
      </w:rPr>
    </w:lvl>
    <w:lvl w:ilvl="7">
      <w:start w:val="1"/>
      <w:numFmt w:val="bullet"/>
      <w:lvlText w:val="•"/>
      <w:lvlJc w:val="left"/>
      <w:pPr>
        <w:ind w:left="2486" w:hanging="110"/>
      </w:pPr>
      <w:rPr>
        <w:rFonts w:hint="default"/>
      </w:rPr>
    </w:lvl>
    <w:lvl w:ilvl="8">
      <w:start w:val="1"/>
      <w:numFmt w:val="bullet"/>
      <w:lvlText w:val="•"/>
      <w:lvlJc w:val="left"/>
      <w:pPr>
        <w:ind w:left="2822" w:hanging="110"/>
      </w:pPr>
      <w:rPr>
        <w:rFonts w:hint="default"/>
      </w:rPr>
    </w:lvl>
  </w:abstractNum>
  <w:abstractNum w:abstractNumId="27">
    <w:multiLevelType w:val="hybridMultilevel"/>
    <w:lvl w:ilvl="0">
      <w:start w:val="1"/>
      <w:numFmt w:val="decimal"/>
      <w:lvlText w:val="%1."/>
      <w:lvlJc w:val="left"/>
      <w:pPr>
        <w:ind w:left="133" w:hanging="110"/>
        <w:jc w:val="left"/>
      </w:pPr>
      <w:rPr>
        <w:rFonts w:hint="default" w:ascii="Arial" w:hAnsi="Arial" w:eastAsia="Arial" w:cs="Arial"/>
        <w:w w:val="102"/>
        <w:sz w:val="12"/>
        <w:szCs w:val="12"/>
      </w:rPr>
    </w:lvl>
    <w:lvl w:ilvl="1">
      <w:start w:val="1"/>
      <w:numFmt w:val="bullet"/>
      <w:lvlText w:val="•"/>
      <w:lvlJc w:val="left"/>
      <w:pPr>
        <w:ind w:left="475" w:hanging="110"/>
      </w:pPr>
      <w:rPr>
        <w:rFonts w:hint="default"/>
      </w:rPr>
    </w:lvl>
    <w:lvl w:ilvl="2">
      <w:start w:val="1"/>
      <w:numFmt w:val="bullet"/>
      <w:lvlText w:val="•"/>
      <w:lvlJc w:val="left"/>
      <w:pPr>
        <w:ind w:left="810" w:hanging="110"/>
      </w:pPr>
      <w:rPr>
        <w:rFonts w:hint="default"/>
      </w:rPr>
    </w:lvl>
    <w:lvl w:ilvl="3">
      <w:start w:val="1"/>
      <w:numFmt w:val="bullet"/>
      <w:lvlText w:val="•"/>
      <w:lvlJc w:val="left"/>
      <w:pPr>
        <w:ind w:left="1145" w:hanging="110"/>
      </w:pPr>
      <w:rPr>
        <w:rFonts w:hint="default"/>
      </w:rPr>
    </w:lvl>
    <w:lvl w:ilvl="4">
      <w:start w:val="1"/>
      <w:numFmt w:val="bullet"/>
      <w:lvlText w:val="•"/>
      <w:lvlJc w:val="left"/>
      <w:pPr>
        <w:ind w:left="1481" w:hanging="110"/>
      </w:pPr>
      <w:rPr>
        <w:rFonts w:hint="default"/>
      </w:rPr>
    </w:lvl>
    <w:lvl w:ilvl="5">
      <w:start w:val="1"/>
      <w:numFmt w:val="bullet"/>
      <w:lvlText w:val="•"/>
      <w:lvlJc w:val="left"/>
      <w:pPr>
        <w:ind w:left="1816" w:hanging="110"/>
      </w:pPr>
      <w:rPr>
        <w:rFonts w:hint="default"/>
      </w:rPr>
    </w:lvl>
    <w:lvl w:ilvl="6">
      <w:start w:val="1"/>
      <w:numFmt w:val="bullet"/>
      <w:lvlText w:val="•"/>
      <w:lvlJc w:val="left"/>
      <w:pPr>
        <w:ind w:left="2151" w:hanging="110"/>
      </w:pPr>
      <w:rPr>
        <w:rFonts w:hint="default"/>
      </w:rPr>
    </w:lvl>
    <w:lvl w:ilvl="7">
      <w:start w:val="1"/>
      <w:numFmt w:val="bullet"/>
      <w:lvlText w:val="•"/>
      <w:lvlJc w:val="left"/>
      <w:pPr>
        <w:ind w:left="2486" w:hanging="110"/>
      </w:pPr>
      <w:rPr>
        <w:rFonts w:hint="default"/>
      </w:rPr>
    </w:lvl>
    <w:lvl w:ilvl="8">
      <w:start w:val="1"/>
      <w:numFmt w:val="bullet"/>
      <w:lvlText w:val="•"/>
      <w:lvlJc w:val="left"/>
      <w:pPr>
        <w:ind w:left="2822" w:hanging="110"/>
      </w:pPr>
      <w:rPr>
        <w:rFonts w:hint="default"/>
      </w:rPr>
    </w:lvl>
  </w:abstractNum>
  <w:abstractNum w:abstractNumId="26">
    <w:multiLevelType w:val="hybridMultilevel"/>
    <w:lvl w:ilvl="0">
      <w:start w:val="1"/>
      <w:numFmt w:val="decimal"/>
      <w:lvlText w:val="%1)"/>
      <w:lvlJc w:val="left"/>
      <w:pPr>
        <w:ind w:left="76" w:hanging="137"/>
        <w:jc w:val="left"/>
      </w:pPr>
      <w:rPr>
        <w:rFonts w:hint="default" w:ascii="Arial" w:hAnsi="Arial" w:eastAsia="Arial" w:cs="Arial"/>
        <w:w w:val="102"/>
        <w:sz w:val="12"/>
        <w:szCs w:val="12"/>
      </w:rPr>
    </w:lvl>
    <w:lvl w:ilvl="1">
      <w:start w:val="1"/>
      <w:numFmt w:val="bullet"/>
      <w:lvlText w:val="•"/>
      <w:lvlJc w:val="left"/>
      <w:pPr>
        <w:ind w:left="499" w:hanging="137"/>
      </w:pPr>
      <w:rPr>
        <w:rFonts w:hint="default"/>
      </w:rPr>
    </w:lvl>
    <w:lvl w:ilvl="2">
      <w:start w:val="1"/>
      <w:numFmt w:val="bullet"/>
      <w:lvlText w:val="•"/>
      <w:lvlJc w:val="left"/>
      <w:pPr>
        <w:ind w:left="918" w:hanging="137"/>
      </w:pPr>
      <w:rPr>
        <w:rFonts w:hint="default"/>
      </w:rPr>
    </w:lvl>
    <w:lvl w:ilvl="3">
      <w:start w:val="1"/>
      <w:numFmt w:val="bullet"/>
      <w:lvlText w:val="•"/>
      <w:lvlJc w:val="left"/>
      <w:pPr>
        <w:ind w:left="1337" w:hanging="137"/>
      </w:pPr>
      <w:rPr>
        <w:rFonts w:hint="default"/>
      </w:rPr>
    </w:lvl>
    <w:lvl w:ilvl="4">
      <w:start w:val="1"/>
      <w:numFmt w:val="bullet"/>
      <w:lvlText w:val="•"/>
      <w:lvlJc w:val="left"/>
      <w:pPr>
        <w:ind w:left="1756" w:hanging="137"/>
      </w:pPr>
      <w:rPr>
        <w:rFonts w:hint="default"/>
      </w:rPr>
    </w:lvl>
    <w:lvl w:ilvl="5">
      <w:start w:val="1"/>
      <w:numFmt w:val="bullet"/>
      <w:lvlText w:val="•"/>
      <w:lvlJc w:val="left"/>
      <w:pPr>
        <w:ind w:left="2175" w:hanging="137"/>
      </w:pPr>
      <w:rPr>
        <w:rFonts w:hint="default"/>
      </w:rPr>
    </w:lvl>
    <w:lvl w:ilvl="6">
      <w:start w:val="1"/>
      <w:numFmt w:val="bullet"/>
      <w:lvlText w:val="•"/>
      <w:lvlJc w:val="left"/>
      <w:pPr>
        <w:ind w:left="2594" w:hanging="137"/>
      </w:pPr>
      <w:rPr>
        <w:rFonts w:hint="default"/>
      </w:rPr>
    </w:lvl>
    <w:lvl w:ilvl="7">
      <w:start w:val="1"/>
      <w:numFmt w:val="bullet"/>
      <w:lvlText w:val="•"/>
      <w:lvlJc w:val="left"/>
      <w:pPr>
        <w:ind w:left="3013" w:hanging="137"/>
      </w:pPr>
      <w:rPr>
        <w:rFonts w:hint="default"/>
      </w:rPr>
    </w:lvl>
    <w:lvl w:ilvl="8">
      <w:start w:val="1"/>
      <w:numFmt w:val="bullet"/>
      <w:lvlText w:val="•"/>
      <w:lvlJc w:val="left"/>
      <w:pPr>
        <w:ind w:left="3432" w:hanging="137"/>
      </w:pPr>
      <w:rPr>
        <w:rFonts w:hint="default"/>
      </w:rPr>
    </w:lvl>
  </w:abstractNum>
  <w:abstractNum w:abstractNumId="25">
    <w:multiLevelType w:val="hybridMultilevel"/>
    <w:lvl w:ilvl="0">
      <w:start w:val="4"/>
      <w:numFmt w:val="decimal"/>
      <w:lvlText w:val="%1)"/>
      <w:lvlJc w:val="left"/>
      <w:pPr>
        <w:ind w:left="76" w:hanging="137"/>
        <w:jc w:val="left"/>
      </w:pPr>
      <w:rPr>
        <w:rFonts w:hint="default" w:ascii="Arial" w:hAnsi="Arial" w:eastAsia="Arial" w:cs="Arial"/>
        <w:w w:val="102"/>
        <w:sz w:val="12"/>
        <w:szCs w:val="12"/>
      </w:rPr>
    </w:lvl>
    <w:lvl w:ilvl="1">
      <w:start w:val="1"/>
      <w:numFmt w:val="bullet"/>
      <w:lvlText w:val="•"/>
      <w:lvlJc w:val="left"/>
      <w:pPr>
        <w:ind w:left="1020" w:hanging="137"/>
      </w:pPr>
      <w:rPr>
        <w:rFonts w:hint="default"/>
      </w:rPr>
    </w:lvl>
    <w:lvl w:ilvl="2">
      <w:start w:val="1"/>
      <w:numFmt w:val="bullet"/>
      <w:lvlText w:val="•"/>
      <w:lvlJc w:val="left"/>
      <w:pPr>
        <w:ind w:left="1381" w:hanging="137"/>
      </w:pPr>
      <w:rPr>
        <w:rFonts w:hint="default"/>
      </w:rPr>
    </w:lvl>
    <w:lvl w:ilvl="3">
      <w:start w:val="1"/>
      <w:numFmt w:val="bullet"/>
      <w:lvlText w:val="•"/>
      <w:lvlJc w:val="left"/>
      <w:pPr>
        <w:ind w:left="1742" w:hanging="137"/>
      </w:pPr>
      <w:rPr>
        <w:rFonts w:hint="default"/>
      </w:rPr>
    </w:lvl>
    <w:lvl w:ilvl="4">
      <w:start w:val="1"/>
      <w:numFmt w:val="bullet"/>
      <w:lvlText w:val="•"/>
      <w:lvlJc w:val="left"/>
      <w:pPr>
        <w:ind w:left="2103" w:hanging="137"/>
      </w:pPr>
      <w:rPr>
        <w:rFonts w:hint="default"/>
      </w:rPr>
    </w:lvl>
    <w:lvl w:ilvl="5">
      <w:start w:val="1"/>
      <w:numFmt w:val="bullet"/>
      <w:lvlText w:val="•"/>
      <w:lvlJc w:val="left"/>
      <w:pPr>
        <w:ind w:left="2464" w:hanging="137"/>
      </w:pPr>
      <w:rPr>
        <w:rFonts w:hint="default"/>
      </w:rPr>
    </w:lvl>
    <w:lvl w:ilvl="6">
      <w:start w:val="1"/>
      <w:numFmt w:val="bullet"/>
      <w:lvlText w:val="•"/>
      <w:lvlJc w:val="left"/>
      <w:pPr>
        <w:ind w:left="2825" w:hanging="137"/>
      </w:pPr>
      <w:rPr>
        <w:rFonts w:hint="default"/>
      </w:rPr>
    </w:lvl>
    <w:lvl w:ilvl="7">
      <w:start w:val="1"/>
      <w:numFmt w:val="bullet"/>
      <w:lvlText w:val="•"/>
      <w:lvlJc w:val="left"/>
      <w:pPr>
        <w:ind w:left="3186" w:hanging="137"/>
      </w:pPr>
      <w:rPr>
        <w:rFonts w:hint="default"/>
      </w:rPr>
    </w:lvl>
    <w:lvl w:ilvl="8">
      <w:start w:val="1"/>
      <w:numFmt w:val="bullet"/>
      <w:lvlText w:val="•"/>
      <w:lvlJc w:val="left"/>
      <w:pPr>
        <w:ind w:left="3548" w:hanging="137"/>
      </w:pPr>
      <w:rPr>
        <w:rFonts w:hint="default"/>
      </w:rPr>
    </w:lvl>
  </w:abstractNum>
  <w:abstractNum w:abstractNumId="24">
    <w:multiLevelType w:val="hybridMultilevel"/>
    <w:lvl w:ilvl="0">
      <w:start w:val="1"/>
      <w:numFmt w:val="decimal"/>
      <w:lvlText w:val="%1)"/>
      <w:lvlJc w:val="left"/>
      <w:pPr>
        <w:ind w:left="76" w:hanging="111"/>
        <w:jc w:val="left"/>
      </w:pPr>
      <w:rPr>
        <w:rFonts w:hint="default" w:ascii="Arial" w:hAnsi="Arial" w:eastAsia="Arial" w:cs="Arial"/>
        <w:spacing w:val="-1"/>
        <w:w w:val="102"/>
        <w:sz w:val="12"/>
        <w:szCs w:val="12"/>
      </w:rPr>
    </w:lvl>
    <w:lvl w:ilvl="1">
      <w:start w:val="1"/>
      <w:numFmt w:val="bullet"/>
      <w:lvlText w:val="•"/>
      <w:lvlJc w:val="left"/>
      <w:pPr>
        <w:ind w:left="499" w:hanging="111"/>
      </w:pPr>
      <w:rPr>
        <w:rFonts w:hint="default"/>
      </w:rPr>
    </w:lvl>
    <w:lvl w:ilvl="2">
      <w:start w:val="1"/>
      <w:numFmt w:val="bullet"/>
      <w:lvlText w:val="•"/>
      <w:lvlJc w:val="left"/>
      <w:pPr>
        <w:ind w:left="918" w:hanging="111"/>
      </w:pPr>
      <w:rPr>
        <w:rFonts w:hint="default"/>
      </w:rPr>
    </w:lvl>
    <w:lvl w:ilvl="3">
      <w:start w:val="1"/>
      <w:numFmt w:val="bullet"/>
      <w:lvlText w:val="•"/>
      <w:lvlJc w:val="left"/>
      <w:pPr>
        <w:ind w:left="1337" w:hanging="111"/>
      </w:pPr>
      <w:rPr>
        <w:rFonts w:hint="default"/>
      </w:rPr>
    </w:lvl>
    <w:lvl w:ilvl="4">
      <w:start w:val="1"/>
      <w:numFmt w:val="bullet"/>
      <w:lvlText w:val="•"/>
      <w:lvlJc w:val="left"/>
      <w:pPr>
        <w:ind w:left="1756" w:hanging="111"/>
      </w:pPr>
      <w:rPr>
        <w:rFonts w:hint="default"/>
      </w:rPr>
    </w:lvl>
    <w:lvl w:ilvl="5">
      <w:start w:val="1"/>
      <w:numFmt w:val="bullet"/>
      <w:lvlText w:val="•"/>
      <w:lvlJc w:val="left"/>
      <w:pPr>
        <w:ind w:left="2175" w:hanging="111"/>
      </w:pPr>
      <w:rPr>
        <w:rFonts w:hint="default"/>
      </w:rPr>
    </w:lvl>
    <w:lvl w:ilvl="6">
      <w:start w:val="1"/>
      <w:numFmt w:val="bullet"/>
      <w:lvlText w:val="•"/>
      <w:lvlJc w:val="left"/>
      <w:pPr>
        <w:ind w:left="2594" w:hanging="111"/>
      </w:pPr>
      <w:rPr>
        <w:rFonts w:hint="default"/>
      </w:rPr>
    </w:lvl>
    <w:lvl w:ilvl="7">
      <w:start w:val="1"/>
      <w:numFmt w:val="bullet"/>
      <w:lvlText w:val="•"/>
      <w:lvlJc w:val="left"/>
      <w:pPr>
        <w:ind w:left="3013" w:hanging="111"/>
      </w:pPr>
      <w:rPr>
        <w:rFonts w:hint="default"/>
      </w:rPr>
    </w:lvl>
    <w:lvl w:ilvl="8">
      <w:start w:val="1"/>
      <w:numFmt w:val="bullet"/>
      <w:lvlText w:val="•"/>
      <w:lvlJc w:val="left"/>
      <w:pPr>
        <w:ind w:left="3432" w:hanging="111"/>
      </w:pPr>
      <w:rPr>
        <w:rFonts w:hint="default"/>
      </w:rPr>
    </w:lvl>
  </w:abstractNum>
  <w:abstractNum w:abstractNumId="35">
    <w:multiLevelType w:val="hybridMultilevel"/>
    <w:lvl w:ilvl="0">
      <w:start w:val="10"/>
      <w:numFmt w:val="decimal"/>
      <w:lvlText w:val="%1."/>
      <w:lvlJc w:val="left"/>
      <w:pPr>
        <w:ind w:left="5225" w:hanging="178"/>
        <w:jc w:val="left"/>
      </w:pPr>
      <w:rPr>
        <w:rFonts w:hint="default" w:ascii="Arial" w:hAnsi="Arial" w:eastAsia="Arial" w:cs="Arial"/>
        <w:spacing w:val="-1"/>
        <w:w w:val="102"/>
        <w:sz w:val="12"/>
        <w:szCs w:val="12"/>
      </w:rPr>
    </w:lvl>
    <w:lvl w:ilvl="1">
      <w:start w:val="1"/>
      <w:numFmt w:val="bullet"/>
      <w:lvlText w:val="•"/>
      <w:lvlJc w:val="left"/>
      <w:pPr>
        <w:ind w:left="6028" w:hanging="178"/>
      </w:pPr>
      <w:rPr>
        <w:rFonts w:hint="default"/>
      </w:rPr>
    </w:lvl>
    <w:lvl w:ilvl="2">
      <w:start w:val="1"/>
      <w:numFmt w:val="bullet"/>
      <w:lvlText w:val="•"/>
      <w:lvlJc w:val="left"/>
      <w:pPr>
        <w:ind w:left="6836" w:hanging="178"/>
      </w:pPr>
      <w:rPr>
        <w:rFonts w:hint="default"/>
      </w:rPr>
    </w:lvl>
    <w:lvl w:ilvl="3">
      <w:start w:val="1"/>
      <w:numFmt w:val="bullet"/>
      <w:lvlText w:val="•"/>
      <w:lvlJc w:val="left"/>
      <w:pPr>
        <w:ind w:left="7644" w:hanging="178"/>
      </w:pPr>
      <w:rPr>
        <w:rFonts w:hint="default"/>
      </w:rPr>
    </w:lvl>
    <w:lvl w:ilvl="4">
      <w:start w:val="1"/>
      <w:numFmt w:val="bullet"/>
      <w:lvlText w:val="•"/>
      <w:lvlJc w:val="left"/>
      <w:pPr>
        <w:ind w:left="8452" w:hanging="178"/>
      </w:pPr>
      <w:rPr>
        <w:rFonts w:hint="default"/>
      </w:rPr>
    </w:lvl>
    <w:lvl w:ilvl="5">
      <w:start w:val="1"/>
      <w:numFmt w:val="bullet"/>
      <w:lvlText w:val="•"/>
      <w:lvlJc w:val="left"/>
      <w:pPr>
        <w:ind w:left="9260" w:hanging="178"/>
      </w:pPr>
      <w:rPr>
        <w:rFonts w:hint="default"/>
      </w:rPr>
    </w:lvl>
    <w:lvl w:ilvl="6">
      <w:start w:val="1"/>
      <w:numFmt w:val="bullet"/>
      <w:lvlText w:val="•"/>
      <w:lvlJc w:val="left"/>
      <w:pPr>
        <w:ind w:left="10068" w:hanging="178"/>
      </w:pPr>
      <w:rPr>
        <w:rFonts w:hint="default"/>
      </w:rPr>
    </w:lvl>
    <w:lvl w:ilvl="7">
      <w:start w:val="1"/>
      <w:numFmt w:val="bullet"/>
      <w:lvlText w:val="•"/>
      <w:lvlJc w:val="left"/>
      <w:pPr>
        <w:ind w:left="10876" w:hanging="178"/>
      </w:pPr>
      <w:rPr>
        <w:rFonts w:hint="default"/>
      </w:rPr>
    </w:lvl>
    <w:lvl w:ilvl="8">
      <w:start w:val="1"/>
      <w:numFmt w:val="bullet"/>
      <w:lvlText w:val="•"/>
      <w:lvlJc w:val="left"/>
      <w:pPr>
        <w:ind w:left="11684" w:hanging="178"/>
      </w:pPr>
      <w:rPr>
        <w:rFonts w:hint="default"/>
      </w:rPr>
    </w:lvl>
  </w:abstractNum>
  <w:abstractNum w:abstractNumId="34">
    <w:multiLevelType w:val="hybridMultilevel"/>
    <w:lvl w:ilvl="0">
      <w:start w:val="6"/>
      <w:numFmt w:val="decimal"/>
      <w:lvlText w:val="%1."/>
      <w:lvlJc w:val="left"/>
      <w:pPr>
        <w:ind w:left="5048" w:hanging="110"/>
        <w:jc w:val="left"/>
      </w:pPr>
      <w:rPr>
        <w:rFonts w:hint="default" w:ascii="Arial" w:hAnsi="Arial" w:eastAsia="Arial" w:cs="Arial"/>
        <w:spacing w:val="-1"/>
        <w:w w:val="102"/>
        <w:sz w:val="12"/>
        <w:szCs w:val="12"/>
      </w:rPr>
    </w:lvl>
    <w:lvl w:ilvl="1">
      <w:start w:val="1"/>
      <w:numFmt w:val="bullet"/>
      <w:lvlText w:val="•"/>
      <w:lvlJc w:val="left"/>
      <w:pPr>
        <w:ind w:left="5866" w:hanging="110"/>
      </w:pPr>
      <w:rPr>
        <w:rFonts w:hint="default"/>
      </w:rPr>
    </w:lvl>
    <w:lvl w:ilvl="2">
      <w:start w:val="1"/>
      <w:numFmt w:val="bullet"/>
      <w:lvlText w:val="•"/>
      <w:lvlJc w:val="left"/>
      <w:pPr>
        <w:ind w:left="6692" w:hanging="110"/>
      </w:pPr>
      <w:rPr>
        <w:rFonts w:hint="default"/>
      </w:rPr>
    </w:lvl>
    <w:lvl w:ilvl="3">
      <w:start w:val="1"/>
      <w:numFmt w:val="bullet"/>
      <w:lvlText w:val="•"/>
      <w:lvlJc w:val="left"/>
      <w:pPr>
        <w:ind w:left="7518" w:hanging="110"/>
      </w:pPr>
      <w:rPr>
        <w:rFonts w:hint="default"/>
      </w:rPr>
    </w:lvl>
    <w:lvl w:ilvl="4">
      <w:start w:val="1"/>
      <w:numFmt w:val="bullet"/>
      <w:lvlText w:val="•"/>
      <w:lvlJc w:val="left"/>
      <w:pPr>
        <w:ind w:left="8344" w:hanging="110"/>
      </w:pPr>
      <w:rPr>
        <w:rFonts w:hint="default"/>
      </w:rPr>
    </w:lvl>
    <w:lvl w:ilvl="5">
      <w:start w:val="1"/>
      <w:numFmt w:val="bullet"/>
      <w:lvlText w:val="•"/>
      <w:lvlJc w:val="left"/>
      <w:pPr>
        <w:ind w:left="9170" w:hanging="110"/>
      </w:pPr>
      <w:rPr>
        <w:rFonts w:hint="default"/>
      </w:rPr>
    </w:lvl>
    <w:lvl w:ilvl="6">
      <w:start w:val="1"/>
      <w:numFmt w:val="bullet"/>
      <w:lvlText w:val="•"/>
      <w:lvlJc w:val="left"/>
      <w:pPr>
        <w:ind w:left="9996" w:hanging="110"/>
      </w:pPr>
      <w:rPr>
        <w:rFonts w:hint="default"/>
      </w:rPr>
    </w:lvl>
    <w:lvl w:ilvl="7">
      <w:start w:val="1"/>
      <w:numFmt w:val="bullet"/>
      <w:lvlText w:val="•"/>
      <w:lvlJc w:val="left"/>
      <w:pPr>
        <w:ind w:left="10822" w:hanging="110"/>
      </w:pPr>
      <w:rPr>
        <w:rFonts w:hint="default"/>
      </w:rPr>
    </w:lvl>
    <w:lvl w:ilvl="8">
      <w:start w:val="1"/>
      <w:numFmt w:val="bullet"/>
      <w:lvlText w:val="•"/>
      <w:lvlJc w:val="left"/>
      <w:pPr>
        <w:ind w:left="11648" w:hanging="110"/>
      </w:pPr>
      <w:rPr>
        <w:rFonts w:hint="default"/>
      </w:rPr>
    </w:lvl>
  </w:abstractNum>
  <w:abstractNum w:abstractNumId="33">
    <w:multiLevelType w:val="hybridMultilevel"/>
    <w:lvl w:ilvl="0">
      <w:start w:val="7"/>
      <w:numFmt w:val="decimal"/>
      <w:lvlText w:val="(%1)"/>
      <w:lvlJc w:val="left"/>
      <w:pPr>
        <w:ind w:left="5226" w:hanging="178"/>
        <w:jc w:val="left"/>
      </w:pPr>
      <w:rPr>
        <w:rFonts w:hint="default" w:ascii="Arial" w:hAnsi="Arial" w:eastAsia="Arial" w:cs="Arial"/>
        <w:b/>
        <w:bCs/>
        <w:spacing w:val="-1"/>
        <w:w w:val="102"/>
        <w:sz w:val="12"/>
        <w:szCs w:val="12"/>
      </w:rPr>
    </w:lvl>
    <w:lvl w:ilvl="1">
      <w:start w:val="1"/>
      <w:numFmt w:val="bullet"/>
      <w:lvlText w:val="•"/>
      <w:lvlJc w:val="left"/>
      <w:pPr>
        <w:ind w:left="6028" w:hanging="178"/>
      </w:pPr>
      <w:rPr>
        <w:rFonts w:hint="default"/>
      </w:rPr>
    </w:lvl>
    <w:lvl w:ilvl="2">
      <w:start w:val="1"/>
      <w:numFmt w:val="bullet"/>
      <w:lvlText w:val="•"/>
      <w:lvlJc w:val="left"/>
      <w:pPr>
        <w:ind w:left="6836" w:hanging="178"/>
      </w:pPr>
      <w:rPr>
        <w:rFonts w:hint="default"/>
      </w:rPr>
    </w:lvl>
    <w:lvl w:ilvl="3">
      <w:start w:val="1"/>
      <w:numFmt w:val="bullet"/>
      <w:lvlText w:val="•"/>
      <w:lvlJc w:val="left"/>
      <w:pPr>
        <w:ind w:left="7644" w:hanging="178"/>
      </w:pPr>
      <w:rPr>
        <w:rFonts w:hint="default"/>
      </w:rPr>
    </w:lvl>
    <w:lvl w:ilvl="4">
      <w:start w:val="1"/>
      <w:numFmt w:val="bullet"/>
      <w:lvlText w:val="•"/>
      <w:lvlJc w:val="left"/>
      <w:pPr>
        <w:ind w:left="8452" w:hanging="178"/>
      </w:pPr>
      <w:rPr>
        <w:rFonts w:hint="default"/>
      </w:rPr>
    </w:lvl>
    <w:lvl w:ilvl="5">
      <w:start w:val="1"/>
      <w:numFmt w:val="bullet"/>
      <w:lvlText w:val="•"/>
      <w:lvlJc w:val="left"/>
      <w:pPr>
        <w:ind w:left="9260" w:hanging="178"/>
      </w:pPr>
      <w:rPr>
        <w:rFonts w:hint="default"/>
      </w:rPr>
    </w:lvl>
    <w:lvl w:ilvl="6">
      <w:start w:val="1"/>
      <w:numFmt w:val="bullet"/>
      <w:lvlText w:val="•"/>
      <w:lvlJc w:val="left"/>
      <w:pPr>
        <w:ind w:left="10068" w:hanging="178"/>
      </w:pPr>
      <w:rPr>
        <w:rFonts w:hint="default"/>
      </w:rPr>
    </w:lvl>
    <w:lvl w:ilvl="7">
      <w:start w:val="1"/>
      <w:numFmt w:val="bullet"/>
      <w:lvlText w:val="•"/>
      <w:lvlJc w:val="left"/>
      <w:pPr>
        <w:ind w:left="10876" w:hanging="178"/>
      </w:pPr>
      <w:rPr>
        <w:rFonts w:hint="default"/>
      </w:rPr>
    </w:lvl>
    <w:lvl w:ilvl="8">
      <w:start w:val="1"/>
      <w:numFmt w:val="bullet"/>
      <w:lvlText w:val="•"/>
      <w:lvlJc w:val="left"/>
      <w:pPr>
        <w:ind w:left="11684" w:hanging="178"/>
      </w:pPr>
      <w:rPr>
        <w:rFonts w:hint="default"/>
      </w:rPr>
    </w:lvl>
  </w:abstractNum>
  <w:abstractNum w:abstractNumId="32">
    <w:multiLevelType w:val="hybridMultilevel"/>
    <w:lvl w:ilvl="0">
      <w:start w:val="8"/>
      <w:numFmt w:val="decimal"/>
      <w:lvlText w:val="%1."/>
      <w:lvlJc w:val="left"/>
      <w:pPr>
        <w:ind w:left="238" w:hanging="110"/>
        <w:jc w:val="left"/>
      </w:pPr>
      <w:rPr>
        <w:rFonts w:hint="default" w:ascii="Arial" w:hAnsi="Arial" w:eastAsia="Arial" w:cs="Arial"/>
        <w:w w:val="102"/>
        <w:sz w:val="12"/>
        <w:szCs w:val="12"/>
      </w:rPr>
    </w:lvl>
    <w:lvl w:ilvl="1">
      <w:start w:val="1"/>
      <w:numFmt w:val="bullet"/>
      <w:lvlText w:val="•"/>
      <w:lvlJc w:val="left"/>
      <w:pPr>
        <w:ind w:left="562" w:hanging="110"/>
      </w:pPr>
      <w:rPr>
        <w:rFonts w:hint="default"/>
      </w:rPr>
    </w:lvl>
    <w:lvl w:ilvl="2">
      <w:start w:val="1"/>
      <w:numFmt w:val="bullet"/>
      <w:lvlText w:val="•"/>
      <w:lvlJc w:val="left"/>
      <w:pPr>
        <w:ind w:left="885" w:hanging="110"/>
      </w:pPr>
      <w:rPr>
        <w:rFonts w:hint="default"/>
      </w:rPr>
    </w:lvl>
    <w:lvl w:ilvl="3">
      <w:start w:val="1"/>
      <w:numFmt w:val="bullet"/>
      <w:lvlText w:val="•"/>
      <w:lvlJc w:val="left"/>
      <w:pPr>
        <w:ind w:left="1207" w:hanging="110"/>
      </w:pPr>
      <w:rPr>
        <w:rFonts w:hint="default"/>
      </w:rPr>
    </w:lvl>
    <w:lvl w:ilvl="4">
      <w:start w:val="1"/>
      <w:numFmt w:val="bullet"/>
      <w:lvlText w:val="•"/>
      <w:lvlJc w:val="left"/>
      <w:pPr>
        <w:ind w:left="1530" w:hanging="110"/>
      </w:pPr>
      <w:rPr>
        <w:rFonts w:hint="default"/>
      </w:rPr>
    </w:lvl>
    <w:lvl w:ilvl="5">
      <w:start w:val="1"/>
      <w:numFmt w:val="bullet"/>
      <w:lvlText w:val="•"/>
      <w:lvlJc w:val="left"/>
      <w:pPr>
        <w:ind w:left="1852" w:hanging="110"/>
      </w:pPr>
      <w:rPr>
        <w:rFonts w:hint="default"/>
      </w:rPr>
    </w:lvl>
    <w:lvl w:ilvl="6">
      <w:start w:val="1"/>
      <w:numFmt w:val="bullet"/>
      <w:lvlText w:val="•"/>
      <w:lvlJc w:val="left"/>
      <w:pPr>
        <w:ind w:left="2175" w:hanging="110"/>
      </w:pPr>
      <w:rPr>
        <w:rFonts w:hint="default"/>
      </w:rPr>
    </w:lvl>
    <w:lvl w:ilvl="7">
      <w:start w:val="1"/>
      <w:numFmt w:val="bullet"/>
      <w:lvlText w:val="•"/>
      <w:lvlJc w:val="left"/>
      <w:pPr>
        <w:ind w:left="2497" w:hanging="110"/>
      </w:pPr>
      <w:rPr>
        <w:rFonts w:hint="default"/>
      </w:rPr>
    </w:lvl>
    <w:lvl w:ilvl="8">
      <w:start w:val="1"/>
      <w:numFmt w:val="bullet"/>
      <w:lvlText w:val="•"/>
      <w:lvlJc w:val="left"/>
      <w:pPr>
        <w:ind w:left="2820" w:hanging="110"/>
      </w:pPr>
      <w:rPr>
        <w:rFonts w:hint="default"/>
      </w:rPr>
    </w:lvl>
  </w:abstractNum>
  <w:abstractNum w:abstractNumId="31">
    <w:multiLevelType w:val="hybridMultilevel"/>
    <w:lvl w:ilvl="0">
      <w:start w:val="4"/>
      <w:numFmt w:val="decimal"/>
      <w:lvlText w:val="(%1)"/>
      <w:lvlJc w:val="left"/>
      <w:pPr>
        <w:ind w:left="5184" w:hanging="178"/>
        <w:jc w:val="left"/>
      </w:pPr>
      <w:rPr>
        <w:rFonts w:hint="default" w:ascii="Arial" w:hAnsi="Arial" w:eastAsia="Arial" w:cs="Arial"/>
        <w:b/>
        <w:bCs/>
        <w:w w:val="102"/>
        <w:sz w:val="12"/>
        <w:szCs w:val="12"/>
      </w:rPr>
    </w:lvl>
    <w:lvl w:ilvl="1">
      <w:start w:val="1"/>
      <w:numFmt w:val="bullet"/>
      <w:lvlText w:val="•"/>
      <w:lvlJc w:val="left"/>
      <w:pPr>
        <w:ind w:left="5992" w:hanging="178"/>
      </w:pPr>
      <w:rPr>
        <w:rFonts w:hint="default"/>
      </w:rPr>
    </w:lvl>
    <w:lvl w:ilvl="2">
      <w:start w:val="1"/>
      <w:numFmt w:val="bullet"/>
      <w:lvlText w:val="•"/>
      <w:lvlJc w:val="left"/>
      <w:pPr>
        <w:ind w:left="6804" w:hanging="178"/>
      </w:pPr>
      <w:rPr>
        <w:rFonts w:hint="default"/>
      </w:rPr>
    </w:lvl>
    <w:lvl w:ilvl="3">
      <w:start w:val="1"/>
      <w:numFmt w:val="bullet"/>
      <w:lvlText w:val="•"/>
      <w:lvlJc w:val="left"/>
      <w:pPr>
        <w:ind w:left="7616" w:hanging="178"/>
      </w:pPr>
      <w:rPr>
        <w:rFonts w:hint="default"/>
      </w:rPr>
    </w:lvl>
    <w:lvl w:ilvl="4">
      <w:start w:val="1"/>
      <w:numFmt w:val="bullet"/>
      <w:lvlText w:val="•"/>
      <w:lvlJc w:val="left"/>
      <w:pPr>
        <w:ind w:left="8428" w:hanging="178"/>
      </w:pPr>
      <w:rPr>
        <w:rFonts w:hint="default"/>
      </w:rPr>
    </w:lvl>
    <w:lvl w:ilvl="5">
      <w:start w:val="1"/>
      <w:numFmt w:val="bullet"/>
      <w:lvlText w:val="•"/>
      <w:lvlJc w:val="left"/>
      <w:pPr>
        <w:ind w:left="9240" w:hanging="178"/>
      </w:pPr>
      <w:rPr>
        <w:rFonts w:hint="default"/>
      </w:rPr>
    </w:lvl>
    <w:lvl w:ilvl="6">
      <w:start w:val="1"/>
      <w:numFmt w:val="bullet"/>
      <w:lvlText w:val="•"/>
      <w:lvlJc w:val="left"/>
      <w:pPr>
        <w:ind w:left="10052" w:hanging="178"/>
      </w:pPr>
      <w:rPr>
        <w:rFonts w:hint="default"/>
      </w:rPr>
    </w:lvl>
    <w:lvl w:ilvl="7">
      <w:start w:val="1"/>
      <w:numFmt w:val="bullet"/>
      <w:lvlText w:val="•"/>
      <w:lvlJc w:val="left"/>
      <w:pPr>
        <w:ind w:left="10864" w:hanging="178"/>
      </w:pPr>
      <w:rPr>
        <w:rFonts w:hint="default"/>
      </w:rPr>
    </w:lvl>
    <w:lvl w:ilvl="8">
      <w:start w:val="1"/>
      <w:numFmt w:val="bullet"/>
      <w:lvlText w:val="•"/>
      <w:lvlJc w:val="left"/>
      <w:pPr>
        <w:ind w:left="11676" w:hanging="178"/>
      </w:pPr>
      <w:rPr>
        <w:rFonts w:hint="default"/>
      </w:rPr>
    </w:lvl>
  </w:abstractNum>
  <w:abstractNum w:abstractNumId="30">
    <w:multiLevelType w:val="hybridMultilevel"/>
    <w:lvl w:ilvl="0">
      <w:start w:val="8"/>
      <w:numFmt w:val="decimal"/>
      <w:lvlText w:val="%1"/>
      <w:lvlJc w:val="left"/>
      <w:pPr>
        <w:ind w:left="5130" w:hanging="96"/>
        <w:jc w:val="left"/>
      </w:pPr>
      <w:rPr>
        <w:rFonts w:hint="default" w:ascii="Arial" w:hAnsi="Arial" w:eastAsia="Arial" w:cs="Arial"/>
        <w:w w:val="102"/>
        <w:sz w:val="12"/>
        <w:szCs w:val="12"/>
      </w:rPr>
    </w:lvl>
    <w:lvl w:ilvl="1">
      <w:start w:val="1"/>
      <w:numFmt w:val="bullet"/>
      <w:lvlText w:val="•"/>
      <w:lvlJc w:val="left"/>
      <w:pPr>
        <w:ind w:left="5956" w:hanging="96"/>
      </w:pPr>
      <w:rPr>
        <w:rFonts w:hint="default"/>
      </w:rPr>
    </w:lvl>
    <w:lvl w:ilvl="2">
      <w:start w:val="1"/>
      <w:numFmt w:val="bullet"/>
      <w:lvlText w:val="•"/>
      <w:lvlJc w:val="left"/>
      <w:pPr>
        <w:ind w:left="6772" w:hanging="96"/>
      </w:pPr>
      <w:rPr>
        <w:rFonts w:hint="default"/>
      </w:rPr>
    </w:lvl>
    <w:lvl w:ilvl="3">
      <w:start w:val="1"/>
      <w:numFmt w:val="bullet"/>
      <w:lvlText w:val="•"/>
      <w:lvlJc w:val="left"/>
      <w:pPr>
        <w:ind w:left="7588" w:hanging="96"/>
      </w:pPr>
      <w:rPr>
        <w:rFonts w:hint="default"/>
      </w:rPr>
    </w:lvl>
    <w:lvl w:ilvl="4">
      <w:start w:val="1"/>
      <w:numFmt w:val="bullet"/>
      <w:lvlText w:val="•"/>
      <w:lvlJc w:val="left"/>
      <w:pPr>
        <w:ind w:left="8404" w:hanging="96"/>
      </w:pPr>
      <w:rPr>
        <w:rFonts w:hint="default"/>
      </w:rPr>
    </w:lvl>
    <w:lvl w:ilvl="5">
      <w:start w:val="1"/>
      <w:numFmt w:val="bullet"/>
      <w:lvlText w:val="•"/>
      <w:lvlJc w:val="left"/>
      <w:pPr>
        <w:ind w:left="9220" w:hanging="96"/>
      </w:pPr>
      <w:rPr>
        <w:rFonts w:hint="default"/>
      </w:rPr>
    </w:lvl>
    <w:lvl w:ilvl="6">
      <w:start w:val="1"/>
      <w:numFmt w:val="bullet"/>
      <w:lvlText w:val="•"/>
      <w:lvlJc w:val="left"/>
      <w:pPr>
        <w:ind w:left="10036" w:hanging="96"/>
      </w:pPr>
      <w:rPr>
        <w:rFonts w:hint="default"/>
      </w:rPr>
    </w:lvl>
    <w:lvl w:ilvl="7">
      <w:start w:val="1"/>
      <w:numFmt w:val="bullet"/>
      <w:lvlText w:val="•"/>
      <w:lvlJc w:val="left"/>
      <w:pPr>
        <w:ind w:left="10852" w:hanging="96"/>
      </w:pPr>
      <w:rPr>
        <w:rFonts w:hint="default"/>
      </w:rPr>
    </w:lvl>
    <w:lvl w:ilvl="8">
      <w:start w:val="1"/>
      <w:numFmt w:val="bullet"/>
      <w:lvlText w:val="•"/>
      <w:lvlJc w:val="left"/>
      <w:pPr>
        <w:ind w:left="11668" w:hanging="96"/>
      </w:pPr>
      <w:rPr>
        <w:rFonts w:hint="default"/>
      </w:rPr>
    </w:lvl>
  </w:abstractNum>
  <w:abstractNum w:abstractNumId="23">
    <w:multiLevelType w:val="hybridMultilevel"/>
    <w:lvl w:ilvl="0">
      <w:start w:val="1"/>
      <w:numFmt w:val="decimal"/>
      <w:lvlText w:val="%1"/>
      <w:lvlJc w:val="left"/>
      <w:pPr>
        <w:ind w:left="705" w:hanging="604"/>
        <w:jc w:val="left"/>
      </w:pPr>
      <w:rPr>
        <w:rFonts w:hint="default"/>
      </w:rPr>
    </w:lvl>
    <w:lvl w:ilvl="1">
      <w:start w:val="4"/>
      <w:numFmt w:val="decimal"/>
      <w:lvlText w:val="%1.%2"/>
      <w:lvlJc w:val="left"/>
      <w:pPr>
        <w:ind w:left="705" w:hanging="604"/>
        <w:jc w:val="left"/>
      </w:pPr>
      <w:rPr>
        <w:rFonts w:hint="default"/>
      </w:rPr>
    </w:lvl>
    <w:lvl w:ilvl="2">
      <w:start w:val="1"/>
      <w:numFmt w:val="decimal"/>
      <w:lvlText w:val="%1.%2.%3"/>
      <w:lvlJc w:val="left"/>
      <w:pPr>
        <w:ind w:left="705" w:hanging="604"/>
        <w:jc w:val="left"/>
      </w:pPr>
      <w:rPr>
        <w:rFonts w:hint="default" w:ascii="Arial" w:hAnsi="Arial" w:eastAsia="Arial" w:cs="Arial"/>
        <w:b/>
        <w:bCs/>
        <w:spacing w:val="-2"/>
        <w:w w:val="99"/>
        <w:sz w:val="24"/>
        <w:szCs w:val="24"/>
      </w:rPr>
    </w:lvl>
    <w:lvl w:ilvl="3">
      <w:start w:val="1"/>
      <w:numFmt w:val="decimal"/>
      <w:lvlText w:val="%4."/>
      <w:lvlJc w:val="left"/>
      <w:pPr>
        <w:ind w:left="5171" w:hanging="137"/>
        <w:jc w:val="left"/>
      </w:pPr>
      <w:rPr>
        <w:rFonts w:hint="default" w:ascii="Arial" w:hAnsi="Arial" w:eastAsia="Arial" w:cs="Arial"/>
        <w:w w:val="102"/>
        <w:sz w:val="12"/>
        <w:szCs w:val="12"/>
      </w:rPr>
    </w:lvl>
    <w:lvl w:ilvl="4">
      <w:start w:val="1"/>
      <w:numFmt w:val="bullet"/>
      <w:lvlText w:val="•"/>
      <w:lvlJc w:val="left"/>
      <w:pPr>
        <w:ind w:left="6735" w:hanging="137"/>
      </w:pPr>
      <w:rPr>
        <w:rFonts w:hint="default"/>
      </w:rPr>
    </w:lvl>
    <w:lvl w:ilvl="5">
      <w:start w:val="1"/>
      <w:numFmt w:val="bullet"/>
      <w:lvlText w:val="•"/>
      <w:lvlJc w:val="left"/>
      <w:pPr>
        <w:ind w:left="7122" w:hanging="137"/>
      </w:pPr>
      <w:rPr>
        <w:rFonts w:hint="default"/>
      </w:rPr>
    </w:lvl>
    <w:lvl w:ilvl="6">
      <w:start w:val="1"/>
      <w:numFmt w:val="bullet"/>
      <w:lvlText w:val="•"/>
      <w:lvlJc w:val="left"/>
      <w:pPr>
        <w:ind w:left="7510" w:hanging="137"/>
      </w:pPr>
      <w:rPr>
        <w:rFonts w:hint="default"/>
      </w:rPr>
    </w:lvl>
    <w:lvl w:ilvl="7">
      <w:start w:val="1"/>
      <w:numFmt w:val="bullet"/>
      <w:lvlText w:val="•"/>
      <w:lvlJc w:val="left"/>
      <w:pPr>
        <w:ind w:left="7897" w:hanging="137"/>
      </w:pPr>
      <w:rPr>
        <w:rFonts w:hint="default"/>
      </w:rPr>
    </w:lvl>
    <w:lvl w:ilvl="8">
      <w:start w:val="1"/>
      <w:numFmt w:val="bullet"/>
      <w:lvlText w:val="•"/>
      <w:lvlJc w:val="left"/>
      <w:pPr>
        <w:ind w:left="8285" w:hanging="137"/>
      </w:pPr>
      <w:rPr>
        <w:rFonts w:hint="default"/>
      </w:rPr>
    </w:lvl>
  </w:abstractNum>
  <w:abstractNum w:abstractNumId="21">
    <w:multiLevelType w:val="hybridMultilevel"/>
    <w:lvl w:ilvl="0">
      <w:start w:val="1"/>
      <w:numFmt w:val="decimal"/>
      <w:lvlText w:val="%1"/>
      <w:lvlJc w:val="left"/>
      <w:pPr>
        <w:ind w:left="553" w:hanging="432"/>
        <w:jc w:val="left"/>
      </w:pPr>
      <w:rPr>
        <w:rFonts w:hint="default"/>
      </w:rPr>
    </w:lvl>
    <w:lvl w:ilvl="1">
      <w:start w:val="4"/>
      <w:numFmt w:val="decimal"/>
      <w:lvlText w:val="%1.%2"/>
      <w:lvlJc w:val="left"/>
      <w:pPr>
        <w:ind w:left="553" w:hanging="432"/>
        <w:jc w:val="left"/>
      </w:pPr>
      <w:rPr>
        <w:rFonts w:hint="default" w:ascii="Arial" w:hAnsi="Arial" w:eastAsia="Arial" w:cs="Arial"/>
        <w:b/>
        <w:bCs/>
        <w:spacing w:val="-1"/>
        <w:w w:val="99"/>
        <w:sz w:val="26"/>
        <w:szCs w:val="26"/>
      </w:rPr>
    </w:lvl>
    <w:lvl w:ilvl="2">
      <w:start w:val="1"/>
      <w:numFmt w:val="lowerLetter"/>
      <w:lvlText w:val="%3)"/>
      <w:lvlJc w:val="left"/>
      <w:pPr>
        <w:ind w:left="842" w:hanging="360"/>
        <w:jc w:val="left"/>
      </w:pPr>
      <w:rPr>
        <w:rFonts w:hint="default" w:ascii="Arial" w:hAnsi="Arial" w:eastAsia="Arial" w:cs="Arial"/>
        <w:w w:val="99"/>
        <w:sz w:val="24"/>
        <w:szCs w:val="24"/>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20">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9">
    <w:multiLevelType w:val="hybridMultilevel"/>
    <w:lvl w:ilvl="0">
      <w:start w:val="1"/>
      <w:numFmt w:val="decimal"/>
      <w:lvlText w:val="%1"/>
      <w:lvlJc w:val="left"/>
      <w:pPr>
        <w:ind w:left="723" w:hanging="602"/>
        <w:jc w:val="left"/>
      </w:pPr>
      <w:rPr>
        <w:rFonts w:hint="default"/>
      </w:rPr>
    </w:lvl>
    <w:lvl w:ilvl="1">
      <w:start w:val="3"/>
      <w:numFmt w:val="decimal"/>
      <w:lvlText w:val="%1.%2"/>
      <w:lvlJc w:val="left"/>
      <w:pPr>
        <w:ind w:left="723" w:hanging="602"/>
        <w:jc w:val="left"/>
      </w:pPr>
      <w:rPr>
        <w:rFonts w:hint="default"/>
      </w:rPr>
    </w:lvl>
    <w:lvl w:ilvl="2">
      <w:start w:val="2"/>
      <w:numFmt w:val="decimal"/>
      <w:lvlText w:val="%1.%2.%3"/>
      <w:lvlJc w:val="left"/>
      <w:pPr>
        <w:ind w:left="122" w:hanging="602"/>
        <w:jc w:val="left"/>
      </w:pPr>
      <w:rPr>
        <w:rFonts w:hint="default" w:ascii="Arial" w:hAnsi="Arial" w:eastAsia="Arial" w:cs="Arial"/>
        <w:b/>
        <w:bCs/>
        <w:spacing w:val="-2"/>
        <w:w w:val="99"/>
        <w:sz w:val="24"/>
        <w:szCs w:val="24"/>
      </w:rPr>
    </w:lvl>
    <w:lvl w:ilvl="3">
      <w:start w:val="1"/>
      <w:numFmt w:val="decimal"/>
      <w:lvlText w:val="%4)"/>
      <w:lvlJc w:val="left"/>
      <w:pPr>
        <w:ind w:left="822" w:hanging="360"/>
        <w:jc w:val="left"/>
      </w:pPr>
      <w:rPr>
        <w:rFonts w:hint="default" w:ascii="Arial" w:hAnsi="Arial" w:eastAsia="Arial" w:cs="Arial"/>
        <w:w w:val="99"/>
        <w:sz w:val="24"/>
        <w:szCs w:val="24"/>
      </w:rPr>
    </w:lvl>
    <w:lvl w:ilvl="4">
      <w:start w:val="1"/>
      <w:numFmt w:val="lowerLetter"/>
      <w:lvlText w:val="%5)"/>
      <w:lvlJc w:val="left"/>
      <w:pPr>
        <w:ind w:left="842" w:hanging="360"/>
        <w:jc w:val="left"/>
      </w:pPr>
      <w:rPr>
        <w:rFonts w:hint="default" w:ascii="Arial" w:hAnsi="Arial" w:eastAsia="Arial" w:cs="Arial"/>
        <w:w w:val="99"/>
        <w:sz w:val="24"/>
        <w:szCs w:val="24"/>
      </w:rPr>
    </w:lvl>
    <w:lvl w:ilvl="5">
      <w:start w:val="1"/>
      <w:numFmt w:val="bullet"/>
      <w:lvlText w:val="•"/>
      <w:lvlJc w:val="left"/>
      <w:pPr>
        <w:ind w:left="3188" w:hanging="360"/>
      </w:pPr>
      <w:rPr>
        <w:rFonts w:hint="default"/>
      </w:rPr>
    </w:lvl>
    <w:lvl w:ilvl="6">
      <w:start w:val="1"/>
      <w:numFmt w:val="bullet"/>
      <w:lvlText w:val="•"/>
      <w:lvlJc w:val="left"/>
      <w:pPr>
        <w:ind w:left="4362" w:hanging="360"/>
      </w:pPr>
      <w:rPr>
        <w:rFonts w:hint="default"/>
      </w:rPr>
    </w:lvl>
    <w:lvl w:ilvl="7">
      <w:start w:val="1"/>
      <w:numFmt w:val="bullet"/>
      <w:lvlText w:val="•"/>
      <w:lvlJc w:val="left"/>
      <w:pPr>
        <w:ind w:left="5537" w:hanging="360"/>
      </w:pPr>
      <w:rPr>
        <w:rFonts w:hint="default"/>
      </w:rPr>
    </w:lvl>
    <w:lvl w:ilvl="8">
      <w:start w:val="1"/>
      <w:numFmt w:val="bullet"/>
      <w:lvlText w:val="•"/>
      <w:lvlJc w:val="left"/>
      <w:pPr>
        <w:ind w:left="6711" w:hanging="360"/>
      </w:pPr>
      <w:rPr>
        <w:rFonts w:hint="default"/>
      </w:rPr>
    </w:lvl>
  </w:abstractNum>
  <w:abstractNum w:abstractNumId="18">
    <w:multiLevelType w:val="hybridMultilevel"/>
    <w:lvl w:ilvl="0">
      <w:start w:val="1"/>
      <w:numFmt w:val="decimal"/>
      <w:lvlText w:val="%1"/>
      <w:lvlJc w:val="left"/>
      <w:pPr>
        <w:ind w:left="534" w:hanging="433"/>
        <w:jc w:val="left"/>
      </w:pPr>
      <w:rPr>
        <w:rFonts w:hint="default"/>
      </w:rPr>
    </w:lvl>
    <w:lvl w:ilvl="1">
      <w:start w:val="3"/>
      <w:numFmt w:val="decimal"/>
      <w:lvlText w:val="%1.%2"/>
      <w:lvlJc w:val="left"/>
      <w:pPr>
        <w:ind w:left="534" w:hanging="433"/>
        <w:jc w:val="left"/>
      </w:pPr>
      <w:rPr>
        <w:rFonts w:hint="default" w:ascii="Arial" w:hAnsi="Arial" w:eastAsia="Arial" w:cs="Arial"/>
        <w:b/>
        <w:bCs/>
        <w:spacing w:val="-1"/>
        <w:w w:val="99"/>
        <w:sz w:val="26"/>
        <w:szCs w:val="26"/>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decimal"/>
      <w:lvlText w:val="%4)"/>
      <w:lvlJc w:val="left"/>
      <w:pPr>
        <w:ind w:left="842" w:hanging="360"/>
        <w:jc w:val="left"/>
      </w:pPr>
      <w:rPr>
        <w:rFonts w:hint="default" w:ascii="Arial" w:hAnsi="Arial" w:eastAsia="Arial" w:cs="Arial"/>
        <w:w w:val="99"/>
        <w:sz w:val="24"/>
        <w:szCs w:val="24"/>
      </w:rPr>
    </w:lvl>
    <w:lvl w:ilvl="4">
      <w:start w:val="1"/>
      <w:numFmt w:val="bullet"/>
      <w:lvlText w:val="•"/>
      <w:lvlJc w:val="left"/>
      <w:pPr>
        <w:ind w:left="2014" w:hanging="360"/>
      </w:pPr>
      <w:rPr>
        <w:rFonts w:hint="default"/>
      </w:rPr>
    </w:lvl>
    <w:lvl w:ilvl="5">
      <w:start w:val="1"/>
      <w:numFmt w:val="bullet"/>
      <w:lvlText w:val="•"/>
      <w:lvlJc w:val="left"/>
      <w:pPr>
        <w:ind w:left="3188" w:hanging="360"/>
      </w:pPr>
      <w:rPr>
        <w:rFonts w:hint="default"/>
      </w:rPr>
    </w:lvl>
    <w:lvl w:ilvl="6">
      <w:start w:val="1"/>
      <w:numFmt w:val="bullet"/>
      <w:lvlText w:val="•"/>
      <w:lvlJc w:val="left"/>
      <w:pPr>
        <w:ind w:left="4362" w:hanging="360"/>
      </w:pPr>
      <w:rPr>
        <w:rFonts w:hint="default"/>
      </w:rPr>
    </w:lvl>
    <w:lvl w:ilvl="7">
      <w:start w:val="1"/>
      <w:numFmt w:val="bullet"/>
      <w:lvlText w:val="•"/>
      <w:lvlJc w:val="left"/>
      <w:pPr>
        <w:ind w:left="5537" w:hanging="360"/>
      </w:pPr>
      <w:rPr>
        <w:rFonts w:hint="default"/>
      </w:rPr>
    </w:lvl>
    <w:lvl w:ilvl="8">
      <w:start w:val="1"/>
      <w:numFmt w:val="bullet"/>
      <w:lvlText w:val="•"/>
      <w:lvlJc w:val="left"/>
      <w:pPr>
        <w:ind w:left="6711" w:hanging="360"/>
      </w:pPr>
      <w:rPr>
        <w:rFonts w:hint="default"/>
      </w:rPr>
    </w:lvl>
  </w:abstractNum>
  <w:abstractNum w:abstractNumId="16">
    <w:multiLevelType w:val="hybridMultilevel"/>
    <w:lvl w:ilvl="0">
      <w:start w:val="1"/>
      <w:numFmt w:val="decimal"/>
      <w:lvlText w:val="%1)"/>
      <w:lvlJc w:val="left"/>
      <w:pPr>
        <w:ind w:left="688" w:hanging="317"/>
        <w:jc w:val="left"/>
      </w:pPr>
      <w:rPr>
        <w:rFonts w:hint="default" w:ascii="Arial" w:hAnsi="Arial" w:eastAsia="Arial" w:cs="Arial"/>
        <w:spacing w:val="-33"/>
        <w:w w:val="99"/>
        <w:sz w:val="24"/>
        <w:szCs w:val="24"/>
      </w:rPr>
    </w:lvl>
    <w:lvl w:ilvl="1">
      <w:start w:val="1"/>
      <w:numFmt w:val="bullet"/>
      <w:lvlText w:val="•"/>
      <w:lvlJc w:val="left"/>
      <w:pPr>
        <w:ind w:left="1520" w:hanging="317"/>
      </w:pPr>
      <w:rPr>
        <w:rFonts w:hint="default"/>
      </w:rPr>
    </w:lvl>
    <w:lvl w:ilvl="2">
      <w:start w:val="1"/>
      <w:numFmt w:val="bullet"/>
      <w:lvlText w:val="•"/>
      <w:lvlJc w:val="left"/>
      <w:pPr>
        <w:ind w:left="2360" w:hanging="317"/>
      </w:pPr>
      <w:rPr>
        <w:rFonts w:hint="default"/>
      </w:rPr>
    </w:lvl>
    <w:lvl w:ilvl="3">
      <w:start w:val="1"/>
      <w:numFmt w:val="bullet"/>
      <w:lvlText w:val="•"/>
      <w:lvlJc w:val="left"/>
      <w:pPr>
        <w:ind w:left="3200" w:hanging="317"/>
      </w:pPr>
      <w:rPr>
        <w:rFonts w:hint="default"/>
      </w:rPr>
    </w:lvl>
    <w:lvl w:ilvl="4">
      <w:start w:val="1"/>
      <w:numFmt w:val="bullet"/>
      <w:lvlText w:val="•"/>
      <w:lvlJc w:val="left"/>
      <w:pPr>
        <w:ind w:left="4040" w:hanging="317"/>
      </w:pPr>
      <w:rPr>
        <w:rFonts w:hint="default"/>
      </w:rPr>
    </w:lvl>
    <w:lvl w:ilvl="5">
      <w:start w:val="1"/>
      <w:numFmt w:val="bullet"/>
      <w:lvlText w:val="•"/>
      <w:lvlJc w:val="left"/>
      <w:pPr>
        <w:ind w:left="4880" w:hanging="317"/>
      </w:pPr>
      <w:rPr>
        <w:rFonts w:hint="default"/>
      </w:rPr>
    </w:lvl>
    <w:lvl w:ilvl="6">
      <w:start w:val="1"/>
      <w:numFmt w:val="bullet"/>
      <w:lvlText w:val="•"/>
      <w:lvlJc w:val="left"/>
      <w:pPr>
        <w:ind w:left="5720" w:hanging="317"/>
      </w:pPr>
      <w:rPr>
        <w:rFonts w:hint="default"/>
      </w:rPr>
    </w:lvl>
    <w:lvl w:ilvl="7">
      <w:start w:val="1"/>
      <w:numFmt w:val="bullet"/>
      <w:lvlText w:val="•"/>
      <w:lvlJc w:val="left"/>
      <w:pPr>
        <w:ind w:left="6560" w:hanging="317"/>
      </w:pPr>
      <w:rPr>
        <w:rFonts w:hint="default"/>
      </w:rPr>
    </w:lvl>
    <w:lvl w:ilvl="8">
      <w:start w:val="1"/>
      <w:numFmt w:val="bullet"/>
      <w:lvlText w:val="•"/>
      <w:lvlJc w:val="left"/>
      <w:pPr>
        <w:ind w:left="7400" w:hanging="317"/>
      </w:pPr>
      <w:rPr>
        <w:rFonts w:hint="default"/>
      </w:rPr>
    </w:lvl>
  </w:abstractNum>
  <w:abstractNum w:abstractNumId="15">
    <w:multiLevelType w:val="hybridMultilevel"/>
    <w:lvl w:ilvl="0">
      <w:start w:val="1"/>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14">
    <w:multiLevelType w:val="hybridMultilevel"/>
    <w:lvl w:ilvl="0">
      <w:start w:val="10"/>
      <w:numFmt w:val="decimal"/>
      <w:lvlText w:val="%1)"/>
      <w:lvlJc w:val="left"/>
      <w:pPr>
        <w:ind w:left="499" w:hanging="425"/>
        <w:jc w:val="left"/>
      </w:pPr>
      <w:rPr>
        <w:rFonts w:hint="default" w:ascii="Arial" w:hAnsi="Arial" w:eastAsia="Arial" w:cs="Arial"/>
        <w:spacing w:val="-1"/>
        <w:w w:val="99"/>
        <w:sz w:val="14"/>
        <w:szCs w:val="14"/>
      </w:rPr>
    </w:lvl>
    <w:lvl w:ilvl="1">
      <w:start w:val="1"/>
      <w:numFmt w:val="bullet"/>
      <w:lvlText w:val="•"/>
      <w:lvlJc w:val="left"/>
      <w:pPr>
        <w:ind w:left="725" w:hanging="425"/>
      </w:pPr>
      <w:rPr>
        <w:rFonts w:hint="default"/>
      </w:rPr>
    </w:lvl>
    <w:lvl w:ilvl="2">
      <w:start w:val="1"/>
      <w:numFmt w:val="bullet"/>
      <w:lvlText w:val="•"/>
      <w:lvlJc w:val="left"/>
      <w:pPr>
        <w:ind w:left="950" w:hanging="425"/>
      </w:pPr>
      <w:rPr>
        <w:rFonts w:hint="default"/>
      </w:rPr>
    </w:lvl>
    <w:lvl w:ilvl="3">
      <w:start w:val="1"/>
      <w:numFmt w:val="bullet"/>
      <w:lvlText w:val="•"/>
      <w:lvlJc w:val="left"/>
      <w:pPr>
        <w:ind w:left="1175" w:hanging="425"/>
      </w:pPr>
      <w:rPr>
        <w:rFonts w:hint="default"/>
      </w:rPr>
    </w:lvl>
    <w:lvl w:ilvl="4">
      <w:start w:val="1"/>
      <w:numFmt w:val="bullet"/>
      <w:lvlText w:val="•"/>
      <w:lvlJc w:val="left"/>
      <w:pPr>
        <w:ind w:left="1400" w:hanging="425"/>
      </w:pPr>
      <w:rPr>
        <w:rFonts w:hint="default"/>
      </w:rPr>
    </w:lvl>
    <w:lvl w:ilvl="5">
      <w:start w:val="1"/>
      <w:numFmt w:val="bullet"/>
      <w:lvlText w:val="•"/>
      <w:lvlJc w:val="left"/>
      <w:pPr>
        <w:ind w:left="1625" w:hanging="425"/>
      </w:pPr>
      <w:rPr>
        <w:rFonts w:hint="default"/>
      </w:rPr>
    </w:lvl>
    <w:lvl w:ilvl="6">
      <w:start w:val="1"/>
      <w:numFmt w:val="bullet"/>
      <w:lvlText w:val="•"/>
      <w:lvlJc w:val="left"/>
      <w:pPr>
        <w:ind w:left="1850" w:hanging="425"/>
      </w:pPr>
      <w:rPr>
        <w:rFonts w:hint="default"/>
      </w:rPr>
    </w:lvl>
    <w:lvl w:ilvl="7">
      <w:start w:val="1"/>
      <w:numFmt w:val="bullet"/>
      <w:lvlText w:val="•"/>
      <w:lvlJc w:val="left"/>
      <w:pPr>
        <w:ind w:left="2075" w:hanging="425"/>
      </w:pPr>
      <w:rPr>
        <w:rFonts w:hint="default"/>
      </w:rPr>
    </w:lvl>
    <w:lvl w:ilvl="8">
      <w:start w:val="1"/>
      <w:numFmt w:val="bullet"/>
      <w:lvlText w:val="•"/>
      <w:lvlJc w:val="left"/>
      <w:pPr>
        <w:ind w:left="2300" w:hanging="425"/>
      </w:pPr>
      <w:rPr>
        <w:rFonts w:hint="default"/>
      </w:rPr>
    </w:lvl>
  </w:abstractNum>
  <w:abstractNum w:abstractNumId="13">
    <w:multiLevelType w:val="hybridMultilevel"/>
    <w:lvl w:ilvl="0">
      <w:start w:val="13"/>
      <w:numFmt w:val="decimal"/>
      <w:lvlText w:val="%1)"/>
      <w:lvlJc w:val="left"/>
      <w:pPr>
        <w:ind w:left="420" w:hanging="317"/>
        <w:jc w:val="left"/>
      </w:pPr>
      <w:rPr>
        <w:rFonts w:hint="default" w:ascii="Arial" w:hAnsi="Arial" w:eastAsia="Arial" w:cs="Arial"/>
        <w:spacing w:val="-1"/>
        <w:w w:val="99"/>
        <w:sz w:val="14"/>
        <w:szCs w:val="14"/>
      </w:rPr>
    </w:lvl>
    <w:lvl w:ilvl="1">
      <w:start w:val="1"/>
      <w:numFmt w:val="bullet"/>
      <w:lvlText w:val="•"/>
      <w:lvlJc w:val="left"/>
      <w:pPr>
        <w:ind w:left="642" w:hanging="317"/>
      </w:pPr>
      <w:rPr>
        <w:rFonts w:hint="default"/>
      </w:rPr>
    </w:lvl>
    <w:lvl w:ilvl="2">
      <w:start w:val="1"/>
      <w:numFmt w:val="bullet"/>
      <w:lvlText w:val="•"/>
      <w:lvlJc w:val="left"/>
      <w:pPr>
        <w:ind w:left="865" w:hanging="317"/>
      </w:pPr>
      <w:rPr>
        <w:rFonts w:hint="default"/>
      </w:rPr>
    </w:lvl>
    <w:lvl w:ilvl="3">
      <w:start w:val="1"/>
      <w:numFmt w:val="bullet"/>
      <w:lvlText w:val="•"/>
      <w:lvlJc w:val="left"/>
      <w:pPr>
        <w:ind w:left="1088" w:hanging="317"/>
      </w:pPr>
      <w:rPr>
        <w:rFonts w:hint="default"/>
      </w:rPr>
    </w:lvl>
    <w:lvl w:ilvl="4">
      <w:start w:val="1"/>
      <w:numFmt w:val="bullet"/>
      <w:lvlText w:val="•"/>
      <w:lvlJc w:val="left"/>
      <w:pPr>
        <w:ind w:left="1311" w:hanging="317"/>
      </w:pPr>
      <w:rPr>
        <w:rFonts w:hint="default"/>
      </w:rPr>
    </w:lvl>
    <w:lvl w:ilvl="5">
      <w:start w:val="1"/>
      <w:numFmt w:val="bullet"/>
      <w:lvlText w:val="•"/>
      <w:lvlJc w:val="left"/>
      <w:pPr>
        <w:ind w:left="1533" w:hanging="317"/>
      </w:pPr>
      <w:rPr>
        <w:rFonts w:hint="default"/>
      </w:rPr>
    </w:lvl>
    <w:lvl w:ilvl="6">
      <w:start w:val="1"/>
      <w:numFmt w:val="bullet"/>
      <w:lvlText w:val="•"/>
      <w:lvlJc w:val="left"/>
      <w:pPr>
        <w:ind w:left="1756" w:hanging="317"/>
      </w:pPr>
      <w:rPr>
        <w:rFonts w:hint="default"/>
      </w:rPr>
    </w:lvl>
    <w:lvl w:ilvl="7">
      <w:start w:val="1"/>
      <w:numFmt w:val="bullet"/>
      <w:lvlText w:val="•"/>
      <w:lvlJc w:val="left"/>
      <w:pPr>
        <w:ind w:left="1979" w:hanging="317"/>
      </w:pPr>
      <w:rPr>
        <w:rFonts w:hint="default"/>
      </w:rPr>
    </w:lvl>
    <w:lvl w:ilvl="8">
      <w:start w:val="1"/>
      <w:numFmt w:val="bullet"/>
      <w:lvlText w:val="•"/>
      <w:lvlJc w:val="left"/>
      <w:pPr>
        <w:ind w:left="2202" w:hanging="317"/>
      </w:pPr>
      <w:rPr>
        <w:rFonts w:hint="default"/>
      </w:rPr>
    </w:lvl>
  </w:abstractNum>
  <w:abstractNum w:abstractNumId="12">
    <w:multiLevelType w:val="hybridMultilevel"/>
    <w:lvl w:ilvl="0">
      <w:start w:val="4"/>
      <w:numFmt w:val="decimal"/>
      <w:lvlText w:val="%1)"/>
      <w:lvlJc w:val="left"/>
      <w:pPr>
        <w:ind w:left="348" w:hanging="248"/>
        <w:jc w:val="left"/>
      </w:pPr>
      <w:rPr>
        <w:rFonts w:hint="default" w:ascii="Arial" w:hAnsi="Arial" w:eastAsia="Arial" w:cs="Arial"/>
        <w:spacing w:val="-1"/>
        <w:w w:val="99"/>
        <w:sz w:val="14"/>
        <w:szCs w:val="14"/>
      </w:rPr>
    </w:lvl>
    <w:lvl w:ilvl="1">
      <w:start w:val="1"/>
      <w:numFmt w:val="bullet"/>
      <w:lvlText w:val="•"/>
      <w:lvlJc w:val="left"/>
      <w:pPr>
        <w:ind w:left="567" w:hanging="248"/>
      </w:pPr>
      <w:rPr>
        <w:rFonts w:hint="default"/>
      </w:rPr>
    </w:lvl>
    <w:lvl w:ilvl="2">
      <w:start w:val="1"/>
      <w:numFmt w:val="bullet"/>
      <w:lvlText w:val="•"/>
      <w:lvlJc w:val="left"/>
      <w:pPr>
        <w:ind w:left="794" w:hanging="248"/>
      </w:pPr>
      <w:rPr>
        <w:rFonts w:hint="default"/>
      </w:rPr>
    </w:lvl>
    <w:lvl w:ilvl="3">
      <w:start w:val="1"/>
      <w:numFmt w:val="bullet"/>
      <w:lvlText w:val="•"/>
      <w:lvlJc w:val="left"/>
      <w:pPr>
        <w:ind w:left="1022" w:hanging="248"/>
      </w:pPr>
      <w:rPr>
        <w:rFonts w:hint="default"/>
      </w:rPr>
    </w:lvl>
    <w:lvl w:ilvl="4">
      <w:start w:val="1"/>
      <w:numFmt w:val="bullet"/>
      <w:lvlText w:val="•"/>
      <w:lvlJc w:val="left"/>
      <w:pPr>
        <w:ind w:left="1249" w:hanging="248"/>
      </w:pPr>
      <w:rPr>
        <w:rFonts w:hint="default"/>
      </w:rPr>
    </w:lvl>
    <w:lvl w:ilvl="5">
      <w:start w:val="1"/>
      <w:numFmt w:val="bullet"/>
      <w:lvlText w:val="•"/>
      <w:lvlJc w:val="left"/>
      <w:pPr>
        <w:ind w:left="1477" w:hanging="248"/>
      </w:pPr>
      <w:rPr>
        <w:rFonts w:hint="default"/>
      </w:rPr>
    </w:lvl>
    <w:lvl w:ilvl="6">
      <w:start w:val="1"/>
      <w:numFmt w:val="bullet"/>
      <w:lvlText w:val="•"/>
      <w:lvlJc w:val="left"/>
      <w:pPr>
        <w:ind w:left="1704" w:hanging="248"/>
      </w:pPr>
      <w:rPr>
        <w:rFonts w:hint="default"/>
      </w:rPr>
    </w:lvl>
    <w:lvl w:ilvl="7">
      <w:start w:val="1"/>
      <w:numFmt w:val="bullet"/>
      <w:lvlText w:val="•"/>
      <w:lvlJc w:val="left"/>
      <w:pPr>
        <w:ind w:left="1931" w:hanging="248"/>
      </w:pPr>
      <w:rPr>
        <w:rFonts w:hint="default"/>
      </w:rPr>
    </w:lvl>
    <w:lvl w:ilvl="8">
      <w:start w:val="1"/>
      <w:numFmt w:val="bullet"/>
      <w:lvlText w:val="•"/>
      <w:lvlJc w:val="left"/>
      <w:pPr>
        <w:ind w:left="2159" w:hanging="248"/>
      </w:pPr>
      <w:rPr>
        <w:rFonts w:hint="default"/>
      </w:rPr>
    </w:lvl>
  </w:abstractNum>
  <w:abstractNum w:abstractNumId="11">
    <w:multiLevelType w:val="hybridMultilevel"/>
    <w:lvl w:ilvl="0">
      <w:start w:val="5"/>
      <w:numFmt w:val="decimal"/>
      <w:lvlText w:val="%1)"/>
      <w:lvlJc w:val="left"/>
      <w:pPr>
        <w:ind w:left="391" w:hanging="284"/>
        <w:jc w:val="left"/>
      </w:pPr>
      <w:rPr>
        <w:rFonts w:hint="default" w:ascii="Arial" w:hAnsi="Arial" w:eastAsia="Arial" w:cs="Arial"/>
        <w:spacing w:val="-1"/>
        <w:w w:val="99"/>
        <w:sz w:val="14"/>
        <w:szCs w:val="14"/>
      </w:rPr>
    </w:lvl>
    <w:lvl w:ilvl="1">
      <w:start w:val="1"/>
      <w:numFmt w:val="bullet"/>
      <w:lvlText w:val="•"/>
      <w:lvlJc w:val="left"/>
      <w:pPr>
        <w:ind w:left="635" w:hanging="284"/>
      </w:pPr>
      <w:rPr>
        <w:rFonts w:hint="default"/>
      </w:rPr>
    </w:lvl>
    <w:lvl w:ilvl="2">
      <w:start w:val="1"/>
      <w:numFmt w:val="bullet"/>
      <w:lvlText w:val="•"/>
      <w:lvlJc w:val="left"/>
      <w:pPr>
        <w:ind w:left="870" w:hanging="284"/>
      </w:pPr>
      <w:rPr>
        <w:rFonts w:hint="default"/>
      </w:rPr>
    </w:lvl>
    <w:lvl w:ilvl="3">
      <w:start w:val="1"/>
      <w:numFmt w:val="bullet"/>
      <w:lvlText w:val="•"/>
      <w:lvlJc w:val="left"/>
      <w:pPr>
        <w:ind w:left="1105" w:hanging="284"/>
      </w:pPr>
      <w:rPr>
        <w:rFonts w:hint="default"/>
      </w:rPr>
    </w:lvl>
    <w:lvl w:ilvl="4">
      <w:start w:val="1"/>
      <w:numFmt w:val="bullet"/>
      <w:lvlText w:val="•"/>
      <w:lvlJc w:val="left"/>
      <w:pPr>
        <w:ind w:left="1340" w:hanging="284"/>
      </w:pPr>
      <w:rPr>
        <w:rFonts w:hint="default"/>
      </w:rPr>
    </w:lvl>
    <w:lvl w:ilvl="5">
      <w:start w:val="1"/>
      <w:numFmt w:val="bullet"/>
      <w:lvlText w:val="•"/>
      <w:lvlJc w:val="left"/>
      <w:pPr>
        <w:ind w:left="1575" w:hanging="284"/>
      </w:pPr>
      <w:rPr>
        <w:rFonts w:hint="default"/>
      </w:rPr>
    </w:lvl>
    <w:lvl w:ilvl="6">
      <w:start w:val="1"/>
      <w:numFmt w:val="bullet"/>
      <w:lvlText w:val="•"/>
      <w:lvlJc w:val="left"/>
      <w:pPr>
        <w:ind w:left="1810" w:hanging="284"/>
      </w:pPr>
      <w:rPr>
        <w:rFonts w:hint="default"/>
      </w:rPr>
    </w:lvl>
    <w:lvl w:ilvl="7">
      <w:start w:val="1"/>
      <w:numFmt w:val="bullet"/>
      <w:lvlText w:val="•"/>
      <w:lvlJc w:val="left"/>
      <w:pPr>
        <w:ind w:left="2045" w:hanging="284"/>
      </w:pPr>
      <w:rPr>
        <w:rFonts w:hint="default"/>
      </w:rPr>
    </w:lvl>
    <w:lvl w:ilvl="8">
      <w:start w:val="1"/>
      <w:numFmt w:val="bullet"/>
      <w:lvlText w:val="•"/>
      <w:lvlJc w:val="left"/>
      <w:pPr>
        <w:ind w:left="2280" w:hanging="284"/>
      </w:pPr>
      <w:rPr>
        <w:rFonts w:hint="default"/>
      </w:rPr>
    </w:lvl>
  </w:abstractNum>
  <w:abstractNum w:abstractNumId="10">
    <w:multiLevelType w:val="hybridMultilevel"/>
    <w:lvl w:ilvl="0">
      <w:start w:val="4"/>
      <w:numFmt w:val="decimal"/>
      <w:lvlText w:val="%1)"/>
      <w:lvlJc w:val="left"/>
      <w:pPr>
        <w:ind w:left="420" w:hanging="317"/>
        <w:jc w:val="left"/>
      </w:pPr>
      <w:rPr>
        <w:rFonts w:hint="default" w:ascii="Arial" w:hAnsi="Arial" w:eastAsia="Arial" w:cs="Arial"/>
        <w:spacing w:val="-1"/>
        <w:w w:val="99"/>
        <w:sz w:val="14"/>
        <w:szCs w:val="14"/>
      </w:rPr>
    </w:lvl>
    <w:lvl w:ilvl="1">
      <w:start w:val="1"/>
      <w:numFmt w:val="bullet"/>
      <w:lvlText w:val="•"/>
      <w:lvlJc w:val="left"/>
      <w:pPr>
        <w:ind w:left="642" w:hanging="317"/>
      </w:pPr>
      <w:rPr>
        <w:rFonts w:hint="default"/>
      </w:rPr>
    </w:lvl>
    <w:lvl w:ilvl="2">
      <w:start w:val="1"/>
      <w:numFmt w:val="bullet"/>
      <w:lvlText w:val="•"/>
      <w:lvlJc w:val="left"/>
      <w:pPr>
        <w:ind w:left="865" w:hanging="317"/>
      </w:pPr>
      <w:rPr>
        <w:rFonts w:hint="default"/>
      </w:rPr>
    </w:lvl>
    <w:lvl w:ilvl="3">
      <w:start w:val="1"/>
      <w:numFmt w:val="bullet"/>
      <w:lvlText w:val="•"/>
      <w:lvlJc w:val="left"/>
      <w:pPr>
        <w:ind w:left="1088" w:hanging="317"/>
      </w:pPr>
      <w:rPr>
        <w:rFonts w:hint="default"/>
      </w:rPr>
    </w:lvl>
    <w:lvl w:ilvl="4">
      <w:start w:val="1"/>
      <w:numFmt w:val="bullet"/>
      <w:lvlText w:val="•"/>
      <w:lvlJc w:val="left"/>
      <w:pPr>
        <w:ind w:left="1311" w:hanging="317"/>
      </w:pPr>
      <w:rPr>
        <w:rFonts w:hint="default"/>
      </w:rPr>
    </w:lvl>
    <w:lvl w:ilvl="5">
      <w:start w:val="1"/>
      <w:numFmt w:val="bullet"/>
      <w:lvlText w:val="•"/>
      <w:lvlJc w:val="left"/>
      <w:pPr>
        <w:ind w:left="1533" w:hanging="317"/>
      </w:pPr>
      <w:rPr>
        <w:rFonts w:hint="default"/>
      </w:rPr>
    </w:lvl>
    <w:lvl w:ilvl="6">
      <w:start w:val="1"/>
      <w:numFmt w:val="bullet"/>
      <w:lvlText w:val="•"/>
      <w:lvlJc w:val="left"/>
      <w:pPr>
        <w:ind w:left="1756" w:hanging="317"/>
      </w:pPr>
      <w:rPr>
        <w:rFonts w:hint="default"/>
      </w:rPr>
    </w:lvl>
    <w:lvl w:ilvl="7">
      <w:start w:val="1"/>
      <w:numFmt w:val="bullet"/>
      <w:lvlText w:val="•"/>
      <w:lvlJc w:val="left"/>
      <w:pPr>
        <w:ind w:left="1979" w:hanging="317"/>
      </w:pPr>
      <w:rPr>
        <w:rFonts w:hint="default"/>
      </w:rPr>
    </w:lvl>
    <w:lvl w:ilvl="8">
      <w:start w:val="1"/>
      <w:numFmt w:val="bullet"/>
      <w:lvlText w:val="•"/>
      <w:lvlJc w:val="left"/>
      <w:pPr>
        <w:ind w:left="2202" w:hanging="317"/>
      </w:pPr>
      <w:rPr>
        <w:rFonts w:hint="default"/>
      </w:rPr>
    </w:lvl>
  </w:abstractNum>
  <w:abstractNum w:abstractNumId="9">
    <w:multiLevelType w:val="hybridMultilevel"/>
    <w:lvl w:ilvl="0">
      <w:start w:val="1"/>
      <w:numFmt w:val="decimal"/>
      <w:lvlText w:val="%1)"/>
      <w:lvlJc w:val="left"/>
      <w:pPr>
        <w:ind w:left="350" w:hanging="284"/>
        <w:jc w:val="left"/>
      </w:pPr>
      <w:rPr>
        <w:rFonts w:hint="default" w:ascii="Arial" w:hAnsi="Arial" w:eastAsia="Arial" w:cs="Arial"/>
        <w:spacing w:val="-1"/>
        <w:w w:val="99"/>
        <w:sz w:val="14"/>
        <w:szCs w:val="14"/>
      </w:rPr>
    </w:lvl>
    <w:lvl w:ilvl="1">
      <w:start w:val="1"/>
      <w:numFmt w:val="bullet"/>
      <w:lvlText w:val="•"/>
      <w:lvlJc w:val="left"/>
      <w:pPr>
        <w:ind w:left="585" w:hanging="284"/>
      </w:pPr>
      <w:rPr>
        <w:rFonts w:hint="default"/>
      </w:rPr>
    </w:lvl>
    <w:lvl w:ilvl="2">
      <w:start w:val="1"/>
      <w:numFmt w:val="bullet"/>
      <w:lvlText w:val="•"/>
      <w:lvlJc w:val="left"/>
      <w:pPr>
        <w:ind w:left="810" w:hanging="284"/>
      </w:pPr>
      <w:rPr>
        <w:rFonts w:hint="default"/>
      </w:rPr>
    </w:lvl>
    <w:lvl w:ilvl="3">
      <w:start w:val="1"/>
      <w:numFmt w:val="bullet"/>
      <w:lvlText w:val="•"/>
      <w:lvlJc w:val="left"/>
      <w:pPr>
        <w:ind w:left="1036" w:hanging="284"/>
      </w:pPr>
      <w:rPr>
        <w:rFonts w:hint="default"/>
      </w:rPr>
    </w:lvl>
    <w:lvl w:ilvl="4">
      <w:start w:val="1"/>
      <w:numFmt w:val="bullet"/>
      <w:lvlText w:val="•"/>
      <w:lvlJc w:val="left"/>
      <w:pPr>
        <w:ind w:left="1261" w:hanging="284"/>
      </w:pPr>
      <w:rPr>
        <w:rFonts w:hint="default"/>
      </w:rPr>
    </w:lvl>
    <w:lvl w:ilvl="5">
      <w:start w:val="1"/>
      <w:numFmt w:val="bullet"/>
      <w:lvlText w:val="•"/>
      <w:lvlJc w:val="left"/>
      <w:pPr>
        <w:ind w:left="1487" w:hanging="284"/>
      </w:pPr>
      <w:rPr>
        <w:rFonts w:hint="default"/>
      </w:rPr>
    </w:lvl>
    <w:lvl w:ilvl="6">
      <w:start w:val="1"/>
      <w:numFmt w:val="bullet"/>
      <w:lvlText w:val="•"/>
      <w:lvlJc w:val="left"/>
      <w:pPr>
        <w:ind w:left="1712" w:hanging="284"/>
      </w:pPr>
      <w:rPr>
        <w:rFonts w:hint="default"/>
      </w:rPr>
    </w:lvl>
    <w:lvl w:ilvl="7">
      <w:start w:val="1"/>
      <w:numFmt w:val="bullet"/>
      <w:lvlText w:val="•"/>
      <w:lvlJc w:val="left"/>
      <w:pPr>
        <w:ind w:left="1937" w:hanging="284"/>
      </w:pPr>
      <w:rPr>
        <w:rFonts w:hint="default"/>
      </w:rPr>
    </w:lvl>
    <w:lvl w:ilvl="8">
      <w:start w:val="1"/>
      <w:numFmt w:val="bullet"/>
      <w:lvlText w:val="•"/>
      <w:lvlJc w:val="left"/>
      <w:pPr>
        <w:ind w:left="2163" w:hanging="284"/>
      </w:pPr>
      <w:rPr>
        <w:rFonts w:hint="default"/>
      </w:rPr>
    </w:lvl>
  </w:abstractNum>
  <w:abstractNum w:abstractNumId="8">
    <w:multiLevelType w:val="hybridMultilevel"/>
    <w:lvl w:ilvl="0">
      <w:start w:val="1"/>
      <w:numFmt w:val="decimal"/>
      <w:lvlText w:val="%1)"/>
      <w:lvlJc w:val="left"/>
      <w:pPr>
        <w:ind w:left="391" w:hanging="291"/>
        <w:jc w:val="left"/>
      </w:pPr>
      <w:rPr>
        <w:rFonts w:hint="default" w:ascii="Arial" w:hAnsi="Arial" w:eastAsia="Arial" w:cs="Arial"/>
        <w:spacing w:val="-1"/>
        <w:w w:val="99"/>
        <w:sz w:val="14"/>
        <w:szCs w:val="14"/>
      </w:rPr>
    </w:lvl>
    <w:lvl w:ilvl="1">
      <w:start w:val="1"/>
      <w:numFmt w:val="bullet"/>
      <w:lvlText w:val="•"/>
      <w:lvlJc w:val="left"/>
      <w:pPr>
        <w:ind w:left="635" w:hanging="291"/>
      </w:pPr>
      <w:rPr>
        <w:rFonts w:hint="default"/>
      </w:rPr>
    </w:lvl>
    <w:lvl w:ilvl="2">
      <w:start w:val="1"/>
      <w:numFmt w:val="bullet"/>
      <w:lvlText w:val="•"/>
      <w:lvlJc w:val="left"/>
      <w:pPr>
        <w:ind w:left="870" w:hanging="291"/>
      </w:pPr>
      <w:rPr>
        <w:rFonts w:hint="default"/>
      </w:rPr>
    </w:lvl>
    <w:lvl w:ilvl="3">
      <w:start w:val="1"/>
      <w:numFmt w:val="bullet"/>
      <w:lvlText w:val="•"/>
      <w:lvlJc w:val="left"/>
      <w:pPr>
        <w:ind w:left="1105" w:hanging="291"/>
      </w:pPr>
      <w:rPr>
        <w:rFonts w:hint="default"/>
      </w:rPr>
    </w:lvl>
    <w:lvl w:ilvl="4">
      <w:start w:val="1"/>
      <w:numFmt w:val="bullet"/>
      <w:lvlText w:val="•"/>
      <w:lvlJc w:val="left"/>
      <w:pPr>
        <w:ind w:left="1340" w:hanging="291"/>
      </w:pPr>
      <w:rPr>
        <w:rFonts w:hint="default"/>
      </w:rPr>
    </w:lvl>
    <w:lvl w:ilvl="5">
      <w:start w:val="1"/>
      <w:numFmt w:val="bullet"/>
      <w:lvlText w:val="•"/>
      <w:lvlJc w:val="left"/>
      <w:pPr>
        <w:ind w:left="1575" w:hanging="291"/>
      </w:pPr>
      <w:rPr>
        <w:rFonts w:hint="default"/>
      </w:rPr>
    </w:lvl>
    <w:lvl w:ilvl="6">
      <w:start w:val="1"/>
      <w:numFmt w:val="bullet"/>
      <w:lvlText w:val="•"/>
      <w:lvlJc w:val="left"/>
      <w:pPr>
        <w:ind w:left="1810" w:hanging="291"/>
      </w:pPr>
      <w:rPr>
        <w:rFonts w:hint="default"/>
      </w:rPr>
    </w:lvl>
    <w:lvl w:ilvl="7">
      <w:start w:val="1"/>
      <w:numFmt w:val="bullet"/>
      <w:lvlText w:val="•"/>
      <w:lvlJc w:val="left"/>
      <w:pPr>
        <w:ind w:left="2045" w:hanging="291"/>
      </w:pPr>
      <w:rPr>
        <w:rFonts w:hint="default"/>
      </w:rPr>
    </w:lvl>
    <w:lvl w:ilvl="8">
      <w:start w:val="1"/>
      <w:numFmt w:val="bullet"/>
      <w:lvlText w:val="•"/>
      <w:lvlJc w:val="left"/>
      <w:pPr>
        <w:ind w:left="2280" w:hanging="291"/>
      </w:pPr>
      <w:rPr>
        <w:rFonts w:hint="default"/>
      </w:rPr>
    </w:lvl>
  </w:abstractNum>
  <w:abstractNum w:abstractNumId="7">
    <w:multiLevelType w:val="hybridMultilevel"/>
    <w:lvl w:ilvl="0">
      <w:start w:val="1"/>
      <w:numFmt w:val="decimal"/>
      <w:lvlText w:val="%1)"/>
      <w:lvlJc w:val="left"/>
      <w:pPr>
        <w:ind w:left="420" w:hanging="317"/>
        <w:jc w:val="left"/>
      </w:pPr>
      <w:rPr>
        <w:rFonts w:hint="default" w:ascii="Arial" w:hAnsi="Arial" w:eastAsia="Arial" w:cs="Arial"/>
        <w:spacing w:val="-1"/>
        <w:w w:val="99"/>
        <w:sz w:val="14"/>
        <w:szCs w:val="14"/>
      </w:rPr>
    </w:lvl>
    <w:lvl w:ilvl="1">
      <w:start w:val="1"/>
      <w:numFmt w:val="bullet"/>
      <w:lvlText w:val="•"/>
      <w:lvlJc w:val="left"/>
      <w:pPr>
        <w:ind w:left="642" w:hanging="317"/>
      </w:pPr>
      <w:rPr>
        <w:rFonts w:hint="default"/>
      </w:rPr>
    </w:lvl>
    <w:lvl w:ilvl="2">
      <w:start w:val="1"/>
      <w:numFmt w:val="bullet"/>
      <w:lvlText w:val="•"/>
      <w:lvlJc w:val="left"/>
      <w:pPr>
        <w:ind w:left="865" w:hanging="317"/>
      </w:pPr>
      <w:rPr>
        <w:rFonts w:hint="default"/>
      </w:rPr>
    </w:lvl>
    <w:lvl w:ilvl="3">
      <w:start w:val="1"/>
      <w:numFmt w:val="bullet"/>
      <w:lvlText w:val="•"/>
      <w:lvlJc w:val="left"/>
      <w:pPr>
        <w:ind w:left="1088" w:hanging="317"/>
      </w:pPr>
      <w:rPr>
        <w:rFonts w:hint="default"/>
      </w:rPr>
    </w:lvl>
    <w:lvl w:ilvl="4">
      <w:start w:val="1"/>
      <w:numFmt w:val="bullet"/>
      <w:lvlText w:val="•"/>
      <w:lvlJc w:val="left"/>
      <w:pPr>
        <w:ind w:left="1311" w:hanging="317"/>
      </w:pPr>
      <w:rPr>
        <w:rFonts w:hint="default"/>
      </w:rPr>
    </w:lvl>
    <w:lvl w:ilvl="5">
      <w:start w:val="1"/>
      <w:numFmt w:val="bullet"/>
      <w:lvlText w:val="•"/>
      <w:lvlJc w:val="left"/>
      <w:pPr>
        <w:ind w:left="1533" w:hanging="317"/>
      </w:pPr>
      <w:rPr>
        <w:rFonts w:hint="default"/>
      </w:rPr>
    </w:lvl>
    <w:lvl w:ilvl="6">
      <w:start w:val="1"/>
      <w:numFmt w:val="bullet"/>
      <w:lvlText w:val="•"/>
      <w:lvlJc w:val="left"/>
      <w:pPr>
        <w:ind w:left="1756" w:hanging="317"/>
      </w:pPr>
      <w:rPr>
        <w:rFonts w:hint="default"/>
      </w:rPr>
    </w:lvl>
    <w:lvl w:ilvl="7">
      <w:start w:val="1"/>
      <w:numFmt w:val="bullet"/>
      <w:lvlText w:val="•"/>
      <w:lvlJc w:val="left"/>
      <w:pPr>
        <w:ind w:left="1979" w:hanging="317"/>
      </w:pPr>
      <w:rPr>
        <w:rFonts w:hint="default"/>
      </w:rPr>
    </w:lvl>
    <w:lvl w:ilvl="8">
      <w:start w:val="1"/>
      <w:numFmt w:val="bullet"/>
      <w:lvlText w:val="•"/>
      <w:lvlJc w:val="left"/>
      <w:pPr>
        <w:ind w:left="2202" w:hanging="317"/>
      </w:pPr>
      <w:rPr>
        <w:rFonts w:hint="default"/>
      </w:rPr>
    </w:lvl>
  </w:abstractNum>
  <w:abstractNum w:abstractNumId="6">
    <w:multiLevelType w:val="hybridMultilevel"/>
    <w:lvl w:ilvl="0">
      <w:start w:val="1"/>
      <w:numFmt w:val="decimal"/>
      <w:lvlText w:val="%1"/>
      <w:lvlJc w:val="left"/>
      <w:pPr>
        <w:ind w:left="589" w:hanging="468"/>
        <w:jc w:val="left"/>
      </w:pPr>
      <w:rPr>
        <w:rFonts w:hint="default"/>
      </w:rPr>
    </w:lvl>
    <w:lvl w:ilvl="1">
      <w:start w:val="1"/>
      <w:numFmt w:val="decimal"/>
      <w:lvlText w:val="%1.%2"/>
      <w:lvlJc w:val="left"/>
      <w:pPr>
        <w:ind w:left="589" w:hanging="468"/>
        <w:jc w:val="left"/>
      </w:pPr>
      <w:rPr>
        <w:rFonts w:hint="default"/>
        <w:b/>
        <w:bCs/>
        <w:spacing w:val="-1"/>
        <w:w w:val="100"/>
      </w:rPr>
    </w:lvl>
    <w:lvl w:ilvl="2">
      <w:start w:val="1"/>
      <w:numFmt w:val="decimal"/>
      <w:lvlText w:val="%3)"/>
      <w:lvlJc w:val="left"/>
      <w:pPr>
        <w:ind w:left="822" w:hanging="360"/>
        <w:jc w:val="left"/>
      </w:pPr>
      <w:rPr>
        <w:rFonts w:hint="default" w:ascii="Arial" w:hAnsi="Arial" w:eastAsia="Arial" w:cs="Arial"/>
        <w:w w:val="99"/>
        <w:sz w:val="24"/>
        <w:szCs w:val="24"/>
      </w:rPr>
    </w:lvl>
    <w:lvl w:ilvl="3">
      <w:start w:val="1"/>
      <w:numFmt w:val="lowerLetter"/>
      <w:lvlText w:val="%4)"/>
      <w:lvlJc w:val="left"/>
      <w:pPr>
        <w:ind w:left="822" w:hanging="360"/>
        <w:jc w:val="left"/>
      </w:pPr>
      <w:rPr>
        <w:rFonts w:hint="default" w:ascii="Arial" w:hAnsi="Arial" w:eastAsia="Arial" w:cs="Arial"/>
        <w:w w:val="99"/>
        <w:sz w:val="24"/>
        <w:szCs w:val="24"/>
      </w:rPr>
    </w:lvl>
    <w:lvl w:ilvl="4">
      <w:start w:val="1"/>
      <w:numFmt w:val="bullet"/>
      <w:lvlText w:val="•"/>
      <w:lvlJc w:val="left"/>
      <w:pPr>
        <w:ind w:left="3090" w:hanging="360"/>
      </w:pPr>
      <w:rPr>
        <w:rFonts w:hint="default"/>
      </w:rPr>
    </w:lvl>
    <w:lvl w:ilvl="5">
      <w:start w:val="1"/>
      <w:numFmt w:val="bullet"/>
      <w:lvlText w:val="•"/>
      <w:lvlJc w:val="left"/>
      <w:pPr>
        <w:ind w:left="4085" w:hanging="360"/>
      </w:pPr>
      <w:rPr>
        <w:rFonts w:hint="default"/>
      </w:rPr>
    </w:lvl>
    <w:lvl w:ilvl="6">
      <w:start w:val="1"/>
      <w:numFmt w:val="bullet"/>
      <w:lvlText w:val="•"/>
      <w:lvlJc w:val="left"/>
      <w:pPr>
        <w:ind w:left="5080" w:hanging="360"/>
      </w:pPr>
      <w:rPr>
        <w:rFonts w:hint="default"/>
      </w:rPr>
    </w:lvl>
    <w:lvl w:ilvl="7">
      <w:start w:val="1"/>
      <w:numFmt w:val="bullet"/>
      <w:lvlText w:val="•"/>
      <w:lvlJc w:val="left"/>
      <w:pPr>
        <w:ind w:left="6075" w:hanging="360"/>
      </w:pPr>
      <w:rPr>
        <w:rFonts w:hint="default"/>
      </w:rPr>
    </w:lvl>
    <w:lvl w:ilvl="8">
      <w:start w:val="1"/>
      <w:numFmt w:val="bullet"/>
      <w:lvlText w:val="•"/>
      <w:lvlJc w:val="left"/>
      <w:pPr>
        <w:ind w:left="7070" w:hanging="360"/>
      </w:pPr>
      <w:rPr>
        <w:rFonts w:hint="default"/>
      </w:rPr>
    </w:lvl>
  </w:abstractNum>
  <w:abstractNum w:abstractNumId="5">
    <w:multiLevelType w:val="hybridMultilevel"/>
    <w:lvl w:ilvl="0">
      <w:start w:val="4"/>
      <w:numFmt w:val="decimal"/>
      <w:lvlText w:val="%1"/>
      <w:lvlJc w:val="left"/>
      <w:pPr>
        <w:ind w:left="504" w:hanging="403"/>
        <w:jc w:val="left"/>
      </w:pPr>
      <w:rPr>
        <w:rFonts w:hint="default"/>
      </w:rPr>
    </w:lvl>
    <w:lvl w:ilvl="1">
      <w:start w:val="3"/>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2208" w:hanging="403"/>
      </w:pPr>
      <w:rPr>
        <w:rFonts w:hint="default"/>
      </w:rPr>
    </w:lvl>
    <w:lvl w:ilvl="3">
      <w:start w:val="1"/>
      <w:numFmt w:val="bullet"/>
      <w:lvlText w:val="•"/>
      <w:lvlJc w:val="left"/>
      <w:pPr>
        <w:ind w:left="3062" w:hanging="403"/>
      </w:pPr>
      <w:rPr>
        <w:rFonts w:hint="default"/>
      </w:rPr>
    </w:lvl>
    <w:lvl w:ilvl="4">
      <w:start w:val="1"/>
      <w:numFmt w:val="bullet"/>
      <w:lvlText w:val="•"/>
      <w:lvlJc w:val="left"/>
      <w:pPr>
        <w:ind w:left="3916" w:hanging="403"/>
      </w:pPr>
      <w:rPr>
        <w:rFonts w:hint="default"/>
      </w:rPr>
    </w:lvl>
    <w:lvl w:ilvl="5">
      <w:start w:val="1"/>
      <w:numFmt w:val="bullet"/>
      <w:lvlText w:val="•"/>
      <w:lvlJc w:val="left"/>
      <w:pPr>
        <w:ind w:left="4770" w:hanging="403"/>
      </w:pPr>
      <w:rPr>
        <w:rFonts w:hint="default"/>
      </w:rPr>
    </w:lvl>
    <w:lvl w:ilvl="6">
      <w:start w:val="1"/>
      <w:numFmt w:val="bullet"/>
      <w:lvlText w:val="•"/>
      <w:lvlJc w:val="left"/>
      <w:pPr>
        <w:ind w:left="5624" w:hanging="403"/>
      </w:pPr>
      <w:rPr>
        <w:rFonts w:hint="default"/>
      </w:rPr>
    </w:lvl>
    <w:lvl w:ilvl="7">
      <w:start w:val="1"/>
      <w:numFmt w:val="bullet"/>
      <w:lvlText w:val="•"/>
      <w:lvlJc w:val="left"/>
      <w:pPr>
        <w:ind w:left="6478" w:hanging="403"/>
      </w:pPr>
      <w:rPr>
        <w:rFonts w:hint="default"/>
      </w:rPr>
    </w:lvl>
    <w:lvl w:ilvl="8">
      <w:start w:val="1"/>
      <w:numFmt w:val="bullet"/>
      <w:lvlText w:val="•"/>
      <w:lvlJc w:val="left"/>
      <w:pPr>
        <w:ind w:left="7332" w:hanging="403"/>
      </w:pPr>
      <w:rPr>
        <w:rFonts w:hint="default"/>
      </w:rPr>
    </w:lvl>
  </w:abstractNum>
  <w:abstractNum w:abstractNumId="4">
    <w:multiLevelType w:val="hybridMultilevel"/>
    <w:lvl w:ilvl="0">
      <w:start w:val="4"/>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bullet"/>
      <w:lvlText w:val="•"/>
      <w:lvlJc w:val="left"/>
      <w:pPr>
        <w:ind w:left="1628" w:hanging="403"/>
      </w:pPr>
      <w:rPr>
        <w:rFonts w:hint="default"/>
      </w:rPr>
    </w:lvl>
    <w:lvl w:ilvl="3">
      <w:start w:val="1"/>
      <w:numFmt w:val="bullet"/>
      <w:lvlText w:val="•"/>
      <w:lvlJc w:val="left"/>
      <w:pPr>
        <w:ind w:left="2557" w:hanging="403"/>
      </w:pPr>
      <w:rPr>
        <w:rFonts w:hint="default"/>
      </w:rPr>
    </w:lvl>
    <w:lvl w:ilvl="4">
      <w:start w:val="1"/>
      <w:numFmt w:val="bullet"/>
      <w:lvlText w:val="•"/>
      <w:lvlJc w:val="left"/>
      <w:pPr>
        <w:ind w:left="3486" w:hanging="403"/>
      </w:pPr>
      <w:rPr>
        <w:rFonts w:hint="default"/>
      </w:rPr>
    </w:lvl>
    <w:lvl w:ilvl="5">
      <w:start w:val="1"/>
      <w:numFmt w:val="bullet"/>
      <w:lvlText w:val="•"/>
      <w:lvlJc w:val="left"/>
      <w:pPr>
        <w:ind w:left="4415" w:hanging="403"/>
      </w:pPr>
      <w:rPr>
        <w:rFonts w:hint="default"/>
      </w:rPr>
    </w:lvl>
    <w:lvl w:ilvl="6">
      <w:start w:val="1"/>
      <w:numFmt w:val="bullet"/>
      <w:lvlText w:val="•"/>
      <w:lvlJc w:val="left"/>
      <w:pPr>
        <w:ind w:left="5344" w:hanging="403"/>
      </w:pPr>
      <w:rPr>
        <w:rFonts w:hint="default"/>
      </w:rPr>
    </w:lvl>
    <w:lvl w:ilvl="7">
      <w:start w:val="1"/>
      <w:numFmt w:val="bullet"/>
      <w:lvlText w:val="•"/>
      <w:lvlJc w:val="left"/>
      <w:pPr>
        <w:ind w:left="6273" w:hanging="403"/>
      </w:pPr>
      <w:rPr>
        <w:rFonts w:hint="default"/>
      </w:rPr>
    </w:lvl>
    <w:lvl w:ilvl="8">
      <w:start w:val="1"/>
      <w:numFmt w:val="bullet"/>
      <w:lvlText w:val="•"/>
      <w:lvlJc w:val="left"/>
      <w:pPr>
        <w:ind w:left="7202" w:hanging="403"/>
      </w:pPr>
      <w:rPr>
        <w:rFonts w:hint="default"/>
      </w:rPr>
    </w:lvl>
  </w:abstractNum>
  <w:abstractNum w:abstractNumId="3">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954" w:hanging="602"/>
        <w:jc w:val="left"/>
      </w:pPr>
      <w:rPr>
        <w:rFonts w:hint="default" w:ascii="Arial" w:hAnsi="Arial" w:eastAsia="Arial" w:cs="Arial"/>
        <w:spacing w:val="-2"/>
        <w:w w:val="99"/>
        <w:sz w:val="24"/>
        <w:szCs w:val="24"/>
      </w:rPr>
    </w:lvl>
    <w:lvl w:ilvl="3">
      <w:start w:val="1"/>
      <w:numFmt w:val="bullet"/>
      <w:lvlText w:val="•"/>
      <w:lvlJc w:val="left"/>
      <w:pPr>
        <w:ind w:left="2760" w:hanging="602"/>
      </w:pPr>
      <w:rPr>
        <w:rFonts w:hint="default"/>
      </w:rPr>
    </w:lvl>
    <w:lvl w:ilvl="4">
      <w:start w:val="1"/>
      <w:numFmt w:val="bullet"/>
      <w:lvlText w:val="•"/>
      <w:lvlJc w:val="left"/>
      <w:pPr>
        <w:ind w:left="3660" w:hanging="602"/>
      </w:pPr>
      <w:rPr>
        <w:rFonts w:hint="default"/>
      </w:rPr>
    </w:lvl>
    <w:lvl w:ilvl="5">
      <w:start w:val="1"/>
      <w:numFmt w:val="bullet"/>
      <w:lvlText w:val="•"/>
      <w:lvlJc w:val="left"/>
      <w:pPr>
        <w:ind w:left="4560" w:hanging="602"/>
      </w:pPr>
      <w:rPr>
        <w:rFonts w:hint="default"/>
      </w:rPr>
    </w:lvl>
    <w:lvl w:ilvl="6">
      <w:start w:val="1"/>
      <w:numFmt w:val="bullet"/>
      <w:lvlText w:val="•"/>
      <w:lvlJc w:val="left"/>
      <w:pPr>
        <w:ind w:left="5460" w:hanging="602"/>
      </w:pPr>
      <w:rPr>
        <w:rFonts w:hint="default"/>
      </w:rPr>
    </w:lvl>
    <w:lvl w:ilvl="7">
      <w:start w:val="1"/>
      <w:numFmt w:val="bullet"/>
      <w:lvlText w:val="•"/>
      <w:lvlJc w:val="left"/>
      <w:pPr>
        <w:ind w:left="6360" w:hanging="602"/>
      </w:pPr>
      <w:rPr>
        <w:rFonts w:hint="default"/>
      </w:rPr>
    </w:lvl>
    <w:lvl w:ilvl="8">
      <w:start w:val="1"/>
      <w:numFmt w:val="bullet"/>
      <w:lvlText w:val="•"/>
      <w:lvlJc w:val="left"/>
      <w:pPr>
        <w:ind w:left="7260" w:hanging="602"/>
      </w:pPr>
      <w:rPr>
        <w:rFonts w:hint="default"/>
      </w:rPr>
    </w:lvl>
  </w:abstractNum>
  <w:abstractNum w:abstractNumId="2">
    <w:multiLevelType w:val="hybridMultilevel"/>
    <w:lvl w:ilvl="0">
      <w:start w:val="2"/>
      <w:numFmt w:val="decimal"/>
      <w:lvlText w:val="%1"/>
      <w:lvlJc w:val="left"/>
      <w:pPr>
        <w:ind w:left="954" w:hanging="602"/>
        <w:jc w:val="left"/>
      </w:pPr>
      <w:rPr>
        <w:rFonts w:hint="default"/>
      </w:rPr>
    </w:lvl>
    <w:lvl w:ilvl="1">
      <w:start w:val="1"/>
      <w:numFmt w:val="decimal"/>
      <w:lvlText w:val="%1.%2"/>
      <w:lvlJc w:val="left"/>
      <w:pPr>
        <w:ind w:left="954" w:hanging="602"/>
        <w:jc w:val="left"/>
      </w:pPr>
      <w:rPr>
        <w:rFonts w:hint="default"/>
      </w:rPr>
    </w:lvl>
    <w:lvl w:ilvl="2">
      <w:start w:val="1"/>
      <w:numFmt w:val="decimal"/>
      <w:lvlText w:val="%1.%2.%3"/>
      <w:lvlJc w:val="left"/>
      <w:pPr>
        <w:ind w:left="954" w:hanging="602"/>
        <w:jc w:val="left"/>
      </w:pPr>
      <w:rPr>
        <w:rFonts w:hint="default" w:ascii="Arial" w:hAnsi="Arial" w:eastAsia="Arial" w:cs="Arial"/>
        <w:spacing w:val="-2"/>
        <w:w w:val="99"/>
        <w:sz w:val="24"/>
        <w:szCs w:val="24"/>
      </w:rPr>
    </w:lvl>
    <w:lvl w:ilvl="3">
      <w:start w:val="1"/>
      <w:numFmt w:val="bullet"/>
      <w:lvlText w:val="•"/>
      <w:lvlJc w:val="left"/>
      <w:pPr>
        <w:ind w:left="2760" w:hanging="602"/>
      </w:pPr>
      <w:rPr>
        <w:rFonts w:hint="default"/>
      </w:rPr>
    </w:lvl>
    <w:lvl w:ilvl="4">
      <w:start w:val="1"/>
      <w:numFmt w:val="bullet"/>
      <w:lvlText w:val="•"/>
      <w:lvlJc w:val="left"/>
      <w:pPr>
        <w:ind w:left="3660" w:hanging="602"/>
      </w:pPr>
      <w:rPr>
        <w:rFonts w:hint="default"/>
      </w:rPr>
    </w:lvl>
    <w:lvl w:ilvl="5">
      <w:start w:val="1"/>
      <w:numFmt w:val="bullet"/>
      <w:lvlText w:val="•"/>
      <w:lvlJc w:val="left"/>
      <w:pPr>
        <w:ind w:left="4560" w:hanging="602"/>
      </w:pPr>
      <w:rPr>
        <w:rFonts w:hint="default"/>
      </w:rPr>
    </w:lvl>
    <w:lvl w:ilvl="6">
      <w:start w:val="1"/>
      <w:numFmt w:val="bullet"/>
      <w:lvlText w:val="•"/>
      <w:lvlJc w:val="left"/>
      <w:pPr>
        <w:ind w:left="5460" w:hanging="602"/>
      </w:pPr>
      <w:rPr>
        <w:rFonts w:hint="default"/>
      </w:rPr>
    </w:lvl>
    <w:lvl w:ilvl="7">
      <w:start w:val="1"/>
      <w:numFmt w:val="bullet"/>
      <w:lvlText w:val="•"/>
      <w:lvlJc w:val="left"/>
      <w:pPr>
        <w:ind w:left="6360" w:hanging="602"/>
      </w:pPr>
      <w:rPr>
        <w:rFonts w:hint="default"/>
      </w:rPr>
    </w:lvl>
    <w:lvl w:ilvl="8">
      <w:start w:val="1"/>
      <w:numFmt w:val="bullet"/>
      <w:lvlText w:val="•"/>
      <w:lvlJc w:val="left"/>
      <w:pPr>
        <w:ind w:left="7260" w:hanging="602"/>
      </w:pPr>
      <w:rPr>
        <w:rFonts w:hint="default"/>
      </w:rPr>
    </w:lvl>
  </w:abstractNum>
  <w:abstractNum w:abstractNumId="1">
    <w:multiLevelType w:val="hybridMultilevel"/>
    <w:lvl w:ilvl="0">
      <w:start w:val="1"/>
      <w:numFmt w:val="decimal"/>
      <w:lvlText w:val="%1"/>
      <w:lvlJc w:val="left"/>
      <w:pPr>
        <w:ind w:left="502" w:hanging="401"/>
        <w:jc w:val="left"/>
      </w:pPr>
      <w:rPr>
        <w:rFonts w:hint="default"/>
      </w:rPr>
    </w:lvl>
    <w:lvl w:ilvl="1">
      <w:start w:val="3"/>
      <w:numFmt w:val="decimal"/>
      <w:lvlText w:val="%1.%2"/>
      <w:lvlJc w:val="left"/>
      <w:pPr>
        <w:ind w:left="502" w:hanging="401"/>
        <w:jc w:val="left"/>
      </w:pPr>
      <w:rPr>
        <w:rFonts w:hint="default" w:ascii="Arial" w:hAnsi="Arial" w:eastAsia="Arial" w:cs="Arial"/>
        <w:w w:val="99"/>
        <w:sz w:val="24"/>
        <w:szCs w:val="24"/>
      </w:rPr>
    </w:lvl>
    <w:lvl w:ilvl="2">
      <w:start w:val="1"/>
      <w:numFmt w:val="decimal"/>
      <w:lvlText w:val="%1.%2.%3"/>
      <w:lvlJc w:val="left"/>
      <w:pPr>
        <w:ind w:left="954" w:hanging="602"/>
        <w:jc w:val="left"/>
      </w:pPr>
      <w:rPr>
        <w:rFonts w:hint="default" w:ascii="Arial" w:hAnsi="Arial" w:eastAsia="Arial" w:cs="Arial"/>
        <w:spacing w:val="-2"/>
        <w:w w:val="99"/>
        <w:sz w:val="24"/>
        <w:szCs w:val="24"/>
      </w:rPr>
    </w:lvl>
    <w:lvl w:ilvl="3">
      <w:start w:val="1"/>
      <w:numFmt w:val="bullet"/>
      <w:lvlText w:val="•"/>
      <w:lvlJc w:val="left"/>
      <w:pPr>
        <w:ind w:left="2755" w:hanging="602"/>
      </w:pPr>
      <w:rPr>
        <w:rFonts w:hint="default"/>
      </w:rPr>
    </w:lvl>
    <w:lvl w:ilvl="4">
      <w:start w:val="1"/>
      <w:numFmt w:val="bullet"/>
      <w:lvlText w:val="•"/>
      <w:lvlJc w:val="left"/>
      <w:pPr>
        <w:ind w:left="3653" w:hanging="602"/>
      </w:pPr>
      <w:rPr>
        <w:rFonts w:hint="default"/>
      </w:rPr>
    </w:lvl>
    <w:lvl w:ilvl="5">
      <w:start w:val="1"/>
      <w:numFmt w:val="bullet"/>
      <w:lvlText w:val="•"/>
      <w:lvlJc w:val="left"/>
      <w:pPr>
        <w:ind w:left="4551" w:hanging="602"/>
      </w:pPr>
      <w:rPr>
        <w:rFonts w:hint="default"/>
      </w:rPr>
    </w:lvl>
    <w:lvl w:ilvl="6">
      <w:start w:val="1"/>
      <w:numFmt w:val="bullet"/>
      <w:lvlText w:val="•"/>
      <w:lvlJc w:val="left"/>
      <w:pPr>
        <w:ind w:left="5448" w:hanging="602"/>
      </w:pPr>
      <w:rPr>
        <w:rFonts w:hint="default"/>
      </w:rPr>
    </w:lvl>
    <w:lvl w:ilvl="7">
      <w:start w:val="1"/>
      <w:numFmt w:val="bullet"/>
      <w:lvlText w:val="•"/>
      <w:lvlJc w:val="left"/>
      <w:pPr>
        <w:ind w:left="6346" w:hanging="602"/>
      </w:pPr>
      <w:rPr>
        <w:rFonts w:hint="default"/>
      </w:rPr>
    </w:lvl>
    <w:lvl w:ilvl="8">
      <w:start w:val="1"/>
      <w:numFmt w:val="bullet"/>
      <w:lvlText w:val="•"/>
      <w:lvlJc w:val="left"/>
      <w:pPr>
        <w:ind w:left="7244" w:hanging="602"/>
      </w:pPr>
      <w:rPr>
        <w:rFonts w:hint="default"/>
      </w:rPr>
    </w:lvl>
  </w:abstractNum>
  <w:abstractNum w:abstractNumId="0">
    <w:multiLevelType w:val="hybridMultilevel"/>
    <w:lvl w:ilvl="0">
      <w:start w:val="1"/>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703" w:hanging="602"/>
        <w:jc w:val="left"/>
      </w:pPr>
      <w:rPr>
        <w:rFonts w:hint="default" w:ascii="Arial" w:hAnsi="Arial" w:eastAsia="Arial" w:cs="Arial"/>
        <w:spacing w:val="-2"/>
        <w:w w:val="99"/>
        <w:sz w:val="24"/>
        <w:szCs w:val="24"/>
      </w:rPr>
    </w:lvl>
    <w:lvl w:ilvl="3">
      <w:start w:val="1"/>
      <w:numFmt w:val="bullet"/>
      <w:lvlText w:val="•"/>
      <w:lvlJc w:val="left"/>
      <w:pPr>
        <w:ind w:left="2553" w:hanging="602"/>
      </w:pPr>
      <w:rPr>
        <w:rFonts w:hint="default"/>
      </w:rPr>
    </w:lvl>
    <w:lvl w:ilvl="4">
      <w:start w:val="1"/>
      <w:numFmt w:val="bullet"/>
      <w:lvlText w:val="•"/>
      <w:lvlJc w:val="left"/>
      <w:pPr>
        <w:ind w:left="3480" w:hanging="602"/>
      </w:pPr>
      <w:rPr>
        <w:rFonts w:hint="default"/>
      </w:rPr>
    </w:lvl>
    <w:lvl w:ilvl="5">
      <w:start w:val="1"/>
      <w:numFmt w:val="bullet"/>
      <w:lvlText w:val="•"/>
      <w:lvlJc w:val="left"/>
      <w:pPr>
        <w:ind w:left="4406" w:hanging="602"/>
      </w:pPr>
      <w:rPr>
        <w:rFonts w:hint="default"/>
      </w:rPr>
    </w:lvl>
    <w:lvl w:ilvl="6">
      <w:start w:val="1"/>
      <w:numFmt w:val="bullet"/>
      <w:lvlText w:val="•"/>
      <w:lvlJc w:val="left"/>
      <w:pPr>
        <w:ind w:left="5333" w:hanging="602"/>
      </w:pPr>
      <w:rPr>
        <w:rFonts w:hint="default"/>
      </w:rPr>
    </w:lvl>
    <w:lvl w:ilvl="7">
      <w:start w:val="1"/>
      <w:numFmt w:val="bullet"/>
      <w:lvlText w:val="•"/>
      <w:lvlJc w:val="left"/>
      <w:pPr>
        <w:ind w:left="6260" w:hanging="602"/>
      </w:pPr>
      <w:rPr>
        <w:rFonts w:hint="default"/>
      </w:rPr>
    </w:lvl>
    <w:lvl w:ilvl="8">
      <w:start w:val="1"/>
      <w:numFmt w:val="bullet"/>
      <w:lvlText w:val="•"/>
      <w:lvlJc w:val="left"/>
      <w:pPr>
        <w:ind w:left="7186" w:hanging="602"/>
      </w:pPr>
      <w:rPr>
        <w:rFonts w:hint="default"/>
      </w:rPr>
    </w:lvl>
  </w:abstractNum>
  <w:num w:numId="74">
    <w:abstractNumId w:val="73"/>
  </w:num>
  <w:num w:numId="23">
    <w:abstractNumId w:val="22"/>
  </w:num>
  <w:num w:numId="18">
    <w:abstractNumId w:val="17"/>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5">
    <w:abstractNumId w:val="74"/>
  </w:num>
  <w:num w:numId="76">
    <w:abstractNumId w:val="75"/>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0">
    <w:abstractNumId w:val="29"/>
  </w:num>
  <w:num w:numId="29">
    <w:abstractNumId w:val="28"/>
  </w:num>
  <w:num w:numId="28">
    <w:abstractNumId w:val="27"/>
  </w:num>
  <w:num w:numId="27">
    <w:abstractNumId w:val="26"/>
  </w:num>
  <w:num w:numId="26">
    <w:abstractNumId w:val="25"/>
  </w:num>
  <w:num w:numId="25">
    <w:abstractNumId w:val="24"/>
  </w:num>
  <w:num w:numId="36">
    <w:abstractNumId w:val="35"/>
  </w:num>
  <w:num w:numId="35">
    <w:abstractNumId w:val="34"/>
  </w:num>
  <w:num w:numId="34">
    <w:abstractNumId w:val="33"/>
  </w:num>
  <w:num w:numId="33">
    <w:abstractNumId w:val="32"/>
  </w:num>
  <w:num w:numId="32">
    <w:abstractNumId w:val="31"/>
  </w:num>
  <w:num w:numId="31">
    <w:abstractNumId w:val="30"/>
  </w:num>
  <w:num w:numId="24">
    <w:abstractNumId w:val="23"/>
  </w:num>
  <w:num w:numId="22">
    <w:abstractNumId w:val="21"/>
  </w:num>
  <w:num w:numId="21">
    <w:abstractNumId w:val="20"/>
  </w:num>
  <w:num w:numId="20">
    <w:abstractNumId w:val="19"/>
  </w:num>
  <w:num w:numId="19">
    <w:abstractNumId w:val="1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77"/>
      <w:ind w:left="703"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3"/>
      <w:ind w:left="82"/>
      <w:jc w:val="center"/>
      <w:outlineLvl w:val="1"/>
    </w:pPr>
    <w:rPr>
      <w:rFonts w:ascii="Arial" w:hAnsi="Arial" w:eastAsia="Arial" w:cs="Arial"/>
      <w:b/>
      <w:bCs/>
      <w:sz w:val="28"/>
      <w:szCs w:val="28"/>
    </w:rPr>
  </w:style>
  <w:style w:styleId="Heading2" w:type="paragraph">
    <w:name w:val="Heading 2"/>
    <w:basedOn w:val="Normal"/>
    <w:uiPriority w:val="1"/>
    <w:qFormat/>
    <w:pPr>
      <w:ind w:left="554" w:hanging="432"/>
      <w:jc w:val="both"/>
      <w:outlineLvl w:val="2"/>
    </w:pPr>
    <w:rPr>
      <w:rFonts w:ascii="Arial" w:hAnsi="Arial" w:eastAsia="Arial" w:cs="Arial"/>
      <w:b/>
      <w:bCs/>
      <w:sz w:val="26"/>
      <w:szCs w:val="26"/>
    </w:rPr>
  </w:style>
  <w:style w:styleId="Heading3" w:type="paragraph">
    <w:name w:val="Heading 3"/>
    <w:basedOn w:val="Normal"/>
    <w:uiPriority w:val="1"/>
    <w:qFormat/>
    <w:pPr>
      <w:ind w:left="723"/>
      <w:jc w:val="both"/>
      <w:outlineLvl w:val="3"/>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image" Target="media/image8.jpeg"/><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hyperlink" Target="http://www.oecd.org/" TargetMode="External"/><Relationship Id="rId22" Type="http://schemas.openxmlformats.org/officeDocument/2006/relationships/hyperlink" Target="http://www.unesco.org/" TargetMode="External"/><Relationship Id="rId23" Type="http://schemas.openxmlformats.org/officeDocument/2006/relationships/footer" Target="footer9.xml"/><Relationship Id="rId24" Type="http://schemas.openxmlformats.org/officeDocument/2006/relationships/footer" Target="footer10.xml"/><Relationship Id="rId25" Type="http://schemas.openxmlformats.org/officeDocument/2006/relationships/hyperlink" Target="http://www.monografias.com/trabajos20/pensadores-politicos/pensadores-politicos.shtml" TargetMode="External"/><Relationship Id="rId26" Type="http://schemas.openxmlformats.org/officeDocument/2006/relationships/hyperlink" Target="http://www.robertexto.com/archivo17/gobernab_democrac.htm" TargetMode="External"/><Relationship Id="rId27" Type="http://schemas.openxmlformats.org/officeDocument/2006/relationships/hyperlink" Target="http://biblio.juridicas.unam.mx/libros/1/348/27.pdf" TargetMode="External"/><Relationship Id="rId28" Type="http://schemas.openxmlformats.org/officeDocument/2006/relationships/footer" Target="footer11.xml"/><Relationship Id="rId29" Type="http://schemas.openxmlformats.org/officeDocument/2006/relationships/footer" Target="footer12.xml"/><Relationship Id="rId30" Type="http://schemas.openxmlformats.org/officeDocument/2006/relationships/image" Target="media/image9.png"/><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hyperlink" Target="http://es.wikipedia.org/wiki/Sistema_pol%C3%ADtico" TargetMode="External"/><Relationship Id="rId34" Type="http://schemas.openxmlformats.org/officeDocument/2006/relationships/hyperlink" Target="http://es.wikipedia.org/wiki/Estado" TargetMode="External"/><Relationship Id="rId35" Type="http://schemas.openxmlformats.org/officeDocument/2006/relationships/hyperlink" Target="http://es.wikipedia.org/wiki/Sufragio_activo" TargetMode="External"/><Relationship Id="rId36" Type="http://schemas.openxmlformats.org/officeDocument/2006/relationships/hyperlink" Target="http://es.wikipedia.org/wiki/Informaci%C3%B3n" TargetMode="External"/><Relationship Id="rId37" Type="http://schemas.openxmlformats.org/officeDocument/2006/relationships/hyperlink" Target="http://www.cgt.es/descargas/SalaLectura/chomsky-medios-comunicacion.html" TargetMode="External"/><Relationship Id="rId38" Type="http://schemas.openxmlformats.org/officeDocument/2006/relationships/hyperlink" Target="http://diccionario.inep.org/index.html" TargetMode="External"/><Relationship Id="rId39" Type="http://schemas.openxmlformats.org/officeDocument/2006/relationships/footer" Target="footer15.xml"/><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footer" Target="footer18.xml"/><Relationship Id="rId43" Type="http://schemas.openxmlformats.org/officeDocument/2006/relationships/hyperlink" Target="http://www.bibliojuridica.org/libros/6/2739/11.pdf" TargetMode="External"/><Relationship Id="rId44" Type="http://schemas.openxmlformats.org/officeDocument/2006/relationships/hyperlink" Target="http://www.world-governance.org/IMG/pdf_862_AB_GM_Communs_et_gouvernance_mondiale_ES-3.pdf" TargetMode="External"/><Relationship Id="rId45" Type="http://schemas.openxmlformats.org/officeDocument/2006/relationships/hyperlink" Target="http://www.world-governance.org/IMG/pdf_La_ONU_y_la_Gobernanza_Mundial.pdf" TargetMode="External"/><Relationship Id="rId46" Type="http://schemas.openxmlformats.org/officeDocument/2006/relationships/footer" Target="footer19.xml"/><Relationship Id="rId47" Type="http://schemas.openxmlformats.org/officeDocument/2006/relationships/footer" Target="footer20.xml"/><Relationship Id="rId48" Type="http://schemas.openxmlformats.org/officeDocument/2006/relationships/hyperlink" Target="http://www1.worldbank.org/prem/PREMNotes/premnote59.pdf" TargetMode="External"/><Relationship Id="rId49" Type="http://schemas.openxmlformats.org/officeDocument/2006/relationships/footer" Target="footer21.xml"/><Relationship Id="rId50" Type="http://schemas.openxmlformats.org/officeDocument/2006/relationships/footer" Target="footer22.xml"/><Relationship Id="rId51" Type="http://schemas.openxmlformats.org/officeDocument/2006/relationships/hyperlink" Target="http://www.oecd.org/dataoecd/32/18/31557724.pdf" TargetMode="External"/><Relationship Id="rId52" Type="http://schemas.openxmlformats.org/officeDocument/2006/relationships/hyperlink" Target="http://www.oecd.org/document/14/0%2C3746%2Cen_39406396_39407430_39407310_1_1_1_1%2C00.html#1" TargetMode="External"/><Relationship Id="rId53" Type="http://schemas.openxmlformats.org/officeDocument/2006/relationships/hyperlink" Target="http://www.oecd.org/dataoecd/54/19/41665400.pdf" TargetMode="External"/><Relationship Id="rId54" Type="http://schemas.openxmlformats.org/officeDocument/2006/relationships/hyperlink" Target="http://www.comminit.com/es/node/209185" TargetMode="External"/><Relationship Id="rId55" Type="http://schemas.openxmlformats.org/officeDocument/2006/relationships/hyperlink" Target="http://www.happyplanetindex.org/assets/happy-planet-index-report.pdf" TargetMode="External"/><Relationship Id="rId56" Type="http://schemas.openxmlformats.org/officeDocument/2006/relationships/footer" Target="footer23.xml"/><Relationship Id="rId57" Type="http://schemas.openxmlformats.org/officeDocument/2006/relationships/footer" Target="footer24.xml"/><Relationship Id="rId58" Type="http://schemas.openxmlformats.org/officeDocument/2006/relationships/footer" Target="footer25.xml"/><Relationship Id="rId59" Type="http://schemas.openxmlformats.org/officeDocument/2006/relationships/footer" Target="footer26.xml"/><Relationship Id="rId60" Type="http://schemas.openxmlformats.org/officeDocument/2006/relationships/image" Target="media/image10.png"/><Relationship Id="rId61" Type="http://schemas.openxmlformats.org/officeDocument/2006/relationships/image" Target="media/image11.png"/><Relationship Id="rId62" Type="http://schemas.openxmlformats.org/officeDocument/2006/relationships/image" Target="media/image12.png"/><Relationship Id="rId63" Type="http://schemas.openxmlformats.org/officeDocument/2006/relationships/hyperlink" Target="http://www.world-governance.org/IMG/pdf_WGI_short_version_EN_web-2.pdf" TargetMode="External"/><Relationship Id="rId64" Type="http://schemas.openxmlformats.org/officeDocument/2006/relationships/hyperlink" Target="http://info.worldbank.org/governance/wgi/sc_country.asp" TargetMode="External"/><Relationship Id="rId65" Type="http://schemas.openxmlformats.org/officeDocument/2006/relationships/hyperlink" Target="http://www.fundforpeace.org/global/?q=fsi-about" TargetMode="External"/><Relationship Id="rId66" Type="http://schemas.openxmlformats.org/officeDocument/2006/relationships/hyperlink" Target="http://www.kurtzmangroup.com/pdf/InstituteOpacityIndex_Apr8.pdf" TargetMode="External"/><Relationship Id="rId67" Type="http://schemas.openxmlformats.org/officeDocument/2006/relationships/hyperlink" Target="http://transparency.ge/sites/default/files/post_attachments/TI%20Global%20Corruption%20Barometer%202010.pdf" TargetMode="External"/><Relationship Id="rId68" Type="http://schemas.openxmlformats.org/officeDocument/2006/relationships/hyperlink" Target="http://www.transparency.org/cpi2012/results#myAnchor1" TargetMode="External"/><Relationship Id="rId69" Type="http://schemas.openxmlformats.org/officeDocument/2006/relationships/hyperlink" Target="http://www.transparency.org/policy_research/surveys_indices/gcb" TargetMode="External"/><Relationship Id="rId70" Type="http://schemas.openxmlformats.org/officeDocument/2006/relationships/image" Target="media/image13.png"/><Relationship Id="rId71" Type="http://schemas.openxmlformats.org/officeDocument/2006/relationships/footer" Target="footer27.xml"/><Relationship Id="rId72" Type="http://schemas.openxmlformats.org/officeDocument/2006/relationships/footer" Target="footer28.xml"/><Relationship Id="rId73" Type="http://schemas.openxmlformats.org/officeDocument/2006/relationships/image" Target="media/image14.png"/><Relationship Id="rId74" Type="http://schemas.openxmlformats.org/officeDocument/2006/relationships/image" Target="media/image15.png"/><Relationship Id="rId75" Type="http://schemas.openxmlformats.org/officeDocument/2006/relationships/footer" Target="footer29.xml"/><Relationship Id="rId76" Type="http://schemas.openxmlformats.org/officeDocument/2006/relationships/footer" Target="footer30.xml"/><Relationship Id="rId77" Type="http://schemas.openxmlformats.org/officeDocument/2006/relationships/hyperlink" Target="http://dx.doi.org/10.1787/888932389873" TargetMode="External"/><Relationship Id="rId78" Type="http://schemas.openxmlformats.org/officeDocument/2006/relationships/image" Target="media/image16.png"/><Relationship Id="rId79" Type="http://schemas.openxmlformats.org/officeDocument/2006/relationships/image" Target="media/image17.png"/><Relationship Id="rId80" Type="http://schemas.openxmlformats.org/officeDocument/2006/relationships/image" Target="media/image18.png"/><Relationship Id="rId81" Type="http://schemas.openxmlformats.org/officeDocument/2006/relationships/image" Target="media/image19.png"/><Relationship Id="rId82" Type="http://schemas.openxmlformats.org/officeDocument/2006/relationships/image" Target="media/image20.png"/><Relationship Id="rId83" Type="http://schemas.openxmlformats.org/officeDocument/2006/relationships/image" Target="media/image21.png"/><Relationship Id="rId84" Type="http://schemas.openxmlformats.org/officeDocument/2006/relationships/image" Target="media/image22.png"/><Relationship Id="rId85" Type="http://schemas.openxmlformats.org/officeDocument/2006/relationships/image" Target="media/image23.png"/><Relationship Id="rId86" Type="http://schemas.openxmlformats.org/officeDocument/2006/relationships/hyperlink" Target="http://dx.doi.org/10.1787/888932390937" TargetMode="External"/><Relationship Id="rId87" Type="http://schemas.openxmlformats.org/officeDocument/2006/relationships/image" Target="media/image24.png"/><Relationship Id="rId88" Type="http://schemas.openxmlformats.org/officeDocument/2006/relationships/hyperlink" Target="http://internationalbudget.org/wp-content/uploads/OBI2012-Report-English.pdf" TargetMode="External"/><Relationship Id="rId89" Type="http://schemas.openxmlformats.org/officeDocument/2006/relationships/hyperlink" Target="http://www.libertadyprogresonline.org/wp-content/uploads/2012/07/ICI-2012.pdf" TargetMode="External"/><Relationship Id="rId90" Type="http://schemas.openxmlformats.org/officeDocument/2006/relationships/hyperlink" Target="http://imco.org.mx/images/pdf/Indice-de-Competitividad-Internacional-2011.pdf" TargetMode="External"/><Relationship Id="rId91" Type="http://schemas.openxmlformats.org/officeDocument/2006/relationships/hyperlink" Target="http://www.oecd.org/document/45/0%2C3746%2Cen_2649_37419_2671576_1_1_1_37419%2C00.html" TargetMode="External"/><Relationship Id="rId92" Type="http://schemas.openxmlformats.org/officeDocument/2006/relationships/footer" Target="footer31.xml"/><Relationship Id="rId93" Type="http://schemas.openxmlformats.org/officeDocument/2006/relationships/footer" Target="footer32.xml"/><Relationship Id="rId94" Type="http://schemas.openxmlformats.org/officeDocument/2006/relationships/hyperlink" Target="http://oecdbetterlifeindex.org/about/better-life-initiative/" TargetMode="External"/><Relationship Id="rId95" Type="http://schemas.openxmlformats.org/officeDocument/2006/relationships/footer" Target="footer33.xml"/><Relationship Id="rId96" Type="http://schemas.openxmlformats.org/officeDocument/2006/relationships/footer" Target="footer34.xml"/><Relationship Id="rId97" Type="http://schemas.openxmlformats.org/officeDocument/2006/relationships/hyperlink" Target="http://www.globalintegrity.org/files/GIR2011.pdf" TargetMode="External"/><Relationship Id="rId98" Type="http://schemas.openxmlformats.org/officeDocument/2006/relationships/image" Target="media/image25.png"/><Relationship Id="rId99" Type="http://schemas.openxmlformats.org/officeDocument/2006/relationships/image" Target="media/image26.png"/><Relationship Id="rId100" Type="http://schemas.openxmlformats.org/officeDocument/2006/relationships/image" Target="media/image27.png"/><Relationship Id="rId101" Type="http://schemas.openxmlformats.org/officeDocument/2006/relationships/image" Target="media/image28.png"/><Relationship Id="rId102" Type="http://schemas.openxmlformats.org/officeDocument/2006/relationships/image" Target="media/image29.png"/><Relationship Id="rId103" Type="http://schemas.openxmlformats.org/officeDocument/2006/relationships/image" Target="media/image30.png"/><Relationship Id="rId104" Type="http://schemas.openxmlformats.org/officeDocument/2006/relationships/image" Target="media/image31.png"/><Relationship Id="rId105" Type="http://schemas.openxmlformats.org/officeDocument/2006/relationships/image" Target="media/image32.png"/><Relationship Id="rId106" Type="http://schemas.openxmlformats.org/officeDocument/2006/relationships/image" Target="media/image33.png"/><Relationship Id="rId107" Type="http://schemas.openxmlformats.org/officeDocument/2006/relationships/image" Target="media/image34.png"/><Relationship Id="rId108" Type="http://schemas.openxmlformats.org/officeDocument/2006/relationships/image" Target="media/image35.png"/><Relationship Id="rId109" Type="http://schemas.openxmlformats.org/officeDocument/2006/relationships/image" Target="media/image36.png"/><Relationship Id="rId110" Type="http://schemas.openxmlformats.org/officeDocument/2006/relationships/hyperlink" Target="http://www.shcp.gob.mx/LASHCP/Documents/antecedentes.pdf" TargetMode="External"/><Relationship Id="rId111" Type="http://schemas.openxmlformats.org/officeDocument/2006/relationships/footer" Target="footer35.xml"/><Relationship Id="rId112" Type="http://schemas.openxmlformats.org/officeDocument/2006/relationships/footer" Target="footer36.xml"/><Relationship Id="rId113" Type="http://schemas.openxmlformats.org/officeDocument/2006/relationships/footer" Target="footer37.xml"/><Relationship Id="rId114" Type="http://schemas.openxmlformats.org/officeDocument/2006/relationships/footer" Target="footer38.xml"/><Relationship Id="rId115" Type="http://schemas.openxmlformats.org/officeDocument/2006/relationships/hyperlink" Target="http://biblioteca.itam.mx/estudios/estudio/estudio02/sec_29.html" TargetMode="External"/><Relationship Id="rId116" Type="http://schemas.openxmlformats.org/officeDocument/2006/relationships/hyperlink" Target="http://www.ejournal.unam.mx/ehn/ehn10/EHN01002.pdf" TargetMode="External"/><Relationship Id="rId117" Type="http://schemas.openxmlformats.org/officeDocument/2006/relationships/footer" Target="footer39.xml"/><Relationship Id="rId118" Type="http://schemas.openxmlformats.org/officeDocument/2006/relationships/footer" Target="footer40.xml"/><Relationship Id="rId119" Type="http://schemas.openxmlformats.org/officeDocument/2006/relationships/image" Target="media/image37.png"/><Relationship Id="rId120" Type="http://schemas.openxmlformats.org/officeDocument/2006/relationships/hyperlink" Target="http://www.bibliojuridica.org/libros/1/348/5.pdf" TargetMode="External"/><Relationship Id="rId121" Type="http://schemas.openxmlformats.org/officeDocument/2006/relationships/hyperlink" Target="http://www.memoriapoliticademexico.org/Efemerides/11/13111874.html" TargetMode="External"/><Relationship Id="rId122" Type="http://schemas.openxmlformats.org/officeDocument/2006/relationships/hyperlink" Target="http://nuevamayoria.com/analisis/serbolov/serbolov3011.htm" TargetMode="External"/><Relationship Id="rId123" Type="http://schemas.openxmlformats.org/officeDocument/2006/relationships/hyperlink" Target="http://dialnet.unirioja.es/servlet/articulo?codigo=2670330" TargetMode="External"/><Relationship Id="rId124" Type="http://schemas.openxmlformats.org/officeDocument/2006/relationships/footer" Target="footer41.xml"/><Relationship Id="rId125" Type="http://schemas.openxmlformats.org/officeDocument/2006/relationships/footer" Target="footer42.xml"/><Relationship Id="rId126" Type="http://schemas.openxmlformats.org/officeDocument/2006/relationships/hyperlink" Target="http://siteresources.worldbank.org/INTMEXICO/Resources/4-3DocumentoPbRSalvadorVegajun08VF.pdf" TargetMode="External"/><Relationship Id="rId127" Type="http://schemas.openxmlformats.org/officeDocument/2006/relationships/hyperlink" Target="http://www.oocities.org/hectorh83/Historia1.html" TargetMode="External"/><Relationship Id="rId128" Type="http://schemas.openxmlformats.org/officeDocument/2006/relationships/footer" Target="footer43.xml"/><Relationship Id="rId129" Type="http://schemas.openxmlformats.org/officeDocument/2006/relationships/footer" Target="footer44.xml"/><Relationship Id="rId130" Type="http://schemas.openxmlformats.org/officeDocument/2006/relationships/image" Target="media/image38.png"/><Relationship Id="rId131" Type="http://schemas.openxmlformats.org/officeDocument/2006/relationships/image" Target="media/image39.png"/><Relationship Id="rId132" Type="http://schemas.openxmlformats.org/officeDocument/2006/relationships/image" Target="media/image40.png"/><Relationship Id="rId133" Type="http://schemas.openxmlformats.org/officeDocument/2006/relationships/image" Target="media/image41.png"/><Relationship Id="rId134" Type="http://schemas.openxmlformats.org/officeDocument/2006/relationships/image" Target="media/image42.png"/><Relationship Id="rId135" Type="http://schemas.openxmlformats.org/officeDocument/2006/relationships/image" Target="media/image43.png"/><Relationship Id="rId136" Type="http://schemas.openxmlformats.org/officeDocument/2006/relationships/footer" Target="footer45.xml"/><Relationship Id="rId137" Type="http://schemas.openxmlformats.org/officeDocument/2006/relationships/footer" Target="footer46.xml"/><Relationship Id="rId138" Type="http://schemas.openxmlformats.org/officeDocument/2006/relationships/hyperlink" Target="http://www.asf.gob.mx/Publication/38_Normas_que_dan_Origen_a_la_ASF" TargetMode="External"/><Relationship Id="rId139" Type="http://schemas.openxmlformats.org/officeDocument/2006/relationships/footer" Target="footer47.xml"/><Relationship Id="rId140" Type="http://schemas.openxmlformats.org/officeDocument/2006/relationships/footer" Target="footer48.xml"/><Relationship Id="rId141" Type="http://schemas.openxmlformats.org/officeDocument/2006/relationships/footer" Target="footer49.xml"/><Relationship Id="rId142" Type="http://schemas.openxmlformats.org/officeDocument/2006/relationships/footer" Target="footer50.xml"/><Relationship Id="rId143" Type="http://schemas.openxmlformats.org/officeDocument/2006/relationships/hyperlink" Target="http://www.laeditorialvirtual.com.ar/Pages/Hobbes/ElEstado_01.htm" TargetMode="External"/><Relationship Id="rId144" Type="http://schemas.openxmlformats.org/officeDocument/2006/relationships/image" Target="media/image44.png"/><Relationship Id="rId145" Type="http://schemas.openxmlformats.org/officeDocument/2006/relationships/image" Target="media/image45.jpeg"/><Relationship Id="rId146" Type="http://schemas.openxmlformats.org/officeDocument/2006/relationships/image" Target="media/image46.png"/><Relationship Id="rId147" Type="http://schemas.openxmlformats.org/officeDocument/2006/relationships/hyperlink" Target="http://es.wikipedia.org/wiki/Federaci%C3%B3n" TargetMode="External"/><Relationship Id="rId148" Type="http://schemas.openxmlformats.org/officeDocument/2006/relationships/hyperlink" Target="http://es.wikipedia.org/wiki/Democracia_representativa" TargetMode="External"/><Relationship Id="rId149" Type="http://schemas.openxmlformats.org/officeDocument/2006/relationships/hyperlink" Target="http://es.wikipedia.org/wiki/Parlamentarismo" TargetMode="External"/><Relationship Id="rId150" Type="http://schemas.openxmlformats.org/officeDocument/2006/relationships/hyperlink" Target="http://es.wikipedia.org/wiki/1949" TargetMode="External"/><Relationship Id="rId151" Type="http://schemas.openxmlformats.org/officeDocument/2006/relationships/hyperlink" Target="http://es.wikipedia.org/wiki/1689" TargetMode="External"/><Relationship Id="rId152" Type="http://schemas.openxmlformats.org/officeDocument/2006/relationships/hyperlink" Target="http://es.wikipedia.org/wiki/1832" TargetMode="External"/><Relationship Id="rId153" Type="http://schemas.openxmlformats.org/officeDocument/2006/relationships/hyperlink" Target="http://es.wikipedia.org/wiki/1931" TargetMode="External"/><Relationship Id="rId154" Type="http://schemas.openxmlformats.org/officeDocument/2006/relationships/hyperlink" Target="http://es.wikipedia.org/wiki/1911" TargetMode="External"/><Relationship Id="rId155" Type="http://schemas.openxmlformats.org/officeDocument/2006/relationships/footer" Target="footer51.xml"/><Relationship Id="rId156" Type="http://schemas.openxmlformats.org/officeDocument/2006/relationships/footer" Target="footer52.xml"/><Relationship Id="rId157" Type="http://schemas.openxmlformats.org/officeDocument/2006/relationships/hyperlink" Target="http://www.eumed.net/tesis/2008/mash/RENDICION%20DE%20CUENTAS%20Y%20DEMOCRACIA.htm" TargetMode="External"/><Relationship Id="rId158" Type="http://schemas.openxmlformats.org/officeDocument/2006/relationships/footer" Target="footer53.xml"/><Relationship Id="rId159" Type="http://schemas.openxmlformats.org/officeDocument/2006/relationships/footer" Target="footer54.xml"/><Relationship Id="rId160" Type="http://schemas.openxmlformats.org/officeDocument/2006/relationships/hyperlink" Target="http://www.nao.org.uk/publications/1012/wga_2009-10.aspx%3B" TargetMode="External"/><Relationship Id="rId161" Type="http://schemas.openxmlformats.org/officeDocument/2006/relationships/hyperlink" Target="http://www.ife.org.mx/documentos/DECEYEC/eua.htm" TargetMode="External"/><Relationship Id="rId162" Type="http://schemas.openxmlformats.org/officeDocument/2006/relationships/hyperlink" Target="http://mexicity.blogspot.mx/2008/08/sistema-electoral-de-mexico.html" TargetMode="External"/><Relationship Id="rId163" Type="http://schemas.openxmlformats.org/officeDocument/2006/relationships/hyperlink" Target="http://www.juridicas.unam.mx/navjus/gob/de.htm" TargetMode="External"/><Relationship Id="rId164" Type="http://schemas.openxmlformats.org/officeDocument/2006/relationships/hyperlink" Target="http://www.ife.org.mx/documentos/DECEYEC/espana.htm#sistpol%3B" TargetMode="External"/><Relationship Id="rId165" Type="http://schemas.openxmlformats.org/officeDocument/2006/relationships/hyperlink" Target="http://www.asturiasliberal.org/colaboraciones/piensa_en_liberal/espanna_alemania_poder_judicial_poder_ejecutivo_y_referen_2.php" TargetMode="External"/><Relationship Id="rId166" Type="http://schemas.openxmlformats.org/officeDocument/2006/relationships/hyperlink" Target="http://www.asturiasliberal.org/colaboraciones/piensa_en_liberal/espanna_alemania_poder_judicial_poder_ejecutivo_y_r" TargetMode="External"/><Relationship Id="rId167" Type="http://schemas.openxmlformats.org/officeDocument/2006/relationships/hyperlink" Target="http://cordis.europa.eu/documents/documentlibrary/100123971EN6.pdf" TargetMode="External"/><Relationship Id="rId168" Type="http://schemas.openxmlformats.org/officeDocument/2006/relationships/footer" Target="footer55.xml"/><Relationship Id="rId169" Type="http://schemas.openxmlformats.org/officeDocument/2006/relationships/footer" Target="footer56.xml"/><Relationship Id="rId170" Type="http://schemas.openxmlformats.org/officeDocument/2006/relationships/hyperlink" Target="http://biblio.juridicas.unam.mx/libros/4/1611/15.pdf" TargetMode="External"/><Relationship Id="rId171" Type="http://schemas.openxmlformats.org/officeDocument/2006/relationships/hyperlink" Target="http://www.intosai.org/es/grupos-regionales-de-trabajo.html" TargetMode="External"/><Relationship Id="rId172" Type="http://schemas.openxmlformats.org/officeDocument/2006/relationships/hyperlink" Target="http://intosai.org/" TargetMode="External"/><Relationship Id="rId173" Type="http://schemas.openxmlformats.org/officeDocument/2006/relationships/hyperlink" Target="http://www.asf.gob.mx/" TargetMode="External"/><Relationship Id="rId174" Type="http://schemas.openxmlformats.org/officeDocument/2006/relationships/footer" Target="footer57.xml"/><Relationship Id="rId175" Type="http://schemas.openxmlformats.org/officeDocument/2006/relationships/footer" Target="footer58.xml"/><Relationship Id="rId176" Type="http://schemas.openxmlformats.org/officeDocument/2006/relationships/image" Target="media/image47.png"/><Relationship Id="rId177" Type="http://schemas.openxmlformats.org/officeDocument/2006/relationships/image" Target="media/image48.png"/><Relationship Id="rId178" Type="http://schemas.openxmlformats.org/officeDocument/2006/relationships/image" Target="media/image49.png"/><Relationship Id="rId179" Type="http://schemas.openxmlformats.org/officeDocument/2006/relationships/hyperlink" Target="http://www.intosai.org/es/documentos/intosai/documentos-basicos/declaraciones-de-lima-y-mexico/declaracion-de-mexico-sobre-independencia-de-la-efs.html" TargetMode="External"/><Relationship Id="rId180" Type="http://schemas.openxmlformats.org/officeDocument/2006/relationships/hyperlink" Target="http://www.incosai2007.org.mx/infogral.html" TargetMode="External"/><Relationship Id="rId181" Type="http://schemas.openxmlformats.org/officeDocument/2006/relationships/hyperlink" Target="http://www.unodc.org/pdf/corruption/publications_unodc_convention-s.pdf" TargetMode="External"/><Relationship Id="rId182" Type="http://schemas.openxmlformats.org/officeDocument/2006/relationships/hyperlink" Target="http://www.asf.gob.mx/uploads/61_Publicaciones_tecnicas/Autonomia_web.pdf" TargetMode="External"/><Relationship Id="rId183" Type="http://schemas.openxmlformats.org/officeDocument/2006/relationships/hyperlink" Target="http://www.asf.gob.mx/uploads/55_Informes_de_auditoria/Mensaje_IRCP_2011.pdf" TargetMode="External"/><Relationship Id="rId184" Type="http://schemas.openxmlformats.org/officeDocument/2006/relationships/image" Target="media/image50.png"/><Relationship Id="rId185" Type="http://schemas.openxmlformats.org/officeDocument/2006/relationships/image" Target="media/image51.png"/><Relationship Id="rId186" Type="http://schemas.openxmlformats.org/officeDocument/2006/relationships/image" Target="media/image52.png"/><Relationship Id="rId187" Type="http://schemas.openxmlformats.org/officeDocument/2006/relationships/image" Target="media/image53.png"/><Relationship Id="rId188" Type="http://schemas.openxmlformats.org/officeDocument/2006/relationships/image" Target="media/image54.png"/><Relationship Id="rId189" Type="http://schemas.openxmlformats.org/officeDocument/2006/relationships/image" Target="media/image55.png"/><Relationship Id="rId190" Type="http://schemas.openxmlformats.org/officeDocument/2006/relationships/image" Target="media/image56.png"/><Relationship Id="rId191" Type="http://schemas.openxmlformats.org/officeDocument/2006/relationships/image" Target="media/image57.png"/><Relationship Id="rId192" Type="http://schemas.openxmlformats.org/officeDocument/2006/relationships/image" Target="media/image58.png"/><Relationship Id="rId193" Type="http://schemas.openxmlformats.org/officeDocument/2006/relationships/image" Target="media/image59.png"/><Relationship Id="rId194" Type="http://schemas.openxmlformats.org/officeDocument/2006/relationships/image" Target="media/image60.png"/><Relationship Id="rId195" Type="http://schemas.openxmlformats.org/officeDocument/2006/relationships/image" Target="media/image61.png"/><Relationship Id="rId196" Type="http://schemas.openxmlformats.org/officeDocument/2006/relationships/footer" Target="footer59.xml"/><Relationship Id="rId197" Type="http://schemas.openxmlformats.org/officeDocument/2006/relationships/footer" Target="footer60.xml"/><Relationship Id="rId198" Type="http://schemas.openxmlformats.org/officeDocument/2006/relationships/hyperlink" Target="http://www.uia.mx/web/html/actividades/sexenio/LaPoliticaExterior" TargetMode="External"/><Relationship Id="rId199" Type="http://schemas.openxmlformats.org/officeDocument/2006/relationships/hyperlink" Target="http://www.informador.com.mx/mexico/2009/162966/6/las-diez-propuestas-de-reforma-politica-de-felipe-calderon.htm" TargetMode="External"/><Relationship Id="rId200" Type="http://schemas.openxmlformats.org/officeDocument/2006/relationships/image" Target="media/image62.png"/><Relationship Id="rId201" Type="http://schemas.openxmlformats.org/officeDocument/2006/relationships/image" Target="media/image63.png"/><Relationship Id="rId202" Type="http://schemas.openxmlformats.org/officeDocument/2006/relationships/image" Target="media/image64.jpeg"/><Relationship Id="rId203" Type="http://schemas.openxmlformats.org/officeDocument/2006/relationships/hyperlink" Target="http://www.un.org/es/documents/udhr/" TargetMode="External"/><Relationship Id="rId204" Type="http://schemas.openxmlformats.org/officeDocument/2006/relationships/hyperlink" Target="http://www.indetec.gob.mx/Publicaciones/Productos/Trimestre99.pdf" TargetMode="External"/><Relationship Id="rId205" Type="http://schemas.openxmlformats.org/officeDocument/2006/relationships/hyperlink" Target="http://www.undp.org/content/dam/undp/library/corporate/HDR/2013GlobalHDR/Spanish/HDR2013%20Report%20Spani" TargetMode="External"/><Relationship Id="rId206" Type="http://schemas.openxmlformats.org/officeDocument/2006/relationships/hyperlink" Target="http://www.asf.gob.mx/Publication/75_Programa_de_TV" TargetMode="External"/><Relationship Id="rId207" Type="http://schemas.openxmlformats.org/officeDocument/2006/relationships/hyperlink" Target="http://dof.gob.mx/index.php?year=2003&amp;amp;month=04&amp;amp;day=10" TargetMode="External"/><Relationship Id="rId208" Type="http://schemas.openxmlformats.org/officeDocument/2006/relationships/footer" Target="footer61.xml"/><Relationship Id="rId209" Type="http://schemas.openxmlformats.org/officeDocument/2006/relationships/footer" Target="footer62.xml"/><Relationship Id="rId210" Type="http://schemas.openxmlformats.org/officeDocument/2006/relationships/hyperlink" Target="http://www.funcionpublica.gob.mx/index.php/conoce-la-sfp/mision-y-vision.html" TargetMode="External"/><Relationship Id="rId211" Type="http://schemas.openxmlformats.org/officeDocument/2006/relationships/hyperlink" Target="http://www.asf.gob.mx/Publication/22_Mision_y_Vision" TargetMode="External"/><Relationship Id="rId212" Type="http://schemas.openxmlformats.org/officeDocument/2006/relationships/hyperlink" Target="http://www.asf.gob.mx/trans/Obliga/vision.pdf" TargetMode="External"/><Relationship Id="rId213" Type="http://schemas.openxmlformats.org/officeDocument/2006/relationships/hyperlink" Target="http://www.scjn.gob.mx/conocelacorte/ministra/LA%20CONTROVERSIA%20CONSTITUCIONAL.pdf" TargetMode="External"/><Relationship Id="rId214" Type="http://schemas.openxmlformats.org/officeDocument/2006/relationships/hyperlink" Target="http://www.asf.gob.mx/Trans/Informes/IR2003i/Indice/Ejecutivo.htm" TargetMode="External"/><Relationship Id="rId215" Type="http://schemas.openxmlformats.org/officeDocument/2006/relationships/hyperlink" Target="http://www.asf.gob.mx/Trans/Informes/ir2006i/Indice/Ejecutivo.htm" TargetMode="External"/><Relationship Id="rId216" Type="http://schemas.openxmlformats.org/officeDocument/2006/relationships/hyperlink" Target="http://www.proceso.com.mx/?p=196737" TargetMode="External"/><Relationship Id="rId217" Type="http://schemas.openxmlformats.org/officeDocument/2006/relationships/hyperlink" Target="http://www.elmanana.com.mx/notas.asp?id=40393" TargetMode="External"/><Relationship Id="rId218" Type="http://schemas.openxmlformats.org/officeDocument/2006/relationships/hyperlink" Target="http://www.elporvenir.com.mx/notas.asp?nota_id=193873" TargetMode="External"/><Relationship Id="rId219" Type="http://schemas.openxmlformats.org/officeDocument/2006/relationships/image" Target="media/image65.png"/><Relationship Id="rId220" Type="http://schemas.openxmlformats.org/officeDocument/2006/relationships/image" Target="media/image66.png"/><Relationship Id="rId221" Type="http://schemas.openxmlformats.org/officeDocument/2006/relationships/image" Target="media/image67.png"/><Relationship Id="rId222" Type="http://schemas.openxmlformats.org/officeDocument/2006/relationships/image" Target="media/image68.png"/><Relationship Id="rId223" Type="http://schemas.openxmlformats.org/officeDocument/2006/relationships/image" Target="media/image69.png"/><Relationship Id="rId224" Type="http://schemas.openxmlformats.org/officeDocument/2006/relationships/image" Target="media/image70.png"/><Relationship Id="rId225" Type="http://schemas.openxmlformats.org/officeDocument/2006/relationships/hyperlink" Target="http://www.asf.gob.mx/Trans/Informes/IR2011i/Grupos/Gobierno/2011_0059_a.pdf" TargetMode="External"/><Relationship Id="rId226" Type="http://schemas.openxmlformats.org/officeDocument/2006/relationships/footer" Target="footer63.xml"/><Relationship Id="rId227" Type="http://schemas.openxmlformats.org/officeDocument/2006/relationships/footer" Target="footer64.xml"/><Relationship Id="rId228" Type="http://schemas.openxmlformats.org/officeDocument/2006/relationships/footer" Target="footer65.xml"/><Relationship Id="rId229" Type="http://schemas.openxmlformats.org/officeDocument/2006/relationships/footer" Target="footer66.xml"/><Relationship Id="rId230" Type="http://schemas.openxmlformats.org/officeDocument/2006/relationships/hyperlink" Target="http://www.bibliojuridica.org/libros/6/2800/4.pdf" TargetMode="External"/><Relationship Id="rId231" Type="http://schemas.openxmlformats.org/officeDocument/2006/relationships/hyperlink" Target="http://www.rendiciondecuentas.cide.edu/" TargetMode="External"/><Relationship Id="rId232" Type="http://schemas.openxmlformats.org/officeDocument/2006/relationships/hyperlink" Target="http://www.transparenciamexicana.org.mx/documentos/INCBG/2010/2_INCBG_2010_Ranking_por_Entidad_Federativa.pdf" TargetMode="External"/><Relationship Id="rId233" Type="http://schemas.openxmlformats.org/officeDocument/2006/relationships/hyperlink" Target="http://iltpweb.org/" TargetMode="External"/><Relationship Id="rId234" Type="http://schemas.openxmlformats.org/officeDocument/2006/relationships/hyperlink" Target="http://www.asf.gob.mx/uploads/55_Informes_de_auditoria/IR2010PRES.pdf" TargetMode="External"/><Relationship Id="rId235" Type="http://schemas.openxmlformats.org/officeDocument/2006/relationships/footer" Target="footer67.xml"/><Relationship Id="rId236" Type="http://schemas.openxmlformats.org/officeDocument/2006/relationships/footer" Target="footer68.xml"/><Relationship Id="rId237" Type="http://schemas.openxmlformats.org/officeDocument/2006/relationships/image" Target="media/image71.jpeg"/><Relationship Id="rId238" Type="http://schemas.openxmlformats.org/officeDocument/2006/relationships/hyperlink" Target="http://www.asf.gob.mx/pags/OTROS/CPMEX/Eval2009_abril09.pdf" TargetMode="External"/><Relationship Id="rId239" Type="http://schemas.openxmlformats.org/officeDocument/2006/relationships/hyperlink" Target="http://e-lecciones.net/archivos/loultimo/INFORME_LB2011.pd" TargetMode="External"/><Relationship Id="rId240" Type="http://schemas.openxmlformats.org/officeDocument/2006/relationships/hyperlink" Target="http://www.consulta.mx/Estudios.aspx?Categoria=1" TargetMode="External"/><Relationship Id="rId241" Type="http://schemas.openxmlformats.org/officeDocument/2006/relationships/footer" Target="footer69.xml"/><Relationship Id="rId242" Type="http://schemas.openxmlformats.org/officeDocument/2006/relationships/footer" Target="footer70.xml"/><Relationship Id="rId243" Type="http://schemas.openxmlformats.org/officeDocument/2006/relationships/hyperlink" Target="http://au.linkedin.com/in/metcalfe" TargetMode="External"/><Relationship Id="rId244" Type="http://schemas.openxmlformats.org/officeDocument/2006/relationships/hyperlink" Target="http://unesdoc.unesco.org/images/0015/001502/150259f.pdf" TargetMode="External"/><Relationship Id="rId245" Type="http://schemas.openxmlformats.org/officeDocument/2006/relationships/hyperlink" Target="http://www.facebook.com/note.php?note_id=385499133141" TargetMode="External"/><Relationship Id="rId246" Type="http://schemas.openxmlformats.org/officeDocument/2006/relationships/hyperlink" Target="http://mexicomagico.org/Voto/4A/fox4a.htm" TargetMode="External"/><Relationship Id="rId247" Type="http://schemas.openxmlformats.org/officeDocument/2006/relationships/hyperlink" Target="http://www.filosofia.org/ave/001/a240.htm" TargetMode="External"/><Relationship Id="rId248" Type="http://schemas.openxmlformats.org/officeDocument/2006/relationships/hyperlink" Target="http://www.inap.org.mx/portal/images/RAP/la%20gobernanza%20hoy.pdf" TargetMode="External"/><Relationship Id="rId249" Type="http://schemas.openxmlformats.org/officeDocument/2006/relationships/hyperlink" Target="http://www.ejournal.unam.mx/moe/no119/MOE11903.pdf" TargetMode="External"/><Relationship Id="rId250" Type="http://schemas.openxmlformats.org/officeDocument/2006/relationships/hyperlink" Target="http://www.asf.gob.mx/Trans/Informes/IR2000i/indice.htm" TargetMode="External"/><Relationship Id="rId251" Type="http://schemas.openxmlformats.org/officeDocument/2006/relationships/hyperlink" Target="http://www.asf.gob.mx/Trans/Informes/IR2001i/indice/Ejecutivo.htm" TargetMode="External"/><Relationship Id="rId252" Type="http://schemas.openxmlformats.org/officeDocument/2006/relationships/hyperlink" Target="http://www.asf.gob.mx/Trans/Informes/IR2002i/indice.htm" TargetMode="External"/><Relationship Id="rId253" Type="http://schemas.openxmlformats.org/officeDocument/2006/relationships/footer" Target="footer71.xml"/><Relationship Id="rId254" Type="http://schemas.openxmlformats.org/officeDocument/2006/relationships/footer" Target="footer72.xml"/><Relationship Id="rId255" Type="http://schemas.openxmlformats.org/officeDocument/2006/relationships/hyperlink" Target="http://www.asf.gob.mx/Trans/Informes/ir2004i/Indice/Ejecutivo.htm" TargetMode="External"/><Relationship Id="rId256" Type="http://schemas.openxmlformats.org/officeDocument/2006/relationships/hyperlink" Target="http://www.asf.gob.mx/Trans/Informes/ir2005i/Indice/Ejecutivo.htm" TargetMode="External"/><Relationship Id="rId257" Type="http://schemas.openxmlformats.org/officeDocument/2006/relationships/hyperlink" Target="http://www.asf.gob.mx/uploads/74_Mensajes_del_Titular/02_Mensaje_Auditor_Superior.pdf" TargetMode="External"/><Relationship Id="rId258" Type="http://schemas.openxmlformats.org/officeDocument/2006/relationships/hyperlink" Target="http://www.asf.gob.mx/Trans/Informes/IR2010i/Indice/Ejecutivo.htm" TargetMode="External"/><Relationship Id="rId259" Type="http://schemas.openxmlformats.org/officeDocument/2006/relationships/hyperlink" Target="http://www.asf.gob.mx/Trans/Informes/IR2011i/Indice/iGeneral.htm" TargetMode="External"/><Relationship Id="rId260" Type="http://schemas.openxmlformats.org/officeDocument/2006/relationships/hyperlink" Target="http://www.aecpa.es/uploads/files/congresos/congreso_07/area05/GT20/CANCELA-OUTEDA-Celso(UVI).pdf" TargetMode="External"/><Relationship Id="rId261" Type="http://schemas.openxmlformats.org/officeDocument/2006/relationships/hyperlink" Target="http://www.funcionpublica.gob.mx/images/doctos/transparencia/focalizada/indices/metrica_de_la_transparencia/metrica_de_la_transparencia_2010_cide.pdf" TargetMode="External"/><Relationship Id="rId262" Type="http://schemas.openxmlformats.org/officeDocument/2006/relationships/hyperlink" Target="http://bresserpereira.org.br/Documents%5CMARE%5CCLAD%5Cngpesp.pdf" TargetMode="External"/><Relationship Id="rId263" Type="http://schemas.openxmlformats.org/officeDocument/2006/relationships/hyperlink" Target="http://www.google.com/search?q=ClosaMontero%2CCarlos%2CEllibro" TargetMode="External"/><Relationship Id="rId264" Type="http://schemas.openxmlformats.org/officeDocument/2006/relationships/hyperlink" Target="http://www.diputados.gob.mx/LeyesBiblio/compila/controv.htm" TargetMode="External"/><Relationship Id="rId265" Type="http://schemas.openxmlformats.org/officeDocument/2006/relationships/hyperlink" Target="http://www.ucm.es/info/cpuno/asoc/profesores/lecturas/dahl2.pdf" TargetMode="External"/><Relationship Id="rId266" Type="http://schemas.openxmlformats.org/officeDocument/2006/relationships/hyperlink" Target="http://www.bibliojuridica.org/libros/1/93/10.pdf" TargetMode="External"/><Relationship Id="rId267" Type="http://schemas.openxmlformats.org/officeDocument/2006/relationships/hyperlink" Target="http://www.ife.org.mx/documentos/DECEYEC/sistemas_parlamentario.htm" TargetMode="External"/><Relationship Id="rId268" Type="http://schemas.openxmlformats.org/officeDocument/2006/relationships/hyperlink" Target="http://www.asf.gob.mx/uploads/47_Estudios_especializados/Aimee_doctocomp.pdf" TargetMode="External"/><Relationship Id="rId269" Type="http://schemas.openxmlformats.org/officeDocument/2006/relationships/hyperlink" Target="http://www.imf.org/external/pubs/ft/weo/2011/02/weodata/index.aspx" TargetMode="External"/><Relationship Id="rId270" Type="http://schemas.openxmlformats.org/officeDocument/2006/relationships/hyperlink" Target="http://www.intosai.org/es/documentos/intosai/documentos-" TargetMode="External"/><Relationship Id="rId271" Type="http://schemas.openxmlformats.org/officeDocument/2006/relationships/hyperlink" Target="http://www.ife.org.mx/documentos/DECEYEC/sistemas_politicos.htm" TargetMode="External"/><Relationship Id="rId272" Type="http://schemas.openxmlformats.org/officeDocument/2006/relationships/hyperlink" Target="http://www.hegoa.ehu.es/dossierra/gobernanza/3-Prats2001.pdf" TargetMode="External"/><Relationship Id="rId273" Type="http://schemas.openxmlformats.org/officeDocument/2006/relationships/hyperlink" Target="http://www.grupochorlavi.org/php/doc/documentos/Elconceptoyel.pdf" TargetMode="External"/><Relationship Id="rId274" Type="http://schemas.openxmlformats.org/officeDocument/2006/relationships/hyperlink" Target="http://siteresources.worldbank.org/INTWBIGOVANTCOR/Resources/fandd_spanish.pdf" TargetMode="External"/><Relationship Id="rId275" Type="http://schemas.openxmlformats.org/officeDocument/2006/relationships/hyperlink" Target="http://www.iapqroo.org.mx/website/biblioteca/LA%20CONTRALORIA%20Y%20EL%20CONTROL%20INTERNO%20EN%20MEXICO.pdf" TargetMode="External"/><Relationship Id="rId276" Type="http://schemas.openxmlformats.org/officeDocument/2006/relationships/hyperlink" Target="http://www.sat.gob.mx/civismo_fiscal/contenidos/pdfs/cap2_sistemas_fm_xix.pdf" TargetMode="External"/><Relationship Id="rId277" Type="http://schemas.openxmlformats.org/officeDocument/2006/relationships/hyperlink" Target="http://www.diputados.gob.mx/LeyesBiblio/regla/n280.pdf" TargetMode="External"/><Relationship Id="rId278" Type="http://schemas.openxmlformats.org/officeDocument/2006/relationships/hyperlink" Target="http://ferronato.com.ar/wp-content/uploads/2009/06/discursos_tito_livio1.pdf" TargetMode="External"/><Relationship Id="rId279" Type="http://schemas.openxmlformats.org/officeDocument/2006/relationships/hyperlink" Target="http://archivosociologico.files.wordpress.com/2010/04/charles-louis-montesquieu-el-espiritu-de-las-leyes.pdf" TargetMode="External"/><Relationship Id="rId280" Type="http://schemas.openxmlformats.org/officeDocument/2006/relationships/hyperlink" Target="http://unpan1.un.org/intradoc/groups/public/documents/CLAD/clad0044413.pdf" TargetMode="External"/><Relationship Id="rId281" Type="http://schemas.openxmlformats.org/officeDocument/2006/relationships/hyperlink" Target="http://americo.usal.es/iberoame/sites/default/files/Laclasepolitica.pdf" TargetMode="External"/><Relationship Id="rId282" Type="http://schemas.openxmlformats.org/officeDocument/2006/relationships/hyperlink" Target="http://www.amocvies.org.mx/htm_asambleas/a15_qroo/inf/fiscaliz.pdf" TargetMode="External"/><Relationship Id="rId283" Type="http://schemas.openxmlformats.org/officeDocument/2006/relationships/hyperlink" Target="http://unpan1.un.org/intradoc/groups/public/documents/CLAD/clad0043411.pdf" TargetMode="External"/><Relationship Id="rId284" Type="http://schemas.openxmlformats.org/officeDocument/2006/relationships/hyperlink" Target="http://www.programaanticorrupcion.gob.mx/PNRCTCC/prctcc_2008-2012.pdf" TargetMode="External"/><Relationship Id="rId285" Type="http://schemas.openxmlformats.org/officeDocument/2006/relationships/hyperlink" Target="http://www.hacienda.gob.mx/EGRESOS/pbr/docs_consultta/directricessed.pdf" TargetMode="External"/><Relationship Id="rId286" Type="http://schemas.openxmlformats.org/officeDocument/2006/relationships/hyperlink" Target="http://works.bepress.com/cgi/viewcontent.cgi?article=1005&amp;amp;context=andreas_s" TargetMode="External"/><Relationship Id="rId287" Type="http://schemas.openxmlformats.org/officeDocument/2006/relationships/hyperlink" Target="http://biblio.juridicas.unam.mx/libros/3/1327/1.pdf" TargetMode="External"/><Relationship Id="rId288" Type="http://schemas.openxmlformats.org/officeDocument/2006/relationships/hyperlink" Target="http://fama2.us.es/fde/ocr/2006/gobiernoRepresentativo.pdf" TargetMode="External"/><Relationship Id="rId289" Type="http://schemas.openxmlformats.org/officeDocument/2006/relationships/hyperlink" Target="http://www.bibliojuridica.org/libros/6/2818/5.pdf" TargetMode="External"/><Relationship Id="rId290" Type="http://schemas.openxmlformats.org/officeDocument/2006/relationships/hyperlink" Target="http://web.worldbank.org/WBSITE/EXTERNAL/TOPICS/TRADE/0%2C%2CcontentMDK" TargetMode="External"/><Relationship Id="rId291" Type="http://schemas.openxmlformats.org/officeDocument/2006/relationships/hyperlink" Target="http://www.asamblea.gob.pa/debate/Ediciones_anteriores/JULIO2008/%C3%9Altima_Edici%C3%B3n/09-Tribunal_Cuentas.pdf" TargetMode="External"/><Relationship Id="rId292" Type="http://schemas.openxmlformats.org/officeDocument/2006/relationships/hyperlink" Target="http://www.diputados.gob.mx/LeyesBiblio/pdf/1.pdf" TargetMode="External"/><Relationship Id="rId293" Type="http://schemas.openxmlformats.org/officeDocument/2006/relationships/hyperlink" Target="http://www.diputados.gob.mx/LeyesBiblio/pdf/LFRCF.pdf" TargetMode="External"/><Relationship Id="rId294" Type="http://schemas.openxmlformats.org/officeDocument/2006/relationships/hyperlink" Target="http://www.citimpuestos.com/download/normatividad/diversas/LFTAI.pdf" TargetMode="External"/><Relationship Id="rId295" Type="http://schemas.openxmlformats.org/officeDocument/2006/relationships/hyperlink" Target="http://www.juridicas.unam.mx/publica/librev/rev/rap/cont/55/doc/doc8.pdf" TargetMode="External"/><Relationship Id="rId296" Type="http://schemas.openxmlformats.org/officeDocument/2006/relationships/hyperlink" Target="http://dx.doi.org/10.1787/9789264116252-es" TargetMode="External"/><Relationship Id="rId297" Type="http://schemas.openxmlformats.org/officeDocument/2006/relationships/hyperlink" Target="http://www.oecd.org/centrodemexico/Mexico%202012%20FINALES%20SEP%25" TargetMode="External"/><Relationship Id="rId298" Type="http://schemas.openxmlformats.org/officeDocument/2006/relationships/footer" Target="footer73.xml"/><Relationship Id="rId299" Type="http://schemas.openxmlformats.org/officeDocument/2006/relationships/footer" Target="footer74.xml"/><Relationship Id="rId300" Type="http://schemas.openxmlformats.org/officeDocument/2006/relationships/hyperlink" Target="http://bases.bireme.br/cgi-" TargetMode="External"/><Relationship Id="rId301" Type="http://schemas.openxmlformats.org/officeDocument/2006/relationships/hyperlink" Target="http://www.dgpp.sep.gob.mx/planeacion/pdf%20inf/PND.pdf" TargetMode="External"/><Relationship Id="rId302" Type="http://schemas.openxmlformats.org/officeDocument/2006/relationships/hyperlink" Target="http://www.ceplan.gob.pe/documents/10157/199b80b0-04c8-4f99-8300-a58d49460432" TargetMode="External"/><Relationship Id="rId303" Type="http://schemas.openxmlformats.org/officeDocument/2006/relationships/hyperlink" Target="http://www.oic.sep.gob.mx/portal3/doc/Participacion%20ciudadana.pdf" TargetMode="External"/><Relationship Id="rId304" Type="http://schemas.openxmlformats.org/officeDocument/2006/relationships/hyperlink" Target="http://www.latinobarometro.org/latino/LATContenidos.jsp" TargetMode="External"/><Relationship Id="rId305" Type="http://schemas.openxmlformats.org/officeDocument/2006/relationships/hyperlink" Target="http://www.ieo-imf.org/ieo/files/completedevaluations/05212008CG_SPA.pdf" TargetMode="External"/><Relationship Id="rId306" Type="http://schemas.openxmlformats.org/officeDocument/2006/relationships/hyperlink" Target="http://www.world-governance.org/spip.php?article521&amp;amp;lang=es" TargetMode="External"/><Relationship Id="rId307" Type="http://schemas.openxmlformats.org/officeDocument/2006/relationships/hyperlink" Target="http://www.world-governance.org/IMG/pdf_WGI_short_version_EN_web-4.pdf" TargetMode="External"/><Relationship Id="rId308" Type="http://schemas.openxmlformats.org/officeDocument/2006/relationships/hyperlink" Target="http://www.world-governance.org/" TargetMode="External"/><Relationship Id="rId309" Type="http://schemas.openxmlformats.org/officeDocument/2006/relationships/hyperlink" Target="http://www.world-governance.org/IMG/pdf_798_Propuestas_para_una_arquitectura_del_poder_justa_y_democratica_2012.03.pdf" TargetMode="External"/><Relationship Id="rId310" Type="http://schemas.openxmlformats.org/officeDocument/2006/relationships/hyperlink" Target="http://www.worldgovernance.org/IMG/pdf_862_AB_GM_Communs_et_gouvera" TargetMode="External"/><Relationship Id="rId311" Type="http://schemas.openxmlformats.org/officeDocument/2006/relationships/hyperlink" Target="http://back.globalintegrity.org/reports/2004/docs/2004/SPANISH2004Mexico.pdf" TargetMode="External"/><Relationship Id="rId312" Type="http://schemas.openxmlformats.org/officeDocument/2006/relationships/hyperlink" Target="http://www.globalintegrity.org/report/Mexico/2011/notebook" TargetMode="External"/><Relationship Id="rId313" Type="http://schemas.openxmlformats.org/officeDocument/2006/relationships/hyperlink" Target="http://thedatahub.org/dataset/global-integrity-report/resource/5f8e7f41-1093-" TargetMode="External"/><Relationship Id="rId314" Type="http://schemas.openxmlformats.org/officeDocument/2006/relationships/hyperlink" Target="http://www.happyplanetindex.org/assets/happy-planet-index-" TargetMode="External"/><Relationship Id="rId315" Type="http://schemas.openxmlformats.org/officeDocument/2006/relationships/hyperlink" Target="http://internationalbudget.org/wp-content/uploads/OBI2012-" TargetMode="External"/><Relationship Id="rId316" Type="http://schemas.openxmlformats.org/officeDocument/2006/relationships/hyperlink" Target="http://www.oecd.org/dataoecd/60/17/48632643.pdf" TargetMode="External"/><Relationship Id="rId317" Type="http://schemas.openxmlformats.org/officeDocument/2006/relationships/hyperlink" Target="http://www.oecd.org/document/45/0%2C3746%2Cen_2649_37419_2671576_1_1_1_37" TargetMode="External"/><Relationship Id="rId318" Type="http://schemas.openxmlformats.org/officeDocument/2006/relationships/hyperlink" Target="http://www.oecd.org/dataoecd/24/14/46119235.pdf" TargetMode="External"/><Relationship Id="rId319" Type="http://schemas.openxmlformats.org/officeDocument/2006/relationships/hyperlink" Target="http://www.oecd.org/dataoecd/56/61/45875056.pdf" TargetMode="External"/><Relationship Id="rId320" Type="http://schemas.openxmlformats.org/officeDocument/2006/relationships/hyperlink" Target="http://www.oecd.org/dataoecd/20/60/40823806.pdf" TargetMode="External"/><Relationship Id="rId321" Type="http://schemas.openxmlformats.org/officeDocument/2006/relationships/hyperlink" Target="http://www.ife.org.mx/documentos/DECEYEC/eua.htm#sistpol" TargetMode="External"/><Relationship Id="rId322" Type="http://schemas.openxmlformats.org/officeDocument/2006/relationships/hyperlink" Target="http://www.ife.org.mx/documentos/DECEYEC/espana.htm#sistpol" TargetMode="External"/><Relationship Id="rId323" Type="http://schemas.openxmlformats.org/officeDocument/2006/relationships/hyperlink" Target="http://www.gao.gov/browse/topic/Tax_Policy_and_Administration" TargetMode="External"/><Relationship Id="rId324" Type="http://schemas.openxmlformats.org/officeDocument/2006/relationships/hyperlink" Target="http://asf.gob.mx/" TargetMode="External"/><Relationship Id="rId325" Type="http://schemas.openxmlformats.org/officeDocument/2006/relationships/hyperlink" Target="http://biblio.juridicas.unam.mx/libros/2/530/4.pdf" TargetMode="External"/><Relationship Id="rId326" Type="http://schemas.openxmlformats.org/officeDocument/2006/relationships/hyperlink" Target="http://www.nao.org.uk/publications/1012/wga_2009-10.aspx" TargetMode="External"/><Relationship Id="rId32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Fermin</dc:creator>
  <dcterms:created xsi:type="dcterms:W3CDTF">2017-05-26T19:32:29Z</dcterms:created>
  <dcterms:modified xsi:type="dcterms:W3CDTF">2017-05-26T19:32:29Z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2016-05-21T00:00:00Z</vt:filetime>
  </property>
  <property fmtid="{D5CDD505-2E9C-101B-9397-08002B2CF9AE}" pid="3" name="Creator">
    <vt:lpwstr>Microsoft® Word 2013</vt:lpwstr>
  </property>
  <property fmtid="{D5CDD505-2E9C-101B-9397-08002B2CF9AE}" pid="4" name="LastSaved">
    <vt:filetime>2017-05-26T00:00:00Z</vt:filetime>
  </property>
</Properties>
</file>