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5.2pt;height:241.45pt;mso-position-horizontal-relative:char;mso-position-vertical-relative:line" coordorigin="0,0" coordsize="1504,4829">
            <v:rect style="position:absolute;left:0;top:4792;width:1504;height:36" filled="true" fillcolor="#000000" stroked="false">
              <v:fill opacity="22873f" type="solid"/>
            </v:rect>
            <v:rect style="position:absolute;left:0;top:0;width:1504;height:4792" filled="true" fillcolor="#ffa400" stroked="false">
              <v:fill type="solid"/>
            </v:rect>
          </v:group>
        </w:pict>
      </w:r>
      <w:r>
        <w:rPr>
          <w:sz w:val="20"/>
        </w:rPr>
      </w:r>
    </w:p>
    <w:p>
      <w:pPr>
        <w:pStyle w:val="BodyText"/>
        <w:rPr>
          <w:sz w:val="20"/>
        </w:rPr>
      </w:pPr>
    </w:p>
    <w:p>
      <w:pPr>
        <w:pStyle w:val="BodyText"/>
        <w:spacing w:before="9"/>
        <w:rPr>
          <w:sz w:val="20"/>
        </w:rPr>
      </w:pPr>
    </w:p>
    <w:p>
      <w:pPr>
        <w:pStyle w:val="Heading1"/>
        <w:tabs>
          <w:tab w:pos="5084" w:val="left" w:leader="none"/>
        </w:tabs>
        <w:spacing w:line="459" w:lineRule="exact" w:before="50"/>
        <w:ind w:left="2203" w:right="0"/>
      </w:pPr>
      <w:r>
        <w:rPr/>
        <w:pict>
          <v:shapetype id="_x0000_t202" o:spt="202" coordsize="21600,21600" path="m,l,21600r21600,l21600,xe">
            <v:stroke joinstyle="miter"/>
            <v:path gradientshapeok="t" o:connecttype="rect"/>
          </v:shapetype>
          <v:shape style="position:absolute;margin-left:82.5pt;margin-top:-19.818121pt;width:512.85pt;height:594.65pt;mso-position-horizontal-relative:page;mso-position-vertical-relative:paragraph;z-index:-31864"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spacing w:before="5"/>
                    <w:rPr>
                      <w:b/>
                      <w:sz w:val="50"/>
                    </w:rPr>
                  </w:pPr>
                </w:p>
                <w:p>
                  <w:pPr>
                    <w:spacing w:before="0"/>
                    <w:ind w:left="0" w:right="787" w:firstLine="0"/>
                    <w:jc w:val="right"/>
                    <w:rPr>
                      <w:b/>
                      <w:sz w:val="29"/>
                    </w:rPr>
                  </w:pPr>
                  <w:r>
                    <w:rPr>
                      <w:b/>
                      <w:w w:val="95"/>
                      <w:sz w:val="44"/>
                    </w:rPr>
                    <w:t>ECORFAN</w:t>
                  </w:r>
                  <w:r>
                    <w:rPr>
                      <w:b/>
                      <w:w w:val="95"/>
                      <w:position w:val="16"/>
                      <w:sz w:val="29"/>
                    </w:rPr>
                    <w:t>®</w:t>
                  </w:r>
                </w:p>
              </w:txbxContent>
            </v:textbox>
            <w10:wrap type="none"/>
          </v:shape>
        </w:pict>
      </w:r>
      <w:r>
        <w:rPr/>
        <w:pict>
          <v:group style="position:absolute;margin-left:82pt;margin-top:-20.318121pt;width:513.85pt;height:595.65pt;mso-position-horizontal-relative:page;mso-position-vertical-relative:paragraph;z-index:-31840" coordorigin="1640,-406" coordsize="10277,11913">
            <v:shape style="position:absolute;left:2921;top:6308;width:8986;height:5188" coordorigin="2921,6308" coordsize="8986,5188" path="m11906,6308l2921,11496,11906,11496,11906,6308xe" filled="true" fillcolor="#ffe499" stroked="false">
              <v:path arrowok="t"/>
              <v:fill opacity="32896f" type="solid"/>
            </v:shape>
            <v:rect style="position:absolute;left:1650;top:-396;width:10256;height:11892" filled="true" fillcolor="#ffa400" stroked="false">
              <v:fill type="solid"/>
            </v:rect>
            <v:shape style="position:absolute;left:1650;top:-396;width:10257;height:11893" coordorigin="1650,-396" coordsize="10257,11893" path="m11906,-396l1650,-396,1650,11496e" filled="false" stroked="true" strokeweight="1pt" strokecolor="#f1f1f1">
              <v:path arrowok="t"/>
            </v:shape>
            <w10:wrap type="none"/>
          </v:group>
        </w:pict>
      </w:r>
      <w:r>
        <w:rPr/>
        <w:pict>
          <v:group style="position:absolute;margin-left:.15pt;margin-top:-19.818121pt;width:75.05pt;height:105.7pt;mso-position-horizontal-relative:page;mso-position-vertical-relative:paragraph;z-index:1120" coordorigin="3,-396" coordsize="1501,2114">
            <v:rect style="position:absolute;left:3;top:1681;width:1501;height:36" filled="true" fillcolor="#000000" stroked="false">
              <v:fill opacity="22873f" type="solid"/>
            </v:rect>
            <v:rect style="position:absolute;left:3;top:-396;width:1501;height:2077" filled="true" fillcolor="#ff6246" stroked="false">
              <v:fill type="solid"/>
            </v:rect>
            <w10:wrap type="none"/>
          </v:group>
        </w:pict>
      </w:r>
      <w:r>
        <w:rPr/>
        <w:pict>
          <v:group style="position:absolute;margin-left:82.400002pt;margin-top:-267.118103pt;width:512.9500pt;height:241.45pt;mso-position-horizontal-relative:page;mso-position-vertical-relative:paragraph;z-index:1168" coordorigin="1648,-5342" coordsize="10259,4829">
            <v:rect style="position:absolute;left:1648;top:-550;width:10258;height:36" filled="true" fillcolor="#000000" stroked="false">
              <v:fill opacity="22873f" type="solid"/>
            </v:rect>
            <v:rect style="position:absolute;left:1648;top:-5342;width:10258;height:4792" filled="true" fillcolor="#ffa400" stroked="false">
              <v:fill type="solid"/>
            </v:rect>
            <v:shape style="position:absolute;left:1648;top:-5342;width:10259;height:4829" type="#_x0000_t202" filled="false" stroked="false">
              <v:textbox inset="0,0,0,0">
                <w:txbxContent>
                  <w:p>
                    <w:pPr>
                      <w:spacing w:line="240" w:lineRule="auto" w:before="0"/>
                      <w:rPr>
                        <w:b/>
                        <w:sz w:val="40"/>
                      </w:rPr>
                    </w:pPr>
                  </w:p>
                  <w:p>
                    <w:pPr>
                      <w:spacing w:line="240" w:lineRule="auto" w:before="0"/>
                      <w:rPr>
                        <w:b/>
                        <w:sz w:val="40"/>
                      </w:rPr>
                    </w:pPr>
                  </w:p>
                  <w:p>
                    <w:pPr>
                      <w:spacing w:before="262"/>
                      <w:ind w:left="421" w:right="0" w:firstLine="0"/>
                      <w:jc w:val="left"/>
                      <w:rPr>
                        <w:b/>
                        <w:sz w:val="40"/>
                      </w:rPr>
                    </w:pPr>
                    <w:r>
                      <w:rPr>
                        <w:b/>
                        <w:color w:val="833B0A"/>
                        <w:sz w:val="40"/>
                      </w:rPr>
                      <w:t>Producción, Comercialización y Medio Ambiente</w:t>
                    </w:r>
                  </w:p>
                  <w:p>
                    <w:pPr>
                      <w:spacing w:before="273"/>
                      <w:ind w:left="421" w:right="0" w:firstLine="0"/>
                      <w:jc w:val="left"/>
                      <w:rPr>
                        <w:b/>
                        <w:i/>
                        <w:sz w:val="54"/>
                      </w:rPr>
                    </w:pPr>
                    <w:r>
                      <w:rPr>
                        <w:b/>
                        <w:i/>
                        <w:color w:val="833B0A"/>
                        <w:sz w:val="54"/>
                      </w:rPr>
                      <w:t>Handbook T-I</w:t>
                    </w:r>
                  </w:p>
                </w:txbxContent>
              </v:textbox>
              <w10:wrap type="none"/>
            </v:shape>
            <w10:wrap type="none"/>
          </v:group>
        </w:pict>
      </w:r>
      <w:r>
        <w:rPr>
          <w:color w:val="833B0A"/>
        </w:rPr>
        <w:t>PÉREZ-SOTO,</w:t>
        <w:tab/>
        <w:t>Francisco</w:t>
      </w:r>
    </w:p>
    <w:p>
      <w:pPr>
        <w:spacing w:line="344" w:lineRule="exact" w:before="0"/>
        <w:ind w:left="2203" w:right="0" w:firstLine="0"/>
        <w:jc w:val="left"/>
        <w:rPr>
          <w:b/>
          <w:sz w:val="30"/>
        </w:rPr>
      </w:pPr>
      <w:r>
        <w:rPr>
          <w:b/>
          <w:color w:val="833B0A"/>
          <w:sz w:val="30"/>
        </w:rPr>
        <w:t>FIGUEROA-HERNÁNDEZ, Esther</w:t>
      </w:r>
    </w:p>
    <w:p>
      <w:pPr>
        <w:tabs>
          <w:tab w:pos="8833" w:val="left" w:leader="none"/>
        </w:tabs>
        <w:spacing w:before="1"/>
        <w:ind w:left="2203" w:right="0" w:firstLine="0"/>
        <w:jc w:val="left"/>
        <w:rPr>
          <w:b/>
          <w:i/>
          <w:sz w:val="40"/>
        </w:rPr>
      </w:pPr>
      <w:r>
        <w:rPr/>
        <w:pict>
          <v:rect style="position:absolute;margin-left:.4pt;margin-top:50.231869pt;width:74.8pt;height:481.919939pt;mso-position-horizontal-relative:page;mso-position-vertical-relative:paragraph;z-index:1096" filled="true" fillcolor="#ffa400" stroked="false">
            <v:fill type="solid"/>
            <w10:wrap type="none"/>
          </v:rect>
        </w:pict>
      </w:r>
      <w:r>
        <w:rPr>
          <w:b/>
          <w:color w:val="833B0A"/>
          <w:sz w:val="34"/>
        </w:rPr>
        <w:t>GODÍNEZ-MONTOYA,</w:t>
      </w:r>
      <w:r>
        <w:rPr>
          <w:b/>
          <w:color w:val="833B0A"/>
          <w:spacing w:val="-3"/>
          <w:sz w:val="34"/>
        </w:rPr>
        <w:t> </w:t>
      </w:r>
      <w:r>
        <w:rPr>
          <w:b/>
          <w:color w:val="833B0A"/>
          <w:sz w:val="34"/>
        </w:rPr>
        <w:t>Lucila</w:t>
        <w:tab/>
      </w:r>
      <w:r>
        <w:rPr>
          <w:b/>
          <w:i/>
          <w:color w:val="833B0A"/>
          <w:sz w:val="40"/>
        </w:rPr>
        <w:t>Directores</w:t>
      </w: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spacing w:before="2"/>
        <w:rPr>
          <w:b/>
          <w:i/>
          <w:sz w:val="52"/>
        </w:rPr>
      </w:pPr>
    </w:p>
    <w:p>
      <w:pPr>
        <w:spacing w:before="0"/>
        <w:ind w:left="0" w:right="782" w:firstLine="0"/>
        <w:jc w:val="right"/>
        <w:rPr>
          <w:b/>
          <w:sz w:val="29"/>
        </w:rPr>
      </w:pPr>
      <w:r>
        <w:rPr>
          <w:b/>
          <w:w w:val="95"/>
          <w:sz w:val="44"/>
        </w:rPr>
        <w:t>ECORFAN</w:t>
      </w:r>
      <w:r>
        <w:rPr>
          <w:b/>
          <w:w w:val="95"/>
          <w:position w:val="16"/>
          <w:sz w:val="29"/>
        </w:rPr>
        <w:t>®</w:t>
      </w:r>
    </w:p>
    <w:p>
      <w:pPr>
        <w:spacing w:after="0"/>
        <w:jc w:val="right"/>
        <w:rPr>
          <w:sz w:val="29"/>
        </w:rPr>
        <w:sectPr>
          <w:type w:val="continuous"/>
          <w:pgSz w:w="11910" w:h="16840"/>
          <w:pgMar w:top="0" w:bottom="0" w:left="0" w:right="0"/>
        </w:sectPr>
      </w:pPr>
    </w:p>
    <w:p>
      <w:pPr>
        <w:spacing w:before="46"/>
        <w:ind w:left="172" w:right="6418" w:firstLine="0"/>
        <w:jc w:val="left"/>
        <w:rPr>
          <w:sz w:val="32"/>
        </w:rPr>
      </w:pPr>
      <w:r>
        <w:rPr/>
        <w:pict>
          <v:line style="position:absolute;mso-position-horizontal-relative:page;mso-position-vertical-relative:paragraph;z-index:1192;mso-wrap-distance-left:0;mso-wrap-distance-right:0" from="53.900002pt,24.177509pt" to="540.300002pt,24.177509pt" stroked="true" strokeweight=".75pt" strokecolor="#000000">
            <w10:wrap type="topAndBottom"/>
          </v:line>
        </w:pict>
      </w:r>
      <w:r>
        <w:rPr/>
        <w:pict>
          <v:line style="position:absolute;mso-position-horizontal-relative:page;mso-position-vertical-relative:paragraph;z-index:-31696" from="53.599998pt,4.227510pt" to="539.999998pt,4.227510pt" stroked="true" strokeweight=".75pt" strokecolor="#000000">
            <w10:wrap type="none"/>
          </v:line>
        </w:pict>
      </w:r>
      <w:r>
        <w:rPr>
          <w:sz w:val="32"/>
        </w:rPr>
        <w:t>Volumen I</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9"/>
        </w:rPr>
      </w:pPr>
    </w:p>
    <w:p>
      <w:pPr>
        <w:pStyle w:val="BodyText"/>
        <w:spacing w:line="242" w:lineRule="auto"/>
        <w:ind w:left="172" w:right="6418"/>
      </w:pPr>
      <w:r>
        <w:rPr/>
        <w:t>Para futuros volúmenes: </w:t>
      </w:r>
      <w:hyperlink r:id="rId5">
        <w:r>
          <w:rPr/>
          <w:t>http://www.ecorfan.org/handbooks</w:t>
        </w:r>
      </w:hyperlink>
    </w:p>
    <w:p>
      <w:pPr>
        <w:spacing w:after="0" w:line="242" w:lineRule="auto"/>
        <w:sectPr>
          <w:pgSz w:w="11910" w:h="16840"/>
          <w:pgMar w:top="1060" w:bottom="280" w:left="960" w:right="980"/>
        </w:sectPr>
      </w:pPr>
    </w:p>
    <w:p>
      <w:pPr>
        <w:pStyle w:val="Heading2"/>
        <w:spacing w:before="52"/>
        <w:ind w:right="0"/>
        <w:jc w:val="both"/>
      </w:pPr>
      <w:r>
        <w:rPr/>
        <w:t>ECORFAN Producción, Comercialización y Medio Ambiente</w:t>
      </w:r>
    </w:p>
    <w:p>
      <w:pPr>
        <w:pStyle w:val="BodyText"/>
        <w:spacing w:before="9"/>
        <w:rPr>
          <w:b/>
          <w:sz w:val="18"/>
        </w:rPr>
      </w:pPr>
      <w:r>
        <w:rPr/>
        <w:pict>
          <v:line style="position:absolute;mso-position-horizontal-relative:page;mso-position-vertical-relative:paragraph;z-index:1240;mso-wrap-distance-left:0;mso-wrap-distance-right:0" from="56.400002pt,13.171687pt" to="542.800002pt,13.171687pt" stroked="true" strokeweight=".75pt" strokecolor="#000000">
            <w10:wrap type="topAndBottom"/>
          </v:line>
        </w:pict>
      </w:r>
    </w:p>
    <w:p>
      <w:pPr>
        <w:pStyle w:val="BodyText"/>
        <w:spacing w:before="9"/>
        <w:rPr>
          <w:b/>
          <w:sz w:val="36"/>
        </w:rPr>
      </w:pPr>
    </w:p>
    <w:p>
      <w:pPr>
        <w:pStyle w:val="BodyText"/>
        <w:spacing w:before="1"/>
        <w:ind w:left="112" w:right="191"/>
        <w:jc w:val="both"/>
      </w:pPr>
      <w:r>
        <w:rPr/>
        <w:t>El Handbook ofrecerá los volúmenes de contribuciones seleccionadas de investigadores que contribuyan a la actividad de difusión científica de ECORFAN en su área de investigación en Producción, Comercialización y Medio Ambiente. Además de tener una evaluación total, en las manos de los editores de la Universidad Autónoma Chapingo que colaboraron con calidad y puntualidad en sus capítulos, cada contribución individual fue arbitrada a estándares internacionales (RENIECYT-LATINDEX-DIALNET-ResearchGate-DULCINEA-CLASE-    Sudoc-    HISPANA-</w:t>
      </w:r>
    </w:p>
    <w:p>
      <w:pPr>
        <w:pStyle w:val="BodyText"/>
        <w:ind w:left="112" w:right="191"/>
        <w:jc w:val="both"/>
      </w:pPr>
      <w:r>
        <w:rPr/>
        <w:t>SHERPA-UNIVERSIA-eREVISTAS-ScholarGoogle-DOI-REBID-Mendeley), el Handbook propone así a la comunidad académica, los informes recientes sobre los nuevos progresos en las áreas más interesantes y prometedoras de investigación en Producción, Comercialización y Medio Ambiente.</w:t>
      </w:r>
    </w:p>
    <w:p>
      <w:pPr>
        <w:spacing w:after="0"/>
        <w:jc w:val="both"/>
        <w:sectPr>
          <w:pgSz w:w="11910" w:h="16840"/>
          <w:pgMar w:top="1060" w:bottom="280" w:left="1020" w:right="940"/>
        </w:sectPr>
      </w:pPr>
    </w:p>
    <w:p>
      <w:pPr>
        <w:pStyle w:val="Heading2"/>
      </w:pPr>
      <w:r>
        <w:rPr/>
        <w:t>Ramos-Escamilla, María</w:t>
      </w:r>
    </w:p>
    <w:p>
      <w:pPr>
        <w:pStyle w:val="BodyText"/>
        <w:spacing w:before="6"/>
        <w:rPr>
          <w:b/>
          <w:sz w:val="27"/>
        </w:rPr>
      </w:pPr>
    </w:p>
    <w:p>
      <w:pPr>
        <w:spacing w:before="0"/>
        <w:ind w:left="112" w:right="114" w:firstLine="0"/>
        <w:jc w:val="left"/>
        <w:rPr>
          <w:sz w:val="28"/>
        </w:rPr>
      </w:pPr>
      <w:r>
        <w:rPr>
          <w:sz w:val="28"/>
        </w:rPr>
        <w:t>Editores</w:t>
      </w:r>
    </w:p>
    <w:p>
      <w:pPr>
        <w:pStyle w:val="BodyText"/>
        <w:spacing w:before="4"/>
        <w:rPr>
          <w:sz w:val="28"/>
        </w:rPr>
      </w:pPr>
    </w:p>
    <w:p>
      <w:pPr>
        <w:tabs>
          <w:tab w:pos="3263" w:val="left" w:leader="none"/>
          <w:tab w:pos="7519" w:val="left" w:leader="none"/>
          <w:tab w:pos="8443" w:val="left" w:leader="none"/>
        </w:tabs>
        <w:spacing w:before="0"/>
        <w:ind w:left="112" w:right="114" w:firstLine="0"/>
        <w:jc w:val="left"/>
        <w:rPr>
          <w:b/>
          <w:sz w:val="48"/>
        </w:rPr>
      </w:pPr>
      <w:r>
        <w:rPr>
          <w:b/>
          <w:sz w:val="48"/>
        </w:rPr>
        <w:t>Producción,</w:t>
        <w:tab/>
        <w:t>Comercialización</w:t>
        <w:tab/>
        <w:t>y</w:t>
        <w:tab/>
        <w:t>Medio Ambiente</w:t>
      </w:r>
    </w:p>
    <w:p>
      <w:pPr>
        <w:pStyle w:val="BodyText"/>
        <w:spacing w:before="6"/>
        <w:rPr>
          <w:b/>
          <w:sz w:val="55"/>
        </w:rPr>
      </w:pPr>
    </w:p>
    <w:p>
      <w:pPr>
        <w:pStyle w:val="BodyText"/>
        <w:spacing w:before="1"/>
        <w:ind w:left="112" w:right="114"/>
      </w:pPr>
      <w:r>
        <w:rPr/>
        <w:t>Universidad Autónoma Chapingo. Julio, 2016.</w:t>
      </w:r>
    </w:p>
    <w:p>
      <w:pPr>
        <w:spacing w:after="0"/>
        <w:sectPr>
          <w:pgSz w:w="11910" w:h="16840"/>
          <w:pgMar w:top="1440" w:bottom="280" w:left="1020" w:right="1020"/>
        </w:sectPr>
      </w:pPr>
    </w:p>
    <w:p>
      <w:pPr>
        <w:pStyle w:val="Heading1"/>
        <w:spacing w:before="45"/>
        <w:rPr>
          <w:sz w:val="26"/>
        </w:rPr>
      </w:pPr>
      <w:r>
        <w:rPr/>
        <w:t>ECORFAN</w:t>
      </w:r>
      <w:r>
        <w:rPr>
          <w:position w:val="14"/>
          <w:sz w:val="26"/>
        </w:rPr>
        <w:t>®</w:t>
      </w:r>
    </w:p>
    <w:p>
      <w:pPr>
        <w:spacing w:before="263"/>
        <w:ind w:left="112" w:right="114" w:firstLine="0"/>
        <w:jc w:val="left"/>
        <w:rPr>
          <w:i/>
          <w:sz w:val="24"/>
        </w:rPr>
      </w:pPr>
      <w:r>
        <w:rPr>
          <w:i/>
          <w:sz w:val="24"/>
        </w:rPr>
        <w:t>Directores</w:t>
      </w:r>
    </w:p>
    <w:p>
      <w:pPr>
        <w:pStyle w:val="BodyText"/>
        <w:rPr>
          <w:i/>
        </w:rPr>
      </w:pPr>
    </w:p>
    <w:p>
      <w:pPr>
        <w:pStyle w:val="BodyText"/>
        <w:ind w:left="112" w:right="7045"/>
      </w:pPr>
      <w:r>
        <w:rPr/>
        <w:t>Pérez-Soto, Francisco Figueroa-Hernández, Esther Godínez-Montoya, Lucila</w:t>
      </w:r>
    </w:p>
    <w:p>
      <w:pPr>
        <w:pStyle w:val="BodyText"/>
      </w:pPr>
    </w:p>
    <w:p>
      <w:pPr>
        <w:pStyle w:val="BodyText"/>
        <w:ind w:left="112" w:right="114"/>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spacing w:before="0"/>
        <w:ind w:left="112" w:right="114" w:firstLine="0"/>
        <w:jc w:val="left"/>
        <w:rPr>
          <w:sz w:val="20"/>
        </w:rPr>
      </w:pPr>
      <w:r>
        <w:rPr>
          <w:sz w:val="20"/>
        </w:rPr>
        <w:t>ISBN: 978-607-8324-65-1</w:t>
      </w:r>
    </w:p>
    <w:p>
      <w:pPr>
        <w:spacing w:line="240" w:lineRule="auto" w:before="0"/>
        <w:ind w:left="112" w:right="6288" w:firstLine="0"/>
        <w:jc w:val="left"/>
        <w:rPr>
          <w:sz w:val="20"/>
        </w:rPr>
      </w:pPr>
      <w:r>
        <w:rPr>
          <w:sz w:val="20"/>
        </w:rPr>
        <w:t>Sello Editorial ECORFAN: 607-8324 Número de Control HMAE: 2016-01 Clasificación HMAE (2016): 100816-0101</w:t>
      </w:r>
    </w:p>
    <w:p>
      <w:pPr>
        <w:pStyle w:val="BodyText"/>
        <w:spacing w:before="7"/>
        <w:rPr>
          <w:sz w:val="17"/>
        </w:rPr>
      </w:pPr>
    </w:p>
    <w:p>
      <w:pPr>
        <w:pStyle w:val="Heading1"/>
        <w:spacing w:line="457" w:lineRule="exact"/>
      </w:pPr>
      <w:r>
        <w:rPr/>
        <w:t>©ECORFAN-México, S.C.</w:t>
      </w:r>
    </w:p>
    <w:p>
      <w:pPr>
        <w:pStyle w:val="BodyText"/>
        <w:ind w:left="112" w:right="110"/>
        <w:jc w:val="both"/>
      </w:pPr>
      <w:r>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implican, uniformemente en ausencia de una declaración específica, que tales nombres son exentos del protector relevante en leyes y regulaciones de México y por lo tanto libre para el uso general de la comunidad científica internacional. HPCMA es parte de los medios de ECORFAN-México, S.C., E:94-443.F:008-(www.ecorfan.org)</w:t>
      </w:r>
    </w:p>
    <w:p>
      <w:pPr>
        <w:spacing w:after="0"/>
        <w:jc w:val="both"/>
        <w:sectPr>
          <w:pgSz w:w="11910" w:h="16840"/>
          <w:pgMar w:top="1520" w:bottom="280" w:left="1020" w:right="1020"/>
        </w:sectPr>
      </w:pPr>
    </w:p>
    <w:p>
      <w:pPr>
        <w:spacing w:before="29"/>
        <w:ind w:left="112" w:right="0" w:firstLine="0"/>
        <w:jc w:val="both"/>
        <w:rPr>
          <w:b/>
          <w:sz w:val="32"/>
        </w:rPr>
      </w:pPr>
      <w:r>
        <w:rPr>
          <w:b/>
          <w:sz w:val="32"/>
        </w:rPr>
        <w:t>Prefacio</w:t>
      </w:r>
    </w:p>
    <w:p>
      <w:pPr>
        <w:pStyle w:val="BodyText"/>
        <w:spacing w:before="7"/>
        <w:rPr>
          <w:b/>
          <w:sz w:val="43"/>
        </w:rPr>
      </w:pPr>
    </w:p>
    <w:p>
      <w:pPr>
        <w:pStyle w:val="BodyText"/>
        <w:ind w:left="112" w:right="114"/>
        <w:jc w:val="both"/>
      </w:pPr>
      <w:r>
        <w:rPr/>
        <w:t>Una de las líneas estratégicas de la mision y vision universitaria ha sido la de impulsar una política de ciencia, tecnología e innovación que contribuya al crecimiento económico, a la competitividad,  al desarrollo sustentable y al bienestar de la población, así como impulsar una mayor divulgación en beneficion del indice de desarrollo humano, a través de distintos medios y espacios, así como la consolidación de redes de innovación de la investigación, ciencia y tecnología en</w:t>
      </w:r>
      <w:r>
        <w:rPr>
          <w:spacing w:val="-13"/>
        </w:rPr>
        <w:t> </w:t>
      </w:r>
      <w:r>
        <w:rPr/>
        <w:t>México.</w:t>
      </w:r>
    </w:p>
    <w:p>
      <w:pPr>
        <w:pStyle w:val="BodyText"/>
      </w:pPr>
    </w:p>
    <w:p>
      <w:pPr>
        <w:pStyle w:val="BodyText"/>
        <w:ind w:left="112" w:right="114" w:firstLine="708"/>
        <w:jc w:val="both"/>
      </w:pPr>
      <w:r>
        <w:rPr/>
        <w:t>La Universidad Autónoma Chapingo visualiza la necesidad de promover el proceso de la investigación,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w:t>
      </w:r>
      <w:r>
        <w:rPr>
          <w:color w:val="C00000"/>
        </w:rPr>
        <w:t>. </w:t>
      </w:r>
      <w:r>
        <w:rPr/>
        <w:t>Este volumen I contiene 16 capítulos arbitrados que se ocupan de estos asuntos en Producción, Comercialización y Medio Ambiente, elegidos de entre las contribuciones, reunimos algunos investigadores y estudiantes.</w:t>
      </w:r>
    </w:p>
    <w:p>
      <w:pPr>
        <w:pStyle w:val="BodyText"/>
      </w:pPr>
    </w:p>
    <w:p>
      <w:pPr>
        <w:pStyle w:val="BodyText"/>
        <w:spacing w:line="276" w:lineRule="auto"/>
        <w:ind w:left="112" w:right="109" w:firstLine="708"/>
        <w:jc w:val="both"/>
      </w:pPr>
      <w:r>
        <w:rPr>
          <w:i/>
        </w:rPr>
        <w:t>Cih, Moreno y Sandoval </w:t>
      </w:r>
      <w:r>
        <w:rPr/>
        <w:t>presentan la agricultura por contrato: Berries en Jalisco; </w:t>
      </w:r>
      <w:r>
        <w:rPr>
          <w:i/>
        </w:rPr>
        <w:t>Alvarado, </w:t>
      </w:r>
      <w:r>
        <w:rPr>
          <w:i/>
        </w:rPr>
        <w:t>Pérez, Alpuche y Pérez, </w:t>
      </w:r>
      <w:r>
        <w:rPr/>
        <w:t>acotan sobre la situación actual de las unidades de manejo ambiental en la Reserva de la Biosfera de la Sierra de Huahutla, Morelos; </w:t>
      </w:r>
      <w:r>
        <w:rPr>
          <w:i/>
        </w:rPr>
        <w:t>González, Arreguín y Ramírez </w:t>
      </w:r>
      <w:r>
        <w:rPr/>
        <w:t>se refieren a la evaluación financiera de la producción trucha Arco Iris (Oncorhynchus mykiss): Análisis del agronegocio SPR de RL “Pucuato”; </w:t>
      </w:r>
      <w:r>
        <w:rPr>
          <w:i/>
        </w:rPr>
        <w:t>Figueroa, Pérez y Godínez, </w:t>
      </w:r>
      <w:r>
        <w:rPr/>
        <w:t>exponen sobre el mercado de café en México; </w:t>
      </w:r>
      <w:r>
        <w:rPr>
          <w:i/>
        </w:rPr>
        <w:t>Pat, Caamal y Cammal </w:t>
      </w:r>
      <w:r>
        <w:rPr/>
        <w:t>plantean el análisis técnico y económico de la producción de tomate verde en el Oriente del Estado de México, </w:t>
      </w:r>
      <w:r>
        <w:rPr>
          <w:i/>
        </w:rPr>
        <w:t>Valencia y Zetina </w:t>
      </w:r>
      <w:r>
        <w:rPr/>
        <w:t>esbozan su artículo sobre la competitividad de la cebolla mexicana frente a Canadá y Perú en el mercado estadounidense; </w:t>
      </w:r>
      <w:r>
        <w:rPr>
          <w:i/>
        </w:rPr>
        <w:t>Pérez, </w:t>
      </w:r>
      <w:r>
        <w:rPr>
          <w:i/>
        </w:rPr>
        <w:t>Figueroa y Godínez </w:t>
      </w:r>
      <w:r>
        <w:rPr/>
        <w:t>presentan su investigación los migrantes agricolas y el desarrollo social en Mexico</w:t>
      </w:r>
      <w:r>
        <w:rPr>
          <w:i/>
        </w:rPr>
        <w:t>, </w:t>
      </w:r>
      <w:r>
        <w:rPr>
          <w:i/>
          <w:sz w:val="20"/>
        </w:rPr>
        <w:t>Figueroa, Pérez y Godínez</w:t>
      </w:r>
      <w:r>
        <w:rPr>
          <w:i/>
        </w:rPr>
        <w:t>, </w:t>
      </w:r>
      <w:r>
        <w:rPr/>
        <w:t>acotan sobre la importancia de la comercialización del café en México, </w:t>
      </w:r>
      <w:r>
        <w:rPr>
          <w:i/>
        </w:rPr>
        <w:t>Velázquez, Gómez, Rebollar y Martínez, </w:t>
      </w:r>
      <w:r>
        <w:rPr/>
        <w:t>indican sobre la determinación de la ubicación, tamaño de rastros y distribución óptima de la carne de cerdo en el Estado de México; </w:t>
      </w:r>
      <w:r>
        <w:rPr>
          <w:i/>
        </w:rPr>
        <w:t>Caamal, Pat y </w:t>
      </w:r>
      <w:r>
        <w:rPr>
          <w:i/>
        </w:rPr>
        <w:t>Martínez </w:t>
      </w:r>
      <w:r>
        <w:rPr/>
        <w:t>presentan su investigación sobre el análisis de la producción del cultivo de sorgo en México y estado de Oaxaca, </w:t>
      </w:r>
      <w:r>
        <w:rPr>
          <w:i/>
        </w:rPr>
        <w:t>Gómez y Gómez</w:t>
      </w:r>
      <w:r>
        <w:rPr/>
        <w:t>, esboza sobre el huerto familiar orgánico, diversificado y agroecológico: la experiencia del Módulo Jurásico en Chapingo, Estado de México, </w:t>
      </w:r>
      <w:r>
        <w:rPr>
          <w:i/>
        </w:rPr>
        <w:t>De la Rosa y Narváez </w:t>
      </w:r>
      <w:r>
        <w:rPr/>
        <w:t>presentan sobre la rentabilidad y ventaja comparativa de la producción del cultivo de aceituna (olea europea) en Caborca, Sonora, México, 2014; </w:t>
      </w:r>
      <w:r>
        <w:rPr>
          <w:i/>
        </w:rPr>
        <w:t>Gómez, </w:t>
      </w:r>
      <w:r>
        <w:rPr/>
        <w:t>acota sobre la producción y comercio internacional de la Gladiola mexicana, </w:t>
      </w:r>
      <w:r>
        <w:rPr>
          <w:i/>
        </w:rPr>
        <w:t>Rosales, Gómez, Gómez y </w:t>
      </w:r>
      <w:r>
        <w:rPr>
          <w:i/>
        </w:rPr>
        <w:t>Schwentesisus</w:t>
      </w:r>
      <w:r>
        <w:rPr/>
        <w:t>, esbozan sobre Sistematización de la propuesta de desarrollo rural integral en tres comunidades Loxichas del Distrito de Pochutla, Oaxaca, </w:t>
      </w:r>
      <w:r>
        <w:rPr>
          <w:i/>
        </w:rPr>
        <w:t>Salinas y Tavera </w:t>
      </w:r>
      <w:r>
        <w:rPr/>
        <w:t>presentan los paradigmas de la agricultura; </w:t>
      </w:r>
      <w:r>
        <w:rPr>
          <w:i/>
        </w:rPr>
        <w:t>Castellanos </w:t>
      </w:r>
      <w:r>
        <w:rPr/>
        <w:t>acota sobre la conformación territorial Chichimeca en el centro  oriente del altiplano mexicano en el</w:t>
      </w:r>
      <w:r>
        <w:rPr>
          <w:spacing w:val="-5"/>
        </w:rPr>
        <w:t> </w:t>
      </w:r>
      <w:r>
        <w:rPr/>
        <w:t>posclásico.</w:t>
      </w:r>
    </w:p>
    <w:p>
      <w:pPr>
        <w:spacing w:after="0" w:line="276" w:lineRule="auto"/>
        <w:jc w:val="both"/>
        <w:sectPr>
          <w:pgSz w:w="11910" w:h="16840"/>
          <w:pgMar w:top="1360" w:bottom="280" w:left="1020" w:right="1020"/>
        </w:sectPr>
      </w:pPr>
    </w:p>
    <w:p>
      <w:pPr>
        <w:pStyle w:val="BodyText"/>
        <w:spacing w:before="42"/>
        <w:ind w:left="112" w:right="111"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6980" w:right="112" w:firstLine="566"/>
        <w:jc w:val="right"/>
        <w:rPr>
          <w:i/>
          <w:sz w:val="24"/>
        </w:rPr>
      </w:pPr>
      <w:r>
        <w:rPr>
          <w:i/>
          <w:sz w:val="24"/>
        </w:rPr>
        <w:t>Pérez-Soto,</w:t>
      </w:r>
      <w:r>
        <w:rPr>
          <w:i/>
          <w:spacing w:val="54"/>
          <w:sz w:val="24"/>
        </w:rPr>
        <w:t> </w:t>
      </w:r>
      <w:r>
        <w:rPr>
          <w:i/>
          <w:sz w:val="24"/>
        </w:rPr>
        <w:t>Francisco</w:t>
      </w:r>
      <w:r>
        <w:rPr>
          <w:i/>
          <w:w w:val="99"/>
          <w:sz w:val="24"/>
        </w:rPr>
        <w:t> </w:t>
      </w:r>
      <w:r>
        <w:rPr>
          <w:i/>
          <w:sz w:val="24"/>
        </w:rPr>
        <w:t>Figueroa-Hernández, Esther</w:t>
      </w:r>
    </w:p>
    <w:p>
      <w:pPr>
        <w:tabs>
          <w:tab w:pos="7114" w:val="left" w:leader="none"/>
        </w:tabs>
        <w:spacing w:before="0"/>
        <w:ind w:left="0" w:right="172" w:firstLine="0"/>
        <w:jc w:val="right"/>
        <w:rPr>
          <w:i/>
          <w:sz w:val="24"/>
        </w:rPr>
      </w:pPr>
      <w:r>
        <w:rPr>
          <w:sz w:val="24"/>
        </w:rPr>
        <w:t>Texcoco de Mora- México.</w:t>
      </w:r>
      <w:r>
        <w:rPr>
          <w:spacing w:val="-2"/>
          <w:sz w:val="24"/>
        </w:rPr>
        <w:t> </w:t>
      </w:r>
      <w:r>
        <w:rPr>
          <w:sz w:val="24"/>
        </w:rPr>
        <w:t>Julio, 2016.</w:t>
        <w:tab/>
      </w:r>
      <w:r>
        <w:rPr>
          <w:i/>
          <w:sz w:val="24"/>
        </w:rPr>
        <w:t>Godínez-Montoya,</w:t>
      </w:r>
      <w:r>
        <w:rPr>
          <w:i/>
          <w:spacing w:val="-4"/>
          <w:sz w:val="24"/>
        </w:rPr>
        <w:t> </w:t>
      </w:r>
      <w:r>
        <w:rPr>
          <w:i/>
          <w:sz w:val="24"/>
        </w:rPr>
        <w:t>Lucila</w:t>
      </w:r>
    </w:p>
    <w:p>
      <w:pPr>
        <w:spacing w:after="0"/>
        <w:jc w:val="right"/>
        <w:rPr>
          <w:sz w:val="24"/>
        </w:rPr>
        <w:sectPr>
          <w:pgSz w:w="11910" w:h="16840"/>
          <w:pgMar w:top="1340" w:bottom="280" w:left="1020" w:right="10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4"/>
        <w:gridCol w:w="1366"/>
      </w:tblGrid>
      <w:tr>
        <w:trPr>
          <w:trHeight w:val="556" w:hRule="exact"/>
        </w:trPr>
        <w:tc>
          <w:tcPr>
            <w:tcW w:w="8584" w:type="dxa"/>
          </w:tcPr>
          <w:p>
            <w:pPr>
              <w:pStyle w:val="TableParagraph"/>
              <w:spacing w:line="407" w:lineRule="exact"/>
              <w:ind w:left="216" w:right="87"/>
              <w:jc w:val="left"/>
              <w:rPr>
                <w:b/>
                <w:sz w:val="40"/>
              </w:rPr>
            </w:pPr>
            <w:r>
              <w:rPr>
                <w:b/>
                <w:sz w:val="40"/>
              </w:rPr>
              <w:t>Contenido</w:t>
            </w:r>
          </w:p>
        </w:tc>
        <w:tc>
          <w:tcPr>
            <w:tcW w:w="1366" w:type="dxa"/>
          </w:tcPr>
          <w:p>
            <w:pPr>
              <w:pStyle w:val="TableParagraph"/>
              <w:spacing w:line="407" w:lineRule="exact"/>
              <w:ind w:left="107" w:right="0"/>
              <w:jc w:val="left"/>
              <w:rPr>
                <w:b/>
                <w:sz w:val="40"/>
              </w:rPr>
            </w:pPr>
            <w:r>
              <w:rPr>
                <w:b/>
                <w:sz w:val="40"/>
              </w:rPr>
              <w:t>Pág.</w:t>
            </w:r>
          </w:p>
        </w:tc>
      </w:tr>
      <w:tr>
        <w:trPr>
          <w:trHeight w:val="827" w:hRule="exact"/>
        </w:trPr>
        <w:tc>
          <w:tcPr>
            <w:tcW w:w="8584" w:type="dxa"/>
          </w:tcPr>
          <w:p>
            <w:pPr>
              <w:pStyle w:val="TableParagraph"/>
              <w:spacing w:line="274" w:lineRule="exact" w:before="126"/>
              <w:ind w:left="216" w:right="87"/>
              <w:jc w:val="left"/>
              <w:rPr>
                <w:b/>
                <w:sz w:val="24"/>
              </w:rPr>
            </w:pPr>
            <w:r>
              <w:rPr>
                <w:b/>
                <w:sz w:val="24"/>
              </w:rPr>
              <w:t>1 La agricultura por contrato: berries en Jalisco</w:t>
            </w:r>
          </w:p>
          <w:p>
            <w:pPr>
              <w:pStyle w:val="TableParagraph"/>
              <w:spacing w:line="274" w:lineRule="exact"/>
              <w:ind w:left="216" w:right="87"/>
              <w:jc w:val="left"/>
              <w:rPr>
                <w:i/>
                <w:sz w:val="24"/>
              </w:rPr>
            </w:pPr>
            <w:r>
              <w:rPr>
                <w:i/>
                <w:sz w:val="24"/>
              </w:rPr>
              <w:t>CIH, Imelda Rosana, MORENO Arturo y SANDOVAL José Alfredo</w:t>
            </w:r>
          </w:p>
        </w:tc>
        <w:tc>
          <w:tcPr>
            <w:tcW w:w="1366" w:type="dxa"/>
          </w:tcPr>
          <w:p>
            <w:pPr>
              <w:pStyle w:val="TableParagraph"/>
              <w:spacing w:line="240" w:lineRule="auto" w:before="121"/>
              <w:ind w:right="198"/>
              <w:rPr>
                <w:sz w:val="24"/>
              </w:rPr>
            </w:pPr>
            <w:r>
              <w:rPr>
                <w:sz w:val="24"/>
              </w:rPr>
              <w:t>1-11</w:t>
            </w:r>
          </w:p>
        </w:tc>
      </w:tr>
      <w:tr>
        <w:trPr>
          <w:trHeight w:val="1104" w:hRule="exact"/>
        </w:trPr>
        <w:tc>
          <w:tcPr>
            <w:tcW w:w="8584" w:type="dxa"/>
          </w:tcPr>
          <w:p>
            <w:pPr>
              <w:pStyle w:val="TableParagraph"/>
              <w:spacing w:line="240" w:lineRule="auto" w:before="127"/>
              <w:ind w:left="216" w:right="87"/>
              <w:jc w:val="left"/>
              <w:rPr>
                <w:b/>
                <w:sz w:val="24"/>
              </w:rPr>
            </w:pPr>
            <w:r>
              <w:rPr>
                <w:b/>
                <w:sz w:val="24"/>
              </w:rPr>
              <w:t>2 Situación actual de las unidades de manejo ambiental en la Reserva de la Biosfera de la Sierra de Huahutla, Morelos</w:t>
            </w:r>
          </w:p>
          <w:p>
            <w:pPr>
              <w:pStyle w:val="TableParagraph"/>
              <w:spacing w:line="271" w:lineRule="exact"/>
              <w:ind w:left="216" w:right="87"/>
              <w:jc w:val="left"/>
              <w:rPr>
                <w:i/>
                <w:sz w:val="24"/>
              </w:rPr>
            </w:pPr>
            <w:r>
              <w:rPr>
                <w:i/>
                <w:sz w:val="24"/>
              </w:rPr>
              <w:t>PÉREZ-SOTO, Ma. Teresa, ALPUCHE-GARCÉS, Oscar y PÉREZ-SOTO, Francisco</w:t>
            </w:r>
          </w:p>
        </w:tc>
        <w:tc>
          <w:tcPr>
            <w:tcW w:w="1366" w:type="dxa"/>
          </w:tcPr>
          <w:p>
            <w:pPr>
              <w:pStyle w:val="TableParagraph"/>
              <w:spacing w:line="240" w:lineRule="auto" w:before="122"/>
              <w:ind w:right="198"/>
              <w:rPr>
                <w:sz w:val="24"/>
              </w:rPr>
            </w:pPr>
            <w:r>
              <w:rPr>
                <w:sz w:val="24"/>
              </w:rPr>
              <w:t>12-19</w:t>
            </w:r>
          </w:p>
        </w:tc>
      </w:tr>
      <w:tr>
        <w:trPr>
          <w:trHeight w:val="1380" w:hRule="exact"/>
        </w:trPr>
        <w:tc>
          <w:tcPr>
            <w:tcW w:w="8584" w:type="dxa"/>
          </w:tcPr>
          <w:p>
            <w:pPr>
              <w:pStyle w:val="TableParagraph"/>
              <w:spacing w:line="240" w:lineRule="auto" w:before="127"/>
              <w:ind w:left="216" w:right="87"/>
              <w:jc w:val="left"/>
              <w:rPr>
                <w:b/>
                <w:sz w:val="24"/>
              </w:rPr>
            </w:pPr>
            <w:r>
              <w:rPr>
                <w:b/>
                <w:sz w:val="24"/>
              </w:rPr>
              <w:t>3 Evaluación financiera de la producción trucha arco iris (</w:t>
            </w:r>
            <w:r>
              <w:rPr>
                <w:b/>
                <w:i/>
                <w:sz w:val="24"/>
              </w:rPr>
              <w:t>Oncorhynchus </w:t>
            </w:r>
            <w:r>
              <w:rPr>
                <w:b/>
                <w:i/>
                <w:sz w:val="24"/>
              </w:rPr>
              <w:t>Mykiss</w:t>
            </w:r>
            <w:r>
              <w:rPr>
                <w:b/>
                <w:sz w:val="24"/>
              </w:rPr>
              <w:t>): Análisis del agronegocio SPR de RL “Pucuato”</w:t>
            </w:r>
          </w:p>
          <w:p>
            <w:pPr>
              <w:pStyle w:val="TableParagraph"/>
              <w:tabs>
                <w:tab w:pos="2395" w:val="left" w:leader="none"/>
                <w:tab w:pos="2772" w:val="left" w:leader="none"/>
                <w:tab w:pos="3710" w:val="left" w:leader="none"/>
                <w:tab w:pos="6181" w:val="left" w:leader="none"/>
                <w:tab w:pos="7074" w:val="left" w:leader="none"/>
                <w:tab w:pos="7393" w:val="left" w:leader="none"/>
              </w:tabs>
              <w:spacing w:line="271" w:lineRule="exact"/>
              <w:ind w:left="216" w:right="0"/>
              <w:jc w:val="left"/>
              <w:rPr>
                <w:i/>
                <w:sz w:val="24"/>
              </w:rPr>
            </w:pPr>
            <w:r>
              <w:rPr>
                <w:i/>
                <w:sz w:val="24"/>
              </w:rPr>
              <w:t>GONZÁLEZ-ELÍAS,</w:t>
              <w:tab/>
              <w:t>J.</w:t>
              <w:tab/>
              <w:t>Martín,</w:t>
              <w:tab/>
              <w:t>ARREGUÍN-SÁMANO,</w:t>
              <w:tab/>
              <w:t>Moisés</w:t>
              <w:tab/>
              <w:t>y</w:t>
              <w:tab/>
              <w:t>RAMÍREZ-</w:t>
            </w:r>
          </w:p>
          <w:p>
            <w:pPr>
              <w:pStyle w:val="TableParagraph"/>
              <w:spacing w:line="240" w:lineRule="auto"/>
              <w:ind w:left="216" w:right="87"/>
              <w:jc w:val="left"/>
              <w:rPr>
                <w:i/>
                <w:sz w:val="24"/>
              </w:rPr>
            </w:pPr>
            <w:r>
              <w:rPr>
                <w:i/>
                <w:sz w:val="24"/>
              </w:rPr>
              <w:t>ABARCA, Orsohe</w:t>
            </w:r>
          </w:p>
        </w:tc>
        <w:tc>
          <w:tcPr>
            <w:tcW w:w="1366" w:type="dxa"/>
          </w:tcPr>
          <w:p>
            <w:pPr>
              <w:pStyle w:val="TableParagraph"/>
              <w:spacing w:line="240" w:lineRule="auto" w:before="122"/>
              <w:ind w:right="198"/>
              <w:rPr>
                <w:sz w:val="24"/>
              </w:rPr>
            </w:pPr>
            <w:r>
              <w:rPr>
                <w:sz w:val="24"/>
              </w:rPr>
              <w:t>20-32</w:t>
            </w:r>
          </w:p>
        </w:tc>
      </w:tr>
      <w:tr>
        <w:trPr>
          <w:trHeight w:val="1105" w:hRule="exact"/>
        </w:trPr>
        <w:tc>
          <w:tcPr>
            <w:tcW w:w="8584" w:type="dxa"/>
          </w:tcPr>
          <w:p>
            <w:pPr>
              <w:pStyle w:val="TableParagraph"/>
              <w:spacing w:line="274" w:lineRule="exact" w:before="127"/>
              <w:ind w:left="216" w:right="87"/>
              <w:jc w:val="left"/>
              <w:rPr>
                <w:b/>
                <w:sz w:val="24"/>
              </w:rPr>
            </w:pPr>
            <w:r>
              <w:rPr>
                <w:b/>
                <w:sz w:val="24"/>
              </w:rPr>
              <w:t>4  El mercado de café en México</w:t>
            </w:r>
          </w:p>
          <w:p>
            <w:pPr>
              <w:pStyle w:val="TableParagraph"/>
              <w:tabs>
                <w:tab w:pos="3184" w:val="left" w:leader="none"/>
                <w:tab w:pos="4125" w:val="left" w:leader="none"/>
                <w:tab w:pos="5843" w:val="left" w:leader="none"/>
                <w:tab w:pos="7071" w:val="left" w:leader="none"/>
                <w:tab w:pos="7433" w:val="left" w:leader="none"/>
              </w:tabs>
              <w:spacing w:line="274" w:lineRule="exact"/>
              <w:ind w:left="216" w:right="0"/>
              <w:jc w:val="left"/>
              <w:rPr>
                <w:i/>
                <w:sz w:val="24"/>
              </w:rPr>
            </w:pPr>
            <w:r>
              <w:rPr>
                <w:i/>
                <w:sz w:val="24"/>
              </w:rPr>
              <w:t>FIGUEROA-HERNÁNDEZ,</w:t>
              <w:tab/>
              <w:t>Esther,</w:t>
              <w:tab/>
              <w:t>PÉREZ-SOTO,</w:t>
              <w:tab/>
              <w:t>Francisco</w:t>
              <w:tab/>
              <w:t>y</w:t>
              <w:tab/>
              <w:t>GODÍNEZ</w:t>
            </w:r>
          </w:p>
          <w:p>
            <w:pPr>
              <w:pStyle w:val="TableParagraph"/>
              <w:spacing w:line="240" w:lineRule="auto"/>
              <w:ind w:left="216" w:right="87"/>
              <w:jc w:val="left"/>
              <w:rPr>
                <w:i/>
                <w:sz w:val="24"/>
              </w:rPr>
            </w:pPr>
            <w:r>
              <w:rPr>
                <w:i/>
                <w:sz w:val="24"/>
              </w:rPr>
              <w:t>MONTOYA, Lucila</w:t>
            </w:r>
          </w:p>
        </w:tc>
        <w:tc>
          <w:tcPr>
            <w:tcW w:w="1366" w:type="dxa"/>
          </w:tcPr>
          <w:p>
            <w:pPr>
              <w:pStyle w:val="TableParagraph"/>
              <w:spacing w:line="240" w:lineRule="auto" w:before="122"/>
              <w:ind w:right="198"/>
              <w:rPr>
                <w:sz w:val="24"/>
              </w:rPr>
            </w:pPr>
            <w:r>
              <w:rPr>
                <w:sz w:val="24"/>
              </w:rPr>
              <w:t>33-50</w:t>
            </w:r>
          </w:p>
        </w:tc>
      </w:tr>
      <w:tr>
        <w:trPr>
          <w:trHeight w:val="1380" w:hRule="exact"/>
        </w:trPr>
        <w:tc>
          <w:tcPr>
            <w:tcW w:w="8584" w:type="dxa"/>
          </w:tcPr>
          <w:p>
            <w:pPr>
              <w:pStyle w:val="TableParagraph"/>
              <w:spacing w:line="240" w:lineRule="auto" w:before="127"/>
              <w:ind w:left="216" w:right="87"/>
              <w:jc w:val="left"/>
              <w:rPr>
                <w:b/>
                <w:sz w:val="24"/>
              </w:rPr>
            </w:pPr>
            <w:r>
              <w:rPr>
                <w:b/>
                <w:sz w:val="24"/>
              </w:rPr>
              <w:t>5 Análisis técnico y económico de la producción de tomate verde en el oriente del Estado de México</w:t>
            </w:r>
          </w:p>
          <w:p>
            <w:pPr>
              <w:pStyle w:val="TableParagraph"/>
              <w:spacing w:line="271" w:lineRule="exact"/>
              <w:ind w:left="216" w:right="87"/>
              <w:jc w:val="left"/>
              <w:rPr>
                <w:i/>
                <w:sz w:val="24"/>
              </w:rPr>
            </w:pPr>
            <w:r>
              <w:rPr>
                <w:i/>
                <w:sz w:val="24"/>
              </w:rPr>
              <w:t>PAT-FERNÁNDEZ,  Verna  Gricel,  CAAMAL-CAUICH,  Ignacio  y  CAAMAL-PAT,</w:t>
            </w:r>
          </w:p>
          <w:p>
            <w:pPr>
              <w:pStyle w:val="TableParagraph"/>
              <w:spacing w:line="240" w:lineRule="auto"/>
              <w:ind w:left="216" w:right="87"/>
              <w:jc w:val="left"/>
              <w:rPr>
                <w:i/>
                <w:sz w:val="24"/>
              </w:rPr>
            </w:pPr>
            <w:r>
              <w:rPr>
                <w:i/>
                <w:sz w:val="24"/>
              </w:rPr>
              <w:t>Zulia Helena</w:t>
            </w:r>
          </w:p>
        </w:tc>
        <w:tc>
          <w:tcPr>
            <w:tcW w:w="1366" w:type="dxa"/>
          </w:tcPr>
          <w:p>
            <w:pPr>
              <w:pStyle w:val="TableParagraph"/>
              <w:spacing w:line="240" w:lineRule="auto" w:before="122"/>
              <w:ind w:right="198"/>
              <w:rPr>
                <w:sz w:val="24"/>
              </w:rPr>
            </w:pPr>
            <w:r>
              <w:rPr>
                <w:sz w:val="24"/>
              </w:rPr>
              <w:t>51-61</w:t>
            </w:r>
          </w:p>
        </w:tc>
      </w:tr>
      <w:tr>
        <w:trPr>
          <w:trHeight w:val="1104" w:hRule="exact"/>
        </w:trPr>
        <w:tc>
          <w:tcPr>
            <w:tcW w:w="8584" w:type="dxa"/>
          </w:tcPr>
          <w:p>
            <w:pPr>
              <w:pStyle w:val="TableParagraph"/>
              <w:spacing w:line="240" w:lineRule="auto" w:before="127"/>
              <w:ind w:left="216" w:right="87"/>
              <w:jc w:val="left"/>
              <w:rPr>
                <w:b/>
                <w:sz w:val="24"/>
              </w:rPr>
            </w:pPr>
            <w:r>
              <w:rPr>
                <w:b/>
                <w:sz w:val="24"/>
              </w:rPr>
              <w:t>6 Competitividad de la cebolla mexicana frente a Canadá y Perú en el mercado estadounidense</w:t>
            </w:r>
          </w:p>
          <w:p>
            <w:pPr>
              <w:pStyle w:val="TableParagraph"/>
              <w:spacing w:line="271" w:lineRule="exact"/>
              <w:ind w:left="216" w:right="87"/>
              <w:jc w:val="left"/>
              <w:rPr>
                <w:i/>
                <w:sz w:val="24"/>
              </w:rPr>
            </w:pPr>
            <w:r>
              <w:rPr>
                <w:i/>
                <w:sz w:val="24"/>
              </w:rPr>
              <w:t>VALENCIA-SANDOVAL, Karina y ZETINA-ESPINOSA, Ana Mónica</w:t>
            </w:r>
          </w:p>
        </w:tc>
        <w:tc>
          <w:tcPr>
            <w:tcW w:w="1366" w:type="dxa"/>
          </w:tcPr>
          <w:p>
            <w:pPr>
              <w:pStyle w:val="TableParagraph"/>
              <w:spacing w:line="240" w:lineRule="auto" w:before="122"/>
              <w:ind w:right="198"/>
              <w:rPr>
                <w:sz w:val="24"/>
              </w:rPr>
            </w:pPr>
            <w:r>
              <w:rPr>
                <w:sz w:val="24"/>
              </w:rPr>
              <w:t>62-73</w:t>
            </w:r>
          </w:p>
        </w:tc>
      </w:tr>
      <w:tr>
        <w:trPr>
          <w:trHeight w:val="1104" w:hRule="exact"/>
        </w:trPr>
        <w:tc>
          <w:tcPr>
            <w:tcW w:w="8584" w:type="dxa"/>
          </w:tcPr>
          <w:p>
            <w:pPr>
              <w:pStyle w:val="TableParagraph"/>
              <w:spacing w:line="274" w:lineRule="exact" w:before="127"/>
              <w:ind w:left="216" w:right="87"/>
              <w:jc w:val="left"/>
              <w:rPr>
                <w:b/>
                <w:sz w:val="24"/>
              </w:rPr>
            </w:pPr>
            <w:r>
              <w:rPr>
                <w:b/>
                <w:sz w:val="24"/>
              </w:rPr>
              <w:t>7  Los migrantes agricolas y el desarrollo social en Mexico</w:t>
            </w:r>
          </w:p>
          <w:p>
            <w:pPr>
              <w:pStyle w:val="TableParagraph"/>
              <w:tabs>
                <w:tab w:pos="1916" w:val="left" w:leader="none"/>
                <w:tab w:pos="3187" w:val="left" w:leader="none"/>
                <w:tab w:pos="6142" w:val="left" w:leader="none"/>
                <w:tab w:pos="7008" w:val="left" w:leader="none"/>
                <w:tab w:pos="7354" w:val="left" w:leader="none"/>
              </w:tabs>
              <w:spacing w:line="274" w:lineRule="exact"/>
              <w:ind w:left="216" w:right="0"/>
              <w:jc w:val="left"/>
              <w:rPr>
                <w:i/>
                <w:sz w:val="24"/>
              </w:rPr>
            </w:pPr>
            <w:r>
              <w:rPr>
                <w:i/>
                <w:sz w:val="24"/>
              </w:rPr>
              <w:t>PÉREZ-SOTO,</w:t>
              <w:tab/>
              <w:t>Francisco,</w:t>
              <w:tab/>
              <w:t>FIGUEROA-HERNÁNDEZ,</w:t>
              <w:tab/>
              <w:t>Esther</w:t>
              <w:tab/>
              <w:t>y</w:t>
              <w:tab/>
              <w:t>GODÍNEZ-</w:t>
            </w:r>
          </w:p>
          <w:p>
            <w:pPr>
              <w:pStyle w:val="TableParagraph"/>
              <w:spacing w:line="240" w:lineRule="auto"/>
              <w:ind w:left="216" w:right="87"/>
              <w:jc w:val="left"/>
              <w:rPr>
                <w:i/>
                <w:sz w:val="24"/>
              </w:rPr>
            </w:pPr>
            <w:r>
              <w:rPr>
                <w:i/>
                <w:sz w:val="24"/>
              </w:rPr>
              <w:t>MONTOYA,</w:t>
            </w:r>
            <w:r>
              <w:rPr>
                <w:i/>
                <w:spacing w:val="56"/>
                <w:sz w:val="24"/>
              </w:rPr>
              <w:t> </w:t>
            </w:r>
            <w:r>
              <w:rPr>
                <w:i/>
                <w:sz w:val="24"/>
              </w:rPr>
              <w:t>Lucila</w:t>
            </w:r>
          </w:p>
        </w:tc>
        <w:tc>
          <w:tcPr>
            <w:tcW w:w="1366" w:type="dxa"/>
          </w:tcPr>
          <w:p>
            <w:pPr>
              <w:pStyle w:val="TableParagraph"/>
              <w:spacing w:line="240" w:lineRule="auto" w:before="122"/>
              <w:ind w:right="198"/>
              <w:rPr>
                <w:sz w:val="24"/>
              </w:rPr>
            </w:pPr>
            <w:r>
              <w:rPr>
                <w:sz w:val="24"/>
              </w:rPr>
              <w:t>74-88</w:t>
            </w:r>
          </w:p>
        </w:tc>
      </w:tr>
      <w:tr>
        <w:trPr>
          <w:trHeight w:val="1104" w:hRule="exact"/>
        </w:trPr>
        <w:tc>
          <w:tcPr>
            <w:tcW w:w="8584" w:type="dxa"/>
          </w:tcPr>
          <w:p>
            <w:pPr>
              <w:pStyle w:val="TableParagraph"/>
              <w:spacing w:line="274" w:lineRule="exact" w:before="127"/>
              <w:ind w:left="216" w:right="87"/>
              <w:jc w:val="left"/>
              <w:rPr>
                <w:b/>
                <w:sz w:val="24"/>
              </w:rPr>
            </w:pPr>
            <w:r>
              <w:rPr>
                <w:b/>
                <w:sz w:val="24"/>
              </w:rPr>
              <w:t>8  Importancia de la comercialización del café en México</w:t>
            </w:r>
          </w:p>
          <w:p>
            <w:pPr>
              <w:pStyle w:val="TableParagraph"/>
              <w:tabs>
                <w:tab w:pos="3242" w:val="left" w:leader="none"/>
                <w:tab w:pos="4240" w:val="left" w:leader="none"/>
                <w:tab w:pos="6011" w:val="left" w:leader="none"/>
                <w:tab w:pos="7354" w:val="left" w:leader="none"/>
              </w:tabs>
              <w:spacing w:line="274" w:lineRule="exact"/>
              <w:ind w:left="216" w:right="0"/>
              <w:jc w:val="left"/>
              <w:rPr>
                <w:i/>
                <w:sz w:val="24"/>
              </w:rPr>
            </w:pPr>
            <w:r>
              <w:rPr>
                <w:i/>
                <w:sz w:val="24"/>
              </w:rPr>
              <w:t>FIGUEROA-HERNÁNDEZ,</w:t>
              <w:tab/>
              <w:t>Esther,</w:t>
              <w:tab/>
              <w:t>PÉREZ-SOTO,</w:t>
              <w:tab/>
              <w:t>Francisco,</w:t>
              <w:tab/>
              <w:t>GODÍNEZ-</w:t>
            </w:r>
          </w:p>
          <w:p>
            <w:pPr>
              <w:pStyle w:val="TableParagraph"/>
              <w:spacing w:line="240" w:lineRule="auto"/>
              <w:ind w:left="216" w:right="87"/>
              <w:jc w:val="left"/>
              <w:rPr>
                <w:i/>
                <w:sz w:val="24"/>
              </w:rPr>
            </w:pPr>
            <w:r>
              <w:rPr>
                <w:i/>
                <w:sz w:val="24"/>
              </w:rPr>
              <w:t>MONTOYA, Lucila</w:t>
            </w:r>
          </w:p>
        </w:tc>
        <w:tc>
          <w:tcPr>
            <w:tcW w:w="1366" w:type="dxa"/>
          </w:tcPr>
          <w:p>
            <w:pPr>
              <w:pStyle w:val="TableParagraph"/>
              <w:spacing w:line="240" w:lineRule="auto" w:before="122"/>
              <w:ind w:right="198"/>
              <w:rPr>
                <w:sz w:val="24"/>
              </w:rPr>
            </w:pPr>
            <w:r>
              <w:rPr>
                <w:sz w:val="24"/>
              </w:rPr>
              <w:t>89-108</w:t>
            </w:r>
          </w:p>
        </w:tc>
      </w:tr>
      <w:tr>
        <w:trPr>
          <w:trHeight w:val="1380" w:hRule="exact"/>
        </w:trPr>
        <w:tc>
          <w:tcPr>
            <w:tcW w:w="8584" w:type="dxa"/>
          </w:tcPr>
          <w:p>
            <w:pPr>
              <w:pStyle w:val="TableParagraph"/>
              <w:spacing w:line="240" w:lineRule="auto" w:before="127"/>
              <w:ind w:left="216" w:right="87"/>
              <w:jc w:val="left"/>
              <w:rPr>
                <w:b/>
                <w:sz w:val="24"/>
              </w:rPr>
            </w:pPr>
            <w:r>
              <w:rPr>
                <w:b/>
                <w:sz w:val="24"/>
              </w:rPr>
              <w:t>9 Determinación de la ubicación, tamaño de rastros y distribución óptima de la carne de cerdo en el Estado de México</w:t>
            </w:r>
          </w:p>
          <w:p>
            <w:pPr>
              <w:pStyle w:val="TableParagraph"/>
              <w:spacing w:line="271" w:lineRule="exact"/>
              <w:ind w:left="200" w:right="87"/>
              <w:jc w:val="left"/>
              <w:rPr>
                <w:i/>
                <w:sz w:val="24"/>
              </w:rPr>
            </w:pPr>
            <w:r>
              <w:rPr>
                <w:i/>
                <w:sz w:val="24"/>
              </w:rPr>
              <w:t>VELÁZQUEZ-VILLALVA, Héctor Hugo, GÓMEZ-TENORIO, Germán,  REBOLLAR-</w:t>
            </w:r>
          </w:p>
          <w:p>
            <w:pPr>
              <w:pStyle w:val="TableParagraph"/>
              <w:spacing w:line="240" w:lineRule="auto"/>
              <w:ind w:left="216" w:right="87"/>
              <w:jc w:val="left"/>
              <w:rPr>
                <w:i/>
                <w:sz w:val="24"/>
              </w:rPr>
            </w:pPr>
            <w:r>
              <w:rPr>
                <w:i/>
                <w:sz w:val="24"/>
              </w:rPr>
              <w:t>REBOLLAR, Samuel y MARTÍNEZ-CASTAÑEDA, Francisco Ernesto</w:t>
            </w:r>
          </w:p>
        </w:tc>
        <w:tc>
          <w:tcPr>
            <w:tcW w:w="1366" w:type="dxa"/>
          </w:tcPr>
          <w:p>
            <w:pPr>
              <w:pStyle w:val="TableParagraph"/>
              <w:spacing w:line="240" w:lineRule="auto" w:before="122"/>
              <w:ind w:right="198"/>
              <w:rPr>
                <w:sz w:val="24"/>
              </w:rPr>
            </w:pPr>
            <w:r>
              <w:rPr>
                <w:sz w:val="24"/>
              </w:rPr>
              <w:t>109-118</w:t>
            </w:r>
          </w:p>
        </w:tc>
      </w:tr>
      <w:tr>
        <w:trPr>
          <w:trHeight w:val="1102" w:hRule="exact"/>
        </w:trPr>
        <w:tc>
          <w:tcPr>
            <w:tcW w:w="8584" w:type="dxa"/>
          </w:tcPr>
          <w:p>
            <w:pPr>
              <w:pStyle w:val="TableParagraph"/>
              <w:spacing w:line="274" w:lineRule="exact" w:before="127"/>
              <w:ind w:left="216" w:right="87"/>
              <w:jc w:val="left"/>
              <w:rPr>
                <w:b/>
                <w:sz w:val="24"/>
              </w:rPr>
            </w:pPr>
            <w:r>
              <w:rPr>
                <w:b/>
                <w:sz w:val="24"/>
              </w:rPr>
              <w:t>10  Análisis de la producción del cultivo de sorgo en México y estado de Oaxaca</w:t>
            </w:r>
          </w:p>
          <w:p>
            <w:pPr>
              <w:pStyle w:val="TableParagraph"/>
              <w:spacing w:line="273" w:lineRule="exact"/>
              <w:ind w:left="200" w:right="0"/>
              <w:jc w:val="left"/>
              <w:rPr>
                <w:i/>
                <w:sz w:val="24"/>
              </w:rPr>
            </w:pPr>
            <w:r>
              <w:rPr>
                <w:i/>
                <w:sz w:val="24"/>
              </w:rPr>
              <w:t>CAAMAL-CAUICH, Ignacio , PAT-FERNÁNDEZ,Verna Gricel y </w:t>
            </w:r>
            <w:r>
              <w:rPr>
                <w:i/>
                <w:spacing w:val="56"/>
                <w:sz w:val="24"/>
              </w:rPr>
              <w:t> </w:t>
            </w:r>
            <w:r>
              <w:rPr>
                <w:i/>
                <w:sz w:val="24"/>
              </w:rPr>
              <w:t>MARTÍNEZ-LUIS,</w:t>
            </w:r>
          </w:p>
          <w:p>
            <w:pPr>
              <w:pStyle w:val="TableParagraph"/>
              <w:spacing w:line="275" w:lineRule="exact"/>
              <w:ind w:left="216" w:right="87"/>
              <w:jc w:val="left"/>
              <w:rPr>
                <w:i/>
                <w:sz w:val="24"/>
              </w:rPr>
            </w:pPr>
            <w:r>
              <w:rPr>
                <w:i/>
                <w:sz w:val="24"/>
              </w:rPr>
              <w:t>David</w:t>
            </w:r>
          </w:p>
        </w:tc>
        <w:tc>
          <w:tcPr>
            <w:tcW w:w="1366" w:type="dxa"/>
          </w:tcPr>
          <w:p>
            <w:pPr>
              <w:pStyle w:val="TableParagraph"/>
              <w:spacing w:line="240" w:lineRule="auto" w:before="122"/>
              <w:ind w:right="198"/>
              <w:rPr>
                <w:sz w:val="24"/>
              </w:rPr>
            </w:pPr>
            <w:r>
              <w:rPr>
                <w:sz w:val="24"/>
              </w:rPr>
              <w:t>119-130</w:t>
            </w:r>
          </w:p>
        </w:tc>
      </w:tr>
      <w:tr>
        <w:trPr>
          <w:trHeight w:val="1104" w:hRule="exact"/>
        </w:trPr>
        <w:tc>
          <w:tcPr>
            <w:tcW w:w="8584" w:type="dxa"/>
          </w:tcPr>
          <w:p>
            <w:pPr>
              <w:pStyle w:val="TableParagraph"/>
              <w:tabs>
                <w:tab w:pos="704" w:val="left" w:leader="none"/>
              </w:tabs>
              <w:spacing w:line="240" w:lineRule="auto" w:before="127"/>
              <w:ind w:left="216" w:right="108"/>
              <w:jc w:val="left"/>
              <w:rPr>
                <w:b/>
                <w:sz w:val="24"/>
              </w:rPr>
            </w:pPr>
            <w:r>
              <w:rPr>
                <w:b/>
                <w:sz w:val="24"/>
              </w:rPr>
              <w:t>11</w:t>
              <w:tab/>
              <w:t>El huerto familiar orgánico, diversificado y agroecológico:   </w:t>
            </w:r>
            <w:r>
              <w:rPr>
                <w:b/>
                <w:spacing w:val="10"/>
                <w:sz w:val="24"/>
              </w:rPr>
              <w:t> </w:t>
            </w:r>
            <w:r>
              <w:rPr>
                <w:b/>
                <w:sz w:val="24"/>
              </w:rPr>
              <w:t>La</w:t>
            </w:r>
            <w:r>
              <w:rPr>
                <w:b/>
                <w:spacing w:val="26"/>
                <w:sz w:val="24"/>
              </w:rPr>
              <w:t> </w:t>
            </w:r>
            <w:r>
              <w:rPr>
                <w:b/>
                <w:sz w:val="24"/>
              </w:rPr>
              <w:t>experiencia</w:t>
            </w:r>
            <w:r>
              <w:rPr>
                <w:b/>
                <w:w w:val="99"/>
                <w:sz w:val="24"/>
              </w:rPr>
              <w:t> </w:t>
            </w:r>
            <w:r>
              <w:rPr>
                <w:b/>
                <w:sz w:val="24"/>
              </w:rPr>
              <w:t>del módulo jurásico en Chapingo, estado de</w:t>
            </w:r>
            <w:r>
              <w:rPr>
                <w:b/>
                <w:spacing w:val="-5"/>
                <w:sz w:val="24"/>
              </w:rPr>
              <w:t> </w:t>
            </w:r>
            <w:r>
              <w:rPr>
                <w:b/>
                <w:sz w:val="24"/>
              </w:rPr>
              <w:t>México</w:t>
            </w:r>
          </w:p>
          <w:p>
            <w:pPr>
              <w:pStyle w:val="TableParagraph"/>
              <w:spacing w:line="271" w:lineRule="exact"/>
              <w:ind w:left="200" w:right="87"/>
              <w:jc w:val="left"/>
              <w:rPr>
                <w:i/>
                <w:sz w:val="24"/>
              </w:rPr>
            </w:pPr>
            <w:r>
              <w:rPr>
                <w:i/>
                <w:sz w:val="24"/>
              </w:rPr>
              <w:t>GÓMEZ-TOVAR , Laura y GÓMEZ-CRUZ , Manuel Ángel</w:t>
            </w:r>
          </w:p>
        </w:tc>
        <w:tc>
          <w:tcPr>
            <w:tcW w:w="1366" w:type="dxa"/>
          </w:tcPr>
          <w:p>
            <w:pPr>
              <w:pStyle w:val="TableParagraph"/>
              <w:spacing w:line="240" w:lineRule="auto" w:before="122"/>
              <w:ind w:right="198"/>
              <w:rPr>
                <w:sz w:val="24"/>
              </w:rPr>
            </w:pPr>
            <w:r>
              <w:rPr>
                <w:sz w:val="24"/>
              </w:rPr>
              <w:t>131-140</w:t>
            </w:r>
          </w:p>
        </w:tc>
      </w:tr>
      <w:tr>
        <w:trPr>
          <w:trHeight w:val="948" w:hRule="exact"/>
        </w:trPr>
        <w:tc>
          <w:tcPr>
            <w:tcW w:w="8584" w:type="dxa"/>
          </w:tcPr>
          <w:p>
            <w:pPr>
              <w:pStyle w:val="TableParagraph"/>
              <w:tabs>
                <w:tab w:pos="668" w:val="left" w:leader="none"/>
              </w:tabs>
              <w:spacing w:line="240" w:lineRule="auto" w:before="127"/>
              <w:ind w:left="216" w:right="111"/>
              <w:jc w:val="left"/>
              <w:rPr>
                <w:b/>
                <w:sz w:val="24"/>
              </w:rPr>
            </w:pPr>
            <w:r>
              <w:rPr>
                <w:b/>
                <w:sz w:val="24"/>
              </w:rPr>
              <w:t>12</w:t>
              <w:tab/>
              <w:t>Rentabilidad y ventaja comparativa de la producción del cultivo</w:t>
            </w:r>
            <w:r>
              <w:rPr>
                <w:b/>
                <w:spacing w:val="-12"/>
                <w:sz w:val="24"/>
              </w:rPr>
              <w:t> </w:t>
            </w:r>
            <w:r>
              <w:rPr>
                <w:b/>
                <w:sz w:val="24"/>
              </w:rPr>
              <w:t>de</w:t>
            </w:r>
            <w:r>
              <w:rPr>
                <w:b/>
                <w:spacing w:val="-3"/>
                <w:sz w:val="24"/>
              </w:rPr>
              <w:t> </w:t>
            </w:r>
            <w:r>
              <w:rPr>
                <w:b/>
                <w:sz w:val="24"/>
              </w:rPr>
              <w:t>aceituna (olea europea) en Caborca, Sonora, México,</w:t>
            </w:r>
            <w:r>
              <w:rPr>
                <w:b/>
                <w:spacing w:val="-10"/>
                <w:sz w:val="24"/>
              </w:rPr>
              <w:t> </w:t>
            </w:r>
            <w:r>
              <w:rPr>
                <w:b/>
                <w:sz w:val="24"/>
              </w:rPr>
              <w:t>2014</w:t>
            </w:r>
          </w:p>
          <w:p>
            <w:pPr>
              <w:pStyle w:val="TableParagraph"/>
              <w:spacing w:line="271" w:lineRule="exact"/>
              <w:ind w:left="200" w:right="87"/>
              <w:jc w:val="left"/>
              <w:rPr>
                <w:i/>
                <w:sz w:val="24"/>
              </w:rPr>
            </w:pPr>
            <w:r>
              <w:rPr>
                <w:i/>
                <w:sz w:val="24"/>
              </w:rPr>
              <w:t>DE LA ROSA-ZAMORA, Alejandro  y NARVÁEZ-SUÁREZ, Alberto Ulises</w:t>
            </w:r>
          </w:p>
        </w:tc>
        <w:tc>
          <w:tcPr>
            <w:tcW w:w="1366" w:type="dxa"/>
          </w:tcPr>
          <w:p>
            <w:pPr>
              <w:pStyle w:val="TableParagraph"/>
              <w:spacing w:line="240" w:lineRule="auto" w:before="122"/>
              <w:ind w:right="198"/>
              <w:rPr>
                <w:sz w:val="24"/>
              </w:rPr>
            </w:pPr>
            <w:r>
              <w:rPr>
                <w:sz w:val="24"/>
              </w:rPr>
              <w:t>141-151</w:t>
            </w:r>
          </w:p>
        </w:tc>
      </w:tr>
    </w:tbl>
    <w:p>
      <w:pPr>
        <w:spacing w:after="0" w:line="240" w:lineRule="auto"/>
        <w:rPr>
          <w:sz w:val="24"/>
        </w:rPr>
        <w:sectPr>
          <w:pgSz w:w="11910" w:h="16840"/>
          <w:pgMar w:top="1260" w:bottom="280" w:left="920" w:right="8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11"/>
        <w:gridCol w:w="1238"/>
      </w:tblGrid>
      <w:tr>
        <w:trPr>
          <w:trHeight w:val="672" w:hRule="exact"/>
        </w:trPr>
        <w:tc>
          <w:tcPr>
            <w:tcW w:w="8711" w:type="dxa"/>
          </w:tcPr>
          <w:p>
            <w:pPr>
              <w:pStyle w:val="TableParagraph"/>
              <w:tabs>
                <w:tab w:pos="668" w:val="left" w:leader="none"/>
              </w:tabs>
              <w:spacing w:line="245" w:lineRule="exact"/>
              <w:ind w:left="216" w:right="237"/>
              <w:jc w:val="left"/>
              <w:rPr>
                <w:b/>
                <w:sz w:val="24"/>
              </w:rPr>
            </w:pPr>
            <w:r>
              <w:rPr>
                <w:b/>
                <w:sz w:val="24"/>
              </w:rPr>
              <w:t>13</w:t>
              <w:tab/>
              <w:t>Producción y comercio internacional de la Gladiola</w:t>
            </w:r>
            <w:r>
              <w:rPr>
                <w:b/>
                <w:spacing w:val="-18"/>
                <w:sz w:val="24"/>
              </w:rPr>
              <w:t> </w:t>
            </w:r>
            <w:r>
              <w:rPr>
                <w:b/>
                <w:sz w:val="24"/>
              </w:rPr>
              <w:t>mexicana</w:t>
            </w:r>
          </w:p>
          <w:p>
            <w:pPr>
              <w:pStyle w:val="TableParagraph"/>
              <w:spacing w:line="274" w:lineRule="exact"/>
              <w:ind w:left="200" w:right="237"/>
              <w:jc w:val="left"/>
              <w:rPr>
                <w:i/>
                <w:sz w:val="24"/>
              </w:rPr>
            </w:pPr>
            <w:r>
              <w:rPr>
                <w:i/>
                <w:sz w:val="24"/>
              </w:rPr>
              <w:t>GÓMEZ-GÓMEZ, Alma Alicia</w:t>
            </w:r>
          </w:p>
        </w:tc>
        <w:tc>
          <w:tcPr>
            <w:tcW w:w="1238" w:type="dxa"/>
          </w:tcPr>
          <w:p>
            <w:pPr>
              <w:pStyle w:val="TableParagraph"/>
              <w:spacing w:line="242" w:lineRule="exact"/>
              <w:ind w:right="198"/>
              <w:rPr>
                <w:sz w:val="24"/>
              </w:rPr>
            </w:pPr>
            <w:r>
              <w:rPr>
                <w:sz w:val="24"/>
              </w:rPr>
              <w:t>152-164</w:t>
            </w:r>
          </w:p>
        </w:tc>
      </w:tr>
      <w:tr>
        <w:trPr>
          <w:trHeight w:val="828" w:hRule="exact"/>
        </w:trPr>
        <w:tc>
          <w:tcPr>
            <w:tcW w:w="8711" w:type="dxa"/>
          </w:tcPr>
          <w:p>
            <w:pPr>
              <w:pStyle w:val="TableParagraph"/>
              <w:tabs>
                <w:tab w:pos="668" w:val="left" w:leader="none"/>
              </w:tabs>
              <w:spacing w:line="274" w:lineRule="exact" w:before="127"/>
              <w:ind w:left="216" w:right="237"/>
              <w:jc w:val="left"/>
              <w:rPr>
                <w:b/>
                <w:sz w:val="24"/>
              </w:rPr>
            </w:pPr>
            <w:r>
              <w:rPr>
                <w:b/>
                <w:sz w:val="24"/>
              </w:rPr>
              <w:t>14</w:t>
              <w:tab/>
              <w:t>Los paradigmas de la</w:t>
            </w:r>
            <w:r>
              <w:rPr>
                <w:b/>
                <w:spacing w:val="-10"/>
                <w:sz w:val="24"/>
              </w:rPr>
              <w:t> </w:t>
            </w:r>
            <w:r>
              <w:rPr>
                <w:b/>
                <w:sz w:val="24"/>
              </w:rPr>
              <w:t>agricultura</w:t>
            </w:r>
          </w:p>
          <w:p>
            <w:pPr>
              <w:pStyle w:val="TableParagraph"/>
              <w:spacing w:line="274" w:lineRule="exact"/>
              <w:ind w:left="200" w:right="237"/>
              <w:jc w:val="left"/>
              <w:rPr>
                <w:i/>
                <w:sz w:val="24"/>
              </w:rPr>
            </w:pPr>
            <w:r>
              <w:rPr>
                <w:i/>
                <w:sz w:val="24"/>
              </w:rPr>
              <w:t>SALINAS-CALLEJAS, Edmar y TAVERA-CORTÉS, María Elena</w:t>
            </w:r>
          </w:p>
        </w:tc>
        <w:tc>
          <w:tcPr>
            <w:tcW w:w="1238" w:type="dxa"/>
          </w:tcPr>
          <w:p>
            <w:pPr>
              <w:pStyle w:val="TableParagraph"/>
              <w:spacing w:line="240" w:lineRule="auto" w:before="122"/>
              <w:ind w:right="198"/>
              <w:rPr>
                <w:sz w:val="24"/>
              </w:rPr>
            </w:pPr>
            <w:r>
              <w:rPr>
                <w:sz w:val="24"/>
              </w:rPr>
              <w:t>165-170</w:t>
            </w:r>
          </w:p>
        </w:tc>
      </w:tr>
      <w:tr>
        <w:trPr>
          <w:trHeight w:val="1380" w:hRule="exact"/>
        </w:trPr>
        <w:tc>
          <w:tcPr>
            <w:tcW w:w="8711" w:type="dxa"/>
          </w:tcPr>
          <w:p>
            <w:pPr>
              <w:pStyle w:val="TableParagraph"/>
              <w:spacing w:line="240" w:lineRule="auto" w:before="127"/>
              <w:ind w:left="216" w:right="237"/>
              <w:jc w:val="left"/>
              <w:rPr>
                <w:b/>
                <w:sz w:val="24"/>
              </w:rPr>
            </w:pPr>
            <w:r>
              <w:rPr>
                <w:b/>
                <w:sz w:val="24"/>
              </w:rPr>
              <w:t>15 Sistematización de la propuesta de desarrollo rural integral en tres comunidades Loxichas del Distrito de Pochutla, Oaxaca</w:t>
            </w:r>
          </w:p>
          <w:p>
            <w:pPr>
              <w:pStyle w:val="TableParagraph"/>
              <w:spacing w:line="240" w:lineRule="auto"/>
              <w:ind w:left="216" w:right="237" w:hanging="17"/>
              <w:jc w:val="left"/>
              <w:rPr>
                <w:i/>
                <w:sz w:val="24"/>
              </w:rPr>
            </w:pPr>
            <w:r>
              <w:rPr>
                <w:i/>
                <w:sz w:val="24"/>
              </w:rPr>
              <w:t>REYES-ROSALES, René, GÓMEZ-CRUZ, Manuel Ángel, GÓMEZ-TOVAR, Laura y </w:t>
            </w:r>
            <w:r>
              <w:rPr>
                <w:i/>
                <w:sz w:val="24"/>
              </w:rPr>
              <w:t>SCHWENTESIUS-RINDERMANN, Rita</w:t>
            </w:r>
          </w:p>
        </w:tc>
        <w:tc>
          <w:tcPr>
            <w:tcW w:w="1238" w:type="dxa"/>
          </w:tcPr>
          <w:p>
            <w:pPr>
              <w:pStyle w:val="TableParagraph"/>
              <w:spacing w:line="240" w:lineRule="auto" w:before="122"/>
              <w:ind w:right="198"/>
              <w:rPr>
                <w:sz w:val="24"/>
              </w:rPr>
            </w:pPr>
            <w:r>
              <w:rPr>
                <w:sz w:val="24"/>
              </w:rPr>
              <w:t>171-182</w:t>
            </w:r>
          </w:p>
        </w:tc>
      </w:tr>
      <w:tr>
        <w:trPr>
          <w:trHeight w:val="1104" w:hRule="exact"/>
        </w:trPr>
        <w:tc>
          <w:tcPr>
            <w:tcW w:w="8711" w:type="dxa"/>
          </w:tcPr>
          <w:p>
            <w:pPr>
              <w:pStyle w:val="TableParagraph"/>
              <w:spacing w:line="240" w:lineRule="auto" w:before="127"/>
              <w:ind w:left="216" w:right="237"/>
              <w:jc w:val="left"/>
              <w:rPr>
                <w:b/>
                <w:sz w:val="24"/>
              </w:rPr>
            </w:pPr>
            <w:r>
              <w:rPr>
                <w:b/>
                <w:sz w:val="24"/>
              </w:rPr>
              <w:t>16 Conformación territorial Chichimeca en el centro oriente del altiplano mexicano en el posclásico</w:t>
            </w:r>
          </w:p>
          <w:p>
            <w:pPr>
              <w:pStyle w:val="TableParagraph"/>
              <w:spacing w:line="271" w:lineRule="exact"/>
              <w:ind w:left="200" w:right="237"/>
              <w:jc w:val="left"/>
              <w:rPr>
                <w:i/>
                <w:sz w:val="24"/>
              </w:rPr>
            </w:pPr>
            <w:r>
              <w:rPr>
                <w:i/>
                <w:sz w:val="24"/>
              </w:rPr>
              <w:t>CASTELLANOS-SUÁREZ, José Alfredo</w:t>
            </w:r>
          </w:p>
        </w:tc>
        <w:tc>
          <w:tcPr>
            <w:tcW w:w="1238" w:type="dxa"/>
          </w:tcPr>
          <w:p>
            <w:pPr>
              <w:pStyle w:val="TableParagraph"/>
              <w:spacing w:line="240" w:lineRule="auto" w:before="122"/>
              <w:ind w:right="198"/>
              <w:rPr>
                <w:sz w:val="24"/>
              </w:rPr>
            </w:pPr>
            <w:r>
              <w:rPr>
                <w:sz w:val="24"/>
              </w:rPr>
              <w:t>183-194</w:t>
            </w:r>
          </w:p>
        </w:tc>
      </w:tr>
      <w:tr>
        <w:trPr>
          <w:trHeight w:val="552" w:hRule="exact"/>
        </w:trPr>
        <w:tc>
          <w:tcPr>
            <w:tcW w:w="8711" w:type="dxa"/>
          </w:tcPr>
          <w:p>
            <w:pPr>
              <w:pStyle w:val="TableParagraph"/>
              <w:spacing w:line="240" w:lineRule="auto" w:before="122"/>
              <w:ind w:left="216" w:right="237"/>
              <w:jc w:val="left"/>
              <w:rPr>
                <w:sz w:val="24"/>
              </w:rPr>
            </w:pPr>
            <w:r>
              <w:rPr>
                <w:sz w:val="24"/>
              </w:rPr>
              <w:t>Apéndice A. Consejo Editor Universidad Autónoma Chapingo</w:t>
            </w:r>
          </w:p>
        </w:tc>
        <w:tc>
          <w:tcPr>
            <w:tcW w:w="1238" w:type="dxa"/>
          </w:tcPr>
          <w:p>
            <w:pPr>
              <w:pStyle w:val="TableParagraph"/>
              <w:spacing w:line="240" w:lineRule="auto" w:before="122"/>
              <w:ind w:right="198"/>
              <w:rPr>
                <w:sz w:val="24"/>
              </w:rPr>
            </w:pPr>
            <w:r>
              <w:rPr>
                <w:sz w:val="24"/>
              </w:rPr>
              <w:t>195</w:t>
            </w:r>
          </w:p>
        </w:tc>
      </w:tr>
      <w:tr>
        <w:trPr>
          <w:trHeight w:val="552" w:hRule="exact"/>
        </w:trPr>
        <w:tc>
          <w:tcPr>
            <w:tcW w:w="8711" w:type="dxa"/>
          </w:tcPr>
          <w:p>
            <w:pPr>
              <w:pStyle w:val="TableParagraph"/>
              <w:spacing w:line="240" w:lineRule="auto" w:before="122"/>
              <w:ind w:left="216" w:right="237"/>
              <w:jc w:val="left"/>
              <w:rPr>
                <w:sz w:val="24"/>
              </w:rPr>
            </w:pPr>
            <w:r>
              <w:rPr>
                <w:sz w:val="24"/>
              </w:rPr>
              <w:t>Apéndice B. Consejo Editor ECORFAN</w:t>
            </w:r>
          </w:p>
        </w:tc>
        <w:tc>
          <w:tcPr>
            <w:tcW w:w="1238" w:type="dxa"/>
          </w:tcPr>
          <w:p>
            <w:pPr>
              <w:pStyle w:val="TableParagraph"/>
              <w:spacing w:line="240" w:lineRule="auto" w:before="122"/>
              <w:ind w:right="198"/>
              <w:rPr>
                <w:sz w:val="24"/>
              </w:rPr>
            </w:pPr>
            <w:r>
              <w:rPr>
                <w:sz w:val="24"/>
              </w:rPr>
              <w:t>196-198</w:t>
            </w:r>
          </w:p>
        </w:tc>
      </w:tr>
      <w:tr>
        <w:trPr>
          <w:trHeight w:val="396" w:hRule="exact"/>
        </w:trPr>
        <w:tc>
          <w:tcPr>
            <w:tcW w:w="8711" w:type="dxa"/>
          </w:tcPr>
          <w:p>
            <w:pPr>
              <w:pStyle w:val="TableParagraph"/>
              <w:spacing w:line="240" w:lineRule="auto" w:before="122"/>
              <w:ind w:left="216" w:right="237"/>
              <w:jc w:val="left"/>
              <w:rPr>
                <w:sz w:val="24"/>
              </w:rPr>
            </w:pPr>
            <w:r>
              <w:rPr>
                <w:sz w:val="24"/>
              </w:rPr>
              <w:t>Apéndice C. Consejo Arbitral</w:t>
            </w:r>
            <w:r>
              <w:rPr>
                <w:spacing w:val="51"/>
                <w:sz w:val="24"/>
              </w:rPr>
              <w:t> </w:t>
            </w:r>
            <w:r>
              <w:rPr>
                <w:sz w:val="24"/>
              </w:rPr>
              <w:t>ECORFAN</w:t>
            </w:r>
          </w:p>
        </w:tc>
        <w:tc>
          <w:tcPr>
            <w:tcW w:w="1238" w:type="dxa"/>
          </w:tcPr>
          <w:p>
            <w:pPr>
              <w:pStyle w:val="TableParagraph"/>
              <w:spacing w:line="240" w:lineRule="auto" w:before="122"/>
              <w:ind w:right="198"/>
              <w:rPr>
                <w:sz w:val="24"/>
              </w:rPr>
            </w:pPr>
            <w:r>
              <w:rPr>
                <w:sz w:val="24"/>
              </w:rPr>
              <w:t>199</w:t>
            </w:r>
          </w:p>
        </w:tc>
      </w:tr>
    </w:tbl>
    <w:p>
      <w:pPr>
        <w:spacing w:after="0" w:line="240" w:lineRule="auto"/>
        <w:rPr>
          <w:sz w:val="24"/>
        </w:rPr>
        <w:sectPr>
          <w:pgSz w:w="11910" w:h="16840"/>
          <w:pgMar w:top="1140" w:bottom="280" w:left="920" w:right="820"/>
        </w:sectPr>
      </w:pPr>
    </w:p>
    <w:p>
      <w:pPr>
        <w:pStyle w:val="BodyText"/>
        <w:spacing w:before="46"/>
        <w:ind w:right="111"/>
        <w:jc w:val="right"/>
      </w:pPr>
      <w:r>
        <w:rPr/>
        <w:t>33</w:t>
      </w:r>
    </w:p>
    <w:p>
      <w:pPr>
        <w:pStyle w:val="BodyText"/>
        <w:spacing w:before="3"/>
        <w:rPr>
          <w:sz w:val="18"/>
        </w:rPr>
      </w:pPr>
    </w:p>
    <w:p>
      <w:pPr>
        <w:pStyle w:val="Heading2"/>
        <w:spacing w:before="65"/>
      </w:pPr>
      <w:r>
        <w:rPr/>
        <w:t>El mercado de café en México</w:t>
      </w:r>
    </w:p>
    <w:p>
      <w:pPr>
        <w:pStyle w:val="BodyText"/>
        <w:rPr>
          <w:b/>
          <w:sz w:val="28"/>
        </w:rPr>
      </w:pPr>
    </w:p>
    <w:p>
      <w:pPr>
        <w:pStyle w:val="BodyText"/>
        <w:spacing w:before="6"/>
        <w:rPr>
          <w:b/>
          <w:sz w:val="27"/>
        </w:rPr>
      </w:pPr>
    </w:p>
    <w:p>
      <w:pPr>
        <w:pStyle w:val="BodyText"/>
        <w:spacing w:before="1"/>
        <w:ind w:left="112" w:right="114"/>
      </w:pPr>
      <w:r>
        <w:rPr/>
        <w:t>FIGUEROA-HERNÁNDEZ, Esther, PÉREZ-SOTO , Francisco y GODÍNEZ MONTOYA, Lucila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1"/>
        </w:numPr>
        <w:tabs>
          <w:tab w:pos="336" w:val="left" w:leader="none"/>
        </w:tabs>
        <w:spacing w:line="240" w:lineRule="auto" w:before="196" w:after="0"/>
        <w:ind w:left="335" w:right="0" w:hanging="223"/>
        <w:jc w:val="left"/>
        <w:rPr>
          <w:sz w:val="20"/>
        </w:rPr>
      </w:pPr>
      <w:r>
        <w:rPr>
          <w:sz w:val="20"/>
        </w:rPr>
        <w:t>Figueroa, F. Pérez y L.</w:t>
      </w:r>
      <w:r>
        <w:rPr>
          <w:spacing w:val="-12"/>
          <w:sz w:val="20"/>
        </w:rPr>
        <w:t> </w:t>
      </w:r>
      <w:r>
        <w:rPr>
          <w:sz w:val="20"/>
        </w:rPr>
        <w:t>Godínez</w:t>
      </w:r>
    </w:p>
    <w:p>
      <w:pPr>
        <w:pStyle w:val="BodyText"/>
        <w:spacing w:before="9"/>
        <w:rPr>
          <w:sz w:val="19"/>
        </w:rPr>
      </w:pPr>
    </w:p>
    <w:p>
      <w:pPr>
        <w:spacing w:before="1"/>
        <w:ind w:left="112" w:right="4128" w:firstLine="0"/>
        <w:jc w:val="left"/>
        <w:rPr>
          <w:sz w:val="20"/>
        </w:rPr>
      </w:pPr>
      <w:r>
        <w:rPr>
          <w:sz w:val="20"/>
        </w:rPr>
        <w:t>´ Profesor-investigador Universidad Autónoma del Estado de México. </w:t>
      </w:r>
      <w:hyperlink r:id="rId6">
        <w:r>
          <w:rPr>
            <w:sz w:val="20"/>
          </w:rPr>
          <w:t>lgodinezm76@gmail.com</w:t>
        </w:r>
      </w:hyperlink>
    </w:p>
    <w:p>
      <w:pPr>
        <w:pStyle w:val="BodyText"/>
        <w:rPr>
          <w:sz w:val="20"/>
        </w:rPr>
      </w:pPr>
    </w:p>
    <w:p>
      <w:pPr>
        <w:pStyle w:val="ListParagraph"/>
        <w:numPr>
          <w:ilvl w:val="0"/>
          <w:numId w:val="1"/>
        </w:numPr>
        <w:tabs>
          <w:tab w:pos="394" w:val="left" w:leader="none"/>
        </w:tabs>
        <w:spacing w:line="229" w:lineRule="exact" w:before="0" w:after="0"/>
        <w:ind w:left="393" w:right="0" w:hanging="281"/>
        <w:jc w:val="left"/>
        <w:rPr>
          <w:sz w:val="20"/>
        </w:rPr>
      </w:pPr>
      <w:r>
        <w:rPr>
          <w:sz w:val="20"/>
        </w:rPr>
        <w:t>Rérez,  E.  Figueroa,  L.  Godínez  (eds.)  Producción,  Comercialización  y  Medio  Ambiente.   Handbook  T-I.    </w:t>
      </w:r>
      <w:r>
        <w:rPr>
          <w:spacing w:val="47"/>
          <w:sz w:val="20"/>
        </w:rPr>
        <w:t> </w:t>
      </w:r>
      <w:r>
        <w:rPr>
          <w:sz w:val="20"/>
        </w:rPr>
        <w:t>-</w:t>
      </w:r>
    </w:p>
    <w:p>
      <w:pPr>
        <w:spacing w:line="229" w:lineRule="exact" w:before="0"/>
        <w:ind w:left="112" w:right="114" w:firstLine="0"/>
        <w:jc w:val="left"/>
        <w:rPr>
          <w:sz w:val="20"/>
        </w:rPr>
      </w:pPr>
      <w:r>
        <w:rPr>
          <w:sz w:val="20"/>
        </w:rPr>
        <w:t>©ECORFAN, Texcoco de Mora-México, 2016.</w:t>
      </w:r>
    </w:p>
    <w:p>
      <w:pPr>
        <w:spacing w:after="0" w:line="229" w:lineRule="exact"/>
        <w:jc w:val="left"/>
        <w:rPr>
          <w:sz w:val="20"/>
        </w:rPr>
        <w:sectPr>
          <w:pgSz w:w="11910" w:h="16840"/>
          <w:pgMar w:top="1060" w:bottom="280" w:left="1020" w:right="1020"/>
        </w:sectPr>
      </w:pPr>
    </w:p>
    <w:p>
      <w:pPr>
        <w:pStyle w:val="BodyText"/>
        <w:spacing w:before="46"/>
        <w:ind w:right="111"/>
        <w:jc w:val="right"/>
      </w:pPr>
      <w:r>
        <w:rPr/>
        <w:t>34</w:t>
      </w:r>
    </w:p>
    <w:p>
      <w:pPr>
        <w:pStyle w:val="BodyText"/>
        <w:spacing w:before="9"/>
        <w:rPr>
          <w:sz w:val="17"/>
        </w:rPr>
      </w:pPr>
    </w:p>
    <w:p>
      <w:pPr>
        <w:pStyle w:val="Heading3"/>
        <w:spacing w:before="69"/>
      </w:pPr>
      <w:r>
        <w:rPr/>
        <w:t>Abstract</w:t>
      </w:r>
    </w:p>
    <w:p>
      <w:pPr>
        <w:pStyle w:val="BodyText"/>
        <w:spacing w:before="6"/>
        <w:rPr>
          <w:b/>
          <w:sz w:val="23"/>
        </w:rPr>
      </w:pPr>
    </w:p>
    <w:p>
      <w:pPr>
        <w:pStyle w:val="BodyText"/>
        <w:ind w:left="112" w:right="119"/>
        <w:jc w:val="both"/>
      </w:pPr>
      <w:r>
        <w:rPr/>
        <w:t>Coffee is a crop of tropical climate, which occurs in developing countries, and is the main source  for agricultural export and foreign exchange earnings after oil, and has great growth prospects in the international market. It is marketed in major markets of commodities and futures, especially on the New York Stock Exchange (Arabic numerals) and London</w:t>
      </w:r>
      <w:r>
        <w:rPr>
          <w:spacing w:val="-8"/>
        </w:rPr>
        <w:t> </w:t>
      </w:r>
      <w:r>
        <w:rPr/>
        <w:t>(Robusta).</w:t>
      </w:r>
    </w:p>
    <w:p>
      <w:pPr>
        <w:pStyle w:val="BodyText"/>
      </w:pPr>
    </w:p>
    <w:p>
      <w:pPr>
        <w:pStyle w:val="BodyText"/>
        <w:ind w:left="112" w:right="114" w:firstLine="708"/>
        <w:jc w:val="both"/>
      </w:pPr>
      <w:r>
        <w:rPr/>
        <w:t>Currently, the largest producers of coffee in the world are becoming its main consumers. Coffee consumption is growing rapidly in Brazil, Vietnam and Colombia, which in combination produce 60.0% of the grains in the world. It is anticipated that purchases of packaging coffee in Brazil amount to 1.03 million tons per year, surpassing the United States as the largest consumer of coffee in the world for the first time since at least 1999 (The Wall Street Journal, Tuesday, Aug. 5  of 2014). The aim of the study was to analyze the behavior of the coffee market in Mexico. Coffee production in the country, he notes, has decreased over the past three decades due, among other things, the decline in the international price of aromatic, the drop in performance by the depletion of coffee trees, high costs faced by producers and the presence of pests such as rust, affecting the crop and that the ICO recognizes as "the worst affected since it made its appearance in Central America in the year 1976". The report emphasizes that "coffee production in Mexico has maintained a downward trend, along with exports, giving way to competing countries such as Vietnam, who in recent years has become the second largest producer and exporter (Agricultural Image, Jan. 19, 2015).</w:t>
      </w:r>
    </w:p>
    <w:p>
      <w:pPr>
        <w:pStyle w:val="BodyText"/>
        <w:spacing w:before="4"/>
      </w:pPr>
    </w:p>
    <w:p>
      <w:pPr>
        <w:pStyle w:val="Heading3"/>
      </w:pPr>
      <w:r>
        <w:rPr/>
        <w:t>4 Introducción</w:t>
      </w:r>
    </w:p>
    <w:p>
      <w:pPr>
        <w:pStyle w:val="BodyText"/>
        <w:spacing w:before="6"/>
        <w:rPr>
          <w:b/>
          <w:sz w:val="23"/>
        </w:rPr>
      </w:pPr>
    </w:p>
    <w:p>
      <w:pPr>
        <w:pStyle w:val="BodyText"/>
        <w:ind w:left="112" w:right="114"/>
        <w:jc w:val="both"/>
      </w:pPr>
      <w:r>
        <w:rPr/>
        <w:t>El café es un cultivo de clima tropical, que se produce en países en desarrollo, y es la principal fuente para la exportación agrícola y para la generación de divisas después del petróleo, y presenta grandes perspectivas de crecimiento en el mercado internacional. Se comercializa en los principales mercados de materias primas y de futuros, especialmente en la Bolsa de Nueva York (Arábicos) y de Londres</w:t>
      </w:r>
      <w:r>
        <w:rPr>
          <w:spacing w:val="-4"/>
        </w:rPr>
        <w:t> </w:t>
      </w:r>
      <w:r>
        <w:rPr/>
        <w:t>(Robusta).</w:t>
      </w:r>
    </w:p>
    <w:p>
      <w:pPr>
        <w:pStyle w:val="BodyText"/>
      </w:pPr>
    </w:p>
    <w:p>
      <w:pPr>
        <w:pStyle w:val="BodyText"/>
        <w:ind w:left="112" w:right="111" w:firstLine="708"/>
        <w:jc w:val="both"/>
      </w:pPr>
      <w:r>
        <w:rPr/>
        <w:t>En la actualidad, los mayores productores de café del mundo se están convirtiendo en sus principales consumidores. El consumo de café crece a pasos agigantados en Brasil, Vietnam y Colombia, que en combinación producen 60.0% de los granos del mundo. Se prevé que las compras de café envasado en Brasil asciendan a 1.03 millones de toneladas al año, superando a Estados Unidos como el principal consumidor de café del mundo por primera vez desde al menos 1999 (The Wall Street Journal, martes, 5 de agosto de 2014). Sin embargo, los productores de café están teniendo problemas para satisfacer la demanda tanto doméstica como internacional y el precio de los contratos a futuro se ha disparado cerca de 75.0% este año, dicen analistas. La cosecha de este año también ha sido golpeada por la roya, el hongo que ha perjudicado plantas en América Central, y por una sequía en Brasil. Empresas tostadoras de talla mundial como Starbucks Corp., y </w:t>
      </w:r>
      <w:hyperlink r:id="rId7">
        <w:r>
          <w:rPr/>
          <w:t>J.M.</w:t>
        </w:r>
      </w:hyperlink>
      <w:r>
        <w:rPr/>
        <w:t> </w:t>
      </w:r>
      <w:hyperlink r:id="rId7">
        <w:r>
          <w:rPr/>
          <w:t>Smucker</w:t>
        </w:r>
      </w:hyperlink>
      <w:r>
        <w:rPr/>
        <w:t> Co., que comercializa la marca Folgers, han elevado sus precios. Los futuros de arábica cayeron 1.0% a US$1.9050 la libra en la bolsa de futuros ICE de Estados Unidos (The Wall Street Journal, martes, 5 de agosto de</w:t>
      </w:r>
      <w:r>
        <w:rPr>
          <w:spacing w:val="-6"/>
        </w:rPr>
        <w:t> </w:t>
      </w:r>
      <w:r>
        <w:rPr/>
        <w:t>2014).</w:t>
      </w:r>
    </w:p>
    <w:p>
      <w:pPr>
        <w:pStyle w:val="BodyText"/>
      </w:pPr>
    </w:p>
    <w:p>
      <w:pPr>
        <w:pStyle w:val="BodyText"/>
        <w:ind w:left="112" w:right="115" w:firstLine="708"/>
        <w:jc w:val="both"/>
      </w:pPr>
      <w:r>
        <w:rPr/>
        <w:t>A medida que los ingresos aumentan, los consumidores dejan de lado bebidas más baratas, como el té, y exigen granos de mayor calidad, a menudo las mismas variedades usadas por las grandes tostadoras en Estados Unidos y Europa. El cambio hacia los granos de mayor calidad está reconfigurando los patrones del comercio global del café. Durante la última década, los cultivos del grano en Brasil han crecido 61.0%, pero sus exportaciones se han incrementado 34.0%, con el resto dirigiéndose al mercado doméstico.</w:t>
      </w:r>
    </w:p>
    <w:p>
      <w:pPr>
        <w:spacing w:after="0"/>
        <w:jc w:val="both"/>
        <w:sectPr>
          <w:pgSz w:w="11910" w:h="16840"/>
          <w:pgMar w:top="1060" w:bottom="280" w:left="1020" w:right="1020"/>
        </w:sectPr>
      </w:pPr>
    </w:p>
    <w:p>
      <w:pPr>
        <w:pStyle w:val="BodyText"/>
        <w:spacing w:before="46"/>
        <w:ind w:right="111"/>
        <w:jc w:val="right"/>
      </w:pPr>
      <w:r>
        <w:rPr/>
        <w:t>35</w:t>
      </w:r>
    </w:p>
    <w:p>
      <w:pPr>
        <w:pStyle w:val="BodyText"/>
        <w:spacing w:before="4"/>
        <w:rPr>
          <w:sz w:val="23"/>
        </w:rPr>
      </w:pPr>
    </w:p>
    <w:p>
      <w:pPr>
        <w:pStyle w:val="BodyText"/>
        <w:ind w:left="112" w:right="114" w:firstLine="708"/>
        <w:jc w:val="both"/>
      </w:pPr>
      <w:r>
        <w:rPr/>
        <w:t>Hace cinco años, Minasul, una cooperativa de 5,000 caficultores en el sur de Brasil, vendía 20.0% de su café a compradores brasileños. Hoy en día, vende entre 30.0 y 35.0% al mercado local, dice Marcos Méndez Reis, su director comercial. La cooperativa solo vende granos arábica, la variedad de sabor leve que es usada por tostadoras como Starbucks e illycaffè SpA. Los importadores de granos brasileños dicen que están pagando precios más altos porque tienen que competir con los compradores brasileños.</w:t>
      </w:r>
    </w:p>
    <w:p>
      <w:pPr>
        <w:pStyle w:val="BodyText"/>
      </w:pPr>
    </w:p>
    <w:p>
      <w:pPr>
        <w:pStyle w:val="BodyText"/>
        <w:ind w:left="112" w:right="114" w:firstLine="708"/>
        <w:jc w:val="both"/>
      </w:pPr>
      <w:r>
        <w:rPr/>
        <w:t>"Cada vez que el mercado interno se queda corto en la calidad que exige, veo que suben los precios", señala Christian Wolthers, presidente de Wolthers Douqué, importador de café de Fort Lauderdale, Florida, que compra café a cultivadores brasileños (The Wall Street Journal, martes, 5 de agosto de 2014).</w:t>
      </w:r>
    </w:p>
    <w:p>
      <w:pPr>
        <w:pStyle w:val="BodyText"/>
        <w:spacing w:before="4"/>
      </w:pPr>
    </w:p>
    <w:p>
      <w:pPr>
        <w:pStyle w:val="Heading3"/>
      </w:pPr>
      <w:r>
        <w:rPr/>
        <w:t>Producción mundial de café</w:t>
      </w:r>
    </w:p>
    <w:p>
      <w:pPr>
        <w:pStyle w:val="BodyText"/>
        <w:spacing w:before="7"/>
        <w:rPr>
          <w:b/>
          <w:sz w:val="23"/>
        </w:rPr>
      </w:pPr>
    </w:p>
    <w:p>
      <w:pPr>
        <w:pStyle w:val="BodyText"/>
        <w:ind w:left="112" w:right="110"/>
        <w:jc w:val="both"/>
      </w:pPr>
      <w:r>
        <w:rPr/>
        <w:t>La producción mundial de café del año cafetero 2013/2014 probablemente será unos 2 millones de sacos más baja que la cosecha anterior, que arrojó 145.2 millones de sacos, de acuerdo con la Organización Internacional del Café (OIC). El experto dijo que un ciclo de producción bajo en Brasil durante 2013, además de continuas pérdidas por el hongo de la roya en Centroamérica, influirán en la reducción de la cosecha. “Se espera pues una cosecha global inferior en unos dos millones de sacos”, afirmó en una conferencia de productores de café de Colombia, que se realiza  en la capital del país, Bogotá. No obstante, sostuvo que es demasiado pronto para ofrecer un cálculo específico para la producción del año cafetero 2013/2014, dado que la cosecha se encuentra todavía en su fase de desarrollo en algunos países productores. El año cafetero comienza en octubre y termina en septiembre del siguiente (Gestión, jueves 28 de noviembre de</w:t>
      </w:r>
      <w:r>
        <w:rPr>
          <w:spacing w:val="-11"/>
        </w:rPr>
        <w:t> </w:t>
      </w:r>
      <w:r>
        <w:rPr/>
        <w:t>2013).</w:t>
      </w:r>
    </w:p>
    <w:p>
      <w:pPr>
        <w:pStyle w:val="BodyText"/>
      </w:pPr>
    </w:p>
    <w:p>
      <w:pPr>
        <w:pStyle w:val="BodyText"/>
        <w:spacing w:after="7"/>
        <w:ind w:left="2907" w:right="2908"/>
        <w:jc w:val="center"/>
      </w:pPr>
      <w:r>
        <w:rPr>
          <w:b/>
        </w:rPr>
        <w:t>Figura 4 </w:t>
      </w:r>
      <w:r>
        <w:rPr/>
        <w:t>Producción mundial de café (Millones de sacos/Campaña)</w:t>
      </w:r>
    </w:p>
    <w:p>
      <w:pPr>
        <w:pStyle w:val="BodyText"/>
        <w:ind w:left="1087"/>
        <w:rPr>
          <w:sz w:val="20"/>
        </w:rPr>
      </w:pPr>
      <w:r>
        <w:rPr>
          <w:sz w:val="20"/>
        </w:rPr>
        <w:drawing>
          <wp:inline distT="0" distB="0" distL="0" distR="0">
            <wp:extent cx="4873397" cy="197167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8" cstate="print"/>
                    <a:stretch>
                      <a:fillRect/>
                    </a:stretch>
                  </pic:blipFill>
                  <pic:spPr>
                    <a:xfrm>
                      <a:off x="0" y="0"/>
                      <a:ext cx="4873397" cy="1971675"/>
                    </a:xfrm>
                    <a:prstGeom prst="rect">
                      <a:avLst/>
                    </a:prstGeom>
                  </pic:spPr>
                </pic:pic>
              </a:graphicData>
            </a:graphic>
          </wp:inline>
        </w:drawing>
      </w:r>
      <w:r>
        <w:rPr>
          <w:sz w:val="20"/>
        </w:rPr>
      </w:r>
    </w:p>
    <w:p>
      <w:pPr>
        <w:spacing w:before="0"/>
        <w:ind w:left="2907" w:right="2912" w:firstLine="0"/>
        <w:jc w:val="center"/>
        <w:rPr>
          <w:sz w:val="20"/>
        </w:rPr>
      </w:pPr>
      <w:r>
        <w:rPr>
          <w:sz w:val="20"/>
        </w:rPr>
        <w:t>Fuente: Elaborada con información de OIC, 2014.</w:t>
      </w:r>
    </w:p>
    <w:p>
      <w:pPr>
        <w:pStyle w:val="BodyText"/>
        <w:spacing w:before="10"/>
        <w:rPr>
          <w:sz w:val="23"/>
        </w:rPr>
      </w:pPr>
    </w:p>
    <w:p>
      <w:pPr>
        <w:pStyle w:val="BodyText"/>
        <w:ind w:left="112" w:right="115" w:firstLine="708"/>
        <w:jc w:val="both"/>
      </w:pPr>
      <w:r>
        <w:rPr/>
        <w:t>La producción anual de café en los últimos 12 años (Ver figura 4), muestra una evolución cíclica hasta el periodo 2009/10. A partir del 2010/11 se aprecia un incremento sostenido de la producción, estimándose en una cifra récord de 144.7 millones de sacos de 60 kilogramos para la cosecha 2012/13, y un incremento porcentual de 6.8% respecto a la cosecha 2011/12 (OIC, 2014).</w:t>
      </w:r>
    </w:p>
    <w:p>
      <w:pPr>
        <w:spacing w:after="0"/>
        <w:jc w:val="both"/>
        <w:sectPr>
          <w:pgSz w:w="11910" w:h="16840"/>
          <w:pgMar w:top="1060" w:bottom="280" w:left="1020" w:right="1020"/>
        </w:sectPr>
      </w:pPr>
    </w:p>
    <w:p>
      <w:pPr>
        <w:pStyle w:val="BodyText"/>
        <w:spacing w:before="46"/>
        <w:ind w:right="231"/>
        <w:jc w:val="right"/>
      </w:pPr>
      <w:r>
        <w:rPr/>
        <w:t>36</w:t>
      </w:r>
    </w:p>
    <w:p>
      <w:pPr>
        <w:pStyle w:val="BodyText"/>
        <w:spacing w:before="4"/>
        <w:rPr>
          <w:sz w:val="17"/>
        </w:rPr>
      </w:pPr>
    </w:p>
    <w:p>
      <w:pPr>
        <w:pStyle w:val="BodyText"/>
        <w:spacing w:before="69" w:after="8"/>
        <w:ind w:left="1895" w:right="1917"/>
        <w:jc w:val="center"/>
      </w:pPr>
      <w:r>
        <w:rPr>
          <w:b/>
        </w:rPr>
        <w:t>Figura 4.1 </w:t>
      </w:r>
      <w:r>
        <w:rPr/>
        <w:t>Principales productores de café a nivel mundial, 2012 (Millones de sacos de 60 kg)</w:t>
      </w:r>
    </w:p>
    <w:p>
      <w:pPr>
        <w:pStyle w:val="BodyText"/>
        <w:ind w:left="1240"/>
        <w:rPr>
          <w:sz w:val="20"/>
        </w:rPr>
      </w:pPr>
      <w:r>
        <w:rPr>
          <w:sz w:val="20"/>
        </w:rPr>
        <w:drawing>
          <wp:inline distT="0" distB="0" distL="0" distR="0">
            <wp:extent cx="4809579" cy="2447925"/>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9" cstate="print"/>
                    <a:stretch>
                      <a:fillRect/>
                    </a:stretch>
                  </pic:blipFill>
                  <pic:spPr>
                    <a:xfrm>
                      <a:off x="0" y="0"/>
                      <a:ext cx="4809579" cy="2447925"/>
                    </a:xfrm>
                    <a:prstGeom prst="rect">
                      <a:avLst/>
                    </a:prstGeom>
                  </pic:spPr>
                </pic:pic>
              </a:graphicData>
            </a:graphic>
          </wp:inline>
        </w:drawing>
      </w:r>
      <w:r>
        <w:rPr>
          <w:sz w:val="20"/>
        </w:rPr>
      </w:r>
    </w:p>
    <w:p>
      <w:pPr>
        <w:spacing w:before="0"/>
        <w:ind w:left="1895" w:right="1913" w:firstLine="0"/>
        <w:jc w:val="center"/>
        <w:rPr>
          <w:sz w:val="20"/>
        </w:rPr>
      </w:pPr>
      <w:r>
        <w:rPr>
          <w:sz w:val="20"/>
        </w:rPr>
        <w:t>Fuente: Elaborada con información de FAO, 2012.</w:t>
      </w:r>
    </w:p>
    <w:p>
      <w:pPr>
        <w:pStyle w:val="BodyText"/>
        <w:spacing w:before="10"/>
        <w:rPr>
          <w:sz w:val="23"/>
        </w:rPr>
      </w:pPr>
    </w:p>
    <w:p>
      <w:pPr>
        <w:pStyle w:val="BodyText"/>
        <w:ind w:left="212" w:right="233" w:firstLine="708"/>
        <w:jc w:val="both"/>
      </w:pPr>
      <w:r>
        <w:rPr/>
        <w:t>El año pasado Brasil se consolidó como el principal productor mundial de café (entre 43.5 y 48 millones de sacos de 60 kilogramos), seguido por Vietnam (18.5 millones), Colombia (9.2 millones), Indonesia (8.5 millones), Etiopía (7.4 millones), India (4.7 millones) y México (4.4 millones), según datos de la Asociación Mexicana de la Cadena Productiva del Café (AMECAFÉ) (Figura 2). Brasil no solo fue el mayor productor mundial del grano en 2012 sino también el primer exportador, con 33.6 millones sacos vendidos por un valor de 8,700 millones de dólares, un notable aumento con respecto a los 5,800 millones de dólares obtenidos en 2010. Los estados de Minas Gerais, Espíritu Santo, Sao Paulo, Bahía, Paraná y Rondonia son responsables del 98.0% de la producción brasilera (FAO, 2012).</w:t>
      </w:r>
    </w:p>
    <w:p>
      <w:pPr>
        <w:pStyle w:val="BodyText"/>
      </w:pPr>
    </w:p>
    <w:p>
      <w:pPr>
        <w:pStyle w:val="BodyText"/>
        <w:spacing w:after="8"/>
        <w:ind w:left="1893" w:right="1917"/>
        <w:jc w:val="center"/>
      </w:pPr>
      <w:r>
        <w:rPr>
          <w:b/>
        </w:rPr>
        <w:t>Tabla 4 </w:t>
      </w:r>
      <w:r>
        <w:rPr/>
        <w:t>Principales países productores de café verde, 2000-2012 (Millones de toneladas)</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3"/>
        <w:gridCol w:w="650"/>
        <w:gridCol w:w="571"/>
        <w:gridCol w:w="571"/>
        <w:gridCol w:w="569"/>
        <w:gridCol w:w="571"/>
        <w:gridCol w:w="571"/>
        <w:gridCol w:w="571"/>
        <w:gridCol w:w="571"/>
        <w:gridCol w:w="572"/>
        <w:gridCol w:w="571"/>
        <w:gridCol w:w="571"/>
        <w:gridCol w:w="571"/>
        <w:gridCol w:w="572"/>
        <w:gridCol w:w="799"/>
        <w:gridCol w:w="650"/>
      </w:tblGrid>
      <w:tr>
        <w:trPr>
          <w:trHeight w:val="593" w:hRule="exact"/>
        </w:trPr>
        <w:tc>
          <w:tcPr>
            <w:tcW w:w="903" w:type="dxa"/>
          </w:tcPr>
          <w:p>
            <w:pPr>
              <w:pStyle w:val="TableParagraph"/>
              <w:spacing w:line="160" w:lineRule="exact"/>
              <w:ind w:left="182" w:right="0"/>
              <w:jc w:val="left"/>
              <w:rPr>
                <w:b/>
                <w:sz w:val="14"/>
              </w:rPr>
            </w:pPr>
            <w:r>
              <w:rPr>
                <w:b/>
                <w:sz w:val="14"/>
              </w:rPr>
              <w:t>País</w:t>
            </w:r>
          </w:p>
        </w:tc>
        <w:tc>
          <w:tcPr>
            <w:tcW w:w="650" w:type="dxa"/>
          </w:tcPr>
          <w:p>
            <w:pPr>
              <w:pStyle w:val="TableParagraph"/>
              <w:spacing w:line="160" w:lineRule="exact"/>
              <w:ind w:left="179" w:right="0"/>
              <w:jc w:val="left"/>
              <w:rPr>
                <w:b/>
                <w:sz w:val="14"/>
              </w:rPr>
            </w:pPr>
            <w:r>
              <w:rPr>
                <w:b/>
                <w:sz w:val="14"/>
              </w:rPr>
              <w:t>2000</w:t>
            </w:r>
          </w:p>
        </w:tc>
        <w:tc>
          <w:tcPr>
            <w:tcW w:w="571" w:type="dxa"/>
          </w:tcPr>
          <w:p>
            <w:pPr>
              <w:pStyle w:val="TableParagraph"/>
              <w:spacing w:line="160" w:lineRule="exact"/>
              <w:ind w:right="143"/>
              <w:rPr>
                <w:b/>
                <w:sz w:val="14"/>
              </w:rPr>
            </w:pPr>
            <w:r>
              <w:rPr>
                <w:b/>
                <w:w w:val="95"/>
                <w:sz w:val="14"/>
              </w:rPr>
              <w:t>2001</w:t>
            </w:r>
          </w:p>
        </w:tc>
        <w:tc>
          <w:tcPr>
            <w:tcW w:w="571" w:type="dxa"/>
          </w:tcPr>
          <w:p>
            <w:pPr>
              <w:pStyle w:val="TableParagraph"/>
              <w:spacing w:line="160" w:lineRule="exact"/>
              <w:ind w:left="81" w:right="83"/>
              <w:jc w:val="center"/>
              <w:rPr>
                <w:b/>
                <w:sz w:val="14"/>
              </w:rPr>
            </w:pPr>
            <w:r>
              <w:rPr>
                <w:b/>
                <w:sz w:val="14"/>
              </w:rPr>
              <w:t>2002</w:t>
            </w:r>
          </w:p>
        </w:tc>
        <w:tc>
          <w:tcPr>
            <w:tcW w:w="569" w:type="dxa"/>
          </w:tcPr>
          <w:p>
            <w:pPr>
              <w:pStyle w:val="TableParagraph"/>
              <w:spacing w:line="160" w:lineRule="exact"/>
              <w:ind w:right="140"/>
              <w:rPr>
                <w:b/>
                <w:sz w:val="14"/>
              </w:rPr>
            </w:pPr>
            <w:r>
              <w:rPr>
                <w:b/>
                <w:w w:val="95"/>
                <w:sz w:val="14"/>
              </w:rPr>
              <w:t>2003</w:t>
            </w:r>
          </w:p>
        </w:tc>
        <w:tc>
          <w:tcPr>
            <w:tcW w:w="571" w:type="dxa"/>
          </w:tcPr>
          <w:p>
            <w:pPr>
              <w:pStyle w:val="TableParagraph"/>
              <w:spacing w:line="160" w:lineRule="exact"/>
              <w:ind w:right="139"/>
              <w:rPr>
                <w:b/>
                <w:sz w:val="14"/>
              </w:rPr>
            </w:pPr>
            <w:r>
              <w:rPr>
                <w:b/>
                <w:w w:val="95"/>
                <w:sz w:val="14"/>
              </w:rPr>
              <w:t>2004</w:t>
            </w:r>
          </w:p>
        </w:tc>
        <w:tc>
          <w:tcPr>
            <w:tcW w:w="571" w:type="dxa"/>
          </w:tcPr>
          <w:p>
            <w:pPr>
              <w:pStyle w:val="TableParagraph"/>
              <w:spacing w:line="160" w:lineRule="exact"/>
              <w:ind w:right="139"/>
              <w:rPr>
                <w:b/>
                <w:sz w:val="14"/>
              </w:rPr>
            </w:pPr>
            <w:r>
              <w:rPr>
                <w:b/>
                <w:w w:val="95"/>
                <w:sz w:val="14"/>
              </w:rPr>
              <w:t>2005</w:t>
            </w:r>
          </w:p>
        </w:tc>
        <w:tc>
          <w:tcPr>
            <w:tcW w:w="571" w:type="dxa"/>
          </w:tcPr>
          <w:p>
            <w:pPr>
              <w:pStyle w:val="TableParagraph"/>
              <w:spacing w:line="160" w:lineRule="exact"/>
              <w:ind w:right="139"/>
              <w:rPr>
                <w:b/>
                <w:sz w:val="14"/>
              </w:rPr>
            </w:pPr>
            <w:r>
              <w:rPr>
                <w:b/>
                <w:w w:val="95"/>
                <w:sz w:val="14"/>
              </w:rPr>
              <w:t>2006</w:t>
            </w:r>
          </w:p>
        </w:tc>
        <w:tc>
          <w:tcPr>
            <w:tcW w:w="571" w:type="dxa"/>
          </w:tcPr>
          <w:p>
            <w:pPr>
              <w:pStyle w:val="TableParagraph"/>
              <w:spacing w:line="160" w:lineRule="exact"/>
              <w:ind w:right="139"/>
              <w:rPr>
                <w:b/>
                <w:sz w:val="14"/>
              </w:rPr>
            </w:pPr>
            <w:r>
              <w:rPr>
                <w:b/>
                <w:w w:val="95"/>
                <w:sz w:val="14"/>
              </w:rPr>
              <w:t>2007</w:t>
            </w:r>
          </w:p>
        </w:tc>
        <w:tc>
          <w:tcPr>
            <w:tcW w:w="572" w:type="dxa"/>
          </w:tcPr>
          <w:p>
            <w:pPr>
              <w:pStyle w:val="TableParagraph"/>
              <w:spacing w:line="160" w:lineRule="exact"/>
              <w:ind w:left="141" w:right="0"/>
              <w:jc w:val="left"/>
              <w:rPr>
                <w:b/>
                <w:sz w:val="14"/>
              </w:rPr>
            </w:pPr>
            <w:r>
              <w:rPr>
                <w:b/>
                <w:sz w:val="14"/>
              </w:rPr>
              <w:t>2008</w:t>
            </w:r>
          </w:p>
        </w:tc>
        <w:tc>
          <w:tcPr>
            <w:tcW w:w="571" w:type="dxa"/>
          </w:tcPr>
          <w:p>
            <w:pPr>
              <w:pStyle w:val="TableParagraph"/>
              <w:spacing w:line="160" w:lineRule="exact"/>
              <w:ind w:right="143"/>
              <w:rPr>
                <w:b/>
                <w:sz w:val="14"/>
              </w:rPr>
            </w:pPr>
            <w:r>
              <w:rPr>
                <w:b/>
                <w:w w:val="95"/>
                <w:sz w:val="14"/>
              </w:rPr>
              <w:t>2009</w:t>
            </w:r>
          </w:p>
        </w:tc>
        <w:tc>
          <w:tcPr>
            <w:tcW w:w="571" w:type="dxa"/>
          </w:tcPr>
          <w:p>
            <w:pPr>
              <w:pStyle w:val="TableParagraph"/>
              <w:spacing w:line="160" w:lineRule="exact"/>
              <w:ind w:left="81" w:right="83"/>
              <w:jc w:val="center"/>
              <w:rPr>
                <w:b/>
                <w:sz w:val="14"/>
              </w:rPr>
            </w:pPr>
            <w:r>
              <w:rPr>
                <w:b/>
                <w:sz w:val="14"/>
              </w:rPr>
              <w:t>2010</w:t>
            </w:r>
          </w:p>
        </w:tc>
        <w:tc>
          <w:tcPr>
            <w:tcW w:w="571" w:type="dxa"/>
          </w:tcPr>
          <w:p>
            <w:pPr>
              <w:pStyle w:val="TableParagraph"/>
              <w:spacing w:line="160" w:lineRule="exact"/>
              <w:ind w:right="143"/>
              <w:rPr>
                <w:b/>
                <w:sz w:val="14"/>
              </w:rPr>
            </w:pPr>
            <w:r>
              <w:rPr>
                <w:b/>
                <w:w w:val="95"/>
                <w:sz w:val="14"/>
              </w:rPr>
              <w:t>2011</w:t>
            </w:r>
          </w:p>
        </w:tc>
        <w:tc>
          <w:tcPr>
            <w:tcW w:w="572" w:type="dxa"/>
          </w:tcPr>
          <w:p>
            <w:pPr>
              <w:pStyle w:val="TableParagraph"/>
              <w:spacing w:line="160" w:lineRule="exact"/>
              <w:ind w:right="142"/>
              <w:rPr>
                <w:b/>
                <w:sz w:val="14"/>
              </w:rPr>
            </w:pPr>
            <w:r>
              <w:rPr>
                <w:b/>
                <w:w w:val="95"/>
                <w:sz w:val="14"/>
              </w:rPr>
              <w:t>2012</w:t>
            </w:r>
          </w:p>
        </w:tc>
        <w:tc>
          <w:tcPr>
            <w:tcW w:w="799" w:type="dxa"/>
          </w:tcPr>
          <w:p>
            <w:pPr>
              <w:pStyle w:val="TableParagraph"/>
              <w:spacing w:line="240" w:lineRule="auto"/>
              <w:ind w:left="103"/>
              <w:jc w:val="center"/>
              <w:rPr>
                <w:b/>
                <w:sz w:val="14"/>
              </w:rPr>
            </w:pPr>
            <w:r>
              <w:rPr>
                <w:b/>
                <w:w w:val="95"/>
                <w:sz w:val="14"/>
              </w:rPr>
              <w:t>Promedio </w:t>
            </w:r>
            <w:r>
              <w:rPr>
                <w:b/>
                <w:sz w:val="14"/>
              </w:rPr>
              <w:t>2000-</w:t>
            </w:r>
          </w:p>
          <w:p>
            <w:pPr>
              <w:pStyle w:val="TableParagraph"/>
              <w:spacing w:line="240" w:lineRule="auto"/>
              <w:ind w:left="99"/>
              <w:jc w:val="center"/>
              <w:rPr>
                <w:b/>
                <w:sz w:val="14"/>
              </w:rPr>
            </w:pPr>
            <w:r>
              <w:rPr>
                <w:b/>
                <w:sz w:val="14"/>
              </w:rPr>
              <w:t>20012</w:t>
            </w:r>
          </w:p>
        </w:tc>
        <w:tc>
          <w:tcPr>
            <w:tcW w:w="650" w:type="dxa"/>
          </w:tcPr>
          <w:p>
            <w:pPr>
              <w:pStyle w:val="TableParagraph"/>
              <w:spacing w:line="160" w:lineRule="exact"/>
              <w:ind w:left="86" w:right="86"/>
              <w:jc w:val="center"/>
              <w:rPr>
                <w:b/>
                <w:sz w:val="14"/>
              </w:rPr>
            </w:pPr>
            <w:r>
              <w:rPr>
                <w:b/>
                <w:sz w:val="14"/>
              </w:rPr>
              <w:t>TMCA</w:t>
            </w:r>
          </w:p>
          <w:p>
            <w:pPr>
              <w:pStyle w:val="TableParagraph"/>
              <w:spacing w:line="240" w:lineRule="auto"/>
              <w:ind w:right="0"/>
              <w:jc w:val="center"/>
              <w:rPr>
                <w:b/>
                <w:sz w:val="14"/>
              </w:rPr>
            </w:pPr>
            <w:r>
              <w:rPr>
                <w:b/>
                <w:w w:val="99"/>
                <w:sz w:val="14"/>
              </w:rPr>
              <w:t>%</w:t>
            </w:r>
          </w:p>
        </w:tc>
      </w:tr>
      <w:tr>
        <w:trPr>
          <w:trHeight w:val="206" w:hRule="exact"/>
        </w:trPr>
        <w:tc>
          <w:tcPr>
            <w:tcW w:w="903" w:type="dxa"/>
          </w:tcPr>
          <w:p>
            <w:pPr>
              <w:pStyle w:val="TableParagraph"/>
              <w:ind w:left="182" w:right="0"/>
              <w:jc w:val="left"/>
              <w:rPr>
                <w:sz w:val="14"/>
              </w:rPr>
            </w:pPr>
            <w:r>
              <w:rPr>
                <w:sz w:val="14"/>
              </w:rPr>
              <w:t>Brasil</w:t>
            </w:r>
          </w:p>
        </w:tc>
        <w:tc>
          <w:tcPr>
            <w:tcW w:w="650" w:type="dxa"/>
          </w:tcPr>
          <w:p>
            <w:pPr>
              <w:pStyle w:val="TableParagraph"/>
              <w:rPr>
                <w:sz w:val="14"/>
              </w:rPr>
            </w:pPr>
            <w:r>
              <w:rPr>
                <w:w w:val="95"/>
                <w:sz w:val="14"/>
              </w:rPr>
              <w:t>1,904</w:t>
            </w:r>
          </w:p>
        </w:tc>
        <w:tc>
          <w:tcPr>
            <w:tcW w:w="571" w:type="dxa"/>
          </w:tcPr>
          <w:p>
            <w:pPr>
              <w:pStyle w:val="TableParagraph"/>
              <w:rPr>
                <w:sz w:val="14"/>
              </w:rPr>
            </w:pPr>
            <w:r>
              <w:rPr>
                <w:w w:val="95"/>
                <w:sz w:val="14"/>
              </w:rPr>
              <w:t>1,820</w:t>
            </w:r>
          </w:p>
        </w:tc>
        <w:tc>
          <w:tcPr>
            <w:tcW w:w="571" w:type="dxa"/>
          </w:tcPr>
          <w:p>
            <w:pPr>
              <w:pStyle w:val="TableParagraph"/>
              <w:ind w:left="119" w:right="79"/>
              <w:jc w:val="center"/>
              <w:rPr>
                <w:sz w:val="14"/>
              </w:rPr>
            </w:pPr>
            <w:r>
              <w:rPr>
                <w:sz w:val="14"/>
              </w:rPr>
              <w:t>2,650</w:t>
            </w:r>
          </w:p>
        </w:tc>
        <w:tc>
          <w:tcPr>
            <w:tcW w:w="569" w:type="dxa"/>
          </w:tcPr>
          <w:p>
            <w:pPr>
              <w:pStyle w:val="TableParagraph"/>
              <w:ind w:right="99"/>
              <w:rPr>
                <w:sz w:val="14"/>
              </w:rPr>
            </w:pPr>
            <w:r>
              <w:rPr>
                <w:w w:val="95"/>
                <w:sz w:val="14"/>
              </w:rPr>
              <w:t>1,987</w:t>
            </w:r>
          </w:p>
        </w:tc>
        <w:tc>
          <w:tcPr>
            <w:tcW w:w="571" w:type="dxa"/>
          </w:tcPr>
          <w:p>
            <w:pPr>
              <w:pStyle w:val="TableParagraph"/>
              <w:ind w:right="98"/>
              <w:rPr>
                <w:sz w:val="14"/>
              </w:rPr>
            </w:pPr>
            <w:r>
              <w:rPr>
                <w:w w:val="95"/>
                <w:sz w:val="14"/>
              </w:rPr>
              <w:t>2,466</w:t>
            </w:r>
          </w:p>
        </w:tc>
        <w:tc>
          <w:tcPr>
            <w:tcW w:w="571" w:type="dxa"/>
          </w:tcPr>
          <w:p>
            <w:pPr>
              <w:pStyle w:val="TableParagraph"/>
              <w:ind w:right="98"/>
              <w:rPr>
                <w:sz w:val="14"/>
              </w:rPr>
            </w:pPr>
            <w:r>
              <w:rPr>
                <w:w w:val="95"/>
                <w:sz w:val="14"/>
              </w:rPr>
              <w:t>2,140</w:t>
            </w:r>
          </w:p>
        </w:tc>
        <w:tc>
          <w:tcPr>
            <w:tcW w:w="571" w:type="dxa"/>
          </w:tcPr>
          <w:p>
            <w:pPr>
              <w:pStyle w:val="TableParagraph"/>
              <w:ind w:right="98"/>
              <w:rPr>
                <w:sz w:val="14"/>
              </w:rPr>
            </w:pPr>
            <w:r>
              <w:rPr>
                <w:w w:val="95"/>
                <w:sz w:val="14"/>
              </w:rPr>
              <w:t>2,573</w:t>
            </w:r>
          </w:p>
        </w:tc>
        <w:tc>
          <w:tcPr>
            <w:tcW w:w="571" w:type="dxa"/>
          </w:tcPr>
          <w:p>
            <w:pPr>
              <w:pStyle w:val="TableParagraph"/>
              <w:ind w:right="98"/>
              <w:rPr>
                <w:sz w:val="14"/>
              </w:rPr>
            </w:pPr>
            <w:r>
              <w:rPr>
                <w:w w:val="95"/>
                <w:sz w:val="14"/>
              </w:rPr>
              <w:t>2,249</w:t>
            </w:r>
          </w:p>
        </w:tc>
        <w:tc>
          <w:tcPr>
            <w:tcW w:w="572" w:type="dxa"/>
          </w:tcPr>
          <w:p>
            <w:pPr>
              <w:pStyle w:val="TableParagraph"/>
              <w:ind w:right="98"/>
              <w:rPr>
                <w:sz w:val="14"/>
              </w:rPr>
            </w:pPr>
            <w:r>
              <w:rPr>
                <w:w w:val="95"/>
                <w:sz w:val="14"/>
              </w:rPr>
              <w:t>2,797</w:t>
            </w:r>
          </w:p>
        </w:tc>
        <w:tc>
          <w:tcPr>
            <w:tcW w:w="571" w:type="dxa"/>
          </w:tcPr>
          <w:p>
            <w:pPr>
              <w:pStyle w:val="TableParagraph"/>
              <w:rPr>
                <w:sz w:val="14"/>
              </w:rPr>
            </w:pPr>
            <w:r>
              <w:rPr>
                <w:w w:val="95"/>
                <w:sz w:val="14"/>
              </w:rPr>
              <w:t>2,440</w:t>
            </w:r>
          </w:p>
        </w:tc>
        <w:tc>
          <w:tcPr>
            <w:tcW w:w="571" w:type="dxa"/>
          </w:tcPr>
          <w:p>
            <w:pPr>
              <w:pStyle w:val="TableParagraph"/>
              <w:ind w:left="119" w:right="79"/>
              <w:jc w:val="center"/>
              <w:rPr>
                <w:sz w:val="14"/>
              </w:rPr>
            </w:pPr>
            <w:r>
              <w:rPr>
                <w:sz w:val="14"/>
              </w:rPr>
              <w:t>2,907</w:t>
            </w:r>
          </w:p>
        </w:tc>
        <w:tc>
          <w:tcPr>
            <w:tcW w:w="571" w:type="dxa"/>
          </w:tcPr>
          <w:p>
            <w:pPr>
              <w:pStyle w:val="TableParagraph"/>
              <w:rPr>
                <w:sz w:val="14"/>
              </w:rPr>
            </w:pPr>
            <w:r>
              <w:rPr>
                <w:w w:val="95"/>
                <w:sz w:val="14"/>
              </w:rPr>
              <w:t>2,700</w:t>
            </w:r>
          </w:p>
        </w:tc>
        <w:tc>
          <w:tcPr>
            <w:tcW w:w="572" w:type="dxa"/>
          </w:tcPr>
          <w:p>
            <w:pPr>
              <w:pStyle w:val="TableParagraph"/>
              <w:rPr>
                <w:sz w:val="14"/>
              </w:rPr>
            </w:pPr>
            <w:r>
              <w:rPr>
                <w:w w:val="95"/>
                <w:sz w:val="14"/>
              </w:rPr>
              <w:t>3,038</w:t>
            </w:r>
          </w:p>
        </w:tc>
        <w:tc>
          <w:tcPr>
            <w:tcW w:w="799" w:type="dxa"/>
          </w:tcPr>
          <w:p>
            <w:pPr>
              <w:pStyle w:val="TableParagraph"/>
              <w:spacing w:line="160" w:lineRule="exact"/>
              <w:rPr>
                <w:b/>
                <w:sz w:val="14"/>
              </w:rPr>
            </w:pPr>
            <w:r>
              <w:rPr>
                <w:b/>
                <w:w w:val="95"/>
                <w:sz w:val="14"/>
              </w:rPr>
              <w:t>2,436.2</w:t>
            </w:r>
          </w:p>
        </w:tc>
        <w:tc>
          <w:tcPr>
            <w:tcW w:w="650" w:type="dxa"/>
          </w:tcPr>
          <w:p>
            <w:pPr>
              <w:pStyle w:val="TableParagraph"/>
              <w:rPr>
                <w:sz w:val="14"/>
              </w:rPr>
            </w:pPr>
            <w:r>
              <w:rPr>
                <w:w w:val="95"/>
                <w:sz w:val="14"/>
              </w:rPr>
              <w:t>3.97</w:t>
            </w:r>
          </w:p>
        </w:tc>
      </w:tr>
      <w:tr>
        <w:trPr>
          <w:trHeight w:val="209" w:hRule="exact"/>
        </w:trPr>
        <w:tc>
          <w:tcPr>
            <w:tcW w:w="903" w:type="dxa"/>
          </w:tcPr>
          <w:p>
            <w:pPr>
              <w:pStyle w:val="TableParagraph"/>
              <w:ind w:left="182" w:right="0"/>
              <w:jc w:val="left"/>
              <w:rPr>
                <w:sz w:val="14"/>
              </w:rPr>
            </w:pPr>
            <w:r>
              <w:rPr>
                <w:sz w:val="14"/>
              </w:rPr>
              <w:t>Viet Nam</w:t>
            </w:r>
          </w:p>
        </w:tc>
        <w:tc>
          <w:tcPr>
            <w:tcW w:w="650" w:type="dxa"/>
          </w:tcPr>
          <w:p>
            <w:pPr>
              <w:pStyle w:val="TableParagraph"/>
              <w:ind w:right="103"/>
              <w:rPr>
                <w:sz w:val="14"/>
              </w:rPr>
            </w:pPr>
            <w:r>
              <w:rPr>
                <w:sz w:val="14"/>
              </w:rPr>
              <w:t>803</w:t>
            </w:r>
          </w:p>
        </w:tc>
        <w:tc>
          <w:tcPr>
            <w:tcW w:w="571" w:type="dxa"/>
          </w:tcPr>
          <w:p>
            <w:pPr>
              <w:pStyle w:val="TableParagraph"/>
              <w:ind w:right="103"/>
              <w:rPr>
                <w:sz w:val="14"/>
              </w:rPr>
            </w:pPr>
            <w:r>
              <w:rPr>
                <w:w w:val="95"/>
                <w:sz w:val="14"/>
              </w:rPr>
              <w:t>841</w:t>
            </w:r>
          </w:p>
        </w:tc>
        <w:tc>
          <w:tcPr>
            <w:tcW w:w="571" w:type="dxa"/>
          </w:tcPr>
          <w:p>
            <w:pPr>
              <w:pStyle w:val="TableParagraph"/>
              <w:ind w:left="224" w:right="83"/>
              <w:jc w:val="center"/>
              <w:rPr>
                <w:sz w:val="14"/>
              </w:rPr>
            </w:pPr>
            <w:r>
              <w:rPr>
                <w:sz w:val="14"/>
              </w:rPr>
              <w:t>700</w:t>
            </w:r>
          </w:p>
        </w:tc>
        <w:tc>
          <w:tcPr>
            <w:tcW w:w="569" w:type="dxa"/>
          </w:tcPr>
          <w:p>
            <w:pPr>
              <w:pStyle w:val="TableParagraph"/>
              <w:rPr>
                <w:sz w:val="14"/>
              </w:rPr>
            </w:pPr>
            <w:r>
              <w:rPr>
                <w:w w:val="95"/>
                <w:sz w:val="14"/>
              </w:rPr>
              <w:t>794</w:t>
            </w:r>
          </w:p>
        </w:tc>
        <w:tc>
          <w:tcPr>
            <w:tcW w:w="571" w:type="dxa"/>
          </w:tcPr>
          <w:p>
            <w:pPr>
              <w:pStyle w:val="TableParagraph"/>
              <w:rPr>
                <w:sz w:val="14"/>
              </w:rPr>
            </w:pPr>
            <w:r>
              <w:rPr>
                <w:w w:val="95"/>
                <w:sz w:val="14"/>
              </w:rPr>
              <w:t>914</w:t>
            </w:r>
          </w:p>
        </w:tc>
        <w:tc>
          <w:tcPr>
            <w:tcW w:w="571" w:type="dxa"/>
          </w:tcPr>
          <w:p>
            <w:pPr>
              <w:pStyle w:val="TableParagraph"/>
              <w:rPr>
                <w:sz w:val="14"/>
              </w:rPr>
            </w:pPr>
            <w:r>
              <w:rPr>
                <w:w w:val="95"/>
                <w:sz w:val="14"/>
              </w:rPr>
              <w:t>831</w:t>
            </w:r>
          </w:p>
        </w:tc>
        <w:tc>
          <w:tcPr>
            <w:tcW w:w="571" w:type="dxa"/>
          </w:tcPr>
          <w:p>
            <w:pPr>
              <w:pStyle w:val="TableParagraph"/>
              <w:rPr>
                <w:sz w:val="14"/>
              </w:rPr>
            </w:pPr>
            <w:r>
              <w:rPr>
                <w:w w:val="95"/>
                <w:sz w:val="14"/>
              </w:rPr>
              <w:t>985</w:t>
            </w:r>
          </w:p>
        </w:tc>
        <w:tc>
          <w:tcPr>
            <w:tcW w:w="571" w:type="dxa"/>
          </w:tcPr>
          <w:p>
            <w:pPr>
              <w:pStyle w:val="TableParagraph"/>
              <w:ind w:right="98"/>
              <w:rPr>
                <w:sz w:val="14"/>
              </w:rPr>
            </w:pPr>
            <w:r>
              <w:rPr>
                <w:w w:val="95"/>
                <w:sz w:val="14"/>
              </w:rPr>
              <w:t>1,251</w:t>
            </w:r>
          </w:p>
        </w:tc>
        <w:tc>
          <w:tcPr>
            <w:tcW w:w="572" w:type="dxa"/>
          </w:tcPr>
          <w:p>
            <w:pPr>
              <w:pStyle w:val="TableParagraph"/>
              <w:ind w:right="98"/>
              <w:rPr>
                <w:sz w:val="14"/>
              </w:rPr>
            </w:pPr>
            <w:r>
              <w:rPr>
                <w:w w:val="95"/>
                <w:sz w:val="14"/>
              </w:rPr>
              <w:t>1,056</w:t>
            </w:r>
          </w:p>
        </w:tc>
        <w:tc>
          <w:tcPr>
            <w:tcW w:w="571" w:type="dxa"/>
          </w:tcPr>
          <w:p>
            <w:pPr>
              <w:pStyle w:val="TableParagraph"/>
              <w:rPr>
                <w:sz w:val="14"/>
              </w:rPr>
            </w:pPr>
            <w:r>
              <w:rPr>
                <w:w w:val="95"/>
                <w:sz w:val="14"/>
              </w:rPr>
              <w:t>1,058</w:t>
            </w:r>
          </w:p>
        </w:tc>
        <w:tc>
          <w:tcPr>
            <w:tcW w:w="571" w:type="dxa"/>
          </w:tcPr>
          <w:p>
            <w:pPr>
              <w:pStyle w:val="TableParagraph"/>
              <w:ind w:left="119" w:right="79"/>
              <w:jc w:val="center"/>
              <w:rPr>
                <w:sz w:val="14"/>
              </w:rPr>
            </w:pPr>
            <w:r>
              <w:rPr>
                <w:sz w:val="14"/>
              </w:rPr>
              <w:t>1,106</w:t>
            </w:r>
          </w:p>
        </w:tc>
        <w:tc>
          <w:tcPr>
            <w:tcW w:w="571" w:type="dxa"/>
          </w:tcPr>
          <w:p>
            <w:pPr>
              <w:pStyle w:val="TableParagraph"/>
              <w:rPr>
                <w:sz w:val="14"/>
              </w:rPr>
            </w:pPr>
            <w:r>
              <w:rPr>
                <w:w w:val="95"/>
                <w:sz w:val="14"/>
              </w:rPr>
              <w:t>1,277</w:t>
            </w:r>
          </w:p>
        </w:tc>
        <w:tc>
          <w:tcPr>
            <w:tcW w:w="572" w:type="dxa"/>
          </w:tcPr>
          <w:p>
            <w:pPr>
              <w:pStyle w:val="TableParagraph"/>
              <w:rPr>
                <w:sz w:val="14"/>
              </w:rPr>
            </w:pPr>
            <w:r>
              <w:rPr>
                <w:w w:val="95"/>
                <w:sz w:val="14"/>
              </w:rPr>
              <w:t>1,292</w:t>
            </w:r>
          </w:p>
        </w:tc>
        <w:tc>
          <w:tcPr>
            <w:tcW w:w="799" w:type="dxa"/>
          </w:tcPr>
          <w:p>
            <w:pPr>
              <w:pStyle w:val="TableParagraph"/>
              <w:spacing w:line="160" w:lineRule="exact"/>
              <w:rPr>
                <w:b/>
                <w:sz w:val="14"/>
              </w:rPr>
            </w:pPr>
            <w:r>
              <w:rPr>
                <w:b/>
                <w:w w:val="95"/>
                <w:sz w:val="14"/>
              </w:rPr>
              <w:t>993.7</w:t>
            </w:r>
          </w:p>
        </w:tc>
        <w:tc>
          <w:tcPr>
            <w:tcW w:w="650" w:type="dxa"/>
          </w:tcPr>
          <w:p>
            <w:pPr>
              <w:pStyle w:val="TableParagraph"/>
              <w:rPr>
                <w:sz w:val="14"/>
              </w:rPr>
            </w:pPr>
            <w:r>
              <w:rPr>
                <w:w w:val="95"/>
                <w:sz w:val="14"/>
              </w:rPr>
              <w:t>4.05</w:t>
            </w:r>
          </w:p>
        </w:tc>
      </w:tr>
      <w:tr>
        <w:trPr>
          <w:trHeight w:val="209" w:hRule="exact"/>
        </w:trPr>
        <w:tc>
          <w:tcPr>
            <w:tcW w:w="903" w:type="dxa"/>
          </w:tcPr>
          <w:p>
            <w:pPr>
              <w:pStyle w:val="TableParagraph"/>
              <w:ind w:left="182" w:right="0"/>
              <w:jc w:val="left"/>
              <w:rPr>
                <w:sz w:val="14"/>
              </w:rPr>
            </w:pPr>
            <w:r>
              <w:rPr>
                <w:sz w:val="14"/>
              </w:rPr>
              <w:t>Indonesia</w:t>
            </w:r>
          </w:p>
        </w:tc>
        <w:tc>
          <w:tcPr>
            <w:tcW w:w="650" w:type="dxa"/>
          </w:tcPr>
          <w:p>
            <w:pPr>
              <w:pStyle w:val="TableParagraph"/>
              <w:ind w:right="103"/>
              <w:rPr>
                <w:sz w:val="14"/>
              </w:rPr>
            </w:pPr>
            <w:r>
              <w:rPr>
                <w:sz w:val="14"/>
              </w:rPr>
              <w:t>555</w:t>
            </w:r>
          </w:p>
        </w:tc>
        <w:tc>
          <w:tcPr>
            <w:tcW w:w="571" w:type="dxa"/>
          </w:tcPr>
          <w:p>
            <w:pPr>
              <w:pStyle w:val="TableParagraph"/>
              <w:ind w:right="103"/>
              <w:rPr>
                <w:sz w:val="14"/>
              </w:rPr>
            </w:pPr>
            <w:r>
              <w:rPr>
                <w:w w:val="95"/>
                <w:sz w:val="14"/>
              </w:rPr>
              <w:t>569</w:t>
            </w:r>
          </w:p>
        </w:tc>
        <w:tc>
          <w:tcPr>
            <w:tcW w:w="571" w:type="dxa"/>
          </w:tcPr>
          <w:p>
            <w:pPr>
              <w:pStyle w:val="TableParagraph"/>
              <w:ind w:left="224" w:right="83"/>
              <w:jc w:val="center"/>
              <w:rPr>
                <w:sz w:val="14"/>
              </w:rPr>
            </w:pPr>
            <w:r>
              <w:rPr>
                <w:sz w:val="14"/>
              </w:rPr>
              <w:t>682</w:t>
            </w:r>
          </w:p>
        </w:tc>
        <w:tc>
          <w:tcPr>
            <w:tcW w:w="569" w:type="dxa"/>
          </w:tcPr>
          <w:p>
            <w:pPr>
              <w:pStyle w:val="TableParagraph"/>
              <w:rPr>
                <w:sz w:val="14"/>
              </w:rPr>
            </w:pPr>
            <w:r>
              <w:rPr>
                <w:w w:val="95"/>
                <w:sz w:val="14"/>
              </w:rPr>
              <w:t>664</w:t>
            </w:r>
          </w:p>
        </w:tc>
        <w:tc>
          <w:tcPr>
            <w:tcW w:w="571" w:type="dxa"/>
          </w:tcPr>
          <w:p>
            <w:pPr>
              <w:pStyle w:val="TableParagraph"/>
              <w:rPr>
                <w:sz w:val="14"/>
              </w:rPr>
            </w:pPr>
            <w:r>
              <w:rPr>
                <w:w w:val="95"/>
                <w:sz w:val="14"/>
              </w:rPr>
              <w:t>647</w:t>
            </w:r>
          </w:p>
        </w:tc>
        <w:tc>
          <w:tcPr>
            <w:tcW w:w="571" w:type="dxa"/>
          </w:tcPr>
          <w:p>
            <w:pPr>
              <w:pStyle w:val="TableParagraph"/>
              <w:rPr>
                <w:sz w:val="14"/>
              </w:rPr>
            </w:pPr>
            <w:r>
              <w:rPr>
                <w:w w:val="95"/>
                <w:sz w:val="14"/>
              </w:rPr>
              <w:t>640</w:t>
            </w:r>
          </w:p>
        </w:tc>
        <w:tc>
          <w:tcPr>
            <w:tcW w:w="571" w:type="dxa"/>
          </w:tcPr>
          <w:p>
            <w:pPr>
              <w:pStyle w:val="TableParagraph"/>
              <w:rPr>
                <w:sz w:val="14"/>
              </w:rPr>
            </w:pPr>
            <w:r>
              <w:rPr>
                <w:w w:val="95"/>
                <w:sz w:val="14"/>
              </w:rPr>
              <w:t>682</w:t>
            </w:r>
          </w:p>
        </w:tc>
        <w:tc>
          <w:tcPr>
            <w:tcW w:w="571" w:type="dxa"/>
          </w:tcPr>
          <w:p>
            <w:pPr>
              <w:pStyle w:val="TableParagraph"/>
              <w:rPr>
                <w:sz w:val="14"/>
              </w:rPr>
            </w:pPr>
            <w:r>
              <w:rPr>
                <w:w w:val="95"/>
                <w:sz w:val="14"/>
              </w:rPr>
              <w:t>676</w:t>
            </w:r>
          </w:p>
        </w:tc>
        <w:tc>
          <w:tcPr>
            <w:tcW w:w="572" w:type="dxa"/>
          </w:tcPr>
          <w:p>
            <w:pPr>
              <w:pStyle w:val="TableParagraph"/>
              <w:rPr>
                <w:sz w:val="14"/>
              </w:rPr>
            </w:pPr>
            <w:r>
              <w:rPr>
                <w:w w:val="95"/>
                <w:sz w:val="14"/>
              </w:rPr>
              <w:t>698</w:t>
            </w:r>
          </w:p>
        </w:tc>
        <w:tc>
          <w:tcPr>
            <w:tcW w:w="571" w:type="dxa"/>
          </w:tcPr>
          <w:p>
            <w:pPr>
              <w:pStyle w:val="TableParagraph"/>
              <w:ind w:right="103"/>
              <w:rPr>
                <w:sz w:val="14"/>
              </w:rPr>
            </w:pPr>
            <w:r>
              <w:rPr>
                <w:w w:val="95"/>
                <w:sz w:val="14"/>
              </w:rPr>
              <w:t>683</w:t>
            </w:r>
          </w:p>
        </w:tc>
        <w:tc>
          <w:tcPr>
            <w:tcW w:w="571" w:type="dxa"/>
          </w:tcPr>
          <w:p>
            <w:pPr>
              <w:pStyle w:val="TableParagraph"/>
              <w:ind w:left="224" w:right="83"/>
              <w:jc w:val="center"/>
              <w:rPr>
                <w:sz w:val="14"/>
              </w:rPr>
            </w:pPr>
            <w:r>
              <w:rPr>
                <w:sz w:val="14"/>
              </w:rPr>
              <w:t>684</w:t>
            </w:r>
          </w:p>
        </w:tc>
        <w:tc>
          <w:tcPr>
            <w:tcW w:w="571" w:type="dxa"/>
          </w:tcPr>
          <w:p>
            <w:pPr>
              <w:pStyle w:val="TableParagraph"/>
              <w:ind w:right="103"/>
              <w:rPr>
                <w:sz w:val="14"/>
              </w:rPr>
            </w:pPr>
            <w:r>
              <w:rPr>
                <w:w w:val="95"/>
                <w:sz w:val="14"/>
              </w:rPr>
              <w:t>639</w:t>
            </w:r>
          </w:p>
        </w:tc>
        <w:tc>
          <w:tcPr>
            <w:tcW w:w="572" w:type="dxa"/>
          </w:tcPr>
          <w:p>
            <w:pPr>
              <w:pStyle w:val="TableParagraph"/>
              <w:ind w:right="104"/>
              <w:rPr>
                <w:sz w:val="14"/>
              </w:rPr>
            </w:pPr>
            <w:r>
              <w:rPr>
                <w:w w:val="95"/>
                <w:sz w:val="14"/>
              </w:rPr>
              <w:t>657</w:t>
            </w:r>
          </w:p>
        </w:tc>
        <w:tc>
          <w:tcPr>
            <w:tcW w:w="799" w:type="dxa"/>
          </w:tcPr>
          <w:p>
            <w:pPr>
              <w:pStyle w:val="TableParagraph"/>
              <w:spacing w:line="160" w:lineRule="exact"/>
              <w:rPr>
                <w:b/>
                <w:sz w:val="14"/>
              </w:rPr>
            </w:pPr>
            <w:r>
              <w:rPr>
                <w:b/>
                <w:w w:val="95"/>
                <w:sz w:val="14"/>
              </w:rPr>
              <w:t>652.0</w:t>
            </w:r>
          </w:p>
        </w:tc>
        <w:tc>
          <w:tcPr>
            <w:tcW w:w="650" w:type="dxa"/>
          </w:tcPr>
          <w:p>
            <w:pPr>
              <w:pStyle w:val="TableParagraph"/>
              <w:rPr>
                <w:sz w:val="14"/>
              </w:rPr>
            </w:pPr>
            <w:r>
              <w:rPr>
                <w:w w:val="95"/>
                <w:sz w:val="14"/>
              </w:rPr>
              <w:t>1.42</w:t>
            </w:r>
          </w:p>
        </w:tc>
      </w:tr>
      <w:tr>
        <w:trPr>
          <w:trHeight w:val="206" w:hRule="exact"/>
        </w:trPr>
        <w:tc>
          <w:tcPr>
            <w:tcW w:w="903" w:type="dxa"/>
          </w:tcPr>
          <w:p>
            <w:pPr>
              <w:pStyle w:val="TableParagraph"/>
              <w:ind w:left="182" w:right="0"/>
              <w:jc w:val="left"/>
              <w:rPr>
                <w:sz w:val="14"/>
              </w:rPr>
            </w:pPr>
            <w:r>
              <w:rPr>
                <w:sz w:val="14"/>
              </w:rPr>
              <w:t>Colombia</w:t>
            </w:r>
          </w:p>
        </w:tc>
        <w:tc>
          <w:tcPr>
            <w:tcW w:w="650" w:type="dxa"/>
          </w:tcPr>
          <w:p>
            <w:pPr>
              <w:pStyle w:val="TableParagraph"/>
              <w:ind w:right="103"/>
              <w:rPr>
                <w:sz w:val="14"/>
              </w:rPr>
            </w:pPr>
            <w:r>
              <w:rPr>
                <w:sz w:val="14"/>
              </w:rPr>
              <w:t>637</w:t>
            </w:r>
          </w:p>
        </w:tc>
        <w:tc>
          <w:tcPr>
            <w:tcW w:w="571" w:type="dxa"/>
          </w:tcPr>
          <w:p>
            <w:pPr>
              <w:pStyle w:val="TableParagraph"/>
              <w:ind w:right="103"/>
              <w:rPr>
                <w:sz w:val="14"/>
              </w:rPr>
            </w:pPr>
            <w:r>
              <w:rPr>
                <w:w w:val="95"/>
                <w:sz w:val="14"/>
              </w:rPr>
              <w:t>656</w:t>
            </w:r>
          </w:p>
        </w:tc>
        <w:tc>
          <w:tcPr>
            <w:tcW w:w="571" w:type="dxa"/>
          </w:tcPr>
          <w:p>
            <w:pPr>
              <w:pStyle w:val="TableParagraph"/>
              <w:ind w:left="224" w:right="83"/>
              <w:jc w:val="center"/>
              <w:rPr>
                <w:sz w:val="14"/>
              </w:rPr>
            </w:pPr>
            <w:r>
              <w:rPr>
                <w:sz w:val="14"/>
              </w:rPr>
              <w:t>697</w:t>
            </w:r>
          </w:p>
        </w:tc>
        <w:tc>
          <w:tcPr>
            <w:tcW w:w="569" w:type="dxa"/>
          </w:tcPr>
          <w:p>
            <w:pPr>
              <w:pStyle w:val="TableParagraph"/>
              <w:rPr>
                <w:sz w:val="14"/>
              </w:rPr>
            </w:pPr>
            <w:r>
              <w:rPr>
                <w:w w:val="95"/>
                <w:sz w:val="14"/>
              </w:rPr>
              <w:t>694</w:t>
            </w:r>
          </w:p>
        </w:tc>
        <w:tc>
          <w:tcPr>
            <w:tcW w:w="571" w:type="dxa"/>
          </w:tcPr>
          <w:p>
            <w:pPr>
              <w:pStyle w:val="TableParagraph"/>
              <w:rPr>
                <w:sz w:val="14"/>
              </w:rPr>
            </w:pPr>
            <w:r>
              <w:rPr>
                <w:w w:val="95"/>
                <w:sz w:val="14"/>
              </w:rPr>
              <w:t>674</w:t>
            </w:r>
          </w:p>
        </w:tc>
        <w:tc>
          <w:tcPr>
            <w:tcW w:w="571" w:type="dxa"/>
          </w:tcPr>
          <w:p>
            <w:pPr>
              <w:pStyle w:val="TableParagraph"/>
              <w:rPr>
                <w:sz w:val="14"/>
              </w:rPr>
            </w:pPr>
            <w:r>
              <w:rPr>
                <w:w w:val="95"/>
                <w:sz w:val="14"/>
              </w:rPr>
              <w:t>667</w:t>
            </w:r>
          </w:p>
        </w:tc>
        <w:tc>
          <w:tcPr>
            <w:tcW w:w="571" w:type="dxa"/>
          </w:tcPr>
          <w:p>
            <w:pPr>
              <w:pStyle w:val="TableParagraph"/>
              <w:rPr>
                <w:sz w:val="14"/>
              </w:rPr>
            </w:pPr>
            <w:r>
              <w:rPr>
                <w:w w:val="95"/>
                <w:sz w:val="14"/>
              </w:rPr>
              <w:t>725</w:t>
            </w:r>
          </w:p>
        </w:tc>
        <w:tc>
          <w:tcPr>
            <w:tcW w:w="571" w:type="dxa"/>
          </w:tcPr>
          <w:p>
            <w:pPr>
              <w:pStyle w:val="TableParagraph"/>
              <w:rPr>
                <w:sz w:val="14"/>
              </w:rPr>
            </w:pPr>
            <w:r>
              <w:rPr>
                <w:w w:val="95"/>
                <w:sz w:val="14"/>
              </w:rPr>
              <w:t>757</w:t>
            </w:r>
          </w:p>
        </w:tc>
        <w:tc>
          <w:tcPr>
            <w:tcW w:w="572" w:type="dxa"/>
          </w:tcPr>
          <w:p>
            <w:pPr>
              <w:pStyle w:val="TableParagraph"/>
              <w:rPr>
                <w:sz w:val="14"/>
              </w:rPr>
            </w:pPr>
            <w:r>
              <w:rPr>
                <w:w w:val="95"/>
                <w:sz w:val="14"/>
              </w:rPr>
              <w:t>689</w:t>
            </w:r>
          </w:p>
        </w:tc>
        <w:tc>
          <w:tcPr>
            <w:tcW w:w="571" w:type="dxa"/>
          </w:tcPr>
          <w:p>
            <w:pPr>
              <w:pStyle w:val="TableParagraph"/>
              <w:ind w:right="103"/>
              <w:rPr>
                <w:sz w:val="14"/>
              </w:rPr>
            </w:pPr>
            <w:r>
              <w:rPr>
                <w:w w:val="95"/>
                <w:sz w:val="14"/>
              </w:rPr>
              <w:t>469</w:t>
            </w:r>
          </w:p>
        </w:tc>
        <w:tc>
          <w:tcPr>
            <w:tcW w:w="571" w:type="dxa"/>
          </w:tcPr>
          <w:p>
            <w:pPr>
              <w:pStyle w:val="TableParagraph"/>
              <w:ind w:left="224" w:right="83"/>
              <w:jc w:val="center"/>
              <w:rPr>
                <w:sz w:val="14"/>
              </w:rPr>
            </w:pPr>
            <w:r>
              <w:rPr>
                <w:sz w:val="14"/>
              </w:rPr>
              <w:t>535</w:t>
            </w:r>
          </w:p>
        </w:tc>
        <w:tc>
          <w:tcPr>
            <w:tcW w:w="571" w:type="dxa"/>
          </w:tcPr>
          <w:p>
            <w:pPr>
              <w:pStyle w:val="TableParagraph"/>
              <w:ind w:right="103"/>
              <w:rPr>
                <w:sz w:val="14"/>
              </w:rPr>
            </w:pPr>
            <w:r>
              <w:rPr>
                <w:w w:val="95"/>
                <w:sz w:val="14"/>
              </w:rPr>
              <w:t>469</w:t>
            </w:r>
          </w:p>
        </w:tc>
        <w:tc>
          <w:tcPr>
            <w:tcW w:w="572" w:type="dxa"/>
          </w:tcPr>
          <w:p>
            <w:pPr>
              <w:pStyle w:val="TableParagraph"/>
              <w:ind w:right="104"/>
              <w:rPr>
                <w:sz w:val="14"/>
              </w:rPr>
            </w:pPr>
            <w:r>
              <w:rPr>
                <w:w w:val="95"/>
                <w:sz w:val="14"/>
              </w:rPr>
              <w:t>465</w:t>
            </w:r>
          </w:p>
        </w:tc>
        <w:tc>
          <w:tcPr>
            <w:tcW w:w="799" w:type="dxa"/>
          </w:tcPr>
          <w:p>
            <w:pPr>
              <w:pStyle w:val="TableParagraph"/>
              <w:spacing w:line="160" w:lineRule="exact"/>
              <w:rPr>
                <w:b/>
                <w:sz w:val="14"/>
              </w:rPr>
            </w:pPr>
            <w:r>
              <w:rPr>
                <w:b/>
                <w:w w:val="95"/>
                <w:sz w:val="14"/>
              </w:rPr>
              <w:t>626.7</w:t>
            </w:r>
          </w:p>
        </w:tc>
        <w:tc>
          <w:tcPr>
            <w:tcW w:w="650" w:type="dxa"/>
          </w:tcPr>
          <w:p>
            <w:pPr>
              <w:pStyle w:val="TableParagraph"/>
              <w:ind w:right="103"/>
              <w:rPr>
                <w:sz w:val="14"/>
              </w:rPr>
            </w:pPr>
            <w:r>
              <w:rPr>
                <w:w w:val="95"/>
                <w:sz w:val="14"/>
              </w:rPr>
              <w:t>-2.60</w:t>
            </w:r>
          </w:p>
        </w:tc>
      </w:tr>
      <w:tr>
        <w:trPr>
          <w:trHeight w:val="209" w:hRule="exact"/>
        </w:trPr>
        <w:tc>
          <w:tcPr>
            <w:tcW w:w="903" w:type="dxa"/>
          </w:tcPr>
          <w:p>
            <w:pPr>
              <w:pStyle w:val="TableParagraph"/>
              <w:ind w:left="182" w:right="0"/>
              <w:jc w:val="left"/>
              <w:rPr>
                <w:sz w:val="14"/>
              </w:rPr>
            </w:pPr>
            <w:r>
              <w:rPr>
                <w:sz w:val="14"/>
              </w:rPr>
              <w:t>India</w:t>
            </w:r>
          </w:p>
        </w:tc>
        <w:tc>
          <w:tcPr>
            <w:tcW w:w="650" w:type="dxa"/>
          </w:tcPr>
          <w:p>
            <w:pPr>
              <w:pStyle w:val="TableParagraph"/>
              <w:ind w:right="103"/>
              <w:rPr>
                <w:sz w:val="14"/>
              </w:rPr>
            </w:pPr>
            <w:r>
              <w:rPr>
                <w:w w:val="95"/>
                <w:sz w:val="14"/>
              </w:rPr>
              <w:t>292</w:t>
            </w:r>
          </w:p>
        </w:tc>
        <w:tc>
          <w:tcPr>
            <w:tcW w:w="571" w:type="dxa"/>
          </w:tcPr>
          <w:p>
            <w:pPr>
              <w:pStyle w:val="TableParagraph"/>
              <w:ind w:right="103"/>
              <w:rPr>
                <w:sz w:val="14"/>
              </w:rPr>
            </w:pPr>
            <w:r>
              <w:rPr>
                <w:w w:val="95"/>
                <w:sz w:val="14"/>
              </w:rPr>
              <w:t>301</w:t>
            </w:r>
          </w:p>
        </w:tc>
        <w:tc>
          <w:tcPr>
            <w:tcW w:w="571" w:type="dxa"/>
          </w:tcPr>
          <w:p>
            <w:pPr>
              <w:pStyle w:val="TableParagraph"/>
              <w:ind w:left="224" w:right="83"/>
              <w:jc w:val="center"/>
              <w:rPr>
                <w:sz w:val="14"/>
              </w:rPr>
            </w:pPr>
            <w:r>
              <w:rPr>
                <w:sz w:val="14"/>
              </w:rPr>
              <w:t>301</w:t>
            </w:r>
          </w:p>
        </w:tc>
        <w:tc>
          <w:tcPr>
            <w:tcW w:w="569" w:type="dxa"/>
          </w:tcPr>
          <w:p>
            <w:pPr>
              <w:pStyle w:val="TableParagraph"/>
              <w:rPr>
                <w:sz w:val="14"/>
              </w:rPr>
            </w:pPr>
            <w:r>
              <w:rPr>
                <w:w w:val="95"/>
                <w:sz w:val="14"/>
              </w:rPr>
              <w:t>275</w:t>
            </w:r>
          </w:p>
        </w:tc>
        <w:tc>
          <w:tcPr>
            <w:tcW w:w="571" w:type="dxa"/>
          </w:tcPr>
          <w:p>
            <w:pPr>
              <w:pStyle w:val="TableParagraph"/>
              <w:rPr>
                <w:sz w:val="14"/>
              </w:rPr>
            </w:pPr>
            <w:r>
              <w:rPr>
                <w:w w:val="95"/>
                <w:sz w:val="14"/>
              </w:rPr>
              <w:t>271</w:t>
            </w:r>
          </w:p>
        </w:tc>
        <w:tc>
          <w:tcPr>
            <w:tcW w:w="571" w:type="dxa"/>
          </w:tcPr>
          <w:p>
            <w:pPr>
              <w:pStyle w:val="TableParagraph"/>
              <w:rPr>
                <w:sz w:val="14"/>
              </w:rPr>
            </w:pPr>
            <w:r>
              <w:rPr>
                <w:w w:val="95"/>
                <w:sz w:val="14"/>
              </w:rPr>
              <w:t>276</w:t>
            </w:r>
          </w:p>
        </w:tc>
        <w:tc>
          <w:tcPr>
            <w:tcW w:w="571" w:type="dxa"/>
          </w:tcPr>
          <w:p>
            <w:pPr>
              <w:pStyle w:val="TableParagraph"/>
              <w:rPr>
                <w:sz w:val="14"/>
              </w:rPr>
            </w:pPr>
            <w:r>
              <w:rPr>
                <w:w w:val="95"/>
                <w:sz w:val="14"/>
              </w:rPr>
              <w:t>274</w:t>
            </w:r>
          </w:p>
        </w:tc>
        <w:tc>
          <w:tcPr>
            <w:tcW w:w="571" w:type="dxa"/>
          </w:tcPr>
          <w:p>
            <w:pPr>
              <w:pStyle w:val="TableParagraph"/>
              <w:rPr>
                <w:sz w:val="14"/>
              </w:rPr>
            </w:pPr>
            <w:r>
              <w:rPr>
                <w:w w:val="95"/>
                <w:sz w:val="14"/>
              </w:rPr>
              <w:t>288</w:t>
            </w:r>
          </w:p>
        </w:tc>
        <w:tc>
          <w:tcPr>
            <w:tcW w:w="572" w:type="dxa"/>
          </w:tcPr>
          <w:p>
            <w:pPr>
              <w:pStyle w:val="TableParagraph"/>
              <w:rPr>
                <w:sz w:val="14"/>
              </w:rPr>
            </w:pPr>
            <w:r>
              <w:rPr>
                <w:w w:val="95"/>
                <w:sz w:val="14"/>
              </w:rPr>
              <w:t>262</w:t>
            </w:r>
          </w:p>
        </w:tc>
        <w:tc>
          <w:tcPr>
            <w:tcW w:w="571" w:type="dxa"/>
          </w:tcPr>
          <w:p>
            <w:pPr>
              <w:pStyle w:val="TableParagraph"/>
              <w:ind w:right="103"/>
              <w:rPr>
                <w:sz w:val="14"/>
              </w:rPr>
            </w:pPr>
            <w:r>
              <w:rPr>
                <w:w w:val="95"/>
                <w:sz w:val="14"/>
              </w:rPr>
              <w:t>262</w:t>
            </w:r>
          </w:p>
        </w:tc>
        <w:tc>
          <w:tcPr>
            <w:tcW w:w="571" w:type="dxa"/>
          </w:tcPr>
          <w:p>
            <w:pPr>
              <w:pStyle w:val="TableParagraph"/>
              <w:ind w:left="224" w:right="83"/>
              <w:jc w:val="center"/>
              <w:rPr>
                <w:sz w:val="14"/>
              </w:rPr>
            </w:pPr>
            <w:r>
              <w:rPr>
                <w:sz w:val="14"/>
              </w:rPr>
              <w:t>290</w:t>
            </w:r>
          </w:p>
        </w:tc>
        <w:tc>
          <w:tcPr>
            <w:tcW w:w="571" w:type="dxa"/>
          </w:tcPr>
          <w:p>
            <w:pPr>
              <w:pStyle w:val="TableParagraph"/>
              <w:ind w:right="103"/>
              <w:rPr>
                <w:sz w:val="14"/>
              </w:rPr>
            </w:pPr>
            <w:r>
              <w:rPr>
                <w:w w:val="95"/>
                <w:sz w:val="14"/>
              </w:rPr>
              <w:t>302</w:t>
            </w:r>
          </w:p>
        </w:tc>
        <w:tc>
          <w:tcPr>
            <w:tcW w:w="572" w:type="dxa"/>
          </w:tcPr>
          <w:p>
            <w:pPr>
              <w:pStyle w:val="TableParagraph"/>
              <w:ind w:right="104"/>
              <w:rPr>
                <w:sz w:val="14"/>
              </w:rPr>
            </w:pPr>
            <w:r>
              <w:rPr>
                <w:w w:val="95"/>
                <w:sz w:val="14"/>
              </w:rPr>
              <w:t>314</w:t>
            </w:r>
          </w:p>
        </w:tc>
        <w:tc>
          <w:tcPr>
            <w:tcW w:w="799" w:type="dxa"/>
          </w:tcPr>
          <w:p>
            <w:pPr>
              <w:pStyle w:val="TableParagraph"/>
              <w:spacing w:line="160" w:lineRule="exact"/>
              <w:rPr>
                <w:b/>
                <w:sz w:val="14"/>
              </w:rPr>
            </w:pPr>
            <w:r>
              <w:rPr>
                <w:b/>
                <w:w w:val="95"/>
                <w:sz w:val="14"/>
              </w:rPr>
              <w:t>285.2</w:t>
            </w:r>
          </w:p>
        </w:tc>
        <w:tc>
          <w:tcPr>
            <w:tcW w:w="650" w:type="dxa"/>
          </w:tcPr>
          <w:p>
            <w:pPr>
              <w:pStyle w:val="TableParagraph"/>
              <w:rPr>
                <w:sz w:val="14"/>
              </w:rPr>
            </w:pPr>
            <w:r>
              <w:rPr>
                <w:w w:val="95"/>
                <w:sz w:val="14"/>
              </w:rPr>
              <w:t>0.61</w:t>
            </w:r>
          </w:p>
        </w:tc>
      </w:tr>
      <w:tr>
        <w:trPr>
          <w:trHeight w:val="209" w:hRule="exact"/>
        </w:trPr>
        <w:tc>
          <w:tcPr>
            <w:tcW w:w="903" w:type="dxa"/>
          </w:tcPr>
          <w:p>
            <w:pPr>
              <w:pStyle w:val="TableParagraph"/>
              <w:ind w:left="182" w:right="0"/>
              <w:jc w:val="left"/>
              <w:rPr>
                <w:sz w:val="14"/>
              </w:rPr>
            </w:pPr>
            <w:r>
              <w:rPr>
                <w:sz w:val="14"/>
              </w:rPr>
              <w:t>México</w:t>
            </w:r>
          </w:p>
        </w:tc>
        <w:tc>
          <w:tcPr>
            <w:tcW w:w="650" w:type="dxa"/>
          </w:tcPr>
          <w:p>
            <w:pPr>
              <w:pStyle w:val="TableParagraph"/>
              <w:ind w:right="103"/>
              <w:rPr>
                <w:sz w:val="14"/>
              </w:rPr>
            </w:pPr>
            <w:r>
              <w:rPr>
                <w:w w:val="95"/>
                <w:sz w:val="14"/>
              </w:rPr>
              <w:t>338</w:t>
            </w:r>
          </w:p>
        </w:tc>
        <w:tc>
          <w:tcPr>
            <w:tcW w:w="571" w:type="dxa"/>
          </w:tcPr>
          <w:p>
            <w:pPr>
              <w:pStyle w:val="TableParagraph"/>
              <w:ind w:right="103"/>
              <w:rPr>
                <w:sz w:val="14"/>
              </w:rPr>
            </w:pPr>
            <w:r>
              <w:rPr>
                <w:w w:val="95"/>
                <w:sz w:val="14"/>
              </w:rPr>
              <w:t>303</w:t>
            </w:r>
          </w:p>
        </w:tc>
        <w:tc>
          <w:tcPr>
            <w:tcW w:w="571" w:type="dxa"/>
          </w:tcPr>
          <w:p>
            <w:pPr>
              <w:pStyle w:val="TableParagraph"/>
              <w:ind w:left="224" w:right="83"/>
              <w:jc w:val="center"/>
              <w:rPr>
                <w:sz w:val="14"/>
              </w:rPr>
            </w:pPr>
            <w:r>
              <w:rPr>
                <w:sz w:val="14"/>
              </w:rPr>
              <w:t>313</w:t>
            </w:r>
          </w:p>
        </w:tc>
        <w:tc>
          <w:tcPr>
            <w:tcW w:w="569" w:type="dxa"/>
          </w:tcPr>
          <w:p>
            <w:pPr>
              <w:pStyle w:val="TableParagraph"/>
              <w:rPr>
                <w:sz w:val="14"/>
              </w:rPr>
            </w:pPr>
            <w:r>
              <w:rPr>
                <w:w w:val="95"/>
                <w:sz w:val="14"/>
              </w:rPr>
              <w:t>311</w:t>
            </w:r>
          </w:p>
        </w:tc>
        <w:tc>
          <w:tcPr>
            <w:tcW w:w="571" w:type="dxa"/>
          </w:tcPr>
          <w:p>
            <w:pPr>
              <w:pStyle w:val="TableParagraph"/>
              <w:rPr>
                <w:sz w:val="14"/>
              </w:rPr>
            </w:pPr>
            <w:r>
              <w:rPr>
                <w:w w:val="95"/>
                <w:sz w:val="14"/>
              </w:rPr>
              <w:t>312</w:t>
            </w:r>
          </w:p>
        </w:tc>
        <w:tc>
          <w:tcPr>
            <w:tcW w:w="571" w:type="dxa"/>
          </w:tcPr>
          <w:p>
            <w:pPr>
              <w:pStyle w:val="TableParagraph"/>
              <w:rPr>
                <w:sz w:val="14"/>
              </w:rPr>
            </w:pPr>
            <w:r>
              <w:rPr>
                <w:w w:val="95"/>
                <w:sz w:val="14"/>
              </w:rPr>
              <w:t>294</w:t>
            </w:r>
          </w:p>
        </w:tc>
        <w:tc>
          <w:tcPr>
            <w:tcW w:w="571" w:type="dxa"/>
          </w:tcPr>
          <w:p>
            <w:pPr>
              <w:pStyle w:val="TableParagraph"/>
              <w:rPr>
                <w:sz w:val="14"/>
              </w:rPr>
            </w:pPr>
            <w:r>
              <w:rPr>
                <w:w w:val="95"/>
                <w:sz w:val="14"/>
              </w:rPr>
              <w:t>280</w:t>
            </w:r>
          </w:p>
        </w:tc>
        <w:tc>
          <w:tcPr>
            <w:tcW w:w="571" w:type="dxa"/>
          </w:tcPr>
          <w:p>
            <w:pPr>
              <w:pStyle w:val="TableParagraph"/>
              <w:rPr>
                <w:sz w:val="14"/>
              </w:rPr>
            </w:pPr>
            <w:r>
              <w:rPr>
                <w:w w:val="95"/>
                <w:sz w:val="14"/>
              </w:rPr>
              <w:t>269</w:t>
            </w:r>
          </w:p>
        </w:tc>
        <w:tc>
          <w:tcPr>
            <w:tcW w:w="572" w:type="dxa"/>
          </w:tcPr>
          <w:p>
            <w:pPr>
              <w:pStyle w:val="TableParagraph"/>
              <w:rPr>
                <w:sz w:val="14"/>
              </w:rPr>
            </w:pPr>
            <w:r>
              <w:rPr>
                <w:w w:val="95"/>
                <w:sz w:val="14"/>
              </w:rPr>
              <w:t>260</w:t>
            </w:r>
          </w:p>
        </w:tc>
        <w:tc>
          <w:tcPr>
            <w:tcW w:w="571" w:type="dxa"/>
          </w:tcPr>
          <w:p>
            <w:pPr>
              <w:pStyle w:val="TableParagraph"/>
              <w:ind w:right="103"/>
              <w:rPr>
                <w:sz w:val="14"/>
              </w:rPr>
            </w:pPr>
            <w:r>
              <w:rPr>
                <w:w w:val="95"/>
                <w:sz w:val="14"/>
              </w:rPr>
              <w:t>264</w:t>
            </w:r>
          </w:p>
        </w:tc>
        <w:tc>
          <w:tcPr>
            <w:tcW w:w="571" w:type="dxa"/>
          </w:tcPr>
          <w:p>
            <w:pPr>
              <w:pStyle w:val="TableParagraph"/>
              <w:ind w:left="224" w:right="83"/>
              <w:jc w:val="center"/>
              <w:rPr>
                <w:sz w:val="14"/>
              </w:rPr>
            </w:pPr>
            <w:r>
              <w:rPr>
                <w:sz w:val="14"/>
              </w:rPr>
              <w:t>245</w:t>
            </w:r>
          </w:p>
        </w:tc>
        <w:tc>
          <w:tcPr>
            <w:tcW w:w="571" w:type="dxa"/>
          </w:tcPr>
          <w:p>
            <w:pPr>
              <w:pStyle w:val="TableParagraph"/>
              <w:ind w:right="103"/>
              <w:rPr>
                <w:sz w:val="14"/>
              </w:rPr>
            </w:pPr>
            <w:r>
              <w:rPr>
                <w:w w:val="95"/>
                <w:sz w:val="14"/>
              </w:rPr>
              <w:t>237</w:t>
            </w:r>
          </w:p>
        </w:tc>
        <w:tc>
          <w:tcPr>
            <w:tcW w:w="572" w:type="dxa"/>
          </w:tcPr>
          <w:p>
            <w:pPr>
              <w:pStyle w:val="TableParagraph"/>
              <w:ind w:right="104"/>
              <w:rPr>
                <w:sz w:val="14"/>
              </w:rPr>
            </w:pPr>
            <w:r>
              <w:rPr>
                <w:w w:val="95"/>
                <w:sz w:val="14"/>
              </w:rPr>
              <w:t>246</w:t>
            </w:r>
          </w:p>
        </w:tc>
        <w:tc>
          <w:tcPr>
            <w:tcW w:w="799" w:type="dxa"/>
          </w:tcPr>
          <w:p>
            <w:pPr>
              <w:pStyle w:val="TableParagraph"/>
              <w:spacing w:line="160" w:lineRule="exact"/>
              <w:rPr>
                <w:b/>
                <w:sz w:val="14"/>
              </w:rPr>
            </w:pPr>
            <w:r>
              <w:rPr>
                <w:b/>
                <w:w w:val="95"/>
                <w:sz w:val="14"/>
              </w:rPr>
              <w:t>283.6</w:t>
            </w:r>
          </w:p>
        </w:tc>
        <w:tc>
          <w:tcPr>
            <w:tcW w:w="650" w:type="dxa"/>
          </w:tcPr>
          <w:p>
            <w:pPr>
              <w:pStyle w:val="TableParagraph"/>
              <w:ind w:right="103"/>
              <w:rPr>
                <w:sz w:val="14"/>
              </w:rPr>
            </w:pPr>
            <w:r>
              <w:rPr>
                <w:w w:val="95"/>
                <w:sz w:val="14"/>
              </w:rPr>
              <w:t>-2.61</w:t>
            </w:r>
          </w:p>
        </w:tc>
      </w:tr>
      <w:tr>
        <w:trPr>
          <w:trHeight w:val="206" w:hRule="exact"/>
        </w:trPr>
        <w:tc>
          <w:tcPr>
            <w:tcW w:w="903" w:type="dxa"/>
          </w:tcPr>
          <w:p>
            <w:pPr>
              <w:pStyle w:val="TableParagraph"/>
              <w:ind w:left="182" w:right="0"/>
              <w:jc w:val="left"/>
              <w:rPr>
                <w:sz w:val="14"/>
              </w:rPr>
            </w:pPr>
            <w:r>
              <w:rPr>
                <w:sz w:val="14"/>
              </w:rPr>
              <w:t>Guatemala</w:t>
            </w:r>
          </w:p>
        </w:tc>
        <w:tc>
          <w:tcPr>
            <w:tcW w:w="650" w:type="dxa"/>
          </w:tcPr>
          <w:p>
            <w:pPr>
              <w:pStyle w:val="TableParagraph"/>
              <w:ind w:right="103"/>
              <w:rPr>
                <w:sz w:val="14"/>
              </w:rPr>
            </w:pPr>
            <w:r>
              <w:rPr>
                <w:sz w:val="14"/>
              </w:rPr>
              <w:t>312</w:t>
            </w:r>
          </w:p>
        </w:tc>
        <w:tc>
          <w:tcPr>
            <w:tcW w:w="571" w:type="dxa"/>
          </w:tcPr>
          <w:p>
            <w:pPr>
              <w:pStyle w:val="TableParagraph"/>
              <w:ind w:right="103"/>
              <w:rPr>
                <w:sz w:val="14"/>
              </w:rPr>
            </w:pPr>
            <w:r>
              <w:rPr>
                <w:w w:val="95"/>
                <w:sz w:val="14"/>
              </w:rPr>
              <w:t>276</w:t>
            </w:r>
          </w:p>
        </w:tc>
        <w:tc>
          <w:tcPr>
            <w:tcW w:w="571" w:type="dxa"/>
          </w:tcPr>
          <w:p>
            <w:pPr>
              <w:pStyle w:val="TableParagraph"/>
              <w:ind w:left="224" w:right="83"/>
              <w:jc w:val="center"/>
              <w:rPr>
                <w:sz w:val="14"/>
              </w:rPr>
            </w:pPr>
            <w:r>
              <w:rPr>
                <w:sz w:val="14"/>
              </w:rPr>
              <w:t>222</w:t>
            </w:r>
          </w:p>
        </w:tc>
        <w:tc>
          <w:tcPr>
            <w:tcW w:w="569" w:type="dxa"/>
          </w:tcPr>
          <w:p>
            <w:pPr>
              <w:pStyle w:val="TableParagraph"/>
              <w:rPr>
                <w:sz w:val="14"/>
              </w:rPr>
            </w:pPr>
            <w:r>
              <w:rPr>
                <w:w w:val="95"/>
                <w:sz w:val="14"/>
              </w:rPr>
              <w:t>244</w:t>
            </w:r>
          </w:p>
        </w:tc>
        <w:tc>
          <w:tcPr>
            <w:tcW w:w="571" w:type="dxa"/>
          </w:tcPr>
          <w:p>
            <w:pPr>
              <w:pStyle w:val="TableParagraph"/>
              <w:rPr>
                <w:sz w:val="14"/>
              </w:rPr>
            </w:pPr>
            <w:r>
              <w:rPr>
                <w:w w:val="95"/>
                <w:sz w:val="14"/>
              </w:rPr>
              <w:t>250</w:t>
            </w:r>
          </w:p>
        </w:tc>
        <w:tc>
          <w:tcPr>
            <w:tcW w:w="571" w:type="dxa"/>
          </w:tcPr>
          <w:p>
            <w:pPr>
              <w:pStyle w:val="TableParagraph"/>
              <w:rPr>
                <w:sz w:val="14"/>
              </w:rPr>
            </w:pPr>
            <w:r>
              <w:rPr>
                <w:w w:val="95"/>
                <w:sz w:val="14"/>
              </w:rPr>
              <w:t>248</w:t>
            </w:r>
          </w:p>
        </w:tc>
        <w:tc>
          <w:tcPr>
            <w:tcW w:w="571" w:type="dxa"/>
          </w:tcPr>
          <w:p>
            <w:pPr>
              <w:pStyle w:val="TableParagraph"/>
              <w:rPr>
                <w:sz w:val="14"/>
              </w:rPr>
            </w:pPr>
            <w:r>
              <w:rPr>
                <w:w w:val="95"/>
                <w:sz w:val="14"/>
              </w:rPr>
              <w:t>235</w:t>
            </w:r>
          </w:p>
        </w:tc>
        <w:tc>
          <w:tcPr>
            <w:tcW w:w="571" w:type="dxa"/>
          </w:tcPr>
          <w:p>
            <w:pPr>
              <w:pStyle w:val="TableParagraph"/>
              <w:rPr>
                <w:sz w:val="14"/>
              </w:rPr>
            </w:pPr>
            <w:r>
              <w:rPr>
                <w:w w:val="95"/>
                <w:sz w:val="14"/>
              </w:rPr>
              <w:t>244</w:t>
            </w:r>
          </w:p>
        </w:tc>
        <w:tc>
          <w:tcPr>
            <w:tcW w:w="572" w:type="dxa"/>
          </w:tcPr>
          <w:p>
            <w:pPr>
              <w:pStyle w:val="TableParagraph"/>
              <w:rPr>
                <w:sz w:val="14"/>
              </w:rPr>
            </w:pPr>
            <w:r>
              <w:rPr>
                <w:w w:val="95"/>
                <w:sz w:val="14"/>
              </w:rPr>
              <w:t>248</w:t>
            </w:r>
          </w:p>
        </w:tc>
        <w:tc>
          <w:tcPr>
            <w:tcW w:w="571" w:type="dxa"/>
          </w:tcPr>
          <w:p>
            <w:pPr>
              <w:pStyle w:val="TableParagraph"/>
              <w:ind w:right="103"/>
              <w:rPr>
                <w:sz w:val="14"/>
              </w:rPr>
            </w:pPr>
            <w:r>
              <w:rPr>
                <w:w w:val="95"/>
                <w:sz w:val="14"/>
              </w:rPr>
              <w:t>249</w:t>
            </w:r>
          </w:p>
        </w:tc>
        <w:tc>
          <w:tcPr>
            <w:tcW w:w="571" w:type="dxa"/>
          </w:tcPr>
          <w:p>
            <w:pPr>
              <w:pStyle w:val="TableParagraph"/>
              <w:ind w:left="224" w:right="83"/>
              <w:jc w:val="center"/>
              <w:rPr>
                <w:sz w:val="14"/>
              </w:rPr>
            </w:pPr>
            <w:r>
              <w:rPr>
                <w:sz w:val="14"/>
              </w:rPr>
              <w:t>248</w:t>
            </w:r>
          </w:p>
        </w:tc>
        <w:tc>
          <w:tcPr>
            <w:tcW w:w="571" w:type="dxa"/>
          </w:tcPr>
          <w:p>
            <w:pPr>
              <w:pStyle w:val="TableParagraph"/>
              <w:ind w:right="103"/>
              <w:rPr>
                <w:sz w:val="14"/>
              </w:rPr>
            </w:pPr>
            <w:r>
              <w:rPr>
                <w:w w:val="95"/>
                <w:sz w:val="14"/>
              </w:rPr>
              <w:t>243</w:t>
            </w:r>
          </w:p>
        </w:tc>
        <w:tc>
          <w:tcPr>
            <w:tcW w:w="572" w:type="dxa"/>
          </w:tcPr>
          <w:p>
            <w:pPr>
              <w:pStyle w:val="TableParagraph"/>
              <w:ind w:right="104"/>
              <w:rPr>
                <w:sz w:val="14"/>
              </w:rPr>
            </w:pPr>
            <w:r>
              <w:rPr>
                <w:w w:val="95"/>
                <w:sz w:val="14"/>
              </w:rPr>
              <w:t>248</w:t>
            </w:r>
          </w:p>
        </w:tc>
        <w:tc>
          <w:tcPr>
            <w:tcW w:w="799" w:type="dxa"/>
          </w:tcPr>
          <w:p>
            <w:pPr>
              <w:pStyle w:val="TableParagraph"/>
              <w:spacing w:line="160" w:lineRule="exact"/>
              <w:rPr>
                <w:b/>
                <w:sz w:val="14"/>
              </w:rPr>
            </w:pPr>
            <w:r>
              <w:rPr>
                <w:b/>
                <w:w w:val="95"/>
                <w:sz w:val="14"/>
              </w:rPr>
              <w:t>251.3</w:t>
            </w:r>
          </w:p>
        </w:tc>
        <w:tc>
          <w:tcPr>
            <w:tcW w:w="650" w:type="dxa"/>
          </w:tcPr>
          <w:p>
            <w:pPr>
              <w:pStyle w:val="TableParagraph"/>
              <w:ind w:right="103"/>
              <w:rPr>
                <w:sz w:val="14"/>
              </w:rPr>
            </w:pPr>
            <w:r>
              <w:rPr>
                <w:w w:val="95"/>
                <w:sz w:val="14"/>
              </w:rPr>
              <w:t>-1.90</w:t>
            </w:r>
          </w:p>
        </w:tc>
      </w:tr>
      <w:tr>
        <w:trPr>
          <w:trHeight w:val="209" w:hRule="exact"/>
        </w:trPr>
        <w:tc>
          <w:tcPr>
            <w:tcW w:w="903" w:type="dxa"/>
          </w:tcPr>
          <w:p>
            <w:pPr>
              <w:pStyle w:val="TableParagraph"/>
              <w:ind w:left="182" w:right="0"/>
              <w:jc w:val="left"/>
              <w:rPr>
                <w:sz w:val="14"/>
              </w:rPr>
            </w:pPr>
            <w:r>
              <w:rPr>
                <w:sz w:val="14"/>
              </w:rPr>
              <w:t>Perú</w:t>
            </w:r>
          </w:p>
        </w:tc>
        <w:tc>
          <w:tcPr>
            <w:tcW w:w="650" w:type="dxa"/>
          </w:tcPr>
          <w:p>
            <w:pPr>
              <w:pStyle w:val="TableParagraph"/>
              <w:ind w:right="103"/>
              <w:rPr>
                <w:sz w:val="14"/>
              </w:rPr>
            </w:pPr>
            <w:r>
              <w:rPr>
                <w:sz w:val="14"/>
              </w:rPr>
              <w:t>192</w:t>
            </w:r>
          </w:p>
        </w:tc>
        <w:tc>
          <w:tcPr>
            <w:tcW w:w="571" w:type="dxa"/>
          </w:tcPr>
          <w:p>
            <w:pPr>
              <w:pStyle w:val="TableParagraph"/>
              <w:ind w:right="103"/>
              <w:rPr>
                <w:sz w:val="14"/>
              </w:rPr>
            </w:pPr>
            <w:r>
              <w:rPr>
                <w:w w:val="95"/>
                <w:sz w:val="14"/>
              </w:rPr>
              <w:t>196</w:t>
            </w:r>
          </w:p>
        </w:tc>
        <w:tc>
          <w:tcPr>
            <w:tcW w:w="571" w:type="dxa"/>
          </w:tcPr>
          <w:p>
            <w:pPr>
              <w:pStyle w:val="TableParagraph"/>
              <w:ind w:left="224" w:right="83"/>
              <w:jc w:val="center"/>
              <w:rPr>
                <w:sz w:val="14"/>
              </w:rPr>
            </w:pPr>
            <w:r>
              <w:rPr>
                <w:sz w:val="14"/>
              </w:rPr>
              <w:t>213</w:t>
            </w:r>
          </w:p>
        </w:tc>
        <w:tc>
          <w:tcPr>
            <w:tcW w:w="569" w:type="dxa"/>
          </w:tcPr>
          <w:p>
            <w:pPr>
              <w:pStyle w:val="TableParagraph"/>
              <w:rPr>
                <w:sz w:val="14"/>
              </w:rPr>
            </w:pPr>
            <w:r>
              <w:rPr>
                <w:w w:val="95"/>
                <w:sz w:val="14"/>
              </w:rPr>
              <w:t>203</w:t>
            </w:r>
          </w:p>
        </w:tc>
        <w:tc>
          <w:tcPr>
            <w:tcW w:w="571" w:type="dxa"/>
          </w:tcPr>
          <w:p>
            <w:pPr>
              <w:pStyle w:val="TableParagraph"/>
              <w:rPr>
                <w:sz w:val="14"/>
              </w:rPr>
            </w:pPr>
            <w:r>
              <w:rPr>
                <w:w w:val="95"/>
                <w:sz w:val="14"/>
              </w:rPr>
              <w:t>231</w:t>
            </w:r>
          </w:p>
        </w:tc>
        <w:tc>
          <w:tcPr>
            <w:tcW w:w="571" w:type="dxa"/>
          </w:tcPr>
          <w:p>
            <w:pPr>
              <w:pStyle w:val="TableParagraph"/>
              <w:rPr>
                <w:sz w:val="14"/>
              </w:rPr>
            </w:pPr>
            <w:r>
              <w:rPr>
                <w:w w:val="95"/>
                <w:sz w:val="14"/>
              </w:rPr>
              <w:t>189</w:t>
            </w:r>
          </w:p>
        </w:tc>
        <w:tc>
          <w:tcPr>
            <w:tcW w:w="571" w:type="dxa"/>
          </w:tcPr>
          <w:p>
            <w:pPr>
              <w:pStyle w:val="TableParagraph"/>
              <w:rPr>
                <w:sz w:val="14"/>
              </w:rPr>
            </w:pPr>
            <w:r>
              <w:rPr>
                <w:w w:val="95"/>
                <w:sz w:val="14"/>
              </w:rPr>
              <w:t>273</w:t>
            </w:r>
          </w:p>
        </w:tc>
        <w:tc>
          <w:tcPr>
            <w:tcW w:w="571" w:type="dxa"/>
          </w:tcPr>
          <w:p>
            <w:pPr>
              <w:pStyle w:val="TableParagraph"/>
              <w:rPr>
                <w:sz w:val="14"/>
              </w:rPr>
            </w:pPr>
            <w:r>
              <w:rPr>
                <w:w w:val="95"/>
                <w:sz w:val="14"/>
              </w:rPr>
              <w:t>226</w:t>
            </w:r>
          </w:p>
        </w:tc>
        <w:tc>
          <w:tcPr>
            <w:tcW w:w="572" w:type="dxa"/>
          </w:tcPr>
          <w:p>
            <w:pPr>
              <w:pStyle w:val="TableParagraph"/>
              <w:rPr>
                <w:sz w:val="14"/>
              </w:rPr>
            </w:pPr>
            <w:r>
              <w:rPr>
                <w:w w:val="95"/>
                <w:sz w:val="14"/>
              </w:rPr>
              <w:t>274</w:t>
            </w:r>
          </w:p>
        </w:tc>
        <w:tc>
          <w:tcPr>
            <w:tcW w:w="571" w:type="dxa"/>
          </w:tcPr>
          <w:p>
            <w:pPr>
              <w:pStyle w:val="TableParagraph"/>
              <w:ind w:right="103"/>
              <w:rPr>
                <w:sz w:val="14"/>
              </w:rPr>
            </w:pPr>
            <w:r>
              <w:rPr>
                <w:w w:val="95"/>
                <w:sz w:val="14"/>
              </w:rPr>
              <w:t>243</w:t>
            </w:r>
          </w:p>
        </w:tc>
        <w:tc>
          <w:tcPr>
            <w:tcW w:w="571" w:type="dxa"/>
          </w:tcPr>
          <w:p>
            <w:pPr>
              <w:pStyle w:val="TableParagraph"/>
              <w:ind w:left="224" w:right="83"/>
              <w:jc w:val="center"/>
              <w:rPr>
                <w:sz w:val="14"/>
              </w:rPr>
            </w:pPr>
            <w:r>
              <w:rPr>
                <w:sz w:val="14"/>
              </w:rPr>
              <w:t>265</w:t>
            </w:r>
          </w:p>
        </w:tc>
        <w:tc>
          <w:tcPr>
            <w:tcW w:w="571" w:type="dxa"/>
          </w:tcPr>
          <w:p>
            <w:pPr>
              <w:pStyle w:val="TableParagraph"/>
              <w:ind w:right="103"/>
              <w:rPr>
                <w:sz w:val="14"/>
              </w:rPr>
            </w:pPr>
            <w:r>
              <w:rPr>
                <w:w w:val="95"/>
                <w:sz w:val="14"/>
              </w:rPr>
              <w:t>332</w:t>
            </w:r>
          </w:p>
        </w:tc>
        <w:tc>
          <w:tcPr>
            <w:tcW w:w="572" w:type="dxa"/>
          </w:tcPr>
          <w:p>
            <w:pPr>
              <w:pStyle w:val="TableParagraph"/>
              <w:ind w:right="104"/>
              <w:rPr>
                <w:sz w:val="14"/>
              </w:rPr>
            </w:pPr>
            <w:r>
              <w:rPr>
                <w:w w:val="95"/>
                <w:sz w:val="14"/>
              </w:rPr>
              <w:t>303</w:t>
            </w:r>
          </w:p>
        </w:tc>
        <w:tc>
          <w:tcPr>
            <w:tcW w:w="799" w:type="dxa"/>
          </w:tcPr>
          <w:p>
            <w:pPr>
              <w:pStyle w:val="TableParagraph"/>
              <w:spacing w:line="160" w:lineRule="exact"/>
              <w:rPr>
                <w:b/>
                <w:sz w:val="14"/>
              </w:rPr>
            </w:pPr>
            <w:r>
              <w:rPr>
                <w:b/>
                <w:w w:val="95"/>
                <w:sz w:val="14"/>
              </w:rPr>
              <w:t>242.5</w:t>
            </w:r>
          </w:p>
        </w:tc>
        <w:tc>
          <w:tcPr>
            <w:tcW w:w="650" w:type="dxa"/>
          </w:tcPr>
          <w:p>
            <w:pPr>
              <w:pStyle w:val="TableParagraph"/>
              <w:rPr>
                <w:sz w:val="14"/>
              </w:rPr>
            </w:pPr>
            <w:r>
              <w:rPr>
                <w:w w:val="95"/>
                <w:sz w:val="14"/>
              </w:rPr>
              <w:t>3.90</w:t>
            </w:r>
          </w:p>
        </w:tc>
      </w:tr>
      <w:tr>
        <w:trPr>
          <w:trHeight w:val="209" w:hRule="exact"/>
        </w:trPr>
        <w:tc>
          <w:tcPr>
            <w:tcW w:w="903" w:type="dxa"/>
          </w:tcPr>
          <w:p>
            <w:pPr>
              <w:pStyle w:val="TableParagraph"/>
              <w:ind w:left="182" w:right="0"/>
              <w:jc w:val="left"/>
              <w:rPr>
                <w:sz w:val="14"/>
              </w:rPr>
            </w:pPr>
            <w:r>
              <w:rPr>
                <w:sz w:val="14"/>
              </w:rPr>
              <w:t>Etiopía</w:t>
            </w:r>
          </w:p>
        </w:tc>
        <w:tc>
          <w:tcPr>
            <w:tcW w:w="650" w:type="dxa"/>
          </w:tcPr>
          <w:p>
            <w:pPr>
              <w:pStyle w:val="TableParagraph"/>
              <w:ind w:right="103"/>
              <w:rPr>
                <w:sz w:val="14"/>
              </w:rPr>
            </w:pPr>
            <w:r>
              <w:rPr>
                <w:sz w:val="14"/>
              </w:rPr>
              <w:t>230</w:t>
            </w:r>
          </w:p>
        </w:tc>
        <w:tc>
          <w:tcPr>
            <w:tcW w:w="571" w:type="dxa"/>
          </w:tcPr>
          <w:p>
            <w:pPr>
              <w:pStyle w:val="TableParagraph"/>
              <w:ind w:right="103"/>
              <w:rPr>
                <w:sz w:val="14"/>
              </w:rPr>
            </w:pPr>
            <w:r>
              <w:rPr>
                <w:w w:val="95"/>
                <w:sz w:val="14"/>
              </w:rPr>
              <w:t>157</w:t>
            </w:r>
          </w:p>
        </w:tc>
        <w:tc>
          <w:tcPr>
            <w:tcW w:w="571" w:type="dxa"/>
          </w:tcPr>
          <w:p>
            <w:pPr>
              <w:pStyle w:val="TableParagraph"/>
              <w:ind w:left="224" w:right="83"/>
              <w:jc w:val="center"/>
              <w:rPr>
                <w:sz w:val="14"/>
              </w:rPr>
            </w:pPr>
            <w:r>
              <w:rPr>
                <w:sz w:val="14"/>
              </w:rPr>
              <w:t>160</w:t>
            </w:r>
          </w:p>
        </w:tc>
        <w:tc>
          <w:tcPr>
            <w:tcW w:w="569" w:type="dxa"/>
          </w:tcPr>
          <w:p>
            <w:pPr>
              <w:pStyle w:val="TableParagraph"/>
              <w:rPr>
                <w:sz w:val="14"/>
              </w:rPr>
            </w:pPr>
            <w:r>
              <w:rPr>
                <w:w w:val="95"/>
                <w:sz w:val="14"/>
              </w:rPr>
              <w:t>126</w:t>
            </w:r>
          </w:p>
        </w:tc>
        <w:tc>
          <w:tcPr>
            <w:tcW w:w="571" w:type="dxa"/>
          </w:tcPr>
          <w:p>
            <w:pPr>
              <w:pStyle w:val="TableParagraph"/>
              <w:rPr>
                <w:sz w:val="14"/>
              </w:rPr>
            </w:pPr>
            <w:r>
              <w:rPr>
                <w:w w:val="95"/>
                <w:sz w:val="14"/>
              </w:rPr>
              <w:t>156</w:t>
            </w:r>
          </w:p>
        </w:tc>
        <w:tc>
          <w:tcPr>
            <w:tcW w:w="571" w:type="dxa"/>
          </w:tcPr>
          <w:p>
            <w:pPr>
              <w:pStyle w:val="TableParagraph"/>
              <w:rPr>
                <w:sz w:val="14"/>
              </w:rPr>
            </w:pPr>
            <w:r>
              <w:rPr>
                <w:w w:val="95"/>
                <w:sz w:val="14"/>
              </w:rPr>
              <w:t>172</w:t>
            </w:r>
          </w:p>
        </w:tc>
        <w:tc>
          <w:tcPr>
            <w:tcW w:w="571" w:type="dxa"/>
          </w:tcPr>
          <w:p>
            <w:pPr>
              <w:pStyle w:val="TableParagraph"/>
              <w:rPr>
                <w:sz w:val="14"/>
              </w:rPr>
            </w:pPr>
            <w:r>
              <w:rPr>
                <w:w w:val="95"/>
                <w:sz w:val="14"/>
              </w:rPr>
              <w:t>241</w:t>
            </w:r>
          </w:p>
        </w:tc>
        <w:tc>
          <w:tcPr>
            <w:tcW w:w="571" w:type="dxa"/>
          </w:tcPr>
          <w:p>
            <w:pPr>
              <w:pStyle w:val="TableParagraph"/>
              <w:rPr>
                <w:sz w:val="14"/>
              </w:rPr>
            </w:pPr>
            <w:r>
              <w:rPr>
                <w:w w:val="95"/>
                <w:sz w:val="14"/>
              </w:rPr>
              <w:t>273</w:t>
            </w:r>
          </w:p>
        </w:tc>
        <w:tc>
          <w:tcPr>
            <w:tcW w:w="572" w:type="dxa"/>
          </w:tcPr>
          <w:p>
            <w:pPr>
              <w:pStyle w:val="TableParagraph"/>
              <w:rPr>
                <w:sz w:val="14"/>
              </w:rPr>
            </w:pPr>
            <w:r>
              <w:rPr>
                <w:w w:val="95"/>
                <w:sz w:val="14"/>
              </w:rPr>
              <w:t>260</w:t>
            </w:r>
          </w:p>
        </w:tc>
        <w:tc>
          <w:tcPr>
            <w:tcW w:w="571" w:type="dxa"/>
          </w:tcPr>
          <w:p>
            <w:pPr>
              <w:pStyle w:val="TableParagraph"/>
              <w:ind w:right="103"/>
              <w:rPr>
                <w:sz w:val="14"/>
              </w:rPr>
            </w:pPr>
            <w:r>
              <w:rPr>
                <w:w w:val="95"/>
                <w:sz w:val="14"/>
              </w:rPr>
              <w:t>265</w:t>
            </w:r>
          </w:p>
        </w:tc>
        <w:tc>
          <w:tcPr>
            <w:tcW w:w="571" w:type="dxa"/>
          </w:tcPr>
          <w:p>
            <w:pPr>
              <w:pStyle w:val="TableParagraph"/>
              <w:ind w:left="224" w:right="83"/>
              <w:jc w:val="center"/>
              <w:rPr>
                <w:sz w:val="14"/>
              </w:rPr>
            </w:pPr>
            <w:r>
              <w:rPr>
                <w:sz w:val="14"/>
              </w:rPr>
              <w:t>371</w:t>
            </w:r>
          </w:p>
        </w:tc>
        <w:tc>
          <w:tcPr>
            <w:tcW w:w="571" w:type="dxa"/>
          </w:tcPr>
          <w:p>
            <w:pPr>
              <w:pStyle w:val="TableParagraph"/>
              <w:ind w:right="103"/>
              <w:rPr>
                <w:sz w:val="14"/>
              </w:rPr>
            </w:pPr>
            <w:r>
              <w:rPr>
                <w:w w:val="95"/>
                <w:sz w:val="14"/>
              </w:rPr>
              <w:t>377</w:t>
            </w:r>
          </w:p>
        </w:tc>
        <w:tc>
          <w:tcPr>
            <w:tcW w:w="572" w:type="dxa"/>
          </w:tcPr>
          <w:p>
            <w:pPr>
              <w:pStyle w:val="TableParagraph"/>
              <w:ind w:right="104"/>
              <w:rPr>
                <w:sz w:val="14"/>
              </w:rPr>
            </w:pPr>
            <w:r>
              <w:rPr>
                <w:w w:val="95"/>
                <w:sz w:val="14"/>
              </w:rPr>
              <w:t>276</w:t>
            </w:r>
          </w:p>
        </w:tc>
        <w:tc>
          <w:tcPr>
            <w:tcW w:w="799" w:type="dxa"/>
          </w:tcPr>
          <w:p>
            <w:pPr>
              <w:pStyle w:val="TableParagraph"/>
              <w:spacing w:line="160" w:lineRule="exact"/>
              <w:rPr>
                <w:b/>
                <w:sz w:val="14"/>
              </w:rPr>
            </w:pPr>
            <w:r>
              <w:rPr>
                <w:b/>
                <w:w w:val="95"/>
                <w:sz w:val="14"/>
              </w:rPr>
              <w:t>236.7</w:t>
            </w:r>
          </w:p>
        </w:tc>
        <w:tc>
          <w:tcPr>
            <w:tcW w:w="650" w:type="dxa"/>
          </w:tcPr>
          <w:p>
            <w:pPr>
              <w:pStyle w:val="TableParagraph"/>
              <w:rPr>
                <w:sz w:val="14"/>
              </w:rPr>
            </w:pPr>
            <w:r>
              <w:rPr>
                <w:w w:val="95"/>
                <w:sz w:val="14"/>
              </w:rPr>
              <w:t>1.52</w:t>
            </w:r>
          </w:p>
        </w:tc>
      </w:tr>
      <w:tr>
        <w:trPr>
          <w:trHeight w:val="206" w:hRule="exact"/>
        </w:trPr>
        <w:tc>
          <w:tcPr>
            <w:tcW w:w="903" w:type="dxa"/>
          </w:tcPr>
          <w:p>
            <w:pPr>
              <w:pStyle w:val="TableParagraph"/>
              <w:ind w:left="182" w:right="0"/>
              <w:jc w:val="left"/>
              <w:rPr>
                <w:sz w:val="14"/>
              </w:rPr>
            </w:pPr>
            <w:r>
              <w:rPr>
                <w:sz w:val="14"/>
              </w:rPr>
              <w:t>Honduras</w:t>
            </w:r>
          </w:p>
        </w:tc>
        <w:tc>
          <w:tcPr>
            <w:tcW w:w="650" w:type="dxa"/>
          </w:tcPr>
          <w:p>
            <w:pPr>
              <w:pStyle w:val="TableParagraph"/>
              <w:ind w:right="103"/>
              <w:rPr>
                <w:sz w:val="14"/>
              </w:rPr>
            </w:pPr>
            <w:r>
              <w:rPr>
                <w:sz w:val="14"/>
              </w:rPr>
              <w:t>193</w:t>
            </w:r>
          </w:p>
        </w:tc>
        <w:tc>
          <w:tcPr>
            <w:tcW w:w="571" w:type="dxa"/>
          </w:tcPr>
          <w:p>
            <w:pPr>
              <w:pStyle w:val="TableParagraph"/>
              <w:ind w:right="103"/>
              <w:rPr>
                <w:sz w:val="14"/>
              </w:rPr>
            </w:pPr>
            <w:r>
              <w:rPr>
                <w:w w:val="95"/>
                <w:sz w:val="14"/>
              </w:rPr>
              <w:t>206</w:t>
            </w:r>
          </w:p>
        </w:tc>
        <w:tc>
          <w:tcPr>
            <w:tcW w:w="571" w:type="dxa"/>
          </w:tcPr>
          <w:p>
            <w:pPr>
              <w:pStyle w:val="TableParagraph"/>
              <w:ind w:left="224" w:right="83"/>
              <w:jc w:val="center"/>
              <w:rPr>
                <w:sz w:val="14"/>
              </w:rPr>
            </w:pPr>
            <w:r>
              <w:rPr>
                <w:sz w:val="14"/>
              </w:rPr>
              <w:t>173</w:t>
            </w:r>
          </w:p>
        </w:tc>
        <w:tc>
          <w:tcPr>
            <w:tcW w:w="569" w:type="dxa"/>
          </w:tcPr>
          <w:p>
            <w:pPr>
              <w:pStyle w:val="TableParagraph"/>
              <w:rPr>
                <w:sz w:val="14"/>
              </w:rPr>
            </w:pPr>
            <w:r>
              <w:rPr>
                <w:w w:val="95"/>
                <w:sz w:val="14"/>
              </w:rPr>
              <w:t>175</w:t>
            </w:r>
          </w:p>
        </w:tc>
        <w:tc>
          <w:tcPr>
            <w:tcW w:w="571" w:type="dxa"/>
          </w:tcPr>
          <w:p>
            <w:pPr>
              <w:pStyle w:val="TableParagraph"/>
              <w:rPr>
                <w:sz w:val="14"/>
              </w:rPr>
            </w:pPr>
            <w:r>
              <w:rPr>
                <w:w w:val="95"/>
                <w:sz w:val="14"/>
              </w:rPr>
              <w:t>185</w:t>
            </w:r>
          </w:p>
        </w:tc>
        <w:tc>
          <w:tcPr>
            <w:tcW w:w="571" w:type="dxa"/>
          </w:tcPr>
          <w:p>
            <w:pPr>
              <w:pStyle w:val="TableParagraph"/>
              <w:rPr>
                <w:sz w:val="14"/>
              </w:rPr>
            </w:pPr>
            <w:r>
              <w:rPr>
                <w:w w:val="95"/>
                <w:sz w:val="14"/>
              </w:rPr>
              <w:t>191</w:t>
            </w:r>
          </w:p>
        </w:tc>
        <w:tc>
          <w:tcPr>
            <w:tcW w:w="571" w:type="dxa"/>
          </w:tcPr>
          <w:p>
            <w:pPr>
              <w:pStyle w:val="TableParagraph"/>
              <w:rPr>
                <w:sz w:val="14"/>
              </w:rPr>
            </w:pPr>
            <w:r>
              <w:rPr>
                <w:w w:val="95"/>
                <w:sz w:val="14"/>
              </w:rPr>
              <w:t>214</w:t>
            </w:r>
          </w:p>
        </w:tc>
        <w:tc>
          <w:tcPr>
            <w:tcW w:w="571" w:type="dxa"/>
          </w:tcPr>
          <w:p>
            <w:pPr>
              <w:pStyle w:val="TableParagraph"/>
              <w:rPr>
                <w:sz w:val="14"/>
              </w:rPr>
            </w:pPr>
            <w:r>
              <w:rPr>
                <w:w w:val="95"/>
                <w:sz w:val="14"/>
              </w:rPr>
              <w:t>236</w:t>
            </w:r>
          </w:p>
        </w:tc>
        <w:tc>
          <w:tcPr>
            <w:tcW w:w="572" w:type="dxa"/>
          </w:tcPr>
          <w:p>
            <w:pPr>
              <w:pStyle w:val="TableParagraph"/>
              <w:rPr>
                <w:sz w:val="14"/>
              </w:rPr>
            </w:pPr>
            <w:r>
              <w:rPr>
                <w:w w:val="95"/>
                <w:sz w:val="14"/>
              </w:rPr>
              <w:t>241</w:t>
            </w:r>
          </w:p>
        </w:tc>
        <w:tc>
          <w:tcPr>
            <w:tcW w:w="571" w:type="dxa"/>
          </w:tcPr>
          <w:p>
            <w:pPr>
              <w:pStyle w:val="TableParagraph"/>
              <w:ind w:right="103"/>
              <w:rPr>
                <w:sz w:val="14"/>
              </w:rPr>
            </w:pPr>
            <w:r>
              <w:rPr>
                <w:w w:val="95"/>
                <w:sz w:val="14"/>
              </w:rPr>
              <w:t>231</w:t>
            </w:r>
          </w:p>
        </w:tc>
        <w:tc>
          <w:tcPr>
            <w:tcW w:w="571" w:type="dxa"/>
          </w:tcPr>
          <w:p>
            <w:pPr>
              <w:pStyle w:val="TableParagraph"/>
              <w:ind w:left="224" w:right="83"/>
              <w:jc w:val="center"/>
              <w:rPr>
                <w:sz w:val="14"/>
              </w:rPr>
            </w:pPr>
            <w:r>
              <w:rPr>
                <w:sz w:val="14"/>
              </w:rPr>
              <w:t>229</w:t>
            </w:r>
          </w:p>
        </w:tc>
        <w:tc>
          <w:tcPr>
            <w:tcW w:w="571" w:type="dxa"/>
          </w:tcPr>
          <w:p>
            <w:pPr>
              <w:pStyle w:val="TableParagraph"/>
              <w:ind w:right="103"/>
              <w:rPr>
                <w:sz w:val="14"/>
              </w:rPr>
            </w:pPr>
            <w:r>
              <w:rPr>
                <w:w w:val="95"/>
                <w:sz w:val="14"/>
              </w:rPr>
              <w:t>282</w:t>
            </w:r>
          </w:p>
        </w:tc>
        <w:tc>
          <w:tcPr>
            <w:tcW w:w="572" w:type="dxa"/>
          </w:tcPr>
          <w:p>
            <w:pPr>
              <w:pStyle w:val="TableParagraph"/>
              <w:ind w:right="104"/>
              <w:rPr>
                <w:sz w:val="14"/>
              </w:rPr>
            </w:pPr>
            <w:r>
              <w:rPr>
                <w:w w:val="95"/>
                <w:sz w:val="14"/>
              </w:rPr>
              <w:t>300</w:t>
            </w:r>
          </w:p>
        </w:tc>
        <w:tc>
          <w:tcPr>
            <w:tcW w:w="799" w:type="dxa"/>
          </w:tcPr>
          <w:p>
            <w:pPr>
              <w:pStyle w:val="TableParagraph"/>
              <w:spacing w:line="160" w:lineRule="exact"/>
              <w:rPr>
                <w:b/>
                <w:sz w:val="14"/>
              </w:rPr>
            </w:pPr>
            <w:r>
              <w:rPr>
                <w:b/>
                <w:w w:val="95"/>
                <w:sz w:val="14"/>
              </w:rPr>
              <w:t>220.7</w:t>
            </w:r>
          </w:p>
        </w:tc>
        <w:tc>
          <w:tcPr>
            <w:tcW w:w="650" w:type="dxa"/>
          </w:tcPr>
          <w:p>
            <w:pPr>
              <w:pStyle w:val="TableParagraph"/>
              <w:rPr>
                <w:sz w:val="14"/>
              </w:rPr>
            </w:pPr>
            <w:r>
              <w:rPr>
                <w:w w:val="95"/>
                <w:sz w:val="14"/>
              </w:rPr>
              <w:t>3.73</w:t>
            </w:r>
          </w:p>
        </w:tc>
      </w:tr>
    </w:tbl>
    <w:p>
      <w:pPr>
        <w:spacing w:line="240" w:lineRule="auto" w:before="0"/>
        <w:ind w:left="4188" w:right="0" w:hanging="3740"/>
        <w:jc w:val="left"/>
        <w:rPr>
          <w:sz w:val="20"/>
        </w:rPr>
      </w:pPr>
      <w:r>
        <w:rPr>
          <w:sz w:val="20"/>
        </w:rPr>
        <w:t>Fuent</w:t>
      </w:r>
      <w:r>
        <w:rPr>
          <w:b/>
          <w:sz w:val="20"/>
        </w:rPr>
        <w:t>e: </w:t>
      </w:r>
      <w:r>
        <w:rPr>
          <w:sz w:val="20"/>
        </w:rPr>
        <w:t>Tomado de la Organización de las Naciones Unidas para la Alimentación y la Agricultura, FAO. Fecha de consulta: abril, 2014.</w:t>
      </w:r>
    </w:p>
    <w:p>
      <w:pPr>
        <w:pStyle w:val="BodyText"/>
        <w:spacing w:before="10"/>
        <w:rPr>
          <w:sz w:val="21"/>
        </w:rPr>
      </w:pPr>
    </w:p>
    <w:p>
      <w:pPr>
        <w:pStyle w:val="BodyText"/>
        <w:ind w:left="212" w:right="230" w:firstLine="708"/>
        <w:jc w:val="both"/>
      </w:pPr>
      <w:r>
        <w:rPr/>
        <w:t>La producción mundial de café verde promedio en el periodo 2000-2012 fue de 7 millones 964 mil toneladas. De éste volumen, el 75.0% lo aportaron los diez principales países productores. Brasil ocupa el primer lugar al reportar el 30.5% de la producción total, seguido de Vietnam, Indonesia y Colombia con un aporte de 12.4, 8.1 y 7.8% de la producción mundial,  respectivamente.</w:t>
      </w:r>
    </w:p>
    <w:p>
      <w:pPr>
        <w:spacing w:after="0"/>
        <w:jc w:val="both"/>
        <w:sectPr>
          <w:pgSz w:w="11910" w:h="16840"/>
          <w:pgMar w:top="1060" w:bottom="280" w:left="920" w:right="900"/>
        </w:sectPr>
      </w:pPr>
    </w:p>
    <w:p>
      <w:pPr>
        <w:pStyle w:val="BodyText"/>
        <w:spacing w:before="46"/>
        <w:ind w:right="111"/>
        <w:jc w:val="right"/>
      </w:pPr>
      <w:r>
        <w:rPr/>
        <w:t>37</w:t>
      </w:r>
    </w:p>
    <w:p>
      <w:pPr>
        <w:pStyle w:val="BodyText"/>
        <w:spacing w:before="4"/>
        <w:rPr>
          <w:sz w:val="23"/>
        </w:rPr>
      </w:pPr>
    </w:p>
    <w:p>
      <w:pPr>
        <w:pStyle w:val="BodyText"/>
        <w:ind w:left="112" w:right="112" w:firstLine="708"/>
        <w:jc w:val="both"/>
      </w:pPr>
      <w:r>
        <w:rPr/>
        <w:t>La India y México ocupan el quinto lugar al representar el 3.5% de la oferta mundial de  café. México tuvo una producción promedio de 282 mil 569 toneladas de café verde. Sin embargo, registró una Tasa Media de Crecimiento Anual (TMCA) negativa -2.61%. A diferencia de sus prin- cipales competidores quienes presentaron una TMCA positiva (Cuadro</w:t>
      </w:r>
      <w:r>
        <w:rPr>
          <w:spacing w:val="-8"/>
        </w:rPr>
        <w:t> </w:t>
      </w:r>
      <w:r>
        <w:rPr/>
        <w:t>4).</w:t>
      </w:r>
    </w:p>
    <w:p>
      <w:pPr>
        <w:pStyle w:val="BodyText"/>
      </w:pPr>
    </w:p>
    <w:p>
      <w:pPr>
        <w:pStyle w:val="BodyText"/>
        <w:ind w:left="367" w:right="361"/>
        <w:jc w:val="center"/>
      </w:pPr>
      <w:r>
        <w:rPr>
          <w:b/>
        </w:rPr>
        <w:t>Figura 4.2 </w:t>
      </w:r>
      <w:r>
        <w:rPr/>
        <w:t>Variación interanual de las exportaciones mundiales de café, cosechas 2011-2012 y 2012-2013</w:t>
      </w:r>
    </w:p>
    <w:p>
      <w:pPr>
        <w:pStyle w:val="BodyText"/>
        <w:spacing w:after="8"/>
        <w:ind w:left="2907" w:right="2852"/>
        <w:jc w:val="center"/>
      </w:pPr>
      <w:r>
        <w:rPr/>
        <w:t>(Millones de sacos de 60 kg)</w:t>
      </w:r>
    </w:p>
    <w:p>
      <w:pPr>
        <w:pStyle w:val="BodyText"/>
        <w:ind w:left="1181"/>
        <w:rPr>
          <w:sz w:val="20"/>
        </w:rPr>
      </w:pPr>
      <w:r>
        <w:rPr>
          <w:sz w:val="20"/>
        </w:rPr>
        <w:drawing>
          <wp:inline distT="0" distB="0" distL="0" distR="0">
            <wp:extent cx="4761358" cy="264795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4761358" cy="2647950"/>
                    </a:xfrm>
                    <a:prstGeom prst="rect">
                      <a:avLst/>
                    </a:prstGeom>
                  </pic:spPr>
                </pic:pic>
              </a:graphicData>
            </a:graphic>
          </wp:inline>
        </w:drawing>
      </w:r>
      <w:r>
        <w:rPr>
          <w:sz w:val="20"/>
        </w:rPr>
      </w:r>
    </w:p>
    <w:p>
      <w:pPr>
        <w:spacing w:before="0"/>
        <w:ind w:left="208" w:right="114" w:firstLine="0"/>
        <w:jc w:val="left"/>
        <w:rPr>
          <w:sz w:val="22"/>
        </w:rPr>
      </w:pPr>
      <w:r>
        <w:rPr>
          <w:sz w:val="20"/>
        </w:rPr>
        <w:t>Fuente. Organización Internacional del Café, Asociación de Exportadores de café de Honduras (</w:t>
      </w:r>
      <w:r>
        <w:rPr>
          <w:color w:val="131722"/>
          <w:sz w:val="20"/>
        </w:rPr>
        <w:t>ADECAFEH</w:t>
      </w:r>
      <w:r>
        <w:rPr>
          <w:sz w:val="20"/>
        </w:rPr>
        <w:t>)</w:t>
      </w:r>
      <w:r>
        <w:rPr>
          <w:sz w:val="22"/>
        </w:rPr>
        <w:t>, 2014.</w:t>
      </w:r>
    </w:p>
    <w:p>
      <w:pPr>
        <w:pStyle w:val="BodyText"/>
        <w:spacing w:before="10"/>
        <w:rPr>
          <w:sz w:val="21"/>
        </w:rPr>
      </w:pPr>
    </w:p>
    <w:p>
      <w:pPr>
        <w:pStyle w:val="BodyText"/>
        <w:ind w:left="112" w:right="109" w:firstLine="708"/>
        <w:jc w:val="both"/>
      </w:pPr>
      <w:r>
        <w:rPr/>
        <w:t>Como se puede observar en la figura 4.2, los productores que aumentaron su exportaciones en mayor cantidad fueron, Brasil (1.8), Indonesia (2.3), y Colombia (1.0 millones de sacos de 60 kg). En cambio Vietnam disminuyo en 1.4, entre otros.</w:t>
      </w:r>
    </w:p>
    <w:p>
      <w:pPr>
        <w:pStyle w:val="BodyText"/>
        <w:spacing w:before="2"/>
      </w:pPr>
    </w:p>
    <w:p>
      <w:pPr>
        <w:pStyle w:val="Heading3"/>
        <w:ind w:right="114"/>
        <w:jc w:val="left"/>
      </w:pPr>
      <w:r>
        <w:rPr/>
        <w:t>Consumo a nivel mundial</w:t>
      </w:r>
    </w:p>
    <w:p>
      <w:pPr>
        <w:pStyle w:val="BodyText"/>
        <w:spacing w:before="6"/>
        <w:rPr>
          <w:b/>
          <w:sz w:val="23"/>
        </w:rPr>
      </w:pPr>
    </w:p>
    <w:p>
      <w:pPr>
        <w:pStyle w:val="BodyText"/>
        <w:ind w:left="112" w:right="114"/>
      </w:pPr>
      <w:r>
        <w:rPr/>
        <w:t>Se calcula que solo en los </w:t>
      </w:r>
      <w:hyperlink r:id="rId11">
        <w:r>
          <w:rPr/>
          <w:t>Estados Unidos</w:t>
        </w:r>
      </w:hyperlink>
      <w:r>
        <w:rPr/>
        <w:t>, el 68.0% de las personas que consumen café toman una taza de esta bebida al despertar por las mañanas (Los Tops, lunes 01 de julio de 2013).</w:t>
      </w:r>
    </w:p>
    <w:p>
      <w:pPr>
        <w:pStyle w:val="BodyText"/>
      </w:pPr>
    </w:p>
    <w:p>
      <w:pPr>
        <w:pStyle w:val="BodyText"/>
      </w:pPr>
    </w:p>
    <w:p>
      <w:pPr>
        <w:pStyle w:val="BodyText"/>
        <w:spacing w:after="6"/>
        <w:ind w:left="357" w:right="361"/>
        <w:jc w:val="center"/>
      </w:pPr>
      <w:r>
        <w:rPr>
          <w:b/>
        </w:rPr>
        <w:t>Figura 4.3 </w:t>
      </w:r>
      <w:r>
        <w:rPr/>
        <w:t>Los diez principales consumidores de café per cápita a nivel mundial, 2013 (Kg/año)</w:t>
      </w:r>
    </w:p>
    <w:p>
      <w:pPr>
        <w:pStyle w:val="BodyText"/>
        <w:ind w:left="1034"/>
        <w:rPr>
          <w:sz w:val="20"/>
        </w:rPr>
      </w:pPr>
      <w:r>
        <w:rPr>
          <w:sz w:val="20"/>
        </w:rPr>
        <w:drawing>
          <wp:inline distT="0" distB="0" distL="0" distR="0">
            <wp:extent cx="4923232" cy="208397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4923232" cy="2083974"/>
                    </a:xfrm>
                    <a:prstGeom prst="rect">
                      <a:avLst/>
                    </a:prstGeom>
                  </pic:spPr>
                </pic:pic>
              </a:graphicData>
            </a:graphic>
          </wp:inline>
        </w:drawing>
      </w:r>
      <w:r>
        <w:rPr>
          <w:sz w:val="20"/>
        </w:rPr>
      </w:r>
    </w:p>
    <w:p>
      <w:pPr>
        <w:spacing w:before="16"/>
        <w:ind w:left="357" w:right="361" w:firstLine="0"/>
        <w:jc w:val="center"/>
        <w:rPr>
          <w:sz w:val="20"/>
        </w:rPr>
      </w:pPr>
      <w:r>
        <w:rPr>
          <w:sz w:val="20"/>
        </w:rPr>
        <w:t>Fuente: Elaborada con datos de Los Tops, lunes 01 de julio de 2013.</w:t>
      </w:r>
    </w:p>
    <w:p>
      <w:pPr>
        <w:spacing w:after="0"/>
        <w:jc w:val="center"/>
        <w:rPr>
          <w:sz w:val="20"/>
        </w:rPr>
        <w:sectPr>
          <w:pgSz w:w="11910" w:h="16840"/>
          <w:pgMar w:top="1060" w:bottom="280" w:left="1020" w:right="1020"/>
        </w:sectPr>
      </w:pPr>
    </w:p>
    <w:p>
      <w:pPr>
        <w:pStyle w:val="BodyText"/>
        <w:spacing w:before="46"/>
        <w:ind w:right="111"/>
        <w:jc w:val="right"/>
      </w:pPr>
      <w:r>
        <w:rPr/>
        <w:t>38</w:t>
      </w:r>
    </w:p>
    <w:p>
      <w:pPr>
        <w:pStyle w:val="BodyText"/>
        <w:spacing w:before="4"/>
        <w:rPr>
          <w:sz w:val="23"/>
        </w:rPr>
      </w:pPr>
    </w:p>
    <w:p>
      <w:pPr>
        <w:pStyle w:val="BodyText"/>
        <w:ind w:left="112" w:right="109" w:firstLine="708"/>
        <w:jc w:val="both"/>
      </w:pPr>
      <w:r>
        <w:rPr/>
        <w:t>Los principales diez consumidores de café a nivel mundial fueron (Figura 4 y 5): Finlandia quien ocupa el primer lugar probablemente relacionado con el clima frio del país, aquí se tiene el consumo más alto de café con 12 kg por año o lo que es igual 1,266 tazas de café. Le sigue, Noruega. En este país puede considerarse algo similar, toda vez que el consumo de café es igualmente elevado, en este caso con 9.9 kg cada año o 1,040 tazas de café. Como tercer país consumidor está Islandia. Al año en este país ubicado al noroeste de Europa consumió un total de</w:t>
      </w:r>
    </w:p>
    <w:p>
      <w:pPr>
        <w:pStyle w:val="BodyText"/>
        <w:ind w:left="112" w:right="111"/>
        <w:jc w:val="both"/>
      </w:pPr>
      <w:r>
        <w:rPr/>
        <w:t>9.0 kg de café o el equivalente a 945 tazas de esta bebida. En cuarto lugar, se encuentra Dinamarca, por su parte, el consumo anual de café está en los 8.7 kg, es decir 914 tazas de café que se  consumen por sus habitantes. En 5° lugar los Países Bajos, también conocido como Holanda, este  es un país donde además de la cerveza se consume mucho café, con un promedio anual de 8.4 kg o 882 tazas. El sexto lugar Suecia este es un país donde sus habitantes tienen una solvencia  económica elevada al igual que su consumo de café que es de 7.9 kg o 830 tazas de</w:t>
      </w:r>
      <w:r>
        <w:rPr>
          <w:spacing w:val="-13"/>
        </w:rPr>
        <w:t> </w:t>
      </w:r>
      <w:r>
        <w:rPr/>
        <w:t>café.</w:t>
      </w:r>
    </w:p>
    <w:p>
      <w:pPr>
        <w:pStyle w:val="BodyText"/>
      </w:pPr>
    </w:p>
    <w:p>
      <w:pPr>
        <w:pStyle w:val="BodyText"/>
        <w:ind w:left="112" w:right="112" w:firstLine="708"/>
        <w:jc w:val="both"/>
      </w:pPr>
      <w:r>
        <w:rPr/>
        <w:t>El séptimo lo ocupo Suiza con 7.9 Kg o 830 tazas de café. En 8° Bélgica aunque el ponche de vino caliente es la bebida tradicional de este país, su consumo anual de café es de 6.8 kg o 714 tazas de café. Para el caso del 9° Canadá es la bebida típica del país, por lo que no extraña que tenga un consumo de café anual de 6.5 kg o 683 tazas de café. Por último en décimo lugar Bosnia Herzegovina con un </w:t>
      </w:r>
      <w:r>
        <w:rPr>
          <w:color w:val="111111"/>
        </w:rPr>
        <w:t>consumo de </w:t>
      </w:r>
      <w:r>
        <w:rPr/>
        <w:t>café </w:t>
      </w:r>
      <w:r>
        <w:rPr>
          <w:color w:val="111111"/>
        </w:rPr>
        <w:t>en este país es </w:t>
      </w:r>
      <w:r>
        <w:rPr/>
        <w:t>de 6.2 kg, equivalente a 651 tazas de café consumidas durante el año (Los Tops, lunes 01 de julio de 2013).</w:t>
      </w:r>
    </w:p>
    <w:p>
      <w:pPr>
        <w:pStyle w:val="BodyText"/>
      </w:pPr>
    </w:p>
    <w:p>
      <w:pPr>
        <w:pStyle w:val="BodyText"/>
        <w:spacing w:after="7"/>
        <w:ind w:left="1195" w:right="1197"/>
        <w:jc w:val="center"/>
      </w:pPr>
      <w:r>
        <w:rPr>
          <w:b/>
        </w:rPr>
        <w:t>Figura 4.4 </w:t>
      </w:r>
      <w:r>
        <w:rPr/>
        <w:t>Principales consumidores de café per cápita a nivel mundial, 2013 (Número de tazas/ año)</w:t>
      </w:r>
    </w:p>
    <w:p>
      <w:pPr>
        <w:pStyle w:val="BodyText"/>
        <w:ind w:left="1123"/>
        <w:rPr>
          <w:sz w:val="20"/>
        </w:rPr>
      </w:pPr>
      <w:r>
        <w:rPr>
          <w:sz w:val="20"/>
        </w:rPr>
        <w:drawing>
          <wp:inline distT="0" distB="0" distL="0" distR="0">
            <wp:extent cx="4796192" cy="2112264"/>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3" cstate="print"/>
                    <a:stretch>
                      <a:fillRect/>
                    </a:stretch>
                  </pic:blipFill>
                  <pic:spPr>
                    <a:xfrm>
                      <a:off x="0" y="0"/>
                      <a:ext cx="4796192" cy="2112264"/>
                    </a:xfrm>
                    <a:prstGeom prst="rect">
                      <a:avLst/>
                    </a:prstGeom>
                  </pic:spPr>
                </pic:pic>
              </a:graphicData>
            </a:graphic>
          </wp:inline>
        </w:drawing>
      </w:r>
      <w:r>
        <w:rPr>
          <w:sz w:val="20"/>
        </w:rPr>
      </w:r>
    </w:p>
    <w:p>
      <w:pPr>
        <w:spacing w:before="22"/>
        <w:ind w:left="357" w:right="361" w:firstLine="0"/>
        <w:jc w:val="center"/>
        <w:rPr>
          <w:sz w:val="20"/>
        </w:rPr>
      </w:pPr>
      <w:r>
        <w:rPr>
          <w:sz w:val="20"/>
        </w:rPr>
        <w:t>Fuente: Elaborada con datos de Los Tops, lunes 01 de julio de 2013.</w:t>
      </w:r>
    </w:p>
    <w:p>
      <w:pPr>
        <w:pStyle w:val="BodyText"/>
        <w:spacing w:before="9"/>
        <w:rPr>
          <w:sz w:val="21"/>
        </w:rPr>
      </w:pPr>
    </w:p>
    <w:p>
      <w:pPr>
        <w:pStyle w:val="BodyText"/>
        <w:ind w:left="112" w:right="112" w:firstLine="708"/>
        <w:jc w:val="both"/>
      </w:pPr>
      <w:r>
        <w:rPr>
          <w:color w:val="212121"/>
        </w:rPr>
        <w:t>Según Euromonitor International, los consumidores están preparados para pagar por productos que simplifican su vida, cada vez más ocupada  y  rápida.  Los  consumidores actualmente están maximizando su tiempo y dinero al encontrar productos y servicios  que satisfagan sus múltiples necesidades. Para la consultora de tendencias del consumidor de Euromonitor, Daphne Kasriel-Alexander, los consumidores están preparados para pagar por productos que simplifican su vida, cada vez más ocupada y rápida. “La tecnología juega un papel importante en la conveniencia y las opciones de compra omnicanal borran las fronteras entre las tiendas del mundo real y del mundo virtual, lo que es muy atractivo para los consumidores”,  sostuvo que en 2015 se verá un crecimiento en el consumo colaborativo y una cultura de compartir productos y servicios, algo frente a lo cual las marcas más importantes ya están reaccionado. “En 2015, la economía colaborativa está creciendo y afectando en la manera en que los individuos piensan acerca del espacio y la propiedad. Los consumidores están cada vez más preocupados por poder tener acceso a los bienes más que por ser sus</w:t>
      </w:r>
      <w:r>
        <w:rPr>
          <w:color w:val="212121"/>
          <w:spacing w:val="-8"/>
        </w:rPr>
        <w:t> </w:t>
      </w:r>
      <w:r>
        <w:rPr>
          <w:color w:val="212121"/>
        </w:rPr>
        <w:t>dueños”.</w:t>
      </w:r>
    </w:p>
    <w:p>
      <w:pPr>
        <w:spacing w:after="0"/>
        <w:jc w:val="both"/>
        <w:sectPr>
          <w:pgSz w:w="11910" w:h="16840"/>
          <w:pgMar w:top="1060" w:bottom="280" w:left="1020" w:right="1020"/>
        </w:sectPr>
      </w:pPr>
    </w:p>
    <w:p>
      <w:pPr>
        <w:pStyle w:val="BodyText"/>
        <w:spacing w:before="46"/>
        <w:ind w:right="111"/>
        <w:jc w:val="right"/>
      </w:pPr>
      <w:r>
        <w:rPr/>
        <w:t>39</w:t>
      </w:r>
    </w:p>
    <w:p>
      <w:pPr>
        <w:pStyle w:val="BodyText"/>
        <w:spacing w:before="4"/>
        <w:rPr>
          <w:sz w:val="23"/>
        </w:rPr>
      </w:pPr>
    </w:p>
    <w:p>
      <w:pPr>
        <w:pStyle w:val="BodyText"/>
        <w:ind w:left="112" w:right="110" w:firstLine="708"/>
        <w:jc w:val="both"/>
      </w:pPr>
      <w:r>
        <w:rPr>
          <w:color w:val="212121"/>
        </w:rPr>
        <w:t>De acuerdo con la analista, una tendencia interesante para 2015 es que el consumo será visto como una ruta hacia el progreso. “Esta idea ha emergido varias veces en los recientes años, notablemente en el consumo verde, y parece que está resurgiendo con fuerza en términos de expresión a través del consumo y la responsabilidad corporativa”, agregó. Euromonitor, tomando cada una de las necesidades de los consumidores, presentó las 10 principales tendencias globales de consumo en 2015: </w:t>
      </w:r>
      <w:r>
        <w:rPr/>
        <w:t>a) Comprar conveniencia, b) Centros comerciales en modo comunidad (cerca de los centros de trabajo y vivienda), c) La privacidad importa, d) Consumo como ruta hacia el progreso, e) Personas influyentes: cada vez más como nosotros, f) Compartamos: surge la vida sin equipaje, g) Los Millennials, h) De compras por el mundo, i) De lo virtual hacia lo real y de  regreso, j) Conexión y bienestar: salud conectada (Forbes, martes 5 de mayo,</w:t>
      </w:r>
      <w:r>
        <w:rPr>
          <w:spacing w:val="-9"/>
        </w:rPr>
        <w:t> </w:t>
      </w:r>
      <w:r>
        <w:rPr/>
        <w:t>2015).</w:t>
      </w:r>
    </w:p>
    <w:p>
      <w:pPr>
        <w:pStyle w:val="BodyText"/>
      </w:pPr>
    </w:p>
    <w:p>
      <w:pPr>
        <w:pStyle w:val="BodyText"/>
        <w:ind w:left="112" w:right="109" w:firstLine="708"/>
        <w:jc w:val="both"/>
      </w:pPr>
      <w:r>
        <w:rPr/>
        <w:t>Los productores se enfrentan a una ventana de oportunidad ante el crecimiento del consumo del café a nivel mundial. De acuerdo con datos de Euromonitor International, el consumo total y per cápita de café ha aumentado desde el año 2005, y se estima que continuará creciendo hasta el 2015. Así, en el año 2005 el consumo fue de 2.0 millones de sacos de café verde (Se considera la unidad de medida de 60 kilogramos de café verde por cada saco), en 2010 se ubicó en 2.7 millones y se estima que en el año 2015 el rubro representará 3.6 millones de sacos. Por otra parte, el consumo  per cápita en 2005 y 2010 se ubicó en 1.16 y 1.43 kilogramos, respectivamente, y se espera que para el año 2015 el consumo se ubique en 1.85 kilogramos. El consumo mundial de café no solo seguirá creciendo a tasas anuales del 2.5%, sino que incluso durante el año 2014 podría superar la oferta, con un promedio superior a los 145 millones de sacos. Hay unos 75 millones de potenciales consumidores nuevos cada año, que están demandando por lo menos tres millones de sacos adicionales. Esto, frente a una menor producción mundial, provocada en especial por los problemas de sequías que hoy se registran en Brasil, principal productor del mundo (La Patria,</w:t>
      </w:r>
      <w:r>
        <w:rPr>
          <w:spacing w:val="-17"/>
        </w:rPr>
        <w:t> </w:t>
      </w:r>
      <w:r>
        <w:rPr/>
        <w:t>2013).</w:t>
      </w:r>
    </w:p>
    <w:p>
      <w:pPr>
        <w:pStyle w:val="BodyText"/>
        <w:spacing w:before="4"/>
      </w:pPr>
    </w:p>
    <w:p>
      <w:pPr>
        <w:pStyle w:val="Heading3"/>
      </w:pPr>
      <w:r>
        <w:rPr/>
        <w:t>El café en México</w:t>
      </w:r>
    </w:p>
    <w:p>
      <w:pPr>
        <w:pStyle w:val="BodyText"/>
        <w:spacing w:before="6"/>
        <w:rPr>
          <w:b/>
          <w:sz w:val="23"/>
        </w:rPr>
      </w:pPr>
    </w:p>
    <w:p>
      <w:pPr>
        <w:pStyle w:val="BodyText"/>
        <w:ind w:left="112" w:right="114"/>
        <w:jc w:val="both"/>
      </w:pPr>
      <w:r>
        <w:rPr/>
        <w:t>El sector cafetalero en México ocupa el cuarto lugar como generador de divisas después del petróleo, las remesas y el turismo (Cafés de México, 2009). En 1963 el consumo per cápita de café tostado molido y puro, era apenas por arriba de un kilogramo y a partir de los ochentas empezó a disminuir su consumo, siendo que en la actualidad es solo un poco arriba de medio kilogramo, incrementándose a la par el consumo de soluble así como de otros sustitutos como sodas a partir de los ochentas, observado un incremento significativo. No existiendo estudios o programas a favor del incremento en su consumo y dejando a los productores a merced de las tendencias monopsónicas al interior del país y oligopólicas en el mercado mundial así como a la volatilidad de sus precios (Guerra, </w:t>
      </w:r>
      <w:r>
        <w:rPr>
          <w:i/>
        </w:rPr>
        <w:t>et al</w:t>
      </w:r>
      <w:r>
        <w:rPr/>
        <w:t>., 2012).</w:t>
      </w:r>
    </w:p>
    <w:p>
      <w:pPr>
        <w:pStyle w:val="BodyText"/>
      </w:pPr>
    </w:p>
    <w:p>
      <w:pPr>
        <w:pStyle w:val="BodyText"/>
        <w:ind w:left="112" w:right="110" w:firstLine="708"/>
        <w:jc w:val="both"/>
      </w:pPr>
      <w:r>
        <w:rPr/>
        <w:t>La falta de apoyo a los pequeños productores de café, quedo institucionalizada con la liquidación del Instituto Mexicano del Café en 1993 (Marcos, 2003), pero dicha situación fue solamente la culminación de un proceso más amplio que incluye el excesivo fraccionamiento de la propiedad y la descapitalización en la que están, debido a los cambios negativos y vertiginosos de la economía nacional, las políticas económicas del estado mexicano; de esta manera se incrementó el abandono de las fincas o sencillamente destruir los cafetales. Es por ello que en la actualidad  existen pocas organizaciones que se dedican a la producción del café tanto para abastecer el mercado mexicano como para exportar (Guerra </w:t>
      </w:r>
      <w:r>
        <w:rPr>
          <w:i/>
        </w:rPr>
        <w:t>et al</w:t>
      </w:r>
      <w:r>
        <w:rPr/>
        <w:t>.,</w:t>
      </w:r>
      <w:r>
        <w:rPr>
          <w:spacing w:val="-8"/>
        </w:rPr>
        <w:t> </w:t>
      </w:r>
      <w:r>
        <w:rPr/>
        <w:t>2012).</w:t>
      </w:r>
    </w:p>
    <w:p>
      <w:pPr>
        <w:spacing w:after="0"/>
        <w:jc w:val="both"/>
        <w:sectPr>
          <w:pgSz w:w="11910" w:h="16840"/>
          <w:pgMar w:top="1060" w:bottom="280" w:left="1020" w:right="1020"/>
        </w:sectPr>
      </w:pPr>
    </w:p>
    <w:p>
      <w:pPr>
        <w:pStyle w:val="BodyText"/>
        <w:spacing w:before="46"/>
        <w:ind w:right="111"/>
        <w:jc w:val="right"/>
      </w:pPr>
      <w:r>
        <w:rPr/>
        <w:t>40</w:t>
      </w:r>
    </w:p>
    <w:p>
      <w:pPr>
        <w:pStyle w:val="BodyText"/>
        <w:spacing w:before="4"/>
        <w:rPr>
          <w:sz w:val="17"/>
        </w:rPr>
      </w:pPr>
    </w:p>
    <w:p>
      <w:pPr>
        <w:pStyle w:val="BodyText"/>
        <w:spacing w:before="69" w:after="9"/>
        <w:ind w:left="358" w:right="361"/>
        <w:jc w:val="center"/>
      </w:pPr>
      <w:r>
        <w:rPr>
          <w:b/>
        </w:rPr>
        <w:t>Figura 4.5 </w:t>
      </w:r>
      <w:r>
        <w:rPr/>
        <w:t>Superficie sembrada y cosechada de café cereza a nivel nacional, 1980-2012 (Hectáreas)</w:t>
      </w:r>
    </w:p>
    <w:p>
      <w:pPr>
        <w:pStyle w:val="BodyText"/>
        <w:ind w:left="1220"/>
        <w:rPr>
          <w:sz w:val="20"/>
        </w:rPr>
      </w:pPr>
      <w:r>
        <w:rPr>
          <w:sz w:val="20"/>
        </w:rPr>
        <w:drawing>
          <wp:inline distT="0" distB="0" distL="0" distR="0">
            <wp:extent cx="4673018" cy="2497454"/>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4" cstate="print"/>
                    <a:stretch>
                      <a:fillRect/>
                    </a:stretch>
                  </pic:blipFill>
                  <pic:spPr>
                    <a:xfrm>
                      <a:off x="0" y="0"/>
                      <a:ext cx="4673018" cy="2497454"/>
                    </a:xfrm>
                    <a:prstGeom prst="rect">
                      <a:avLst/>
                    </a:prstGeom>
                  </pic:spPr>
                </pic:pic>
              </a:graphicData>
            </a:graphic>
          </wp:inline>
        </w:drawing>
      </w:r>
      <w:r>
        <w:rPr>
          <w:sz w:val="20"/>
        </w:rPr>
      </w:r>
    </w:p>
    <w:p>
      <w:pPr>
        <w:spacing w:before="27"/>
        <w:ind w:left="361" w:right="361" w:firstLine="0"/>
        <w:jc w:val="center"/>
        <w:rPr>
          <w:sz w:val="20"/>
        </w:rPr>
      </w:pPr>
      <w:r>
        <w:rPr>
          <w:sz w:val="20"/>
        </w:rPr>
        <w:t>Fuente: Servicio de Información Agroalimentaria y Pesquera, México, SIAP-SAGARPA, 2014.</w:t>
      </w:r>
    </w:p>
    <w:p>
      <w:pPr>
        <w:pStyle w:val="BodyText"/>
        <w:spacing w:before="11"/>
        <w:rPr>
          <w:sz w:val="19"/>
        </w:rPr>
      </w:pPr>
    </w:p>
    <w:p>
      <w:pPr>
        <w:pStyle w:val="BodyText"/>
        <w:ind w:left="112" w:right="120" w:firstLine="708"/>
        <w:jc w:val="both"/>
      </w:pPr>
      <w:r>
        <w:rPr/>
        <w:t>Como se puede observar en la figura 6, la superficie sembrada y cosechada presentó una tendencia constante a partir de 1992 a 2012.</w:t>
      </w:r>
    </w:p>
    <w:p>
      <w:pPr>
        <w:pStyle w:val="BodyText"/>
        <w:spacing w:before="4"/>
      </w:pPr>
    </w:p>
    <w:p>
      <w:pPr>
        <w:pStyle w:val="Heading3"/>
      </w:pPr>
      <w:r>
        <w:rPr/>
        <w:t>Producción de café en México</w:t>
      </w:r>
    </w:p>
    <w:p>
      <w:pPr>
        <w:pStyle w:val="BodyText"/>
        <w:spacing w:before="6"/>
        <w:rPr>
          <w:b/>
          <w:sz w:val="23"/>
        </w:rPr>
      </w:pPr>
    </w:p>
    <w:p>
      <w:pPr>
        <w:pStyle w:val="BodyText"/>
        <w:ind w:left="112" w:right="110"/>
        <w:jc w:val="both"/>
      </w:pPr>
      <w:r>
        <w:rPr/>
        <w:t>Los </w:t>
      </w:r>
      <w:hyperlink r:id="rId15">
        <w:r>
          <w:rPr/>
          <w:t>productores de café</w:t>
        </w:r>
      </w:hyperlink>
      <w:r>
        <w:rPr/>
        <w:t> de México sufrieron el año pasado uno de sus ciclos más sombríos debido a que el hongo de la roya devastó la cosecha, reduciendo árboles a esqueletos. Ahora, otro tipo de árbol está ayudando a aliviar la profunda herida. Después de un largo matrimonio con los arbustos de Arábiga, muchos productores de la Costa Este Mexicana se están mudando hacia la variedad Robusta, pese a su menor valor, en parte porque puede resistir mejor los embates de este hongo. Un brote severo de roya sacudió la producción de Arábiga en México y Centroamérica en los últimos dos años, destruyendo miles de empleos y motivando un cambio hacia hojas más  resistentes (Forbes, miércoles 18 de marzo de 2015).</w:t>
      </w:r>
    </w:p>
    <w:p>
      <w:pPr>
        <w:pStyle w:val="BodyText"/>
      </w:pPr>
    </w:p>
    <w:p>
      <w:pPr>
        <w:pStyle w:val="BodyText"/>
        <w:ind w:left="112" w:right="112" w:firstLine="708"/>
        <w:jc w:val="both"/>
      </w:pPr>
      <w:r>
        <w:rPr/>
        <w:t>“Ahora con la roya, todo el mundo quiere el Robusta”, dijo Juan López, propietario de una hectárea de café cerca de Cuichapa, en el estado de Veracruz, que está haciendo la transición a robusta. Los arbustos de arábiga todavía representan la mayor parte del café mundial, pero su producción ha declinado en el último par de ciclos. El grano de robusta, en cambio, ha ganado franco terreno desde 2010. Gigantes globales como Nestlé, propietario de la mayor fábrica en el mundo de café instantáneo en las afueras de la Ciudad de México, están calladamente  transformando el comercio local, ofreciendo una demanda confiable mientras los agricultores batallan con la volatilidad de los precios. Nestlé, que tiene más del 70.0% del mercado de café instantáneo en México, dijo que la fase de esplendor podría hacer al país autosuficiente en grano robusta hacia el 2020. Actualmente, todavía importa granos (Forbes, miércoles 18 de marzo de 2015).</w:t>
      </w:r>
    </w:p>
    <w:p>
      <w:pPr>
        <w:spacing w:after="0"/>
        <w:jc w:val="both"/>
        <w:sectPr>
          <w:pgSz w:w="11910" w:h="16840"/>
          <w:pgMar w:top="1060" w:bottom="280" w:left="1020" w:right="1020"/>
        </w:sectPr>
      </w:pPr>
    </w:p>
    <w:p>
      <w:pPr>
        <w:pStyle w:val="BodyText"/>
        <w:spacing w:before="46"/>
        <w:ind w:right="111"/>
        <w:jc w:val="right"/>
      </w:pPr>
      <w:r>
        <w:rPr/>
        <w:t>41</w:t>
      </w:r>
    </w:p>
    <w:p>
      <w:pPr>
        <w:pStyle w:val="BodyText"/>
        <w:spacing w:before="4"/>
        <w:rPr>
          <w:sz w:val="23"/>
        </w:rPr>
      </w:pPr>
    </w:p>
    <w:p>
      <w:pPr>
        <w:pStyle w:val="BodyText"/>
        <w:ind w:left="112" w:right="115" w:firstLine="708"/>
        <w:jc w:val="both"/>
      </w:pPr>
      <w:r>
        <w:rPr/>
        <w:t>La AMECAFÉ pronostica que la roya afectará la producción mexicana de café en un 18.0% en el actual ciclo 2014/2015, después de una reducción similar en la cosecha previa, el segundo mayor declive desde 1960, cuando empezaron los registros. “De repente llegó la roya y mató la finca”, dijo Jorge Hernández, mientras camina en su finca entre arbustos moribundos de arábiga, que busca reemplazar por robusta. La plaga de roya es el reto más reciente que han enfrentado los 500,000 pequeños productores mexicanos de café, quienes también han tenido que sortear la volatilidad de los precios y el clima siempre</w:t>
      </w:r>
      <w:r>
        <w:rPr>
          <w:spacing w:val="-14"/>
        </w:rPr>
        <w:t> </w:t>
      </w:r>
      <w:r>
        <w:rPr/>
        <w:t>impredecible.</w:t>
      </w:r>
    </w:p>
    <w:p>
      <w:pPr>
        <w:pStyle w:val="BodyText"/>
      </w:pPr>
    </w:p>
    <w:p>
      <w:pPr>
        <w:pStyle w:val="BodyText"/>
        <w:ind w:left="112" w:right="109"/>
        <w:jc w:val="both"/>
      </w:pPr>
      <w:r>
        <w:rPr/>
        <w:t>Operadores aseguran que los grandes tostadores de café como Mondelez están recurriendo más al robusta de México para evitar los precios estándar del grano Arábiga, cercano a 1.70 dólares por libra en el mercado de futuros de Nueva York, alrededor del doble del precio para el robusta en el mercado de Londres. La brecha se ha ido ampliando en el último año. “Se trata principalmente de  un precio vinculado a la demanda”, dijo Albert Scalla, de la firma INTL FCStone. “Y no necesariamente es sólo café instantáneo, el consumo regular también”, agregó (Forbes, miércoles 18 de marzo de</w:t>
      </w:r>
      <w:r>
        <w:rPr>
          <w:spacing w:val="-5"/>
        </w:rPr>
        <w:t> </w:t>
      </w:r>
      <w:r>
        <w:rPr/>
        <w:t>2015).</w:t>
      </w:r>
    </w:p>
    <w:p>
      <w:pPr>
        <w:pStyle w:val="BodyText"/>
      </w:pPr>
    </w:p>
    <w:p>
      <w:pPr>
        <w:pStyle w:val="BodyText"/>
        <w:spacing w:after="7"/>
        <w:ind w:left="653" w:right="653"/>
        <w:jc w:val="center"/>
      </w:pPr>
      <w:r>
        <w:rPr>
          <w:b/>
        </w:rPr>
        <w:t>Figura 4.6 </w:t>
      </w:r>
      <w:r>
        <w:rPr/>
        <w:t>Comportamiento de la producción de café cereza a nivel nacional, 1980-2013 (Ton)</w:t>
      </w:r>
    </w:p>
    <w:p>
      <w:pPr>
        <w:pStyle w:val="BodyText"/>
        <w:ind w:left="953"/>
        <w:rPr>
          <w:sz w:val="20"/>
        </w:rPr>
      </w:pPr>
      <w:r>
        <w:rPr>
          <w:sz w:val="20"/>
        </w:rPr>
        <w:drawing>
          <wp:inline distT="0" distB="0" distL="0" distR="0">
            <wp:extent cx="5047127" cy="2066925"/>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6" cstate="print"/>
                    <a:stretch>
                      <a:fillRect/>
                    </a:stretch>
                  </pic:blipFill>
                  <pic:spPr>
                    <a:xfrm>
                      <a:off x="0" y="0"/>
                      <a:ext cx="5047127" cy="2066925"/>
                    </a:xfrm>
                    <a:prstGeom prst="rect">
                      <a:avLst/>
                    </a:prstGeom>
                  </pic:spPr>
                </pic:pic>
              </a:graphicData>
            </a:graphic>
          </wp:inline>
        </w:drawing>
      </w:r>
      <w:r>
        <w:rPr>
          <w:sz w:val="20"/>
        </w:rPr>
      </w:r>
    </w:p>
    <w:p>
      <w:pPr>
        <w:spacing w:before="0"/>
        <w:ind w:left="361" w:right="361" w:firstLine="0"/>
        <w:jc w:val="center"/>
        <w:rPr>
          <w:sz w:val="20"/>
        </w:rPr>
      </w:pPr>
      <w:r>
        <w:rPr>
          <w:sz w:val="20"/>
        </w:rPr>
        <w:t>Fuente: Servicio de Información Agroalimentaria y Pesquera, México, SIAP-SAGARPA, 2014.</w:t>
      </w:r>
    </w:p>
    <w:p>
      <w:pPr>
        <w:pStyle w:val="BodyText"/>
        <w:spacing w:before="9"/>
        <w:rPr>
          <w:sz w:val="21"/>
        </w:rPr>
      </w:pPr>
    </w:p>
    <w:p>
      <w:pPr>
        <w:pStyle w:val="BodyText"/>
        <w:ind w:left="112" w:right="121" w:firstLine="708"/>
        <w:jc w:val="both"/>
      </w:pPr>
      <w:r>
        <w:rPr/>
        <w:t>Como se puede observar, en 1984 se obtuvo la mayor producción de café cereza (3´003,045 Ton) y de ahí en adelante ha ido disminuyendo hasta llegar a 1´257,982.8 en 2013 (Figura 4.6).</w:t>
      </w:r>
    </w:p>
    <w:p>
      <w:pPr>
        <w:pStyle w:val="BodyText"/>
      </w:pPr>
    </w:p>
    <w:p>
      <w:pPr>
        <w:pStyle w:val="BodyText"/>
        <w:ind w:left="112" w:right="120" w:firstLine="708"/>
        <w:jc w:val="both"/>
      </w:pPr>
      <w:r>
        <w:rPr/>
        <w:t>El objetivo del trabajo consistió en analizar el comportamiento del mercado de café en México.</w:t>
      </w:r>
    </w:p>
    <w:p>
      <w:pPr>
        <w:pStyle w:val="BodyText"/>
        <w:spacing w:before="4"/>
      </w:pPr>
    </w:p>
    <w:p>
      <w:pPr>
        <w:pStyle w:val="Heading3"/>
        <w:numPr>
          <w:ilvl w:val="1"/>
          <w:numId w:val="2"/>
        </w:numPr>
        <w:tabs>
          <w:tab w:pos="474" w:val="left" w:leader="none"/>
        </w:tabs>
        <w:spacing w:line="240" w:lineRule="auto" w:before="1" w:after="0"/>
        <w:ind w:left="473" w:right="0" w:hanging="361"/>
        <w:jc w:val="both"/>
      </w:pPr>
      <w:r>
        <w:rPr/>
        <w:t>Metodología</w:t>
      </w:r>
    </w:p>
    <w:p>
      <w:pPr>
        <w:pStyle w:val="BodyText"/>
        <w:spacing w:before="6"/>
        <w:rPr>
          <w:b/>
          <w:sz w:val="23"/>
        </w:rPr>
      </w:pPr>
    </w:p>
    <w:p>
      <w:pPr>
        <w:pStyle w:val="BodyText"/>
        <w:ind w:left="112" w:right="113"/>
        <w:jc w:val="both"/>
      </w:pPr>
      <w:r>
        <w:rPr/>
        <w:t>Para llevar a cabo la presente investigación se consultaron diferentes fuentes: como Organización Internacional del Café (OIC), Organización para la Alimentación (FAO), Asociación de Exportadores de café de Honduras (AECH), Instituto Mexicano del Café (IMECAFE), Servicio de Información Agroalimentaria y Pesquera, México (SIAP-SAGARPA), El Sistema de Información Agroalimentaria de Consulta (SIACON-SAGARPA), La Asociación Mexicana de la Cadena Productiva del Café (AMECAFÉ), Centro de Estudios para el Desarrollo Rural Sustentable y la Soberanía Alimentaria (CEDRSSA), Sistema Informático de la Cafeticultura Nacional (SICN), La Asociación Nacional de la Industria del Café, A.C. (ANACAFÉ), Secretaría de Agricultura, Ganadería, Desarrollo Rural, Pesca y Alimentación (SAGARPA), Estadísticas de la Organización para la Alimentación (FAOSTAT), La Revista Forbes, el periódico La Jornada, El Economista, The Wall Street Journal, entre otras.</w:t>
      </w:r>
    </w:p>
    <w:p>
      <w:pPr>
        <w:spacing w:after="0"/>
        <w:jc w:val="both"/>
        <w:sectPr>
          <w:pgSz w:w="11910" w:h="16840"/>
          <w:pgMar w:top="1060" w:bottom="280" w:left="1020" w:right="1020"/>
        </w:sectPr>
      </w:pPr>
    </w:p>
    <w:p>
      <w:pPr>
        <w:pStyle w:val="BodyText"/>
        <w:spacing w:before="46"/>
        <w:ind w:right="111"/>
        <w:jc w:val="right"/>
      </w:pPr>
      <w:r>
        <w:rPr/>
        <w:t>42</w:t>
      </w:r>
    </w:p>
    <w:p>
      <w:pPr>
        <w:pStyle w:val="BodyText"/>
        <w:spacing w:before="9"/>
        <w:rPr>
          <w:sz w:val="17"/>
        </w:rPr>
      </w:pPr>
    </w:p>
    <w:p>
      <w:pPr>
        <w:pStyle w:val="Heading3"/>
        <w:numPr>
          <w:ilvl w:val="1"/>
          <w:numId w:val="2"/>
        </w:numPr>
        <w:tabs>
          <w:tab w:pos="474" w:val="left" w:leader="none"/>
        </w:tabs>
        <w:spacing w:line="240" w:lineRule="auto" w:before="69" w:after="0"/>
        <w:ind w:left="473" w:right="0" w:hanging="361"/>
        <w:jc w:val="both"/>
      </w:pPr>
      <w:r>
        <w:rPr/>
        <w:t>Resultados</w:t>
      </w:r>
    </w:p>
    <w:p>
      <w:pPr>
        <w:pStyle w:val="BodyText"/>
        <w:rPr>
          <w:b/>
        </w:rPr>
      </w:pPr>
    </w:p>
    <w:p>
      <w:pPr>
        <w:spacing w:before="0"/>
        <w:ind w:left="112" w:right="0" w:firstLine="0"/>
        <w:jc w:val="both"/>
        <w:rPr>
          <w:b/>
          <w:sz w:val="24"/>
        </w:rPr>
      </w:pPr>
      <w:r>
        <w:rPr>
          <w:b/>
          <w:sz w:val="24"/>
        </w:rPr>
        <w:t>Situación actual del mercado</w:t>
      </w:r>
    </w:p>
    <w:p>
      <w:pPr>
        <w:pStyle w:val="BodyText"/>
        <w:spacing w:before="6"/>
        <w:rPr>
          <w:b/>
          <w:sz w:val="23"/>
        </w:rPr>
      </w:pPr>
    </w:p>
    <w:p>
      <w:pPr>
        <w:pStyle w:val="BodyText"/>
        <w:ind w:left="112" w:right="111"/>
        <w:jc w:val="both"/>
      </w:pPr>
      <w:r>
        <w:rPr/>
        <w:t>El café es uno de los </w:t>
      </w:r>
      <w:r>
        <w:rPr>
          <w:i/>
        </w:rPr>
        <w:t>commodities </w:t>
      </w:r>
      <w:r>
        <w:rPr/>
        <w:t>agrícolas más comercializados en el mundo. El valor final del comercio mundial del café se estima en más de 91 mil millones de Dólares para 2009 (OIC, 2010), sin considerar el valor asociado a los procesos industrialización y venta en los países importadores ni del consumo interno en países productores. Cabe destacar que del total de las exportaciones a nivel mundial, el café tostado representa menos de 1.0%, en tanto que en café soluble representan alrededor del 7.0%. Esto implica que el comportamiento de los precios internacionales del </w:t>
      </w:r>
      <w:r>
        <w:rPr>
          <w:i/>
        </w:rPr>
        <w:t>commodity </w:t>
      </w:r>
      <w:r>
        <w:rPr/>
        <w:t>en las bolsas de futuros sea el factor determinante para el comportamiento del valor de las exportaciones. Como referencia, se tiene que en 2001 cuando los precios internacionales se ubicaron en sus niveles más bajos de los últimos años las exportaciones de café significaron para los países productores apenas 5.5 mil millones de Dólares, versus un valor económico del consumo en países importadores de más de 70 mil millones de Dólares; en tanto que para 2009 con precios internacionales francamente recuperados, el valor de las exportaciones fue de 15.2 mil millones de Dólares contra un valor de consumo en países importadores equivalente a 91 mil millones de Dólares (OIC, 2010, revisado en: AMECAFÉ,</w:t>
      </w:r>
      <w:r>
        <w:rPr>
          <w:spacing w:val="-9"/>
        </w:rPr>
        <w:t> </w:t>
      </w:r>
      <w:r>
        <w:rPr/>
        <w:t>2012).</w:t>
      </w:r>
    </w:p>
    <w:p>
      <w:pPr>
        <w:pStyle w:val="BodyText"/>
      </w:pPr>
    </w:p>
    <w:p>
      <w:pPr>
        <w:pStyle w:val="BodyText"/>
        <w:ind w:left="359" w:right="361"/>
        <w:jc w:val="center"/>
      </w:pPr>
      <w:r>
        <w:rPr>
          <w:b/>
        </w:rPr>
        <w:t>Figura 4.7 </w:t>
      </w:r>
      <w:r>
        <w:rPr/>
        <w:t>Composición del mercado internacional del Café</w:t>
      </w:r>
    </w:p>
    <w:p>
      <w:pPr>
        <w:pStyle w:val="BodyText"/>
        <w:spacing w:before="4"/>
        <w:rPr>
          <w:sz w:val="21"/>
        </w:rPr>
      </w:pPr>
      <w:r>
        <w:rPr/>
        <w:drawing>
          <wp:anchor distT="0" distB="0" distL="0" distR="0" allowOverlap="1" layoutInCell="1" locked="0" behindDoc="0" simplePos="0" relativeHeight="1264">
            <wp:simplePos x="0" y="0"/>
            <wp:positionH relativeFrom="page">
              <wp:posOffset>1329816</wp:posOffset>
            </wp:positionH>
            <wp:positionV relativeFrom="paragraph">
              <wp:posOffset>180762</wp:posOffset>
            </wp:positionV>
            <wp:extent cx="4843477" cy="2472690"/>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7" cstate="print"/>
                    <a:stretch>
                      <a:fillRect/>
                    </a:stretch>
                  </pic:blipFill>
                  <pic:spPr>
                    <a:xfrm>
                      <a:off x="0" y="0"/>
                      <a:ext cx="4843477" cy="2472690"/>
                    </a:xfrm>
                    <a:prstGeom prst="rect">
                      <a:avLst/>
                    </a:prstGeom>
                  </pic:spPr>
                </pic:pic>
              </a:graphicData>
            </a:graphic>
          </wp:anchor>
        </w:drawing>
      </w:r>
    </w:p>
    <w:p>
      <w:pPr>
        <w:spacing w:before="23"/>
        <w:ind w:left="2907" w:right="2908" w:firstLine="0"/>
        <w:jc w:val="center"/>
        <w:rPr>
          <w:sz w:val="20"/>
        </w:rPr>
      </w:pPr>
      <w:r>
        <w:rPr>
          <w:sz w:val="20"/>
        </w:rPr>
        <w:t>Fuente: Tomada de Giovanucci, 2010.</w:t>
      </w:r>
    </w:p>
    <w:p>
      <w:pPr>
        <w:pStyle w:val="BodyText"/>
        <w:spacing w:before="8"/>
        <w:rPr>
          <w:sz w:val="23"/>
        </w:rPr>
      </w:pPr>
    </w:p>
    <w:p>
      <w:pPr>
        <w:pStyle w:val="BodyText"/>
        <w:ind w:left="112" w:right="111" w:firstLine="708"/>
        <w:jc w:val="both"/>
      </w:pPr>
      <w:r>
        <w:rPr/>
        <w:t>El esfuerzo de los países productores por exportar cafés diferenciados (certificados de alta calidad, orgánicos, Sustentables, Comercio Justo, etc.) y cafés con valor agregado (Descafeinados, Tostados, Solubles, extracto, etc.), es una de las acciones que tiende a revertir esta situación en virtud de que este tipo de cafés se pagan con sobre precios. Aunque no existe información armonizada respecto a los cafés diferenciados que se comercializan a nivel mundial se estima que los denominados certificados representan el 8.0% del mercado, en tanto que los cafés certificados  de alta calidad también denominados Specialty constituyen el 13.0% (Figura</w:t>
      </w:r>
      <w:r>
        <w:rPr>
          <w:spacing w:val="-15"/>
        </w:rPr>
        <w:t> </w:t>
      </w:r>
      <w:r>
        <w:rPr/>
        <w:t>8).</w:t>
      </w:r>
    </w:p>
    <w:p>
      <w:pPr>
        <w:spacing w:after="0"/>
        <w:jc w:val="both"/>
        <w:sectPr>
          <w:pgSz w:w="11910" w:h="16840"/>
          <w:pgMar w:top="1060" w:bottom="280" w:left="1020" w:right="1020"/>
        </w:sectPr>
      </w:pPr>
    </w:p>
    <w:p>
      <w:pPr>
        <w:pStyle w:val="BodyText"/>
        <w:spacing w:before="46"/>
        <w:ind w:right="111"/>
        <w:jc w:val="right"/>
      </w:pPr>
      <w:r>
        <w:rPr/>
        <w:t>43</w:t>
      </w:r>
    </w:p>
    <w:p>
      <w:pPr>
        <w:pStyle w:val="BodyText"/>
        <w:spacing w:before="4"/>
        <w:rPr>
          <w:sz w:val="23"/>
        </w:rPr>
      </w:pPr>
    </w:p>
    <w:p>
      <w:pPr>
        <w:pStyle w:val="BodyText"/>
        <w:ind w:left="112" w:right="113" w:firstLine="708"/>
        <w:jc w:val="both"/>
      </w:pPr>
      <w:r>
        <w:rPr/>
        <w:t>Para algunos productores que se encuentran integrados en cadenas de valor, la venta de cafés de alta calidad que ostentan una o más certificaciones sustentables y con procesos de agregación de valor, representa la estrategia más apropiada para hacer frente a las variaciones de precios internacionales (Existen casos en los que el premio de mercado llega a ser sumamente atractivo sobre el mercado convencional, por ejemplo los cafés Altura Preparación Europea, Orgánicos + Rainforest Alliance, Descafeinados con proceso MW llegan a ofertarse a NYC + 80 puntos) (AMECAFÉ, 2012).</w:t>
      </w:r>
    </w:p>
    <w:p>
      <w:pPr>
        <w:pStyle w:val="BodyText"/>
      </w:pPr>
    </w:p>
    <w:p>
      <w:pPr>
        <w:pStyle w:val="BodyText"/>
        <w:ind w:left="112" w:right="111" w:firstLine="708"/>
        <w:jc w:val="both"/>
      </w:pPr>
      <w:r>
        <w:rPr/>
        <w:t>A pesar de que para México el café ha disminuido su participación proporcional en las exportaciones agroalimentarias; anualmente los ingresos por este rubro ascienden a 500 millones de dólares. Como país exportador de café México ocupa el octavo sitio con el 3.0% del volumen de exportaciones mundiales; en tanto que Brasil, Vietnam y Colombia que concentran el 29.2%, 18.6% y 11.7% de la oferta exportable (Con datos del SIAP y de OIC del 2010-2011). En cuanto a la composición de las exportaciones mexicanas, el 73.0% del volumen exportado corresponde a café verde, crudo en grano, el 26.0% a café soluble </w:t>
      </w:r>
      <w:r>
        <w:rPr>
          <w:spacing w:val="-3"/>
        </w:rPr>
        <w:t>y, </w:t>
      </w:r>
      <w:r>
        <w:rPr/>
        <w:t>el 1.0% a cafés tostado y molido envasado. Junto con Perú, México comparte el liderazgo en la exportación de café orgánico y de otras  certificaciones sustentables a nivel mundial, sin embargo en materia de calidad certificada, se está aún lejos países como Colombia, Costa Rica, Guatemala, Honduras, El Salvador, por mencionar solo algunos competidores en el continente americano (Algunas estimaciones de CIMS y SCAA, sugieren que estos países llegan a vender hasta el 40% de sus exportaciones con premios por calidad) (AMECAFÉ,</w:t>
      </w:r>
      <w:r>
        <w:rPr>
          <w:spacing w:val="-5"/>
        </w:rPr>
        <w:t> </w:t>
      </w:r>
      <w:r>
        <w:rPr/>
        <w:t>2012).</w:t>
      </w:r>
    </w:p>
    <w:p>
      <w:pPr>
        <w:pStyle w:val="BodyText"/>
      </w:pPr>
    </w:p>
    <w:p>
      <w:pPr>
        <w:pStyle w:val="BodyText"/>
        <w:spacing w:after="9"/>
        <w:ind w:left="360" w:right="361"/>
        <w:jc w:val="center"/>
      </w:pPr>
      <w:r>
        <w:rPr>
          <w:b/>
        </w:rPr>
        <w:t>Tabla 4.1 </w:t>
      </w:r>
      <w:r>
        <w:rPr/>
        <w:t>Destinos de las exportaciones de café mexicano ciclo 2009/2010</w:t>
      </w:r>
    </w:p>
    <w:p>
      <w:pPr>
        <w:pStyle w:val="BodyText"/>
        <w:ind w:left="1311"/>
        <w:rPr>
          <w:sz w:val="20"/>
        </w:rPr>
      </w:pPr>
      <w:r>
        <w:rPr>
          <w:sz w:val="20"/>
        </w:rPr>
        <w:drawing>
          <wp:inline distT="0" distB="0" distL="0" distR="0">
            <wp:extent cx="4577029" cy="2050541"/>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8" cstate="print"/>
                    <a:stretch>
                      <a:fillRect/>
                    </a:stretch>
                  </pic:blipFill>
                  <pic:spPr>
                    <a:xfrm>
                      <a:off x="0" y="0"/>
                      <a:ext cx="4577029" cy="2050541"/>
                    </a:xfrm>
                    <a:prstGeom prst="rect">
                      <a:avLst/>
                    </a:prstGeom>
                  </pic:spPr>
                </pic:pic>
              </a:graphicData>
            </a:graphic>
          </wp:inline>
        </w:drawing>
      </w:r>
      <w:r>
        <w:rPr>
          <w:sz w:val="20"/>
        </w:rPr>
      </w:r>
    </w:p>
    <w:p>
      <w:pPr>
        <w:spacing w:before="10"/>
        <w:ind w:left="355" w:right="361" w:firstLine="0"/>
        <w:jc w:val="center"/>
        <w:rPr>
          <w:sz w:val="20"/>
        </w:rPr>
      </w:pPr>
      <w:r>
        <w:rPr>
          <w:sz w:val="20"/>
        </w:rPr>
        <w:t>Fuente: SICN con base en la emisión de Certificados de Origen.</w:t>
      </w:r>
    </w:p>
    <w:p>
      <w:pPr>
        <w:pStyle w:val="BodyText"/>
        <w:spacing w:before="8"/>
        <w:rPr>
          <w:sz w:val="23"/>
        </w:rPr>
      </w:pPr>
    </w:p>
    <w:p>
      <w:pPr>
        <w:pStyle w:val="BodyText"/>
        <w:ind w:right="115"/>
        <w:jc w:val="right"/>
      </w:pPr>
      <w:r>
        <w:rPr/>
        <w:t>Durante el ciclo cafetalero 2009/2010, las exportaciones mexicanas de café totalizaron en</w:t>
      </w:r>
    </w:p>
    <w:p>
      <w:pPr>
        <w:pStyle w:val="BodyText"/>
        <w:ind w:left="112" w:right="110"/>
        <w:jc w:val="both"/>
      </w:pPr>
      <w:r>
        <w:rPr/>
        <w:t>2.57 millones de sacos de 60kg (ECV) con un valor total de 505 millones de Dólares. A pesar de que México exporta café a más de 65 países destaca el hecho de que más del 62.0% del volumen exportado se dirige al mercado de Estados Unido. En la tabla 2, se aprecia la composición de las exportaciones de Café de México por país de destino, reflejándose la necesidad de continuar los esfuerzos por posicionar la imagen del Café de México y diversificar su presencia en  principalmente en los mercados internacionales de mayor consumo de cafés specialty. En lo que respecta al Consumo Interno, el valor del mercado nacional medido sólo por el costo de la materia prima destinada al mismo es de alrededor de 540 millones de Dólares (Estimaciones de AMECAFÉ con datos del SIAP). De ahí que éste mercado ha resultado de particular interés para firmas como Nespresso, Starbucks, Mc Donalds, Dunkin Donuts e Illy por mencionar algunas de proyección internacional mientras que FEMSA ha comenzado la operación de un modelo de negocio que hace disponible el café en diversas presentaciones en misceláneas de todo el país (AMECAFÉ,</w:t>
      </w:r>
      <w:r>
        <w:rPr>
          <w:spacing w:val="-19"/>
        </w:rPr>
        <w:t> </w:t>
      </w:r>
      <w:r>
        <w:rPr/>
        <w:t>2012).</w:t>
      </w:r>
    </w:p>
    <w:p>
      <w:pPr>
        <w:spacing w:after="0"/>
        <w:jc w:val="both"/>
        <w:sectPr>
          <w:pgSz w:w="11910" w:h="16840"/>
          <w:pgMar w:top="1060" w:bottom="280" w:left="1020" w:right="1020"/>
        </w:sectPr>
      </w:pPr>
    </w:p>
    <w:p>
      <w:pPr>
        <w:pStyle w:val="BodyText"/>
        <w:spacing w:before="46"/>
        <w:ind w:right="111"/>
        <w:jc w:val="right"/>
      </w:pPr>
      <w:r>
        <w:rPr/>
        <w:t>44</w:t>
      </w:r>
    </w:p>
    <w:p>
      <w:pPr>
        <w:pStyle w:val="BodyText"/>
        <w:spacing w:before="4"/>
        <w:rPr>
          <w:sz w:val="23"/>
        </w:rPr>
      </w:pPr>
    </w:p>
    <w:p>
      <w:pPr>
        <w:pStyle w:val="BodyText"/>
        <w:ind w:left="112" w:right="112" w:firstLine="708"/>
        <w:jc w:val="both"/>
      </w:pPr>
      <w:r>
        <w:rPr/>
        <w:t>Dichas acciones sumadas al notable crecimiento de puntos de venta de firmas como Oxxo, Extra, Seven &amp; Eleven, Andatti, entre otros reflejan la importancia y potencial del mercado interno acerca del cual Euromonitor International Latin America asegura que: “el mercado de las barras de café reportará un crecimiento sostenido los años venideros”. Según los cálculos de Euromonitor, al cierre de 2008 el valor estimado para este subsector sector era de 269.5 millones de dólares, pero hacia 2013, el valor estimado será de 546.6 millones cifra que significa un crecimiento de 102.0% </w:t>
      </w:r>
      <w:hyperlink r:id="rId19">
        <w:r>
          <w:rPr/>
          <w:t>(www.e</w:t>
        </w:r>
      </w:hyperlink>
      <w:r>
        <w:rPr/>
        <w:t>l</w:t>
      </w:r>
      <w:hyperlink r:id="rId19">
        <w:r>
          <w:rPr/>
          <w:t>-universal.com.mx</w:t>
        </w:r>
      </w:hyperlink>
      <w:r>
        <w:rPr/>
        <w:t> Enero 18 de 2010). En total, el valor del consumo interno incluida la venta en anaquel, barras, cafeterías y restaurantes, así como el valor generado por servicios asociados tales como venta de máquinas, suplementos, se estima en más de 20 mil millones de  pesos (Estimación propia de AMECAFE, con base en los costos promedio de taza de café según diversas presentaciones y puntos de consumo); es decir poco más de 1500 millones de Dólares (AMECAFÉ,</w:t>
      </w:r>
      <w:r>
        <w:rPr>
          <w:spacing w:val="-6"/>
        </w:rPr>
        <w:t> </w:t>
      </w:r>
      <w:r>
        <w:rPr/>
        <w:t>2012).</w:t>
      </w:r>
    </w:p>
    <w:p>
      <w:pPr>
        <w:pStyle w:val="BodyText"/>
      </w:pPr>
    </w:p>
    <w:p>
      <w:pPr>
        <w:pStyle w:val="BodyText"/>
        <w:ind w:left="112" w:right="113" w:firstLine="708"/>
        <w:jc w:val="both"/>
      </w:pPr>
      <w:r>
        <w:rPr/>
        <w:t>La producción de café del ciclo 2013-2014 será la más baja de los últimos 43 años. Se calcula que estará entre 3 millones y 3.5 millones de quintales, debido a la falta de una estrategia contundente de la Secretaría de Agricultura, Ganadería, Desarrollo Rural, Pesca y Alimentación (SAGARPA) para afrontar el problema de la roya, enfermedad que provocó una caída de 50.0% en las cosechas de Chiapas (que aporta más de la mitad de la oferta nacional) y que se extendió Oaxaca y a la región centro de Veracruz, indicaron la Alianza Nacional de Organizaciones Agropecuarias Cafetaleras y la Coordinadora Nacional de Organizaciones Cafetaleras (CNOC). A casi dos años de que se detectó la propagación de la plaga y que los países centroamericanos y Colombia declararon estado de emergencia, el gobierno de México sigue con una política inercial, expusieron las organizaciones (La Jornada, viernes 12 de septiembre de 2014).</w:t>
      </w:r>
    </w:p>
    <w:p>
      <w:pPr>
        <w:pStyle w:val="BodyText"/>
      </w:pPr>
    </w:p>
    <w:p>
      <w:pPr>
        <w:pStyle w:val="BodyText"/>
        <w:ind w:left="112" w:right="112" w:firstLine="708"/>
        <w:jc w:val="both"/>
      </w:pPr>
      <w:r>
        <w:rPr/>
        <w:t>“Los programas no han tenido la eficacia ni eficiencia necesarias; el proyecto de viveros tecnificados que impulsa tienen un alto costo (6.5 millones cada uno) y las plántulas que se entregan a los cafeticultores tienen un costo final de 16 pesos”, comentó Marcelo Herrera, de la Alianza Nacional de Organizaciones Agropecuarias Cafetaleras (ANOAC). En Chiapas, precisó, del millón y medio de quintales que se obtenían cayó a 750 mil; Oaxaca y Guerrero también registraron una debacle. “Esta situación es preocupante, </w:t>
      </w:r>
      <w:r>
        <w:rPr>
          <w:spacing w:val="-3"/>
        </w:rPr>
        <w:t>ya </w:t>
      </w:r>
      <w:r>
        <w:rPr/>
        <w:t>que en ellos se localiza casi una tercera parte del medio millón de cafeticultores. Estamos preocupados pues la caída de la producción crea condiciones sociales más explosivas. </w:t>
      </w:r>
      <w:r>
        <w:rPr>
          <w:spacing w:val="-3"/>
        </w:rPr>
        <w:t>La </w:t>
      </w:r>
      <w:r>
        <w:rPr/>
        <w:t>economía de los cultivadores de esos tres estados depende del café, y aunque el precio internacional repunta, la producción es insuficiente para que cubran sus necesidades (La Jornada, viernes 12 de septiembre de</w:t>
      </w:r>
      <w:r>
        <w:rPr>
          <w:spacing w:val="-9"/>
        </w:rPr>
        <w:t> </w:t>
      </w:r>
      <w:r>
        <w:rPr/>
        <w:t>2014).</w:t>
      </w:r>
    </w:p>
    <w:p>
      <w:pPr>
        <w:pStyle w:val="BodyText"/>
      </w:pPr>
    </w:p>
    <w:p>
      <w:pPr>
        <w:pStyle w:val="BodyText"/>
        <w:ind w:left="112" w:right="112" w:firstLine="708"/>
        <w:jc w:val="both"/>
      </w:pPr>
      <w:r>
        <w:rPr/>
        <w:t>Si a eso se suman los problemas sociales acumulados de cinco lustros y la inseguridad, hay un caldo de cultivo para la inestabilidad social y que el gobierno no visualiza, abundó Marcelo Herrera. Resulta urgente un programa emergente para esos estados y acciones contundentes para el resto de las entidades cafeticultoras, pues si bien el programa de cobertura para el café, por 700 millones de pesos, ayudó, resultó insuficiente, debido a que el productor sólo participa directamente con la venta de cinco por ciento del grano, y se requiere una cobertura total para la cosecha 2014- 2015. Ya es tiempo de darle vuelta al timón y sin descartar las investigaciones, tomar en cuenta la experiencia de los campesinos respecto a la selección de los cafetos, acotó. Fernando Celis Calleja, de la CNOC, sostuvo que el combate a la roya corresponde al Servicio Nacional de Sanidad, Inocuidad y Calidad Agroalimentaria (SENASICA) y no a la Dirección de Productividad.</w:t>
      </w:r>
    </w:p>
    <w:p>
      <w:pPr>
        <w:spacing w:after="0"/>
        <w:jc w:val="both"/>
        <w:sectPr>
          <w:pgSz w:w="11910" w:h="16840"/>
          <w:pgMar w:top="1060" w:bottom="280" w:left="1020" w:right="1020"/>
        </w:sectPr>
      </w:pPr>
    </w:p>
    <w:p>
      <w:pPr>
        <w:pStyle w:val="BodyText"/>
        <w:spacing w:before="46"/>
        <w:ind w:right="111"/>
        <w:jc w:val="right"/>
      </w:pPr>
      <w:r>
        <w:rPr/>
        <w:t>45</w:t>
      </w:r>
    </w:p>
    <w:p>
      <w:pPr>
        <w:pStyle w:val="BodyText"/>
        <w:spacing w:before="4"/>
        <w:rPr>
          <w:sz w:val="23"/>
        </w:rPr>
      </w:pPr>
    </w:p>
    <w:p>
      <w:pPr>
        <w:pStyle w:val="BodyText"/>
        <w:ind w:left="112" w:right="114" w:firstLine="708"/>
        <w:jc w:val="both"/>
      </w:pPr>
      <w:r>
        <w:rPr/>
        <w:t>Es preocupante que en México no se tomen medidas adecuadas para enfrentar la roya, ni tampoco se cumpla con la entrega de los recursos comprometidos, pues en Veracruz los productores siguen esperando los 400 millones de pesos que desde enero la Secretaría de Hacienda asignó a la entidad e hizo a un lado a los 11 restantes estados cafeticultores. Además, señaló, el programa de estímulos económicos, que implicó la entrega de mil 300 pesos por productor ha sido el más bajo de los últimos 25 años y no abarcó a los 140 mil productores. Hay un empobrecimiento preocupante en las regiones cafetaleras por la caída de la producción, la falta de trabajo y de ingresos. El descontento crece. El gobierno no está atendiendo el desastre de la cafeticultura (La Jornada, viernes 12 de septiembre de</w:t>
      </w:r>
      <w:r>
        <w:rPr>
          <w:spacing w:val="-7"/>
        </w:rPr>
        <w:t> </w:t>
      </w:r>
      <w:r>
        <w:rPr/>
        <w:t>2014).</w:t>
      </w:r>
    </w:p>
    <w:p>
      <w:pPr>
        <w:pStyle w:val="BodyText"/>
      </w:pPr>
    </w:p>
    <w:p>
      <w:pPr>
        <w:pStyle w:val="BodyText"/>
        <w:ind w:left="112" w:right="114" w:firstLine="708"/>
        <w:jc w:val="both"/>
      </w:pPr>
      <w:r>
        <w:rPr/>
        <w:t>La producción de café arábiga en México y Centroamérica crecería un 10.0% el próximo ciclo 2014/15 frente al estimado para la actual cosecha, ante una recuperación general en la zona, liderada por Honduras, dijo el martes el trader de café verde de </w:t>
      </w:r>
      <w:r>
        <w:rPr>
          <w:b/>
        </w:rPr>
        <w:t>Starbucks </w:t>
      </w:r>
      <w:r>
        <w:rPr/>
        <w:t>para la región. Un persistente brote de roya ha golpeado a México y Centroamérica desde hace al menos dos ciclos, mermando los rendimientos de la región que en conjunto produce una quinta parte de los granos de arábiga del mundo. Si la producción se elevara 10.0% crecería a 17.6 millones de sacos de 60 kilos en el 2014/2015, o 1.6 millones de sacos, tomando en cuenta el estimado actual de la Organización Internacional del Café (OIC) para el presente ciclo 2013/2014 en la región de México y Centroamérica (Forbes, 18 de junio de 2014).</w:t>
      </w:r>
    </w:p>
    <w:p>
      <w:pPr>
        <w:pStyle w:val="BodyText"/>
      </w:pPr>
    </w:p>
    <w:p>
      <w:pPr>
        <w:pStyle w:val="BodyText"/>
        <w:ind w:left="112" w:right="113" w:firstLine="708"/>
        <w:jc w:val="both"/>
      </w:pPr>
      <w:r>
        <w:rPr/>
        <w:t>“Lo que yo he visto en los últimos dos años, en relación del año pasado a este, es que la situación es menos terrible que lo que aparentaba. Hubo una afectación fuerte. Hoy se ven las plantas con mucho más follaje, que es lo primero que pierden con la roya”, dijo Alfredo Nuño, comprador de café verde de Starbucks para México y Centroamérica. “La floración fue buena y parece que el año que entra va a estar mejor”, añadió y dijo que más del 50.0% de las compras totales de Starbucks provienen de México, Centroamérica y Sudamérica. La recuperación sería en casi todos los países productores pero Honduras, el principal exportador de Centroamérica, lideraría el grupo con una franca recuperación, estimó Nuño. “Honduras es otro animal. Sufrieron con roya, pero sigue siendo un muy buen negocio y la gente está invirtiendo mucho”, dijo Nuño. “La producción nueva es tan grande que hace un ‘offset’ con la pérdida que puedan tener”, añadió. A inicios de junio, el Departamento de Agricultura de Estados Unidos estimó la producción de café de Honduras en 5.0 millones de sacos de 60 kilos para el 2014/2015 frente al estimado de 4.6 millones de sacos para la actual cosecha (Forbes, 18 de junio de 2014).</w:t>
      </w:r>
    </w:p>
    <w:p>
      <w:pPr>
        <w:pStyle w:val="BodyText"/>
      </w:pPr>
    </w:p>
    <w:p>
      <w:pPr>
        <w:pStyle w:val="BodyText"/>
        <w:ind w:left="112" w:right="111" w:firstLine="708"/>
        <w:jc w:val="both"/>
      </w:pPr>
      <w:r>
        <w:rPr/>
        <w:t>Esto debido a la rápida expansión de la superficie plantada para enfrentar a la roya, un  hongo que ataca las hojas de los cafetos y las desprende, dejando los frutos expuestos al clima y a los insectos. Pese a las buenas noticias, Nuño dijo que no se debe bajar la guardia en la región. “Si encuentra uno roya, no se ha ido, pero está en un nivel no para soltar la alarma (…) El productor tiene que seguir trabajando para que no se convierta en un gran problema”, señaló. Sobre México, el comprador de Starbucks dijo que el país ha perdido un 26.0% de la producción en el último ciclo debido a la roya. Todo el café que Starbucks compra en México procede de Chiapas, que produce aproximadamente un 35.0% de la cosecha total del país. Nuño, basado en Suiza, se encuentra en México para participar en el lanzamiento de un programa de la firma estadounidense que busca apoyar a proveedores chiapanecos afectados por la roya. A través del programa, que beneficiaría entre 2,000 y 2,500 productores de los 10,000 con los que trabaja Starbucks en México, se entregarán nuevas plantas adquiridas con la donación del 100.0% de las compras de una variedad chiapaneca en las tiendas de Starbucks en México entre junio y diciembre. Las plantas se entregarán entre agosto y octubre. De acuerdo con estimaciones del Departamento de Agricultura de Estados Unidos, México produciría 3.9 millones de sacos en el 2014/2015 desde los 3.8 millones de sacos estimados para el presente ciclo (Forbes, 18 de junio de</w:t>
      </w:r>
      <w:r>
        <w:rPr>
          <w:spacing w:val="-12"/>
        </w:rPr>
        <w:t> </w:t>
      </w:r>
      <w:r>
        <w:rPr/>
        <w:t>2014).</w:t>
      </w:r>
    </w:p>
    <w:p>
      <w:pPr>
        <w:spacing w:after="0"/>
        <w:jc w:val="both"/>
        <w:sectPr>
          <w:pgSz w:w="11910" w:h="16840"/>
          <w:pgMar w:top="1060" w:bottom="280" w:left="1020" w:right="1020"/>
        </w:sectPr>
      </w:pPr>
    </w:p>
    <w:p>
      <w:pPr>
        <w:pStyle w:val="BodyText"/>
        <w:spacing w:before="46"/>
        <w:ind w:right="111"/>
        <w:jc w:val="right"/>
      </w:pPr>
      <w:r>
        <w:rPr/>
        <w:t>46</w:t>
      </w:r>
    </w:p>
    <w:p>
      <w:pPr>
        <w:pStyle w:val="BodyText"/>
        <w:spacing w:before="4"/>
        <w:rPr>
          <w:sz w:val="23"/>
        </w:rPr>
      </w:pPr>
    </w:p>
    <w:p>
      <w:pPr>
        <w:pStyle w:val="BodyText"/>
        <w:ind w:left="112" w:right="112" w:firstLine="708"/>
        <w:jc w:val="both"/>
      </w:pPr>
      <w:r>
        <w:rPr/>
        <w:t>La producción de café se ha mantenido relativamente estable en los últimos años y se espera una mejoría. Los precios del café arábiga cayeron más de 3.0% el miércoles, luego de que los inversionistas tomaron ganancias tras el anuncio de lluvias para Brasil, el mayor productor mundial del grano, reduciendo el temor a que una temporada seca demasiado prolongada arruine los cultivos en el país. Por su parte, el azúcar sin refinar registró su mayor caída en un sólo día en casi un mes, mientras que los futuros del cacao subieron por la debilidad del dólar y las preocupaciones de que la propagación del ébola en África Occidental afecte los envíos. El café arábiga para diciembre en Nueva York perdió 2.7%, a 2.160 dólares la libra, luego de que la agencia meteorológica brasileña Somar pronosticó lluvias para la semana próxima en el estado cafetalero de Minas Gerais (El Economista, 15 de octubre de 2014).</w:t>
      </w:r>
    </w:p>
    <w:p>
      <w:pPr>
        <w:pStyle w:val="BodyText"/>
      </w:pPr>
    </w:p>
    <w:p>
      <w:pPr>
        <w:pStyle w:val="BodyText"/>
        <w:ind w:left="112" w:right="114" w:firstLine="708"/>
        <w:jc w:val="both"/>
      </w:pPr>
      <w:r>
        <w:rPr/>
        <w:t>El clima seco ha amenazado la producción de Brasil para el ciclo 2015-2016, enviando los futuros a un máximo de dos años y medio de 2.255 dólares la semana pasada. El pronóstico de lluvias generó una toma de ganancias, informaron los operadores, puesto que los inversores esperan por un fin del calor extremo. Los futuros del café Robusta en Londres a noviembre cerraron sin cambios en 2,155 dólares la tonelada. El azúcar sin refinar a marzo cedió 1.8%, a 16.5 centavos de dólar la libra, afectada por el declive del real en el gran productor Brasil. Fue la mayor baja en un día del endulzante desde el 19 de septiembre. La caída de los precios de la energía también ha pesado sobre el mercado del azúcar, puesto que los bajos precios de la gasolina desalientan la producción de etanol, de acuerdo a expertos. En tanto, el cacao para diciembre en Nueva York avanzó 1.6% para terminar la jornada en 3,153 dólares la tonelada. El mercado seguía temiendo que la propagación del ébola en África Occidental, que produce buena parte del cacao del mundo, pueda interrumpir los suministros (El Economista, 15 de octubre de</w:t>
      </w:r>
      <w:r>
        <w:rPr>
          <w:spacing w:val="-11"/>
        </w:rPr>
        <w:t> </w:t>
      </w:r>
      <w:r>
        <w:rPr/>
        <w:t>2014).</w:t>
      </w:r>
    </w:p>
    <w:p>
      <w:pPr>
        <w:pStyle w:val="BodyText"/>
      </w:pPr>
    </w:p>
    <w:p>
      <w:pPr>
        <w:pStyle w:val="BodyText"/>
        <w:ind w:left="652" w:right="653"/>
        <w:jc w:val="center"/>
      </w:pPr>
      <w:r>
        <w:rPr>
          <w:b/>
        </w:rPr>
        <w:t>Figura 4.8 </w:t>
      </w:r>
      <w:r>
        <w:rPr/>
        <w:t>Exportaciones mundiales de café de México por ciclo, 1990/91 a 2012/2013 (Miles de sacos)</w:t>
      </w:r>
    </w:p>
    <w:p>
      <w:pPr>
        <w:pStyle w:val="BodyText"/>
        <w:spacing w:before="4"/>
        <w:rPr>
          <w:sz w:val="21"/>
        </w:rPr>
      </w:pPr>
      <w:r>
        <w:rPr/>
        <w:drawing>
          <wp:anchor distT="0" distB="0" distL="0" distR="0" allowOverlap="1" layoutInCell="1" locked="0" behindDoc="0" simplePos="0" relativeHeight="1288">
            <wp:simplePos x="0" y="0"/>
            <wp:positionH relativeFrom="page">
              <wp:posOffset>1706372</wp:posOffset>
            </wp:positionH>
            <wp:positionV relativeFrom="paragraph">
              <wp:posOffset>180823</wp:posOffset>
            </wp:positionV>
            <wp:extent cx="4124026" cy="2614993"/>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0" cstate="print"/>
                    <a:stretch>
                      <a:fillRect/>
                    </a:stretch>
                  </pic:blipFill>
                  <pic:spPr>
                    <a:xfrm>
                      <a:off x="0" y="0"/>
                      <a:ext cx="4124026" cy="2614993"/>
                    </a:xfrm>
                    <a:prstGeom prst="rect">
                      <a:avLst/>
                    </a:prstGeom>
                  </pic:spPr>
                </pic:pic>
              </a:graphicData>
            </a:graphic>
          </wp:anchor>
        </w:drawing>
      </w:r>
    </w:p>
    <w:p>
      <w:pPr>
        <w:pStyle w:val="BodyText"/>
        <w:ind w:left="361" w:right="361"/>
        <w:jc w:val="center"/>
      </w:pPr>
      <w:r>
        <w:rPr/>
        <w:t>Fuente: Elaboración propia con datos de la OIC, 2014.</w:t>
      </w:r>
    </w:p>
    <w:p>
      <w:pPr>
        <w:pStyle w:val="BodyText"/>
      </w:pPr>
    </w:p>
    <w:p>
      <w:pPr>
        <w:pStyle w:val="BodyText"/>
        <w:ind w:left="112" w:right="114" w:firstLine="708"/>
        <w:jc w:val="both"/>
      </w:pPr>
      <w:r>
        <w:rPr/>
        <w:t>Las exportaciones promedio mundiales de café de México para el ciclo de 1990/91 a 2012/2013 fue de 4508.13 en miles de sacos, con aumento en el ciclo 1999/00 (6219), ver figura 9. Debido a la incidencia de la roya, la baja producción y la competencia de países emergentes, la exportación de café mexicano registró en el ciclo 2013-2014 una caída del 27.5%.</w:t>
      </w:r>
    </w:p>
    <w:p>
      <w:pPr>
        <w:spacing w:after="0"/>
        <w:jc w:val="both"/>
        <w:sectPr>
          <w:pgSz w:w="11910" w:h="16840"/>
          <w:pgMar w:top="1060" w:bottom="280" w:left="1020" w:right="1020"/>
        </w:sectPr>
      </w:pPr>
    </w:p>
    <w:p>
      <w:pPr>
        <w:pStyle w:val="BodyText"/>
        <w:spacing w:before="46"/>
        <w:ind w:right="111"/>
        <w:jc w:val="right"/>
      </w:pPr>
      <w:r>
        <w:rPr/>
        <w:t>47</w:t>
      </w:r>
    </w:p>
    <w:p>
      <w:pPr>
        <w:pStyle w:val="BodyText"/>
        <w:spacing w:before="4"/>
        <w:rPr>
          <w:sz w:val="23"/>
        </w:rPr>
      </w:pPr>
    </w:p>
    <w:p>
      <w:pPr>
        <w:pStyle w:val="BodyText"/>
        <w:ind w:left="112" w:right="115" w:firstLine="708"/>
        <w:jc w:val="both"/>
      </w:pPr>
      <w:r>
        <w:rPr/>
        <w:t>La Asociación Mexicana de la Cadena Productiva del Café (AMECAFE) indica que durante el periodo de referencia la cosecha mexicana de café fue poco superior a 2.4 millones de sacos, contra los 3.3 millones del ciclo anterior, es decir, 921 mil sacos menos. El reporte del organismo del cierre del ciclo 2013-2014 precisa que en términos de valor las exportaciones de café el año pasado se ubicaron en 504 mil 852 millones de dólares contra los 684 mil 575 millones del ciclo anterior. Un reporte del Centro de Estudios para el Desarrollo Rural Sustentable y la Soberanía Alimentaria (CEDRSSA) realizado en noviembre pasado, ya anticipaba que “en México la producción de café del ciclo 2013-2014 se vislumbra como la más baja de los últimos 40 años. Las causas de estos resultados son varias, vale la pena destacar la falta de una estrategia contundente para afrontar el problema de la roya, enfermedad que provocó una caída de casi 50 por ciento en las cosechas de Chiapas (estado que aporta más de la tercera parte de la oferta nacional) y que se extendió a Oaxaca y a la región centro de Veracruz” (Imagen Agropecuaria, 18 de enero de 2015).</w:t>
      </w:r>
    </w:p>
    <w:p>
      <w:pPr>
        <w:pStyle w:val="BodyText"/>
      </w:pPr>
    </w:p>
    <w:p>
      <w:pPr>
        <w:pStyle w:val="BodyText"/>
        <w:ind w:left="112" w:right="112" w:firstLine="708"/>
        <w:jc w:val="both"/>
      </w:pPr>
      <w:r>
        <w:rPr/>
        <w:t>La producción de café en el país, anota, ha disminuido en las últimas tres décadas debido, entre otras causas, a la disminución en el precio internacional del aromático, la caída en el rendimiento por el agotamiento de los cafetos, altos costos que enfrentan los productores y a la presencia de plagas como la roya, que afectan al cultivo y que la Organización Internacional del Café (OIC) reconoce como “la peor afectación desde que ésta hizo su aparición en Centroamérica en el año de 1976”. El reporte hace hincapié en que “la producción de café en México ha mantenido una tendencia descendente, junto con las exportaciones, cediendo espacio a países competidores como Vietnam, quien en los últimos años se ha convertido en el segundo productor y exportador mundial. A la par, algunos países centroamericanos y Perú han tenido una dinámica de crecimiento ascendente en sus exportaciones, debido a que han incrementado su calidad y también han incursionado en el mercado de cafés diferenciados como el café orgánico”( Imagen Agropecuaria, 19 de enero de</w:t>
      </w:r>
      <w:r>
        <w:rPr>
          <w:spacing w:val="-4"/>
        </w:rPr>
        <w:t> </w:t>
      </w:r>
      <w:r>
        <w:rPr/>
        <w:t>2015).</w:t>
      </w:r>
    </w:p>
    <w:p>
      <w:pPr>
        <w:pStyle w:val="BodyText"/>
      </w:pPr>
    </w:p>
    <w:p>
      <w:pPr>
        <w:pStyle w:val="BodyText"/>
        <w:ind w:left="112" w:right="114" w:firstLine="708"/>
        <w:jc w:val="both"/>
      </w:pPr>
      <w:r>
        <w:rPr/>
        <w:t>Desde los años noventa, rememora, México ha exportado en promedio 70.0% de su producción, pero la disminución en los últimos dos ciclos en las exportaciones señalan una posible pérdida de mercados no sólo frente a los grandes competidores sino también frente a los competidores emergentes. Subraya que el café de México ha perdido participación en los principales mercados externos y su exportación ha disminuido desde el año 2000. Estados Unidos  ha sido el principal mercado del país al absorber alrededor del 78.0% de las exportaciones mexicanas, pero ha caído de ser su primero o segundo proveedor a quinto o sexto lugar. De igual forma entre 1997 y 2003 de 20 países a los que México vendió café, los volúmenes disminuyeron  en 17 de ellos (Imagen Agropecuaria, 19 de enero de</w:t>
      </w:r>
      <w:r>
        <w:rPr>
          <w:spacing w:val="-13"/>
        </w:rPr>
        <w:t> </w:t>
      </w:r>
      <w:r>
        <w:rPr/>
        <w:t>2015).</w:t>
      </w:r>
    </w:p>
    <w:p>
      <w:pPr>
        <w:pStyle w:val="BodyText"/>
        <w:spacing w:before="4"/>
      </w:pPr>
    </w:p>
    <w:p>
      <w:pPr>
        <w:pStyle w:val="Heading3"/>
      </w:pPr>
      <w:r>
        <w:rPr/>
        <w:t>Oportunidad de crecimiento</w:t>
      </w:r>
    </w:p>
    <w:p>
      <w:pPr>
        <w:pStyle w:val="BodyText"/>
        <w:spacing w:before="6"/>
        <w:rPr>
          <w:b/>
          <w:sz w:val="23"/>
        </w:rPr>
      </w:pPr>
    </w:p>
    <w:p>
      <w:pPr>
        <w:pStyle w:val="BodyText"/>
        <w:ind w:left="112" w:right="108"/>
        <w:jc w:val="both"/>
      </w:pPr>
      <w:r>
        <w:rPr/>
        <w:t>Tras una gran expansión de la fábrica de Nestlé en Toluca en 2013, ahora exporta a 17 países en América, Europa y Asia. La empresa compra una cuarta parte de la producción total mexicana, más que cualquier otro comprador. La producción de robusta podría casi duplicarse a un millón de sacos de 60 kilos hacia el 2020, dijo Emilio Díaz, el mayor comprador de café de Nestlé en México, y añadió que las compras de robusta de la empresa se elevarían a alrededor de una tercera parte en 2015 respecto al año pasado. Tostadores europeos como el italiano Segafredo Zenetti IPO-SEG.MI y el británico Costa Coffee, una unidad de Whitbread, están comprando más grano Robusta a México, dijo Jorge Cuevas, de la importadora de café Sustainable Harvest, con sede en Portland. Varias empresas agroindustriales también están usando más grano mexicano robusta en sus ventas a marcas privadas a nivel global, posicionando a México como un creciente proveedor, dijo</w:t>
      </w:r>
      <w:r>
        <w:rPr>
          <w:spacing w:val="-16"/>
        </w:rPr>
        <w:t> </w:t>
      </w:r>
      <w:r>
        <w:rPr/>
        <w:t>Cuevas.</w:t>
      </w:r>
    </w:p>
    <w:p>
      <w:pPr>
        <w:spacing w:after="0"/>
        <w:jc w:val="both"/>
        <w:sectPr>
          <w:pgSz w:w="11910" w:h="16840"/>
          <w:pgMar w:top="1060" w:bottom="280" w:left="1020" w:right="1020"/>
        </w:sectPr>
      </w:pPr>
    </w:p>
    <w:p>
      <w:pPr>
        <w:pStyle w:val="BodyText"/>
        <w:spacing w:before="46"/>
        <w:ind w:right="111"/>
        <w:jc w:val="right"/>
      </w:pPr>
      <w:r>
        <w:rPr/>
        <w:t>48</w:t>
      </w:r>
    </w:p>
    <w:p>
      <w:pPr>
        <w:pStyle w:val="BodyText"/>
        <w:spacing w:before="4"/>
        <w:rPr>
          <w:sz w:val="23"/>
        </w:rPr>
      </w:pPr>
    </w:p>
    <w:p>
      <w:pPr>
        <w:pStyle w:val="BodyText"/>
        <w:ind w:left="112" w:right="114" w:firstLine="708"/>
        <w:jc w:val="both"/>
      </w:pPr>
      <w:r>
        <w:rPr/>
        <w:t>Las empresas también están buscando diversificarse frente a otros productores de robusta como Vietnam y Brasil. No obstante, México seguirá siendo principalmente un productor de arábiga, con un total de 3.84 millones de sacos en el ciclo pasado, lo que representó un declive mayor al 15.0% en contraste con lo observado hace cinco años (Forbes, miércoles 18 de marzo de 2015).</w:t>
      </w:r>
    </w:p>
    <w:p>
      <w:pPr>
        <w:pStyle w:val="BodyText"/>
      </w:pPr>
    </w:p>
    <w:p>
      <w:pPr>
        <w:pStyle w:val="BodyText"/>
        <w:ind w:left="112" w:right="114" w:firstLine="708"/>
        <w:jc w:val="both"/>
      </w:pPr>
      <w:r>
        <w:rPr/>
        <w:t>La Secretaría de Agricultura gastó el año pasado cerca de 2,000 millones de pesos (MDP) (unos 137 millones de dólares (MDD) para ayudar a los productores con coberturas y precios subsidiados, entre otras medidas. Este año, la ayuda será de 730 MDP (50 MDD). Pero no es suficiente para un mercado de 1,400 MDD, dicen líderes de la industria. Con más apoyo estatal a  los agricultores, Nestlé podría poner fin a su dependencia de la robusta importada antes de 2020, dijo Philipp Navratil, alto ejecutivo de café de Nestlé en México. “Muy poco ha hecho el gobierno”, agregó (Forbes, miércoles 18 de marzo de</w:t>
      </w:r>
      <w:r>
        <w:rPr>
          <w:spacing w:val="-10"/>
        </w:rPr>
        <w:t> </w:t>
      </w:r>
      <w:r>
        <w:rPr/>
        <w:t>2015).</w:t>
      </w:r>
    </w:p>
    <w:p>
      <w:pPr>
        <w:pStyle w:val="BodyText"/>
      </w:pPr>
    </w:p>
    <w:p>
      <w:pPr>
        <w:pStyle w:val="BodyText"/>
        <w:ind w:left="112" w:right="112" w:firstLine="708"/>
        <w:jc w:val="both"/>
      </w:pPr>
      <w:r>
        <w:rPr/>
        <w:t>La cadena productiva del café constituye uno de los rubros más importantes del sector agroindustrial en el país, no sólo por su importancia económica, sino también por el impacto social  y ambiental que genera al ser el sustento de más de 3 millones de familias (Consejo Mexicano del Café y SAGARPA) y por el uso de tecnologías que, en su mayoría, promueven la protección de la biodiversidad. Por ello, el posicionamiento del Café de México tanto en el ámbito del mercado internacional como en el mercado nacional, representa una oportunidad estratégica para todos los involucrados en este Sistema Producto. Las condiciones actuales de buenos precios internacionales y la inercia del crecimiento del consumo mundial, ofrecen condiciones favorables para desarrollar acciones tendientes a una inserción sostenible del aromático mexicano en los mercados. De acuerdo con la OIC (OIC, Siglas en español de la Organización Internacional del Café www.ico.org), para el inicio de ciclo 2010/2011 se observó un sano equilibrio entre la oferta y demanda mundial. Lo anterior se constata al observar los niveles de las cotizaciones internacionales que alcanzaron durante el 2010, el máximo histórico en 13 años, como se puede observar en la siguiente gráfica </w:t>
      </w:r>
      <w:r>
        <w:rPr>
          <w:spacing w:val="2"/>
        </w:rPr>
        <w:t>que </w:t>
      </w:r>
      <w:r>
        <w:rPr/>
        <w:t>refleja el comportamiento del Precio Indicativo Compuesto y el de la Categoría Otros Suaves donde se ubica al café producido en México (El café de México está incluido dentro del grupo Otros Suaves junto con países como Bolivia, Burundi, Costa Rica, Cuba, Ecuador, entre otros. Esta clasificación es tradicional en la OIC para los miembros exportadores según los cafés que producen. Otros grupos son Colombianos, Brasil y otros arábigas naturales y Robustas </w:t>
      </w:r>
      <w:hyperlink r:id="rId21">
        <w:r>
          <w:rPr/>
          <w:t>(http://dev.ico.or</w:t>
        </w:r>
      </w:hyperlink>
      <w:r>
        <w:rPr/>
        <w:t>g</w:t>
      </w:r>
      <w:hyperlink r:id="rId21">
        <w:r>
          <w:rPr/>
          <w:t>/documents/wpboard934c.pdf</w:t>
        </w:r>
      </w:hyperlink>
      <w:r>
        <w:rPr/>
        <w:t> consultado en: AMECAFÉ,</w:t>
      </w:r>
      <w:r>
        <w:rPr>
          <w:spacing w:val="-9"/>
        </w:rPr>
        <w:t> </w:t>
      </w:r>
      <w:r>
        <w:rPr/>
        <w:t>2012).</w:t>
      </w:r>
    </w:p>
    <w:p>
      <w:pPr>
        <w:pStyle w:val="BodyText"/>
        <w:spacing w:before="4"/>
      </w:pPr>
    </w:p>
    <w:p>
      <w:pPr>
        <w:pStyle w:val="Heading3"/>
        <w:numPr>
          <w:ilvl w:val="1"/>
          <w:numId w:val="3"/>
        </w:numPr>
        <w:tabs>
          <w:tab w:pos="474" w:val="left" w:leader="none"/>
        </w:tabs>
        <w:spacing w:line="240" w:lineRule="auto" w:before="1" w:after="0"/>
        <w:ind w:left="473" w:right="0" w:hanging="361"/>
        <w:jc w:val="both"/>
      </w:pPr>
      <w:r>
        <w:rPr/>
        <w:t>Conclusiones</w:t>
      </w:r>
    </w:p>
    <w:p>
      <w:pPr>
        <w:pStyle w:val="BodyText"/>
        <w:spacing w:before="6"/>
        <w:rPr>
          <w:b/>
          <w:sz w:val="23"/>
        </w:rPr>
      </w:pPr>
    </w:p>
    <w:p>
      <w:pPr>
        <w:pStyle w:val="BodyText"/>
        <w:ind w:left="112" w:right="115"/>
        <w:jc w:val="both"/>
      </w:pPr>
      <w:r>
        <w:rPr/>
        <w:t>Las exportaciones de café que se procede de los países productores hacia los consumidores están compuestas en su mayor parte por café verde (también se le denomina café oro), ya que representa alrededor del 90.0% del café comercializado en el mundo. Este grano se utiliza como materia prima para la industria torrefactora y solubilizadora de los países consumidores, donde se le incorpora mayor valor agregado. Respecto a México, el estado de Chiapas, se puede decir que es el principal productor de café en el país, y principal producto agrícola de exportación y en cuanto al valor de la producción ocupa el primer lugar. A pesar de la caída del precio internacional del aromático y a las plagas existentes como la roya del cafeto y los desastres naturales, hoy en día este producto representa una de las fuentes básicas en generación de divisas para el país en el sector agropecuario (El Diario Contra Poder de Chiapas del miércoles 25 de febrero de 2015).</w:t>
      </w:r>
    </w:p>
    <w:p>
      <w:pPr>
        <w:spacing w:after="0"/>
        <w:jc w:val="both"/>
        <w:sectPr>
          <w:pgSz w:w="11910" w:h="16840"/>
          <w:pgMar w:top="1060" w:bottom="280" w:left="1020" w:right="1020"/>
        </w:sectPr>
      </w:pPr>
    </w:p>
    <w:p>
      <w:pPr>
        <w:pStyle w:val="BodyText"/>
        <w:spacing w:before="46"/>
        <w:ind w:right="111"/>
        <w:jc w:val="right"/>
      </w:pPr>
      <w:r>
        <w:rPr/>
        <w:t>49</w:t>
      </w:r>
    </w:p>
    <w:p>
      <w:pPr>
        <w:pStyle w:val="BodyText"/>
        <w:spacing w:before="4"/>
        <w:rPr>
          <w:sz w:val="23"/>
        </w:rPr>
      </w:pPr>
    </w:p>
    <w:p>
      <w:pPr>
        <w:pStyle w:val="BodyText"/>
        <w:ind w:left="112" w:right="109" w:firstLine="708"/>
        <w:jc w:val="both"/>
      </w:pPr>
      <w:r>
        <w:rPr/>
        <w:t>En base a lo anterior es evidente destacar la importancia económica de la producción y comercialización del café en el país y en el mercado internacional. La cadena productiva del café constituye uno de los rubros más importantes dentro del sector agroindustrial del país por el  impacto económico- social y ambiental a nivel</w:t>
      </w:r>
      <w:r>
        <w:rPr>
          <w:spacing w:val="-7"/>
        </w:rPr>
        <w:t> </w:t>
      </w:r>
      <w:r>
        <w:rPr/>
        <w:t>mundial.</w:t>
      </w:r>
    </w:p>
    <w:p>
      <w:pPr>
        <w:pStyle w:val="BodyText"/>
        <w:spacing w:before="4"/>
      </w:pPr>
    </w:p>
    <w:p>
      <w:pPr>
        <w:pStyle w:val="Heading3"/>
        <w:numPr>
          <w:ilvl w:val="1"/>
          <w:numId w:val="3"/>
        </w:numPr>
        <w:tabs>
          <w:tab w:pos="473" w:val="left" w:leader="none"/>
        </w:tabs>
        <w:spacing w:line="240" w:lineRule="auto" w:before="1" w:after="0"/>
        <w:ind w:left="472" w:right="0" w:hanging="360"/>
        <w:jc w:val="both"/>
      </w:pPr>
      <w:r>
        <w:rPr/>
        <w:t>Referencias</w:t>
      </w:r>
    </w:p>
    <w:p>
      <w:pPr>
        <w:pStyle w:val="BodyText"/>
        <w:spacing w:before="6"/>
        <w:rPr>
          <w:b/>
          <w:sz w:val="23"/>
        </w:rPr>
      </w:pPr>
    </w:p>
    <w:p>
      <w:pPr>
        <w:pStyle w:val="BodyText"/>
        <w:ind w:left="112" w:right="114"/>
      </w:pPr>
      <w:r>
        <w:rPr/>
        <w:t>AMECAFÉ (2012). Plan Integral de Promoción del Café de México. Asociación Mexicana de la Cadena Productiva del Café, A.C. febrero. Disponible en: </w:t>
      </w:r>
      <w:hyperlink r:id="rId22">
        <w:r>
          <w:rPr/>
          <w:t>http://amecafe.org.mx/backup/pcm2012.pdf</w:t>
        </w:r>
      </w:hyperlink>
    </w:p>
    <w:p>
      <w:pPr>
        <w:pStyle w:val="BodyText"/>
      </w:pPr>
    </w:p>
    <w:p>
      <w:pPr>
        <w:pStyle w:val="BodyText"/>
        <w:ind w:left="112" w:right="112"/>
        <w:jc w:val="both"/>
      </w:pPr>
      <w:r>
        <w:rPr/>
        <w:t>El Economista, 15 de octubre (2014). Café arábiga cae tras pronósticos de lluvias en Brasil. Disponible en: </w:t>
      </w:r>
      <w:hyperlink r:id="rId23">
        <w:r>
          <w:rPr/>
          <w:t>http://eleconomista.com.mx/mercados-estadisticas/2014/10/15/cafe-arabiga-cae-tras-</w:t>
        </w:r>
      </w:hyperlink>
      <w:r>
        <w:rPr/>
        <w:t> pronosticos-lluvias-brasil</w:t>
      </w:r>
    </w:p>
    <w:p>
      <w:pPr>
        <w:pStyle w:val="BodyText"/>
      </w:pPr>
    </w:p>
    <w:p>
      <w:pPr>
        <w:pStyle w:val="BodyText"/>
        <w:ind w:left="112" w:right="111"/>
      </w:pPr>
      <w:r>
        <w:rPr/>
        <w:t>El Diario Contra Poder de Chiapas, miércoles 25 de febrero (2015). Importancia de la producción  de café en México y en el estado de Chiapas. Disponible </w:t>
      </w:r>
      <w:r>
        <w:rPr>
          <w:color w:val="333333"/>
        </w:rPr>
        <w:t>en: </w:t>
      </w:r>
      <w:hyperlink r:id="rId24">
        <w:r>
          <w:rPr/>
          <w:t>http://www.diariocontrapoderenchiapas.com/2014/index.php/columnas/columnistas/7017-</w:t>
        </w:r>
      </w:hyperlink>
      <w:r>
        <w:rPr/>
        <w:t> importancia-de-la-produccion-de-cafe-en-mexico-y-en-el-estado-de-chiapas</w:t>
      </w:r>
    </w:p>
    <w:p>
      <w:pPr>
        <w:pStyle w:val="BodyText"/>
      </w:pPr>
    </w:p>
    <w:p>
      <w:pPr>
        <w:pStyle w:val="BodyText"/>
        <w:ind w:left="112" w:right="109"/>
        <w:jc w:val="both"/>
      </w:pPr>
      <w:r>
        <w:rPr/>
        <w:t>FAO (2012). Vietnam destrona a Brasil como el primer exportador mundial de café. </w:t>
      </w:r>
      <w:r>
        <w:rPr>
          <w:i/>
        </w:rPr>
        <w:t>Agronoticias </w:t>
      </w:r>
      <w:r>
        <w:rPr>
          <w:i/>
        </w:rPr>
        <w:t>América Latina, </w:t>
      </w:r>
      <w:r>
        <w:rPr/>
        <w:t>del 04 de septiembre. Disponible en: </w:t>
      </w:r>
      <w:hyperlink r:id="rId25">
        <w:r>
          <w:rPr/>
          <w:t>http://www.fao.org/agronoticias/agro-</w:t>
        </w:r>
      </w:hyperlink>
      <w:r>
        <w:rPr/>
        <w:t> noticias/detalle/en/c/155590/</w:t>
      </w:r>
    </w:p>
    <w:p>
      <w:pPr>
        <w:pStyle w:val="BodyText"/>
      </w:pPr>
    </w:p>
    <w:p>
      <w:pPr>
        <w:pStyle w:val="BodyText"/>
        <w:ind w:left="112" w:right="108"/>
        <w:jc w:val="both"/>
      </w:pPr>
      <w:r>
        <w:rPr>
          <w:color w:val="212121"/>
        </w:rPr>
        <w:t>Forbes, 18 de junio (2014). Producción de café en México crecerá 10% en 2014/15: Starbucks. Disponible en: </w:t>
      </w:r>
      <w:hyperlink r:id="rId26">
        <w:r>
          <w:rPr>
            <w:color w:val="212121"/>
          </w:rPr>
          <w:t>http://www.forbes.com.mx/produccion-de-cafe-en-mexico-crecera-10-en-201415-</w:t>
        </w:r>
      </w:hyperlink>
      <w:r>
        <w:rPr>
          <w:color w:val="212121"/>
        </w:rPr>
        <w:t> starbucks/</w:t>
      </w:r>
    </w:p>
    <w:p>
      <w:pPr>
        <w:pStyle w:val="BodyText"/>
      </w:pPr>
    </w:p>
    <w:p>
      <w:pPr>
        <w:pStyle w:val="BodyText"/>
        <w:ind w:left="112" w:right="110"/>
        <w:jc w:val="both"/>
      </w:pPr>
      <w:r>
        <w:rPr/>
        <w:t>Forbes, miércoles 18 de marzo (2015). Productores mexicanos luchan por salvar cosechas de café. Disponible en: </w:t>
      </w:r>
      <w:hyperlink r:id="rId27">
        <w:r>
          <w:rPr/>
          <w:t>http://www.forbes.com.mx/productores-mexicanos-luchan-por-salvar-cosechas-de-</w:t>
        </w:r>
      </w:hyperlink>
      <w:r>
        <w:rPr/>
        <w:t> cafe/</w:t>
      </w:r>
    </w:p>
    <w:p>
      <w:pPr>
        <w:pStyle w:val="BodyText"/>
      </w:pPr>
    </w:p>
    <w:p>
      <w:pPr>
        <w:pStyle w:val="BodyText"/>
        <w:tabs>
          <w:tab w:pos="1389" w:val="left" w:leader="none"/>
          <w:tab w:pos="1904" w:val="left" w:leader="none"/>
        </w:tabs>
        <w:ind w:left="112" w:right="110"/>
      </w:pPr>
      <w:r>
        <w:rPr/>
        <w:t>Forbes, martes 5 de mayo (2015). </w:t>
      </w:r>
      <w:r>
        <w:rPr>
          <w:color w:val="212121"/>
        </w:rPr>
        <w:t>¿Cuáles serán las tendencias mundiales de consumo en 2015? Disponible</w:t>
        <w:tab/>
        <w:t>en:</w:t>
        <w:tab/>
      </w:r>
      <w:hyperlink r:id="rId28">
        <w:r>
          <w:rPr>
            <w:color w:val="212121"/>
          </w:rPr>
          <w:t>http://www.forbes.com.mx/de-acuerdo-con-la-analista-una-tendencia-interesante-</w:t>
        </w:r>
      </w:hyperlink>
      <w:r>
        <w:rPr>
          <w:color w:val="212121"/>
        </w:rPr>
        <w:t> para-2015-es-que-el-consumo-sera-visto-como-una-ruta-hacia-el-progreso-esta-idea-ha-emergido- varias-veces-en-los-recientes-anos-notable/</w:t>
      </w:r>
    </w:p>
    <w:p>
      <w:pPr>
        <w:pStyle w:val="BodyText"/>
      </w:pPr>
    </w:p>
    <w:p>
      <w:pPr>
        <w:pStyle w:val="BodyText"/>
        <w:ind w:left="112" w:right="121"/>
        <w:jc w:val="both"/>
      </w:pPr>
      <w:r>
        <w:rPr/>
        <w:t>Giovannucci, Daniele (2010). Differentiated Coffee. World Coffee Conference 2010. Guatemala. Disponible e</w:t>
      </w:r>
      <w:hyperlink r:id="rId29">
        <w:r>
          <w:rPr/>
          <w:t>n: http://dev.ico.org/event_pdfs/wcc2010/presentations/wcc2010-giovannucci-e.pdf</w:t>
        </w:r>
      </w:hyperlink>
    </w:p>
    <w:p>
      <w:pPr>
        <w:pStyle w:val="BodyText"/>
      </w:pPr>
    </w:p>
    <w:p>
      <w:pPr>
        <w:pStyle w:val="BodyText"/>
        <w:ind w:left="112" w:right="110"/>
        <w:jc w:val="both"/>
      </w:pPr>
      <w:r>
        <w:rPr/>
        <w:t>Gestión, jueves 28 de noviembre (2013). OIC Producción mundial de café caerá en 2 millones de sacos en la campaña 2013-2014. Disponible en: </w:t>
      </w:r>
      <w:hyperlink r:id="rId30">
        <w:r>
          <w:rPr/>
          <w:t>http://gestion.pe/economia/cafe-jefe-oic-ve-</w:t>
        </w:r>
      </w:hyperlink>
      <w:r>
        <w:rPr/>
        <w:t> produccion-cafe-ciclo-2013-2014-dos-millones-sacos-debajo-cosecha-previa-2082311</w:t>
      </w:r>
    </w:p>
    <w:p>
      <w:pPr>
        <w:pStyle w:val="BodyText"/>
      </w:pPr>
    </w:p>
    <w:p>
      <w:pPr>
        <w:spacing w:before="0"/>
        <w:ind w:left="112" w:right="114" w:firstLine="0"/>
        <w:jc w:val="left"/>
        <w:rPr>
          <w:sz w:val="24"/>
        </w:rPr>
      </w:pPr>
      <w:r>
        <w:rPr>
          <w:sz w:val="24"/>
        </w:rPr>
        <w:t>Guerra G., G.; Reyes B., L. y Ruiz-Ramírez, J. (2012). "Mercado del café en México" en </w:t>
      </w:r>
      <w:r>
        <w:rPr>
          <w:i/>
          <w:sz w:val="24"/>
        </w:rPr>
        <w:t>Observatorio de la Economía Latinoamericana, </w:t>
      </w:r>
      <w:r>
        <w:rPr>
          <w:sz w:val="24"/>
        </w:rPr>
        <w:t>núm. 163. Disponible en: </w:t>
      </w:r>
      <w:hyperlink r:id="rId31">
        <w:r>
          <w:rPr>
            <w:sz w:val="24"/>
          </w:rPr>
          <w:t>http://www.eumed.net/cursecon/ecolat/mx/2012/</w:t>
        </w:r>
      </w:hyperlink>
    </w:p>
    <w:p>
      <w:pPr>
        <w:pStyle w:val="BodyText"/>
        <w:spacing w:before="11"/>
        <w:rPr>
          <w:sz w:val="23"/>
        </w:rPr>
      </w:pPr>
    </w:p>
    <w:p>
      <w:pPr>
        <w:pStyle w:val="BodyText"/>
        <w:ind w:left="112" w:right="115"/>
        <w:jc w:val="both"/>
      </w:pPr>
      <w:r>
        <w:rPr/>
        <w:t>Imagen Agropecuaria, 19 de enero (2015). La SAGARPA adeuda 200 millones de pesos a cafetaleros veracruzanos: Yunes Zorrilla. Disponible en: Disponible en:</w:t>
      </w:r>
    </w:p>
    <w:p>
      <w:pPr>
        <w:spacing w:after="0"/>
        <w:jc w:val="both"/>
        <w:sectPr>
          <w:pgSz w:w="11910" w:h="16840"/>
          <w:pgMar w:top="1060" w:bottom="280" w:left="1020" w:right="1020"/>
        </w:sectPr>
      </w:pPr>
    </w:p>
    <w:p>
      <w:pPr>
        <w:pStyle w:val="BodyText"/>
        <w:spacing w:before="46"/>
        <w:ind w:right="111"/>
        <w:jc w:val="right"/>
      </w:pPr>
      <w:r>
        <w:rPr/>
        <w:t>50</w:t>
      </w:r>
    </w:p>
    <w:p>
      <w:pPr>
        <w:pStyle w:val="BodyText"/>
        <w:spacing w:before="4"/>
        <w:rPr>
          <w:sz w:val="17"/>
        </w:rPr>
      </w:pPr>
    </w:p>
    <w:p>
      <w:pPr>
        <w:pStyle w:val="BodyText"/>
        <w:spacing w:before="69"/>
        <w:ind w:left="112" w:right="114"/>
      </w:pPr>
      <w:hyperlink r:id="rId32">
        <w:r>
          <w:rPr/>
          <w:t>http://www.imagendelgolfo.com.mx/resumen.php?id=41045971</w:t>
        </w:r>
      </w:hyperlink>
    </w:p>
    <w:p>
      <w:pPr>
        <w:pStyle w:val="BodyText"/>
      </w:pPr>
    </w:p>
    <w:p>
      <w:pPr>
        <w:pStyle w:val="BodyText"/>
        <w:ind w:left="112" w:right="114"/>
      </w:pPr>
      <w:r>
        <w:rPr/>
        <w:t>La Jornada, viernes 12 de septiembre (2014). La producción de café en 2014, la más baja en 43 años; SAGARPA sin estrategia. Disponible en: </w:t>
      </w:r>
      <w:hyperlink r:id="rId33">
        <w:r>
          <w:rPr/>
          <w:t>http://www.jornada.unam.mx/2014/09/12/politica/023n1pol</w:t>
        </w:r>
      </w:hyperlink>
    </w:p>
    <w:p>
      <w:pPr>
        <w:pStyle w:val="BodyText"/>
      </w:pPr>
    </w:p>
    <w:p>
      <w:pPr>
        <w:pStyle w:val="BodyText"/>
        <w:ind w:left="112" w:right="110"/>
        <w:jc w:val="both"/>
      </w:pPr>
      <w:r>
        <w:rPr>
          <w:color w:val="333333"/>
        </w:rPr>
        <w:t>La Patria, 13 de marzo (2014). Consumo mundial de café comienza a superar la oferta. La Patria. Consultado el 08 de Diciembre de 2014 en </w:t>
      </w:r>
      <w:hyperlink r:id="rId34">
        <w:r>
          <w:rPr>
            <w:color w:val="333333"/>
          </w:rPr>
          <w:t>http://www.lapatria.com/economia/consumo-mundial-</w:t>
        </w:r>
      </w:hyperlink>
      <w:r>
        <w:rPr>
          <w:color w:val="333333"/>
        </w:rPr>
        <w:t> de-cafe-comienza-superar-la-oferta-61166</w:t>
      </w:r>
    </w:p>
    <w:p>
      <w:pPr>
        <w:pStyle w:val="BodyText"/>
      </w:pPr>
    </w:p>
    <w:p>
      <w:pPr>
        <w:pStyle w:val="BodyText"/>
        <w:tabs>
          <w:tab w:pos="2378" w:val="left" w:leader="none"/>
        </w:tabs>
        <w:ind w:left="112" w:right="115"/>
        <w:jc w:val="both"/>
      </w:pPr>
      <w:r>
        <w:rPr/>
        <w:t>Los Tops, lunes 01 de julio (2013). Los 10 Principales países Consumidores de Café. Disponible  en:</w:t>
        <w:tab/>
      </w:r>
      <w:hyperlink r:id="rId35">
        <w:r>
          <w:rPr>
            <w:spacing w:val="-1"/>
          </w:rPr>
          <w:t>http://tops10.loquenosabias.com/los-10-principales-paises-consumidores-de-</w:t>
        </w:r>
      </w:hyperlink>
      <w:r>
        <w:rPr>
          <w:spacing w:val="-1"/>
        </w:rPr>
        <w:t> </w:t>
      </w:r>
      <w:hyperlink r:id="rId35">
        <w:r>
          <w:rPr/>
          <w:t>cafe#ixzz3Uo3NZryF</w:t>
        </w:r>
      </w:hyperlink>
    </w:p>
    <w:p>
      <w:pPr>
        <w:pStyle w:val="BodyText"/>
      </w:pPr>
    </w:p>
    <w:p>
      <w:pPr>
        <w:pStyle w:val="BodyText"/>
        <w:ind w:left="112" w:right="114"/>
      </w:pPr>
      <w:r>
        <w:rPr/>
        <w:t>OIC (2014). Datos históricos. Varios años. Organización Internacional del Café. Disponible en: </w:t>
      </w:r>
      <w:hyperlink r:id="rId36">
        <w:r>
          <w:rPr/>
          <w:t>http://www.ico.org/ES/about_statisticsc.asp</w:t>
        </w:r>
      </w:hyperlink>
    </w:p>
    <w:p>
      <w:pPr>
        <w:pStyle w:val="BodyText"/>
      </w:pPr>
    </w:p>
    <w:p>
      <w:pPr>
        <w:pStyle w:val="BodyText"/>
        <w:ind w:left="112" w:right="114"/>
      </w:pPr>
      <w:r>
        <w:rPr/>
        <w:t>SIAP-SAGARPA (2014). Estadísticas de varios años. Servicio de Información Agroalimentaria y Pesquera, México. Disponible e</w:t>
      </w:r>
      <w:hyperlink r:id="rId37">
        <w:r>
          <w:rPr/>
          <w:t>n: http://www.siap.gob.mx/</w:t>
        </w:r>
      </w:hyperlink>
    </w:p>
    <w:p>
      <w:pPr>
        <w:pStyle w:val="BodyText"/>
      </w:pPr>
    </w:p>
    <w:p>
      <w:pPr>
        <w:pStyle w:val="BodyText"/>
        <w:tabs>
          <w:tab w:pos="5941" w:val="left" w:leader="none"/>
        </w:tabs>
        <w:ind w:left="112" w:right="114"/>
      </w:pPr>
      <w:r>
        <w:rPr/>
        <w:t>The Wall Street Journal, martes, de 5 de   </w:t>
      </w:r>
      <w:r>
        <w:rPr>
          <w:spacing w:val="35"/>
        </w:rPr>
        <w:t> </w:t>
      </w:r>
      <w:r>
        <w:rPr/>
        <w:t>agosto</w:t>
      </w:r>
      <w:r>
        <w:rPr>
          <w:spacing w:val="28"/>
        </w:rPr>
        <w:t> </w:t>
      </w:r>
      <w:r>
        <w:rPr/>
        <w:t>(2014).</w:t>
        <w:tab/>
        <w:t>Los mayores exportadores de </w:t>
      </w:r>
      <w:r>
        <w:rPr>
          <w:spacing w:val="44"/>
        </w:rPr>
        <w:t> </w:t>
      </w:r>
      <w:r>
        <w:rPr/>
        <w:t>café</w:t>
      </w:r>
      <w:r>
        <w:rPr>
          <w:spacing w:val="25"/>
        </w:rPr>
        <w:t> </w:t>
      </w:r>
      <w:r>
        <w:rPr/>
        <w:t>son</w:t>
      </w:r>
      <w:r>
        <w:rPr>
          <w:w w:val="99"/>
        </w:rPr>
        <w:t> </w:t>
      </w:r>
      <w:r>
        <w:rPr/>
        <w:t>ahora grandes consumidores. Disponible en: </w:t>
      </w:r>
      <w:hyperlink r:id="rId38">
        <w:r>
          <w:rPr/>
          <w:t>http://lat.wsj.com/articles/SB10001424052702303789004</w:t>
        </w:r>
      </w:hyperlink>
    </w:p>
    <w:p>
      <w:pPr>
        <w:spacing w:after="0"/>
        <w:sectPr>
          <w:pgSz w:w="11910" w:h="16840"/>
          <w:pgMar w:top="1060" w:bottom="280" w:left="1020" w:right="1020"/>
        </w:sectPr>
      </w:pPr>
    </w:p>
    <w:p>
      <w:pPr>
        <w:pStyle w:val="BodyText"/>
        <w:rPr>
          <w:sz w:val="20"/>
        </w:rPr>
      </w:pPr>
      <w:r>
        <w:rPr/>
        <w:pict>
          <v:shape style="position:absolute;margin-left:510.25pt;margin-top:0pt;width:85.1pt;height:231.55pt;mso-position-horizontal-relative:page;mso-position-vertical-relative:page;z-index:-31576" type="#_x0000_t202" filled="false" stroked="false">
            <v:textbox inset="0,0,0,0">
              <w:txbxContent>
                <w:p>
                  <w:pPr>
                    <w:pStyle w:val="BodyText"/>
                  </w:pPr>
                </w:p>
                <w:p>
                  <w:pPr>
                    <w:pStyle w:val="BodyText"/>
                  </w:pPr>
                </w:p>
                <w:p>
                  <w:pPr>
                    <w:pStyle w:val="BodyText"/>
                  </w:pPr>
                </w:p>
                <w:p>
                  <w:pPr>
                    <w:pStyle w:val="BodyText"/>
                    <w:spacing w:before="9"/>
                    <w:rPr>
                      <w:sz w:val="25"/>
                    </w:rPr>
                  </w:pPr>
                </w:p>
                <w:p>
                  <w:pPr>
                    <w:pStyle w:val="BodyText"/>
                    <w:ind w:left="208"/>
                  </w:pPr>
                  <w:r>
                    <w:rPr/>
                    <w:t>200</w:t>
                  </w:r>
                </w:p>
              </w:txbxContent>
            </v:textbox>
            <w10:wrap type="none"/>
          </v:shape>
        </w:pict>
      </w:r>
      <w:r>
        <w:rPr/>
        <w:pict>
          <v:group style="position:absolute;margin-left:0pt;margin-top:241.999985pt;width:502.7pt;height:599.950pt;mso-position-horizontal-relative:page;mso-position-vertical-relative:page;z-index:1360" coordorigin="0,4840" coordsize="10054,11999">
            <v:shape style="position:absolute;left:4154;top:14589;width:3240;height:2249" type="#_x0000_t75" stroked="false">
              <v:imagedata r:id="rId39" o:title=""/>
            </v:shape>
            <v:shape style="position:absolute;left:7871;top:14589;width:1904;height:2249" type="#_x0000_t75" stroked="false">
              <v:imagedata r:id="rId40" o:title=""/>
            </v:shape>
            <v:rect style="position:absolute;left:0;top:4840;width:10054;height:11998" filled="true" fillcolor="#ffa400" stroked="false">
              <v:fill type="solid"/>
            </v:rect>
            <v:shape style="position:absolute;left:7974;top:13969;width:1681;height:2063" type="#_x0000_t75" stroked="false">
              <v:imagedata r:id="rId41" o:title=""/>
            </v:shape>
            <v:shape style="position:absolute;left:4621;top:13936;width:3097;height:2070" type="#_x0000_t75" stroked="false">
              <v:imagedata r:id="rId42" o:title=""/>
            </v:shape>
            <w10:wrap type="none"/>
          </v:group>
        </w:pict>
      </w:r>
      <w:r>
        <w:rPr/>
        <w:pict>
          <v:rect style="position:absolute;margin-left:510.25pt;margin-top:0pt;width:85.07pt;height:231.549983pt;mso-position-horizontal-relative:page;mso-position-vertical-relative:page;z-index:1384" filled="true" fillcolor="#ffa400" stroked="false">
            <v:fill type="solid"/>
            <w10:wrap type="none"/>
          </v:rect>
        </w:pict>
      </w:r>
      <w:r>
        <w:rPr/>
        <w:pict>
          <v:rect style="position:absolute;margin-left:510.25pt;margin-top:241.999985pt;width:85.07pt;height:111.35pt;mso-position-horizontal-relative:page;mso-position-vertical-relative:page;z-index:1408" filled="true" fillcolor="#ff6246" stroked="false">
            <v:fill type="solid"/>
            <w10:wrap type="none"/>
          </v:rect>
        </w:pict>
      </w:r>
      <w:r>
        <w:rPr/>
        <w:pict>
          <v:rect style="position:absolute;margin-left:510.25pt;margin-top:361.999969pt;width:85.07pt;height:479.919939pt;mso-position-horizontal-relative:page;mso-position-vertical-relative:page;z-index:1432" filled="true" fillcolor="#ffa400" stroked="false">
            <v:fill type="solid"/>
            <w10:wrap type="none"/>
          </v:rect>
        </w:pict>
      </w:r>
      <w:r>
        <w:rPr>
          <w:sz w:val="20"/>
        </w:rPr>
        <w:pict>
          <v:group style="width:503.05pt;height:232.8pt;mso-position-horizontal-relative:char;mso-position-vertical-relative:line" coordorigin="0,0" coordsize="10061,4656">
            <v:rect style="position:absolute;left:0;top:0;width:10061;height:4656" filled="true" fillcolor="#ffa400" stroked="false">
              <v:fill type="solid"/>
            </v:rect>
          </v:group>
        </w:pict>
      </w:r>
      <w:r>
        <w:rPr>
          <w:sz w:val="20"/>
        </w:rPr>
      </w:r>
    </w:p>
    <w:sectPr>
      <w:pgSz w:w="11910" w:h="16840"/>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4"/>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1">
    <w:multiLevelType w:val="hybridMultilevel"/>
    <w:lvl w:ilvl="0">
      <w:start w:val="4"/>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100"/>
        <w:sz w:val="24"/>
        <w:szCs w:val="24"/>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0">
    <w:multiLevelType w:val="hybridMultilevel"/>
    <w:lvl w:ilvl="0">
      <w:start w:val="5"/>
      <w:numFmt w:val="upperLetter"/>
      <w:lvlText w:val="%1."/>
      <w:lvlJc w:val="left"/>
      <w:pPr>
        <w:ind w:left="335" w:hanging="223"/>
        <w:jc w:val="left"/>
      </w:pPr>
      <w:rPr>
        <w:rFonts w:hint="default" w:ascii="Times New Roman" w:hAnsi="Times New Roman" w:eastAsia="Times New Roman" w:cs="Times New Roman"/>
        <w:w w:val="99"/>
        <w:sz w:val="20"/>
        <w:szCs w:val="20"/>
      </w:rPr>
    </w:lvl>
    <w:lvl w:ilvl="1">
      <w:start w:val="1"/>
      <w:numFmt w:val="bullet"/>
      <w:lvlText w:val="•"/>
      <w:lvlJc w:val="left"/>
      <w:pPr>
        <w:ind w:left="1292" w:hanging="223"/>
      </w:pPr>
      <w:rPr>
        <w:rFonts w:hint="default"/>
      </w:rPr>
    </w:lvl>
    <w:lvl w:ilvl="2">
      <w:start w:val="1"/>
      <w:numFmt w:val="bullet"/>
      <w:lvlText w:val="•"/>
      <w:lvlJc w:val="left"/>
      <w:pPr>
        <w:ind w:left="2245" w:hanging="223"/>
      </w:pPr>
      <w:rPr>
        <w:rFonts w:hint="default"/>
      </w:rPr>
    </w:lvl>
    <w:lvl w:ilvl="3">
      <w:start w:val="1"/>
      <w:numFmt w:val="bullet"/>
      <w:lvlText w:val="•"/>
      <w:lvlJc w:val="left"/>
      <w:pPr>
        <w:ind w:left="3197" w:hanging="223"/>
      </w:pPr>
      <w:rPr>
        <w:rFonts w:hint="default"/>
      </w:rPr>
    </w:lvl>
    <w:lvl w:ilvl="4">
      <w:start w:val="1"/>
      <w:numFmt w:val="bullet"/>
      <w:lvlText w:val="•"/>
      <w:lvlJc w:val="left"/>
      <w:pPr>
        <w:ind w:left="4150" w:hanging="223"/>
      </w:pPr>
      <w:rPr>
        <w:rFonts w:hint="default"/>
      </w:rPr>
    </w:lvl>
    <w:lvl w:ilvl="5">
      <w:start w:val="1"/>
      <w:numFmt w:val="bullet"/>
      <w:lvlText w:val="•"/>
      <w:lvlJc w:val="left"/>
      <w:pPr>
        <w:ind w:left="5103" w:hanging="223"/>
      </w:pPr>
      <w:rPr>
        <w:rFonts w:hint="default"/>
      </w:rPr>
    </w:lvl>
    <w:lvl w:ilvl="6">
      <w:start w:val="1"/>
      <w:numFmt w:val="bullet"/>
      <w:lvlText w:val="•"/>
      <w:lvlJc w:val="left"/>
      <w:pPr>
        <w:ind w:left="6055" w:hanging="223"/>
      </w:pPr>
      <w:rPr>
        <w:rFonts w:hint="default"/>
      </w:rPr>
    </w:lvl>
    <w:lvl w:ilvl="7">
      <w:start w:val="1"/>
      <w:numFmt w:val="bullet"/>
      <w:lvlText w:val="•"/>
      <w:lvlJc w:val="left"/>
      <w:pPr>
        <w:ind w:left="7008" w:hanging="223"/>
      </w:pPr>
      <w:rPr>
        <w:rFonts w:hint="default"/>
      </w:rPr>
    </w:lvl>
    <w:lvl w:ilvl="8">
      <w:start w:val="1"/>
      <w:numFmt w:val="bullet"/>
      <w:lvlText w:val="•"/>
      <w:lvlJc w:val="left"/>
      <w:pPr>
        <w:ind w:left="7961" w:hanging="223"/>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2" w:right="114"/>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41"/>
      <w:ind w:left="112" w:right="114"/>
      <w:outlineLvl w:val="2"/>
    </w:pPr>
    <w:rPr>
      <w:rFonts w:ascii="Times New Roman" w:hAnsi="Times New Roman" w:eastAsia="Times New Roman" w:cs="Times New Roman"/>
      <w:b/>
      <w:bCs/>
      <w:sz w:val="28"/>
      <w:szCs w:val="28"/>
    </w:rPr>
  </w:style>
  <w:style w:styleId="Heading3" w:type="paragraph">
    <w:name w:val="Heading 3"/>
    <w:basedOn w:val="Normal"/>
    <w:uiPriority w:val="1"/>
    <w:qFormat/>
    <w:pPr>
      <w:spacing w:before="1"/>
      <w:ind w:left="112"/>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
      <w:ind w:left="473" w:hanging="361"/>
      <w:jc w:val="both"/>
    </w:pPr>
    <w:rPr>
      <w:rFonts w:ascii="Times New Roman" w:hAnsi="Times New Roman" w:eastAsia="Times New Roman" w:cs="Times New Roman"/>
    </w:rPr>
  </w:style>
  <w:style w:styleId="TableParagraph" w:type="paragraph">
    <w:name w:val="Table Paragraph"/>
    <w:basedOn w:val="Normal"/>
    <w:uiPriority w:val="1"/>
    <w:qFormat/>
    <w:pPr>
      <w:spacing w:line="157" w:lineRule="exact"/>
      <w:ind w:right="101"/>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yperlink" Target="mailto:lgodinezm76@gmail.com" TargetMode="External"/><Relationship Id="rId7" Type="http://schemas.openxmlformats.org/officeDocument/2006/relationships/hyperlink" Target="http://quotes.wsj.com/SJM"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jpeg"/><Relationship Id="rId11" Type="http://schemas.openxmlformats.org/officeDocument/2006/relationships/hyperlink" Target="http://actualidad.loquenosabias.com/tag/estados-unidos" TargetMode="External"/><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hyperlink" Target="http://www.forbes.com.mx/preocupa-cafetaleros-mexicanos-posible-baja-produccion/" TargetMode="External"/><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hyperlink" Target="http://www.el-universal.com.mx/" TargetMode="External"/><Relationship Id="rId20" Type="http://schemas.openxmlformats.org/officeDocument/2006/relationships/image" Target="media/image10.jpeg"/><Relationship Id="rId21" Type="http://schemas.openxmlformats.org/officeDocument/2006/relationships/hyperlink" Target="http://dev.ico.org/documents/wpboard934c.pdf" TargetMode="External"/><Relationship Id="rId22" Type="http://schemas.openxmlformats.org/officeDocument/2006/relationships/hyperlink" Target="http://amecafe.org.mx/backup/pcm2012.pdf" TargetMode="External"/><Relationship Id="rId23" Type="http://schemas.openxmlformats.org/officeDocument/2006/relationships/hyperlink" Target="http://eleconomista.com.mx/mercados-estadisticas/2014/10/15/cafe-arabiga-cae-tras-" TargetMode="External"/><Relationship Id="rId24" Type="http://schemas.openxmlformats.org/officeDocument/2006/relationships/hyperlink" Target="http://www.diariocontrapoderenchiapas.com/2014/index.php/columnas/columnistas/7017-" TargetMode="External"/><Relationship Id="rId25" Type="http://schemas.openxmlformats.org/officeDocument/2006/relationships/hyperlink" Target="http://www.fao.org/agronoticias/agro-" TargetMode="External"/><Relationship Id="rId26" Type="http://schemas.openxmlformats.org/officeDocument/2006/relationships/hyperlink" Target="http://www.forbes.com.mx/produccion-de-cafe-en-mexico-crecera-10-en-201415-" TargetMode="External"/><Relationship Id="rId27" Type="http://schemas.openxmlformats.org/officeDocument/2006/relationships/hyperlink" Target="http://www.forbes.com.mx/productores-mexicanos-luchan-por-salvar-cosechas-de-" TargetMode="External"/><Relationship Id="rId28" Type="http://schemas.openxmlformats.org/officeDocument/2006/relationships/hyperlink" Target="http://www.forbes.com.mx/de-acuerdo-con-la-analista-una-tendencia-interesante-" TargetMode="External"/><Relationship Id="rId29" Type="http://schemas.openxmlformats.org/officeDocument/2006/relationships/hyperlink" Target="http://dev.ico.org/event_pdfs/wcc2010/presentations/wcc2010-giovannucci-e.pdf" TargetMode="External"/><Relationship Id="rId30" Type="http://schemas.openxmlformats.org/officeDocument/2006/relationships/hyperlink" Target="http://gestion.pe/economia/cafe-jefe-oic-ve-" TargetMode="External"/><Relationship Id="rId31" Type="http://schemas.openxmlformats.org/officeDocument/2006/relationships/hyperlink" Target="http://www.eumed.net/cursecon/ecolat/mx/2012/" TargetMode="External"/><Relationship Id="rId32" Type="http://schemas.openxmlformats.org/officeDocument/2006/relationships/hyperlink" Target="http://www.imagendelgolfo.com.mx/resumen.php?id=41045971" TargetMode="External"/><Relationship Id="rId33" Type="http://schemas.openxmlformats.org/officeDocument/2006/relationships/hyperlink" Target="http://www.jornada.unam.mx/2014/09/12/politica/023n1pol" TargetMode="External"/><Relationship Id="rId34" Type="http://schemas.openxmlformats.org/officeDocument/2006/relationships/hyperlink" Target="http://www.lapatria.com/economia/consumo-mundial-" TargetMode="External"/><Relationship Id="rId35" Type="http://schemas.openxmlformats.org/officeDocument/2006/relationships/hyperlink" Target="http://tops10.loquenosabias.com/los-10-principales-paises-consumidores-de-cafe#ixzz3Uo3NZryF" TargetMode="External"/><Relationship Id="rId36" Type="http://schemas.openxmlformats.org/officeDocument/2006/relationships/hyperlink" Target="http://www.ico.org/ES/about_statisticsc.asp" TargetMode="External"/><Relationship Id="rId37" Type="http://schemas.openxmlformats.org/officeDocument/2006/relationships/hyperlink" Target="http://www.siap.gob.mx/" TargetMode="External"/><Relationship Id="rId38" Type="http://schemas.openxmlformats.org/officeDocument/2006/relationships/hyperlink" Target="http://lat.wsj.com/articles/SB10001424052702303789004" TargetMode="External"/><Relationship Id="rId39" Type="http://schemas.openxmlformats.org/officeDocument/2006/relationships/image" Target="media/image11.png"/><Relationship Id="rId40" Type="http://schemas.openxmlformats.org/officeDocument/2006/relationships/image" Target="media/image12.jpeg"/><Relationship Id="rId41" Type="http://schemas.openxmlformats.org/officeDocument/2006/relationships/image" Target="media/image13.jpeg"/><Relationship Id="rId42" Type="http://schemas.openxmlformats.org/officeDocument/2006/relationships/image" Target="media/image14.png"/><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2017-05-31T17:41:36Z</dcterms:created>
  <dcterms:modified xsi:type="dcterms:W3CDTF">2017-05-31T17:41:36Z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2016-10-17T00:00:00Z</vt:filetime>
  </property>
  <property fmtid="{D5CDD505-2E9C-101B-9397-08002B2CF9AE}" pid="3" name="Creator">
    <vt:lpwstr>Microsoft® Word 2016</vt:lpwstr>
  </property>
  <property fmtid="{D5CDD505-2E9C-101B-9397-08002B2CF9AE}" pid="4" name="LastSaved">
    <vt:filetime>2017-05-31T00:00:00Z</vt:filetime>
  </property>
</Properties>
</file>